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left="4060" w:right="1000" w:hanging="3052"/>
        <w:spacing w:after="0" w:line="503" w:lineRule="auto"/>
        <w:tabs>
          <w:tab w:leader="none" w:pos="126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2014</w:t>
      </w:r>
    </w:p>
    <w:p>
      <w:pPr>
        <w:ind w:left="558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3600" w:right="1000" w:hanging="2593"/>
        <w:spacing w:after="0" w:line="503" w:lineRule="auto"/>
        <w:tabs>
          <w:tab w:leader="none" w:pos="1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tbl>
      <w:tblPr>
        <w:tblLayout w:type="fixed"/>
        <w:tblInd w:w="0" w:type="dxa"/>
        <w:tblCellMar>
          <w:top w:w="0" w:type="dxa"/>
          <w:left w:w="0" w:type="dxa"/>
          <w:bottom w:w="0" w:type="dxa"/>
          <w:right w:w="0" w:type="dxa"/>
        </w:tblCellMar>
      </w:tblPr>
      <w:tr>
        <w:trPr>
          <w:trHeight w:val="191"/>
        </w:trPr>
        <w:tc>
          <w:tcPr>
            <w:tcW w:w="4320" w:type="dxa"/>
            <w:vAlign w:val="bottom"/>
          </w:tcPr>
          <w:p>
            <w:pPr>
              <w:spacing w:after="0"/>
              <w:rPr>
                <w:sz w:val="16"/>
                <w:szCs w:val="16"/>
                <w:color w:val="auto"/>
              </w:rPr>
            </w:pPr>
          </w:p>
        </w:tc>
        <w:tc>
          <w:tcPr>
            <w:tcW w:w="3380" w:type="dxa"/>
            <w:vAlign w:val="bottom"/>
            <w:gridSpan w:val="6"/>
          </w:tcPr>
          <w:p>
            <w:pPr>
              <w:jc w:val="center"/>
              <w:ind w:right="580"/>
              <w:spacing w:after="0" w:line="191" w:lineRule="exact"/>
              <w:rPr>
                <w:sz w:val="20"/>
                <w:szCs w:val="20"/>
                <w:color w:val="auto"/>
              </w:rPr>
            </w:pPr>
            <w:r>
              <w:rPr>
                <w:rFonts w:ascii="Arial" w:cs="Arial" w:eastAsia="Arial" w:hAnsi="Arial"/>
                <w:sz w:val="18"/>
                <w:szCs w:val="18"/>
                <w:color w:val="auto"/>
                <w:w w:val="92"/>
              </w:rPr>
              <w:t>Commission file number: 1-10026</w:t>
            </w:r>
          </w:p>
        </w:tc>
        <w:tc>
          <w:tcPr>
            <w:tcW w:w="3720" w:type="dxa"/>
            <w:vAlign w:val="bottom"/>
          </w:tcPr>
          <w:p>
            <w:pPr>
              <w:spacing w:after="0"/>
              <w:rPr>
                <w:sz w:val="16"/>
                <w:szCs w:val="16"/>
                <w:color w:val="auto"/>
              </w:rPr>
            </w:pPr>
          </w:p>
        </w:tc>
      </w:tr>
      <w:tr>
        <w:trPr>
          <w:trHeight w:val="20"/>
        </w:trPr>
        <w:tc>
          <w:tcPr>
            <w:tcW w:w="43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12"/>
        </w:trPr>
        <w:tc>
          <w:tcPr>
            <w:tcW w:w="4320" w:type="dxa"/>
            <w:vAlign w:val="bottom"/>
          </w:tcPr>
          <w:p>
            <w:pPr>
              <w:spacing w:after="0"/>
              <w:rPr>
                <w:sz w:val="24"/>
                <w:szCs w:val="2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ALBANY INTERNATIONAL CORP.</w:t>
            </w:r>
          </w:p>
        </w:tc>
        <w:tc>
          <w:tcPr>
            <w:tcW w:w="6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7"/>
        </w:trPr>
        <w:tc>
          <w:tcPr>
            <w:tcW w:w="7700" w:type="dxa"/>
            <w:vAlign w:val="bottom"/>
            <w:gridSpan w:val="7"/>
          </w:tcPr>
          <w:p>
            <w:pPr>
              <w:jc w:val="center"/>
              <w:ind w:left="3650"/>
              <w:spacing w:after="0"/>
              <w:rPr>
                <w:sz w:val="20"/>
                <w:szCs w:val="20"/>
                <w:color w:val="auto"/>
              </w:rPr>
            </w:pPr>
            <w:r>
              <w:rPr>
                <w:rFonts w:ascii="Arial" w:cs="Arial" w:eastAsia="Arial" w:hAnsi="Arial"/>
                <w:sz w:val="18"/>
                <w:szCs w:val="18"/>
                <w:color w:val="auto"/>
                <w:w w:val="90"/>
              </w:rPr>
              <w:t>(Exact name of registrant as specified in its charter)</w:t>
            </w:r>
          </w:p>
        </w:tc>
        <w:tc>
          <w:tcPr>
            <w:tcW w:w="3720" w:type="dxa"/>
            <w:vAlign w:val="bottom"/>
          </w:tcPr>
          <w:p>
            <w:pPr>
              <w:spacing w:after="0"/>
              <w:rPr>
                <w:sz w:val="20"/>
                <w:szCs w:val="20"/>
                <w:color w:val="auto"/>
              </w:rPr>
            </w:pPr>
          </w:p>
        </w:tc>
      </w:tr>
      <w:tr>
        <w:trPr>
          <w:trHeight w:val="432"/>
        </w:trPr>
        <w:tc>
          <w:tcPr>
            <w:tcW w:w="7700" w:type="dxa"/>
            <w:vAlign w:val="bottom"/>
            <w:gridSpan w:val="7"/>
          </w:tcPr>
          <w:p>
            <w:pPr>
              <w:jc w:val="center"/>
              <w:ind w:right="2380"/>
              <w:spacing w:after="0"/>
              <w:rPr>
                <w:sz w:val="20"/>
                <w:szCs w:val="20"/>
                <w:color w:val="auto"/>
              </w:rPr>
            </w:pPr>
            <w:r>
              <w:rPr>
                <w:rFonts w:ascii="Arial" w:cs="Arial" w:eastAsia="Arial" w:hAnsi="Arial"/>
                <w:sz w:val="18"/>
                <w:szCs w:val="18"/>
                <w:color w:val="auto"/>
                <w:w w:val="89"/>
              </w:rPr>
              <w:t>Delaware</w:t>
            </w:r>
          </w:p>
        </w:tc>
        <w:tc>
          <w:tcPr>
            <w:tcW w:w="3720" w:type="dxa"/>
            <w:vAlign w:val="bottom"/>
          </w:tcPr>
          <w:p>
            <w:pPr>
              <w:jc w:val="right"/>
              <w:ind w:right="185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7700" w:type="dxa"/>
            <w:vAlign w:val="bottom"/>
            <w:gridSpan w:val="7"/>
          </w:tcPr>
          <w:p>
            <w:pPr>
              <w:ind w:left="1520"/>
              <w:spacing w:after="0"/>
              <w:rPr>
                <w:sz w:val="20"/>
                <w:szCs w:val="20"/>
                <w:color w:val="auto"/>
              </w:rPr>
            </w:pPr>
            <w:r>
              <w:rPr>
                <w:rFonts w:ascii="Arial" w:cs="Arial" w:eastAsia="Arial" w:hAnsi="Arial"/>
                <w:sz w:val="18"/>
                <w:szCs w:val="18"/>
                <w:color w:val="auto"/>
              </w:rPr>
              <w:t>incorporation or organization)</w:t>
            </w:r>
          </w:p>
        </w:tc>
        <w:tc>
          <w:tcPr>
            <w:tcW w:w="3720" w:type="dxa"/>
            <w:vAlign w:val="bottom"/>
          </w:tcPr>
          <w:p>
            <w:pPr>
              <w:spacing w:after="0"/>
              <w:rPr>
                <w:sz w:val="20"/>
                <w:szCs w:val="20"/>
                <w:color w:val="auto"/>
              </w:rPr>
            </w:pPr>
          </w:p>
        </w:tc>
      </w:tr>
      <w:tr>
        <w:trPr>
          <w:trHeight w:val="419"/>
        </w:trPr>
        <w:tc>
          <w:tcPr>
            <w:tcW w:w="7700" w:type="dxa"/>
            <w:vAlign w:val="bottom"/>
            <w:gridSpan w:val="7"/>
          </w:tcPr>
          <w:p>
            <w:pPr>
              <w:jc w:val="center"/>
              <w:ind w:right="2380"/>
              <w:spacing w:after="0"/>
              <w:rPr>
                <w:sz w:val="20"/>
                <w:szCs w:val="20"/>
                <w:color w:val="auto"/>
              </w:rPr>
            </w:pPr>
            <w:r>
              <w:rPr>
                <w:rFonts w:ascii="Arial" w:cs="Arial" w:eastAsia="Arial" w:hAnsi="Arial"/>
                <w:sz w:val="18"/>
                <w:szCs w:val="18"/>
                <w:color w:val="auto"/>
                <w:w w:val="92"/>
              </w:rPr>
              <w:t>216 Airport Drive, Rochester, New Hampshire</w:t>
            </w:r>
          </w:p>
        </w:tc>
        <w:tc>
          <w:tcPr>
            <w:tcW w:w="3720" w:type="dxa"/>
            <w:vAlign w:val="bottom"/>
          </w:tcPr>
          <w:p>
            <w:pPr>
              <w:jc w:val="right"/>
              <w:ind w:right="2050"/>
              <w:spacing w:after="0"/>
              <w:rPr>
                <w:sz w:val="20"/>
                <w:szCs w:val="20"/>
                <w:color w:val="auto"/>
              </w:rPr>
            </w:pPr>
            <w:r>
              <w:rPr>
                <w:rFonts w:ascii="Arial" w:cs="Arial" w:eastAsia="Arial" w:hAnsi="Arial"/>
                <w:sz w:val="18"/>
                <w:szCs w:val="18"/>
                <w:color w:val="auto"/>
              </w:rPr>
              <w:t>03867</w:t>
            </w:r>
          </w:p>
        </w:tc>
      </w:tr>
      <w:tr>
        <w:trPr>
          <w:trHeight w:val="224"/>
        </w:trPr>
        <w:tc>
          <w:tcPr>
            <w:tcW w:w="52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72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(Zip Code)</w:t>
            </w:r>
          </w:p>
        </w:tc>
      </w:tr>
    </w:tbl>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1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640"/>
              <w:spacing w:after="0"/>
              <w:rPr>
                <w:sz w:val="20"/>
                <w:szCs w:val="20"/>
                <w:color w:val="auto"/>
              </w:rPr>
            </w:pPr>
            <w:r>
              <w:rPr>
                <w:rFonts w:ascii="Arial" w:cs="Arial" w:eastAsia="Arial" w:hAnsi="Arial"/>
                <w:sz w:val="18"/>
                <w:szCs w:val="18"/>
                <w:color w:val="auto"/>
              </w:rPr>
              <w:t>[ √ ]</w:t>
            </w:r>
          </w:p>
        </w:tc>
        <w:tc>
          <w:tcPr>
            <w:tcW w:w="422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640"/>
              <w:spacing w:after="0"/>
              <w:rPr>
                <w:sz w:val="20"/>
                <w:szCs w:val="20"/>
                <w:color w:val="auto"/>
              </w:rPr>
            </w:pPr>
            <w:r>
              <w:rPr>
                <w:rFonts w:ascii="Arial" w:cs="Arial" w:eastAsia="Arial" w:hAnsi="Arial"/>
                <w:sz w:val="18"/>
                <w:szCs w:val="18"/>
                <w:color w:val="auto"/>
              </w:rPr>
              <w:t>[  ]</w:t>
            </w:r>
          </w:p>
        </w:tc>
        <w:tc>
          <w:tcPr>
            <w:tcW w:w="422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No [ √ ]</w:t>
            </w:r>
          </w:p>
        </w:tc>
      </w:tr>
    </w:tbl>
    <w:p>
      <w:pPr>
        <w:spacing w:after="0" w:line="94"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28.6 million shares of Class A Common Stock and 3.2 million shares of Class B Common Stock outstanding as of July 23, 2014.</w:t>
      </w:r>
    </w:p>
    <w:p>
      <w:pPr>
        <w:sectPr>
          <w:pgSz w:w="11900" w:h="16838" w:orient="portrait"/>
          <w:cols w:equalWidth="0" w:num="1">
            <w:col w:w="11420"/>
          </w:cols>
          <w:pgMar w:left="240" w:top="229" w:right="239" w:bottom="1440" w:gutter="0" w:footer="0" w:header="0"/>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Page</w:t>
            </w:r>
          </w:p>
        </w:tc>
      </w:tr>
      <w:tr>
        <w:trPr>
          <w:trHeight w:val="203"/>
        </w:trPr>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74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Pr>
          <w:p>
            <w:pPr>
              <w:spacing w:after="0"/>
              <w:rPr>
                <w:sz w:val="24"/>
                <w:szCs w:val="24"/>
                <w:color w:val="auto"/>
              </w:rPr>
            </w:pPr>
          </w:p>
        </w:tc>
      </w:tr>
      <w:tr>
        <w:trPr>
          <w:trHeight w:val="365"/>
        </w:trPr>
        <w:tc>
          <w:tcPr>
            <w:tcW w:w="36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three and six months ended June 30, 2014 and 2013</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comprehensive income– three and six months ended June 30, 2014 and 2013</w:t>
              </w:r>
            </w:hyperlink>
          </w:p>
        </w:tc>
        <w:tc>
          <w:tcPr>
            <w:tcW w:w="178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 June 30, 2014 and December 31, 2013</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 – three and six months ended June 30, 2014 and 2013</w:t>
              </w:r>
            </w:hyperlink>
          </w:p>
        </w:tc>
        <w:tc>
          <w:tcPr>
            <w:tcW w:w="274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28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8100" w:type="dxa"/>
            <w:vAlign w:val="bottom"/>
            <w:gridSpan w:val="1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360" w:type="dxa"/>
            <w:vAlign w:val="bottom"/>
          </w:tcPr>
          <w:p>
            <w:pPr>
              <w:spacing w:after="0"/>
              <w:rPr>
                <w:sz w:val="15"/>
                <w:szCs w:val="15"/>
                <w:color w:val="auto"/>
              </w:rPr>
            </w:pPr>
          </w:p>
        </w:tc>
        <w:tc>
          <w:tcPr>
            <w:tcW w:w="76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Item 2. Management’s Discussion and Analysis of Financial Condition and Results of Operations</w:t>
              </w:r>
            </w:hyperlink>
          </w:p>
        </w:tc>
        <w:tc>
          <w:tcPr>
            <w:tcW w:w="270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360" w:type="dxa"/>
            <w:vAlign w:val="bottom"/>
          </w:tcPr>
          <w:p>
            <w:pPr>
              <w:spacing w:after="0"/>
              <w:rPr>
                <w:sz w:val="15"/>
                <w:szCs w:val="15"/>
                <w:color w:val="auto"/>
              </w:rPr>
            </w:pPr>
          </w:p>
        </w:tc>
        <w:tc>
          <w:tcPr>
            <w:tcW w:w="53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Item 3. Quantitative and Qualitative Disclosures about Market Risk</w:t>
              </w:r>
            </w:hyperlink>
          </w:p>
        </w:tc>
        <w:tc>
          <w:tcPr>
            <w:tcW w:w="5080" w:type="dxa"/>
            <w:vAlign w:val="bottom"/>
            <w:gridSpan w:val="7"/>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360" w:type="dxa"/>
            <w:vAlign w:val="bottom"/>
          </w:tcPr>
          <w:p>
            <w:pPr>
              <w:spacing w:after="0"/>
              <w:rPr>
                <w:sz w:val="15"/>
                <w:szCs w:val="15"/>
                <w:color w:val="auto"/>
              </w:rPr>
            </w:pPr>
          </w:p>
        </w:tc>
        <w:tc>
          <w:tcPr>
            <w:tcW w:w="26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Item 4. Controls and Procedures</w:t>
              </w:r>
            </w:hyperlink>
          </w:p>
        </w:tc>
        <w:tc>
          <w:tcPr>
            <w:tcW w:w="7780" w:type="dxa"/>
            <w:vAlign w:val="bottom"/>
            <w:gridSpan w:val="10"/>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426"/>
        </w:trPr>
        <w:tc>
          <w:tcPr>
            <w:tcW w:w="10740" w:type="dxa"/>
            <w:vAlign w:val="bottom"/>
            <w:gridSpan w:val="19"/>
          </w:tcPr>
          <w:p>
            <w:pPr>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r>
      <w:tr>
        <w:trPr>
          <w:trHeight w:val="365"/>
        </w:trPr>
        <w:tc>
          <w:tcPr>
            <w:tcW w:w="360" w:type="dxa"/>
            <w:vAlign w:val="bottom"/>
          </w:tcPr>
          <w:p>
            <w:pPr>
              <w:spacing w:after="0"/>
              <w:rPr>
                <w:sz w:val="24"/>
                <w:szCs w:val="24"/>
                <w:color w:val="auto"/>
              </w:rPr>
            </w:pPr>
          </w:p>
        </w:tc>
        <w:tc>
          <w:tcPr>
            <w:tcW w:w="21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Item 1. Legal Proceedings</w:t>
              </w:r>
            </w:hyperlink>
          </w:p>
        </w:tc>
        <w:tc>
          <w:tcPr>
            <w:tcW w:w="828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83"/>
        </w:trPr>
        <w:tc>
          <w:tcPr>
            <w:tcW w:w="360" w:type="dxa"/>
            <w:vAlign w:val="bottom"/>
          </w:tcPr>
          <w:p>
            <w:pPr>
              <w:spacing w:after="0"/>
              <w:rPr>
                <w:sz w:val="15"/>
                <w:szCs w:val="15"/>
                <w:color w:val="auto"/>
              </w:rPr>
            </w:pPr>
          </w:p>
        </w:tc>
        <w:tc>
          <w:tcPr>
            <w:tcW w:w="172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Item 1A. Risk Factors</w:t>
              </w:r>
            </w:hyperlink>
          </w:p>
        </w:tc>
        <w:tc>
          <w:tcPr>
            <w:tcW w:w="8660" w:type="dxa"/>
            <w:vAlign w:val="bottom"/>
            <w:gridSpan w:val="15"/>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360" w:type="dxa"/>
            <w:vAlign w:val="bottom"/>
          </w:tcPr>
          <w:p>
            <w:pPr>
              <w:spacing w:after="0"/>
              <w:rPr>
                <w:sz w:val="15"/>
                <w:szCs w:val="15"/>
                <w:color w:val="auto"/>
              </w:rPr>
            </w:pPr>
          </w:p>
        </w:tc>
        <w:tc>
          <w:tcPr>
            <w:tcW w:w="54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Item 2. Unregistered Sales of Equity Securities and Use of Proceeds</w:t>
              </w:r>
            </w:hyperlink>
          </w:p>
        </w:tc>
        <w:tc>
          <w:tcPr>
            <w:tcW w:w="492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360" w:type="dxa"/>
            <w:vAlign w:val="bottom"/>
          </w:tcPr>
          <w:p>
            <w:pPr>
              <w:spacing w:after="0"/>
              <w:rPr>
                <w:sz w:val="15"/>
                <w:szCs w:val="15"/>
                <w:color w:val="auto"/>
              </w:rPr>
            </w:pPr>
          </w:p>
        </w:tc>
        <w:tc>
          <w:tcPr>
            <w:tcW w:w="10380" w:type="dxa"/>
            <w:vAlign w:val="bottom"/>
            <w:gridSpan w:val="18"/>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 3. Defaults upon Senior Securities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360" w:type="dxa"/>
            <w:vAlign w:val="bottom"/>
          </w:tcPr>
          <w:p>
            <w:pPr>
              <w:spacing w:after="0"/>
              <w:rPr>
                <w:sz w:val="15"/>
                <w:szCs w:val="15"/>
                <w:color w:val="auto"/>
              </w:rPr>
            </w:pPr>
          </w:p>
        </w:tc>
        <w:tc>
          <w:tcPr>
            <w:tcW w:w="31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 4. Mine Safety Disclosures</w:t>
              </w:r>
            </w:hyperlink>
          </w:p>
        </w:tc>
        <w:tc>
          <w:tcPr>
            <w:tcW w:w="7260" w:type="dxa"/>
            <w:vAlign w:val="bottom"/>
            <w:gridSpan w:val="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36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Item 5. Other Information</w:t>
              </w:r>
            </w:hyperlink>
          </w:p>
        </w:tc>
        <w:tc>
          <w:tcPr>
            <w:tcW w:w="520" w:type="dxa"/>
            <w:vAlign w:val="bottom"/>
            <w:tcBorders>
              <w:top w:val="single" w:sz="8" w:color="0000EE"/>
            </w:tcBorders>
            <w:gridSpan w:val="3"/>
          </w:tcPr>
          <w:p>
            <w:pPr>
              <w:spacing w:after="0"/>
              <w:rPr>
                <w:sz w:val="15"/>
                <w:szCs w:val="15"/>
                <w:color w:val="auto"/>
              </w:rPr>
            </w:pPr>
          </w:p>
        </w:tc>
        <w:tc>
          <w:tcPr>
            <w:tcW w:w="7860" w:type="dxa"/>
            <w:vAlign w:val="bottom"/>
            <w:gridSpan w:val="11"/>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360" w:type="dxa"/>
            <w:vAlign w:val="bottom"/>
          </w:tcPr>
          <w:p>
            <w:pPr>
              <w:spacing w:after="0"/>
              <w:rPr>
                <w:sz w:val="15"/>
                <w:szCs w:val="15"/>
                <w:color w:val="auto"/>
              </w:rPr>
            </w:pPr>
          </w:p>
        </w:tc>
        <w:tc>
          <w:tcPr>
            <w:tcW w:w="10380" w:type="dxa"/>
            <w:vAlign w:val="bottom"/>
            <w:gridSpan w:val="18"/>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 6. Exhibits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925"/>
        </w:trPr>
        <w:tc>
          <w:tcPr>
            <w:tcW w:w="360" w:type="dxa"/>
            <w:vAlign w:val="bottom"/>
          </w:tcPr>
          <w:p>
            <w:pPr>
              <w:spacing w:after="0"/>
              <w:rPr>
                <w:sz w:val="24"/>
                <w:szCs w:val="24"/>
                <w:color w:val="auto"/>
              </w:rPr>
            </w:pPr>
          </w:p>
        </w:tc>
        <w:tc>
          <w:tcPr>
            <w:tcW w:w="1220" w:type="dxa"/>
            <w:vAlign w:val="bottom"/>
            <w:tcBorders>
              <w:top w:val="single" w:sz="8" w:color="0000EE"/>
            </w:tcBorders>
            <w:gridSpan w:val="2"/>
          </w:tcPr>
          <w:p>
            <w:pPr>
              <w:spacing w:after="0"/>
              <w:rPr>
                <w:sz w:val="24"/>
                <w:szCs w:val="24"/>
                <w:color w:val="auto"/>
              </w:rPr>
            </w:pPr>
          </w:p>
        </w:tc>
        <w:tc>
          <w:tcPr>
            <w:tcW w:w="424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1"/>
        </w:trPr>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68"/>
        </w:trPr>
        <w:tc>
          <w:tcPr>
            <w:tcW w:w="3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5"/>
          </w:tcPr>
          <w:p>
            <w:pPr>
              <w:jc w:val="center"/>
              <w:spacing w:after="0"/>
              <w:rPr>
                <w:sz w:val="20"/>
                <w:szCs w:val="20"/>
                <w:color w:val="auto"/>
              </w:rPr>
            </w:pPr>
            <w:r>
              <w:rPr>
                <w:rFonts w:ascii="Arial" w:cs="Arial" w:eastAsia="Arial" w:hAnsi="Arial"/>
                <w:sz w:val="18"/>
                <w:szCs w:val="18"/>
                <w:color w:val="auto"/>
                <w:w w:val="99"/>
              </w:rPr>
              <w:t>Three Months Ended</w:t>
            </w:r>
          </w:p>
        </w:tc>
        <w:tc>
          <w:tcPr>
            <w:tcW w:w="5360" w:type="dxa"/>
            <w:vAlign w:val="bottom"/>
          </w:tcPr>
          <w:p>
            <w:pPr>
              <w:spacing w:after="0"/>
              <w:rPr>
                <w:sz w:val="17"/>
                <w:szCs w:val="17"/>
                <w:color w:val="auto"/>
              </w:rPr>
            </w:pPr>
          </w:p>
        </w:tc>
        <w:tc>
          <w:tcPr>
            <w:tcW w:w="2960" w:type="dxa"/>
            <w:vAlign w:val="bottom"/>
            <w:gridSpan w:val="5"/>
          </w:tcPr>
          <w:p>
            <w:pPr>
              <w:jc w:val="center"/>
              <w:ind w:right="20"/>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3"/>
          </w:tcPr>
          <w:p>
            <w:pPr>
              <w:jc w:val="center"/>
              <w:ind w:right="1070"/>
              <w:spacing w:after="0"/>
              <w:rPr>
                <w:sz w:val="20"/>
                <w:szCs w:val="20"/>
                <w:color w:val="auto"/>
              </w:rPr>
            </w:pPr>
            <w:r>
              <w:rPr>
                <w:rFonts w:ascii="Arial" w:cs="Arial" w:eastAsia="Arial" w:hAnsi="Arial"/>
                <w:sz w:val="18"/>
                <w:szCs w:val="18"/>
                <w:color w:val="auto"/>
                <w:w w:val="98"/>
              </w:rPr>
              <w:t>June 30,</w:t>
            </w:r>
          </w:p>
        </w:tc>
        <w:tc>
          <w:tcPr>
            <w:tcW w:w="5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gridSpan w:val="3"/>
          </w:tcPr>
          <w:p>
            <w:pPr>
              <w:jc w:val="center"/>
              <w:ind w:right="11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392"/>
        </w:trPr>
        <w:tc>
          <w:tcPr>
            <w:tcW w:w="104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4"/>
                <w:szCs w:val="24"/>
                <w:color w:val="auto"/>
              </w:rPr>
            </w:pPr>
          </w:p>
        </w:tc>
        <w:tc>
          <w:tcPr>
            <w:tcW w:w="1960" w:type="dxa"/>
            <w:vAlign w:val="bottom"/>
            <w:gridSpan w:val="2"/>
          </w:tcPr>
          <w:p>
            <w:pPr>
              <w:jc w:val="right"/>
              <w:ind w:right="230"/>
              <w:spacing w:after="0"/>
              <w:rPr>
                <w:sz w:val="20"/>
                <w:szCs w:val="20"/>
                <w:color w:val="auto"/>
              </w:rPr>
            </w:pPr>
            <w:r>
              <w:rPr>
                <w:rFonts w:ascii="Arial" w:cs="Arial" w:eastAsia="Arial" w:hAnsi="Arial"/>
                <w:sz w:val="18"/>
                <w:szCs w:val="18"/>
                <w:color w:val="auto"/>
              </w:rPr>
              <w:t>2013</w:t>
            </w:r>
          </w:p>
        </w:tc>
        <w:tc>
          <w:tcPr>
            <w:tcW w:w="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4"/>
                <w:szCs w:val="24"/>
                <w:color w:val="auto"/>
              </w:rPr>
            </w:pPr>
          </w:p>
        </w:tc>
        <w:tc>
          <w:tcPr>
            <w:tcW w:w="1860" w:type="dxa"/>
            <w:vAlign w:val="bottom"/>
            <w:gridSpan w:val="2"/>
          </w:tcPr>
          <w:p>
            <w:pPr>
              <w:jc w:val="right"/>
              <w:ind w:right="2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$193,518</w:t>
            </w:r>
          </w:p>
        </w:tc>
        <w:tc>
          <w:tcPr>
            <w:tcW w:w="2000" w:type="dxa"/>
            <w:vAlign w:val="bottom"/>
            <w:gridSpan w:val="3"/>
            <w:shd w:val="clear" w:color="auto" w:fill="C0C0C0"/>
          </w:tcPr>
          <w:p>
            <w:pPr>
              <w:jc w:val="right"/>
              <w:spacing w:after="0" w:line="202" w:lineRule="exact"/>
              <w:rPr>
                <w:sz w:val="20"/>
                <w:szCs w:val="20"/>
                <w:color w:val="auto"/>
              </w:rPr>
            </w:pPr>
            <w:r>
              <w:rPr>
                <w:rFonts w:ascii="Arial" w:cs="Arial" w:eastAsia="Arial" w:hAnsi="Arial"/>
                <w:sz w:val="18"/>
                <w:szCs w:val="18"/>
                <w:color w:val="auto"/>
              </w:rPr>
              <w:t>$197,974</w:t>
            </w:r>
          </w:p>
        </w:tc>
        <w:tc>
          <w:tcPr>
            <w:tcW w:w="5360" w:type="dxa"/>
            <w:vAlign w:val="bottom"/>
            <w:shd w:val="clear" w:color="auto" w:fill="C0C0C0"/>
          </w:tcPr>
          <w:p>
            <w:pPr>
              <w:ind w:left="60"/>
              <w:spacing w:after="0" w:line="202" w:lineRule="exact"/>
              <w:rPr>
                <w:sz w:val="20"/>
                <w:szCs w:val="20"/>
                <w:color w:val="auto"/>
              </w:rPr>
            </w:pPr>
            <w:r>
              <w:rPr>
                <w:rFonts w:ascii="Arial" w:cs="Arial" w:eastAsia="Arial" w:hAnsi="Arial"/>
                <w:sz w:val="18"/>
                <w:szCs w:val="18"/>
                <w:color w:val="auto"/>
              </w:rPr>
              <w:t>Net sales</w:t>
            </w:r>
          </w:p>
        </w:tc>
        <w:tc>
          <w:tcPr>
            <w:tcW w:w="108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$373,825</w:t>
            </w:r>
          </w:p>
        </w:tc>
        <w:tc>
          <w:tcPr>
            <w:tcW w:w="186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$384,628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118,175</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120,541</w:t>
            </w:r>
          </w:p>
        </w:tc>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Cost of goods sold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223,673</w:t>
            </w:r>
          </w:p>
        </w:tc>
        <w:tc>
          <w:tcPr>
            <w:tcW w:w="60" w:type="dxa"/>
            <w:vAlign w:val="bottom"/>
          </w:tcPr>
          <w:p>
            <w:pPr>
              <w:spacing w:after="0"/>
              <w:rPr>
                <w:sz w:val="17"/>
                <w:szCs w:val="17"/>
                <w:color w:val="auto"/>
              </w:rPr>
            </w:pP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75,343</w:t>
            </w:r>
          </w:p>
        </w:tc>
        <w:tc>
          <w:tcPr>
            <w:tcW w:w="2000" w:type="dxa"/>
            <w:vAlign w:val="bottom"/>
            <w:gridSpan w:val="3"/>
            <w:shd w:val="clear" w:color="auto" w:fill="C0C0C0"/>
          </w:tcPr>
          <w:p>
            <w:pPr>
              <w:jc w:val="right"/>
              <w:spacing w:after="0" w:line="202" w:lineRule="exact"/>
              <w:rPr>
                <w:sz w:val="20"/>
                <w:szCs w:val="20"/>
                <w:color w:val="auto"/>
              </w:rPr>
            </w:pPr>
            <w:r>
              <w:rPr>
                <w:rFonts w:ascii="Arial" w:cs="Arial" w:eastAsia="Arial" w:hAnsi="Arial"/>
                <w:sz w:val="18"/>
                <w:szCs w:val="18"/>
                <w:color w:val="auto"/>
              </w:rPr>
              <w:t>77,433</w:t>
            </w:r>
          </w:p>
        </w:tc>
        <w:tc>
          <w:tcPr>
            <w:tcW w:w="5360" w:type="dxa"/>
            <w:vAlign w:val="bottom"/>
            <w:shd w:val="clear" w:color="auto" w:fill="C0C0C0"/>
          </w:tcPr>
          <w:p>
            <w:pPr>
              <w:ind w:left="60"/>
              <w:spacing w:after="0" w:line="202" w:lineRule="exact"/>
              <w:rPr>
                <w:sz w:val="20"/>
                <w:szCs w:val="20"/>
                <w:color w:val="auto"/>
              </w:rPr>
            </w:pPr>
            <w:r>
              <w:rPr>
                <w:rFonts w:ascii="Arial" w:cs="Arial" w:eastAsia="Arial" w:hAnsi="Arial"/>
                <w:sz w:val="18"/>
                <w:szCs w:val="18"/>
                <w:color w:val="auto"/>
              </w:rPr>
              <w:t>Gross profit</w:t>
            </w:r>
          </w:p>
        </w:tc>
        <w:tc>
          <w:tcPr>
            <w:tcW w:w="10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150,152</w:t>
            </w:r>
          </w:p>
        </w:tc>
        <w:tc>
          <w:tcPr>
            <w:tcW w:w="60" w:type="dxa"/>
            <w:vAlign w:val="bottom"/>
            <w:shd w:val="clear" w:color="auto" w:fill="C0C0C0"/>
          </w:tcPr>
          <w:p>
            <w:pPr>
              <w:spacing w:after="0"/>
              <w:rPr>
                <w:sz w:val="17"/>
                <w:szCs w:val="17"/>
                <w:color w:val="auto"/>
              </w:rPr>
            </w:pPr>
          </w:p>
        </w:tc>
        <w:tc>
          <w:tcPr>
            <w:tcW w:w="186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150,202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40,012</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41,994</w:t>
            </w: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79,169</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14,397</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14,631</w:t>
            </w:r>
          </w:p>
        </w:tc>
        <w:tc>
          <w:tcPr>
            <w:tcW w:w="536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28,266</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27,693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1,957</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24,321</w:t>
            </w: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Restructuring and other, net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3,139</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tcBorders>
            <w:shd w:val="clear" w:color="auto" w:fill="BFBFBF"/>
          </w:tcPr>
          <w:p>
            <w:pPr>
              <w:spacing w:after="0"/>
              <w:rPr>
                <w:sz w:val="17"/>
                <w:szCs w:val="17"/>
                <w:color w:val="auto"/>
              </w:rPr>
            </w:pPr>
          </w:p>
        </w:tc>
        <w:tc>
          <w:tcPr>
            <w:tcW w:w="1040" w:type="dxa"/>
            <w:vAlign w:val="bottom"/>
            <w:tcBorders>
              <w:top w:val="single" w:sz="8" w:color="auto"/>
            </w:tcBorders>
            <w:shd w:val="clear" w:color="auto" w:fill="BFBFBF"/>
          </w:tcPr>
          <w:p>
            <w:pPr>
              <w:spacing w:after="0"/>
              <w:rPr>
                <w:sz w:val="17"/>
                <w:szCs w:val="17"/>
                <w:color w:val="auto"/>
              </w:rPr>
            </w:pPr>
          </w:p>
        </w:tc>
        <w:tc>
          <w:tcPr>
            <w:tcW w:w="40" w:type="dxa"/>
            <w:vAlign w:val="bottom"/>
            <w:tcBorders>
              <w:top w:val="single" w:sz="8" w:color="BFBFBF"/>
            </w:tcBorders>
            <w:shd w:val="clear" w:color="auto" w:fill="BFBFBF"/>
          </w:tcPr>
          <w:p>
            <w:pPr>
              <w:spacing w:after="0"/>
              <w:rPr>
                <w:sz w:val="17"/>
                <w:szCs w:val="17"/>
                <w:color w:val="auto"/>
              </w:rPr>
            </w:pPr>
          </w:p>
        </w:tc>
        <w:tc>
          <w:tcPr>
            <w:tcW w:w="5360" w:type="dxa"/>
            <w:vAlign w:val="bottom"/>
            <w:tcBorders>
              <w:top w:val="single" w:sz="8" w:color="BFBFBF"/>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60" w:type="dxa"/>
            <w:vAlign w:val="bottom"/>
            <w:tcBorders>
              <w:top w:val="single" w:sz="8" w:color="BFBFBF"/>
            </w:tcBorders>
            <w:shd w:val="clear" w:color="auto" w:fill="BFBFBF"/>
          </w:tcPr>
          <w:p>
            <w:pPr>
              <w:spacing w:after="0"/>
              <w:rPr>
                <w:sz w:val="17"/>
                <w:szCs w:val="17"/>
                <w:color w:val="auto"/>
              </w:rPr>
            </w:pPr>
          </w:p>
        </w:tc>
        <w:tc>
          <w:tcPr>
            <w:tcW w:w="840" w:type="dxa"/>
            <w:vAlign w:val="bottom"/>
            <w:tcBorders>
              <w:top w:val="single" w:sz="8" w:color="BFBFBF"/>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18,977</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(3,513)</w:t>
            </w:r>
          </w:p>
        </w:tc>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Operating income</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39,578</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2,717</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3,547</w:t>
            </w:r>
          </w:p>
        </w:tc>
        <w:tc>
          <w:tcPr>
            <w:tcW w:w="536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Interest expense, net</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5,635</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7,572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(2,133)</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2,211</w:t>
            </w: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Other (income)/expenses, net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(2,600)</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tcBorders>
            <w:shd w:val="clear" w:color="auto" w:fill="BFBFBF"/>
          </w:tcPr>
          <w:p>
            <w:pPr>
              <w:spacing w:after="0"/>
              <w:rPr>
                <w:sz w:val="17"/>
                <w:szCs w:val="17"/>
                <w:color w:val="auto"/>
              </w:rPr>
            </w:pPr>
          </w:p>
        </w:tc>
        <w:tc>
          <w:tcPr>
            <w:tcW w:w="1040" w:type="dxa"/>
            <w:vAlign w:val="bottom"/>
            <w:tcBorders>
              <w:top w:val="single" w:sz="8" w:color="auto"/>
            </w:tcBorders>
            <w:shd w:val="clear" w:color="auto" w:fill="BFBFBF"/>
          </w:tcPr>
          <w:p>
            <w:pPr>
              <w:spacing w:after="0"/>
              <w:rPr>
                <w:sz w:val="17"/>
                <w:szCs w:val="17"/>
                <w:color w:val="auto"/>
              </w:rPr>
            </w:pPr>
          </w:p>
        </w:tc>
        <w:tc>
          <w:tcPr>
            <w:tcW w:w="40" w:type="dxa"/>
            <w:vAlign w:val="bottom"/>
            <w:tcBorders>
              <w:top w:val="single" w:sz="8" w:color="BFBFBF"/>
            </w:tcBorders>
            <w:shd w:val="clear" w:color="auto" w:fill="BFBFBF"/>
          </w:tcPr>
          <w:p>
            <w:pPr>
              <w:spacing w:after="0"/>
              <w:rPr>
                <w:sz w:val="17"/>
                <w:szCs w:val="17"/>
                <w:color w:val="auto"/>
              </w:rPr>
            </w:pPr>
          </w:p>
        </w:tc>
        <w:tc>
          <w:tcPr>
            <w:tcW w:w="5360" w:type="dxa"/>
            <w:vAlign w:val="bottom"/>
            <w:tcBorders>
              <w:top w:val="single" w:sz="8" w:color="BFBFBF"/>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60" w:type="dxa"/>
            <w:vAlign w:val="bottom"/>
            <w:tcBorders>
              <w:top w:val="single" w:sz="8" w:color="BFBFBF"/>
            </w:tcBorders>
            <w:shd w:val="clear" w:color="auto" w:fill="BFBFBF"/>
          </w:tcPr>
          <w:p>
            <w:pPr>
              <w:spacing w:after="0"/>
              <w:rPr>
                <w:sz w:val="17"/>
                <w:szCs w:val="17"/>
                <w:color w:val="auto"/>
              </w:rPr>
            </w:pPr>
          </w:p>
        </w:tc>
        <w:tc>
          <w:tcPr>
            <w:tcW w:w="840" w:type="dxa"/>
            <w:vAlign w:val="bottom"/>
            <w:tcBorders>
              <w:top w:val="single" w:sz="8" w:color="BFBFBF"/>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18,393</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(9,271)</w:t>
            </w:r>
          </w:p>
        </w:tc>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Income before income taxes</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36,543</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7,216</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(2,243)</w:t>
            </w:r>
          </w:p>
        </w:tc>
        <w:tc>
          <w:tcPr>
            <w:tcW w:w="536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14,673</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11,177</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(7,028)</w:t>
            </w:r>
          </w:p>
        </w:tc>
        <w:tc>
          <w:tcPr>
            <w:tcW w:w="536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Income from continuing operations</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21,870</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4,483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(575)</w:t>
            </w:r>
          </w:p>
        </w:tc>
        <w:tc>
          <w:tcPr>
            <w:tcW w:w="536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Loss from operations of discontinued business</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(224)</w:t>
            </w: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Income tax benefit on discontinued operations</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tcBorders>
            <w:shd w:val="clear" w:color="auto" w:fill="BFBFBF"/>
          </w:tcPr>
          <w:p>
            <w:pPr>
              <w:spacing w:after="0"/>
              <w:rPr>
                <w:sz w:val="17"/>
                <w:szCs w:val="17"/>
                <w:color w:val="auto"/>
              </w:rPr>
            </w:pPr>
          </w:p>
        </w:tc>
        <w:tc>
          <w:tcPr>
            <w:tcW w:w="10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(351)</w:t>
            </w:r>
          </w:p>
        </w:tc>
        <w:tc>
          <w:tcPr>
            <w:tcW w:w="40" w:type="dxa"/>
            <w:vAlign w:val="bottom"/>
            <w:tcBorders>
              <w:top w:val="single" w:sz="8" w:color="BFBFBF"/>
            </w:tcBorders>
            <w:shd w:val="clear" w:color="auto" w:fill="BFBFBF"/>
          </w:tcPr>
          <w:p>
            <w:pPr>
              <w:spacing w:after="0"/>
              <w:rPr>
                <w:sz w:val="17"/>
                <w:szCs w:val="17"/>
                <w:color w:val="auto"/>
              </w:rPr>
            </w:pPr>
          </w:p>
        </w:tc>
        <w:tc>
          <w:tcPr>
            <w:tcW w:w="5360" w:type="dxa"/>
            <w:vAlign w:val="bottom"/>
            <w:tcBorders>
              <w:top w:val="single" w:sz="8" w:color="BFBFBF"/>
            </w:tcBorders>
            <w:shd w:val="clear" w:color="auto" w:fill="BFBFBF"/>
          </w:tcPr>
          <w:p>
            <w:pPr>
              <w:ind w:left="60"/>
              <w:spacing w:after="0" w:line="196" w:lineRule="exact"/>
              <w:rPr>
                <w:sz w:val="20"/>
                <w:szCs w:val="20"/>
                <w:color w:val="auto"/>
              </w:rPr>
            </w:pPr>
            <w:r>
              <w:rPr>
                <w:rFonts w:ascii="Arial" w:cs="Arial" w:eastAsia="Arial" w:hAnsi="Arial"/>
                <w:sz w:val="18"/>
                <w:szCs w:val="18"/>
                <w:color w:val="auto"/>
              </w:rPr>
              <w:t>Loss from discontinued operations</w:t>
            </w: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BFBFBF"/>
            </w:tcBorders>
            <w:shd w:val="clear" w:color="auto" w:fill="BFBFBF"/>
          </w:tcPr>
          <w:p>
            <w:pPr>
              <w:spacing w:after="0"/>
              <w:rPr>
                <w:sz w:val="17"/>
                <w:szCs w:val="17"/>
                <w:color w:val="auto"/>
              </w:rPr>
            </w:pPr>
          </w:p>
        </w:tc>
        <w:tc>
          <w:tcPr>
            <w:tcW w:w="840" w:type="dxa"/>
            <w:vAlign w:val="bottom"/>
            <w:tcBorders>
              <w:top w:val="single" w:sz="8" w:color="BFBFBF"/>
            </w:tcBorders>
            <w:shd w:val="clear" w:color="auto" w:fill="BFBFBF"/>
          </w:tcPr>
          <w:p>
            <w:pPr>
              <w:spacing w:after="0"/>
              <w:rPr>
                <w:sz w:val="17"/>
                <w:szCs w:val="17"/>
                <w:color w:val="auto"/>
              </w:rPr>
            </w:pP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11,177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(7,379)</w:t>
            </w:r>
          </w:p>
        </w:tc>
        <w:tc>
          <w:tcPr>
            <w:tcW w:w="40" w:type="dxa"/>
            <w:vAlign w:val="bottom"/>
          </w:tcPr>
          <w:p>
            <w:pPr>
              <w:spacing w:after="0"/>
              <w:rPr>
                <w:sz w:val="17"/>
                <w:szCs w:val="17"/>
                <w:color w:val="auto"/>
              </w:rPr>
            </w:pPr>
          </w:p>
        </w:tc>
        <w:tc>
          <w:tcPr>
            <w:tcW w:w="5360" w:type="dxa"/>
            <w:vAlign w:val="bottom"/>
          </w:tcPr>
          <w:p>
            <w:pPr>
              <w:ind w:left="220"/>
              <w:spacing w:after="0" w:line="196" w:lineRule="exact"/>
              <w:rPr>
                <w:sz w:val="20"/>
                <w:szCs w:val="20"/>
                <w:color w:val="auto"/>
              </w:rPr>
            </w:pPr>
            <w:r>
              <w:rPr>
                <w:rFonts w:ascii="Arial" w:cs="Arial" w:eastAsia="Arial" w:hAnsi="Arial"/>
                <w:sz w:val="18"/>
                <w:szCs w:val="18"/>
                <w:color w:val="auto"/>
              </w:rPr>
              <w:t>Net income/(loss)</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21,870</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(42)</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536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Net income attributable to the noncontrolling interest</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$11,219</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($7,379)</w:t>
            </w:r>
          </w:p>
        </w:tc>
        <w:tc>
          <w:tcPr>
            <w:tcW w:w="54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Net income/(loss) attributable to the Company</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$21,840</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04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536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1020" w:type="dxa"/>
            <w:vAlign w:val="bottom"/>
            <w:shd w:val="clear" w:color="auto" w:fill="BFBFBF"/>
          </w:tcPr>
          <w:p>
            <w:pPr>
              <w:spacing w:after="0"/>
              <w:rPr>
                <w:sz w:val="17"/>
                <w:szCs w:val="17"/>
                <w:color w:val="auto"/>
              </w:rPr>
            </w:pPr>
          </w:p>
        </w:tc>
        <w:tc>
          <w:tcPr>
            <w:tcW w:w="60" w:type="dxa"/>
            <w:vAlign w:val="bottom"/>
            <w:shd w:val="clear" w:color="auto" w:fill="BFBFBF"/>
          </w:tcPr>
          <w:p>
            <w:pPr>
              <w:spacing w:after="0"/>
              <w:rPr>
                <w:sz w:val="17"/>
                <w:szCs w:val="17"/>
                <w:color w:val="auto"/>
              </w:rPr>
            </w:pPr>
          </w:p>
        </w:tc>
        <w:tc>
          <w:tcPr>
            <w:tcW w:w="84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$0.35</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($0.22)</w:t>
            </w:r>
          </w:p>
        </w:tc>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Income/(loss) from continuing operations</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$0.69</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0.00</w:t>
            </w:r>
          </w:p>
        </w:tc>
        <w:tc>
          <w:tcPr>
            <w:tcW w:w="80" w:type="dxa"/>
            <w:vAlign w:val="bottom"/>
            <w:shd w:val="clear" w:color="auto" w:fill="BFBFBF"/>
          </w:tcPr>
          <w:p>
            <w:pPr>
              <w:spacing w:after="0"/>
              <w:rPr>
                <w:sz w:val="17"/>
                <w:szCs w:val="17"/>
                <w:color w:val="auto"/>
              </w:rPr>
            </w:pP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(0.01)</w:t>
            </w:r>
          </w:p>
        </w:tc>
        <w:tc>
          <w:tcPr>
            <w:tcW w:w="536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0.00</w:t>
            </w:r>
          </w:p>
        </w:tc>
        <w:tc>
          <w:tcPr>
            <w:tcW w:w="60" w:type="dxa"/>
            <w:vAlign w:val="bottom"/>
            <w:shd w:val="clear" w:color="auto" w:fill="BFBFBF"/>
          </w:tcPr>
          <w:p>
            <w:pPr>
              <w:spacing w:after="0"/>
              <w:rPr>
                <w:sz w:val="17"/>
                <w:szCs w:val="17"/>
                <w:color w:val="auto"/>
              </w:rPr>
            </w:pP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80" w:type="dxa"/>
            <w:vAlign w:val="bottom"/>
            <w:tcBorders>
              <w:bottom w:val="single" w:sz="8" w:color="BFBFBF"/>
            </w:tcBorders>
          </w:tcPr>
          <w:p>
            <w:pPr>
              <w:spacing w:after="0"/>
              <w:rPr>
                <w:sz w:val="20"/>
                <w:szCs w:val="20"/>
                <w:color w:val="auto"/>
              </w:rPr>
            </w:pPr>
          </w:p>
        </w:tc>
        <w:tc>
          <w:tcPr>
            <w:tcW w:w="920" w:type="dxa"/>
            <w:vAlign w:val="bottom"/>
            <w:tcBorders>
              <w:bottom w:val="single" w:sz="8" w:color="BFBFB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40" w:type="dxa"/>
            <w:vAlign w:val="bottom"/>
            <w:tcBorders>
              <w:bottom w:val="single" w:sz="8" w:color="BFBFBF"/>
            </w:tcBorders>
          </w:tcPr>
          <w:p>
            <w:pPr>
              <w:spacing w:after="0"/>
              <w:rPr>
                <w:sz w:val="20"/>
                <w:szCs w:val="20"/>
                <w:color w:val="auto"/>
              </w:rPr>
            </w:pPr>
          </w:p>
        </w:tc>
        <w:tc>
          <w:tcPr>
            <w:tcW w:w="5360" w:type="dxa"/>
            <w:vAlign w:val="bottom"/>
            <w:tcBorders>
              <w:bottom w:val="single" w:sz="8" w:color="BFBFBF"/>
            </w:tcBorders>
          </w:tcPr>
          <w:p>
            <w:pPr>
              <w:ind w:left="60"/>
              <w:spacing w:after="0" w:line="196" w:lineRule="exact"/>
              <w:rPr>
                <w:sz w:val="20"/>
                <w:szCs w:val="20"/>
                <w:color w:val="auto"/>
              </w:rPr>
            </w:pPr>
            <w:r>
              <w:rPr>
                <w:rFonts w:ascii="Arial" w:cs="Arial" w:eastAsia="Arial" w:hAnsi="Arial"/>
                <w:sz w:val="18"/>
                <w:szCs w:val="18"/>
                <w:color w:val="auto"/>
              </w:rPr>
              <w:t>Net income/(loss) attributable to the Company</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60" w:type="dxa"/>
            <w:vAlign w:val="bottom"/>
            <w:tcBorders>
              <w:bottom w:val="single" w:sz="8" w:color="BFBFBF"/>
            </w:tcBorders>
          </w:tcPr>
          <w:p>
            <w:pPr>
              <w:spacing w:after="0"/>
              <w:rPr>
                <w:sz w:val="20"/>
                <w:szCs w:val="20"/>
                <w:color w:val="auto"/>
              </w:rPr>
            </w:pPr>
          </w:p>
        </w:tc>
        <w:tc>
          <w:tcPr>
            <w:tcW w:w="840" w:type="dxa"/>
            <w:vAlign w:val="bottom"/>
            <w:tcBorders>
              <w:bottom w:val="single" w:sz="8" w:color="BFBFB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shd w:val="clear" w:color="auto" w:fill="BFBFBF"/>
          </w:tcPr>
          <w:p>
            <w:pPr>
              <w:spacing w:after="0"/>
              <w:rPr>
                <w:sz w:val="15"/>
                <w:szCs w:val="15"/>
                <w:color w:val="auto"/>
              </w:rPr>
            </w:pPr>
          </w:p>
        </w:tc>
        <w:tc>
          <w:tcPr>
            <w:tcW w:w="80" w:type="dxa"/>
            <w:vAlign w:val="bottom"/>
            <w:shd w:val="clear" w:color="auto" w:fill="BFBFBF"/>
          </w:tcPr>
          <w:p>
            <w:pPr>
              <w:spacing w:after="0"/>
              <w:rPr>
                <w:sz w:val="15"/>
                <w:szCs w:val="15"/>
                <w:color w:val="auto"/>
              </w:rPr>
            </w:pPr>
          </w:p>
        </w:tc>
        <w:tc>
          <w:tcPr>
            <w:tcW w:w="920" w:type="dxa"/>
            <w:vAlign w:val="bottom"/>
            <w:shd w:val="clear" w:color="auto" w:fill="BFBFBF"/>
          </w:tcPr>
          <w:p>
            <w:pPr>
              <w:spacing w:after="0"/>
              <w:rPr>
                <w:sz w:val="15"/>
                <w:szCs w:val="15"/>
                <w:color w:val="auto"/>
              </w:rPr>
            </w:pPr>
          </w:p>
        </w:tc>
        <w:tc>
          <w:tcPr>
            <w:tcW w:w="104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5360" w:type="dxa"/>
            <w:vAlign w:val="bottom"/>
            <w:shd w:val="clear" w:color="auto" w:fill="BFBFBF"/>
          </w:tcPr>
          <w:p>
            <w:pPr>
              <w:spacing w:after="0"/>
              <w:rPr>
                <w:sz w:val="15"/>
                <w:szCs w:val="15"/>
                <w:color w:val="auto"/>
              </w:rPr>
            </w:pPr>
          </w:p>
        </w:tc>
        <w:tc>
          <w:tcPr>
            <w:tcW w:w="1020" w:type="dxa"/>
            <w:vAlign w:val="bottom"/>
            <w:shd w:val="clear" w:color="auto" w:fill="BFBFBF"/>
          </w:tcPr>
          <w:p>
            <w:pPr>
              <w:spacing w:after="0"/>
              <w:rPr>
                <w:sz w:val="15"/>
                <w:szCs w:val="15"/>
                <w:color w:val="auto"/>
              </w:rPr>
            </w:pPr>
          </w:p>
        </w:tc>
        <w:tc>
          <w:tcPr>
            <w:tcW w:w="60" w:type="dxa"/>
            <w:vAlign w:val="bottom"/>
            <w:shd w:val="clear" w:color="auto" w:fill="BFBFBF"/>
          </w:tcPr>
          <w:p>
            <w:pPr>
              <w:spacing w:after="0"/>
              <w:rPr>
                <w:sz w:val="15"/>
                <w:szCs w:val="15"/>
                <w:color w:val="auto"/>
              </w:rPr>
            </w:pPr>
          </w:p>
        </w:tc>
        <w:tc>
          <w:tcPr>
            <w:tcW w:w="840" w:type="dxa"/>
            <w:vAlign w:val="bottom"/>
            <w:shd w:val="clear" w:color="auto" w:fill="BFBFBF"/>
          </w:tcPr>
          <w:p>
            <w:pPr>
              <w:spacing w:after="0"/>
              <w:rPr>
                <w:sz w:val="15"/>
                <w:szCs w:val="15"/>
                <w:color w:val="auto"/>
              </w:rPr>
            </w:pPr>
          </w:p>
        </w:tc>
        <w:tc>
          <w:tcPr>
            <w:tcW w:w="1020" w:type="dxa"/>
            <w:vAlign w:val="bottom"/>
            <w:shd w:val="clear" w:color="auto" w:fill="BFBFB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tcPr>
          <w:p>
            <w:pPr>
              <w:ind w:left="60"/>
              <w:spacing w:after="0" w:line="202" w:lineRule="exact"/>
              <w:rPr>
                <w:sz w:val="20"/>
                <w:szCs w:val="20"/>
                <w:color w:val="auto"/>
              </w:rPr>
            </w:pPr>
            <w:r>
              <w:rPr>
                <w:rFonts w:ascii="Arial" w:cs="Arial" w:eastAsia="Arial" w:hAnsi="Arial"/>
                <w:sz w:val="18"/>
                <w:szCs w:val="18"/>
                <w:color w:val="auto"/>
                <w:w w:val="99"/>
              </w:rPr>
              <w:t>Earnings per share attributable to Company shareholders - Diluted</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$0.35</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($0.22)</w:t>
            </w:r>
          </w:p>
        </w:tc>
        <w:tc>
          <w:tcPr>
            <w:tcW w:w="536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Income/(loss) from continuing operations</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$0.68</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(0.01)</w:t>
            </w:r>
          </w:p>
        </w:tc>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60" w:type="dxa"/>
            <w:vAlign w:val="bottom"/>
          </w:tcPr>
          <w:p>
            <w:pPr>
              <w:spacing w:after="0"/>
              <w:rPr>
                <w:sz w:val="17"/>
                <w:szCs w:val="17"/>
                <w:color w:val="auto"/>
              </w:rPr>
            </w:pP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$0.35</w:t>
            </w:r>
          </w:p>
        </w:tc>
        <w:tc>
          <w:tcPr>
            <w:tcW w:w="80" w:type="dxa"/>
            <w:vAlign w:val="bottom"/>
            <w:tcBorders>
              <w:top w:val="single" w:sz="8" w:color="BFBFBF"/>
              <w:bottom w:val="single" w:sz="8" w:color="BFBFBF"/>
            </w:tcBorders>
            <w:shd w:val="clear" w:color="auto" w:fill="BFBFBF"/>
          </w:tcPr>
          <w:p>
            <w:pPr>
              <w:spacing w:after="0"/>
              <w:rPr>
                <w:sz w:val="17"/>
                <w:szCs w:val="17"/>
                <w:color w:val="auto"/>
              </w:rPr>
            </w:pPr>
          </w:p>
        </w:tc>
        <w:tc>
          <w:tcPr>
            <w:tcW w:w="920" w:type="dxa"/>
            <w:vAlign w:val="bottom"/>
            <w:tcBorders>
              <w:top w:val="single" w:sz="8" w:color="BFBFBF"/>
              <w:bottom w:val="single" w:sz="8" w:color="BFBFBF"/>
            </w:tcBorders>
            <w:shd w:val="clear" w:color="auto" w:fill="BFBFBF"/>
          </w:tcPr>
          <w:p>
            <w:pPr>
              <w:spacing w:after="0"/>
              <w:rPr>
                <w:sz w:val="17"/>
                <w:szCs w:val="17"/>
                <w:color w:val="auto"/>
              </w:rPr>
            </w:pPr>
          </w:p>
        </w:tc>
        <w:tc>
          <w:tcPr>
            <w:tcW w:w="10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($0.23)</w:t>
            </w:r>
          </w:p>
        </w:tc>
        <w:tc>
          <w:tcPr>
            <w:tcW w:w="40" w:type="dxa"/>
            <w:vAlign w:val="bottom"/>
            <w:tcBorders>
              <w:top w:val="single" w:sz="8" w:color="BFBFBF"/>
              <w:bottom w:val="single" w:sz="8" w:color="BFBFBF"/>
            </w:tcBorders>
            <w:shd w:val="clear" w:color="auto" w:fill="BFBFBF"/>
          </w:tcPr>
          <w:p>
            <w:pPr>
              <w:spacing w:after="0"/>
              <w:rPr>
                <w:sz w:val="17"/>
                <w:szCs w:val="17"/>
                <w:color w:val="auto"/>
              </w:rPr>
            </w:pPr>
          </w:p>
        </w:tc>
        <w:tc>
          <w:tcPr>
            <w:tcW w:w="5360" w:type="dxa"/>
            <w:vAlign w:val="bottom"/>
            <w:tcBorders>
              <w:top w:val="single" w:sz="8" w:color="BFBFBF"/>
              <w:bottom w:val="single" w:sz="8" w:color="BFBFBF"/>
            </w:tcBorders>
            <w:shd w:val="clear" w:color="auto" w:fill="BFBFBF"/>
          </w:tcPr>
          <w:p>
            <w:pPr>
              <w:ind w:left="60"/>
              <w:spacing w:after="0" w:line="196" w:lineRule="exact"/>
              <w:rPr>
                <w:sz w:val="20"/>
                <w:szCs w:val="20"/>
                <w:color w:val="auto"/>
              </w:rPr>
            </w:pPr>
            <w:r>
              <w:rPr>
                <w:rFonts w:ascii="Arial" w:cs="Arial" w:eastAsia="Arial" w:hAnsi="Arial"/>
                <w:sz w:val="18"/>
                <w:szCs w:val="18"/>
                <w:color w:val="auto"/>
              </w:rPr>
              <w:t>Net income/(loss) attributable to the Company</w:t>
            </w: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$0.68</w:t>
            </w:r>
          </w:p>
        </w:tc>
        <w:tc>
          <w:tcPr>
            <w:tcW w:w="60" w:type="dxa"/>
            <w:vAlign w:val="bottom"/>
            <w:tcBorders>
              <w:top w:val="single" w:sz="8" w:color="BFBFBF"/>
              <w:bottom w:val="single" w:sz="8" w:color="BFBFBF"/>
            </w:tcBorders>
            <w:shd w:val="clear" w:color="auto" w:fill="BFBFBF"/>
          </w:tcPr>
          <w:p>
            <w:pPr>
              <w:spacing w:after="0"/>
              <w:rPr>
                <w:sz w:val="17"/>
                <w:szCs w:val="17"/>
                <w:color w:val="auto"/>
              </w:rPr>
            </w:pPr>
          </w:p>
        </w:tc>
        <w:tc>
          <w:tcPr>
            <w:tcW w:w="840" w:type="dxa"/>
            <w:vAlign w:val="bottom"/>
            <w:tcBorders>
              <w:top w:val="single" w:sz="8" w:color="BFBFBF"/>
              <w:bottom w:val="single" w:sz="8" w:color="BFBFBF"/>
            </w:tcBorders>
            <w:shd w:val="clear" w:color="auto" w:fill="BFBFBF"/>
          </w:tcPr>
          <w:p>
            <w:pPr>
              <w:spacing w:after="0"/>
              <w:rPr>
                <w:sz w:val="17"/>
                <w:szCs w:val="17"/>
                <w:color w:val="auto"/>
              </w:rPr>
            </w:pP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04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536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1020" w:type="dxa"/>
            <w:vAlign w:val="bottom"/>
            <w:shd w:val="clear" w:color="auto" w:fill="BFBFBF"/>
          </w:tcPr>
          <w:p>
            <w:pPr>
              <w:spacing w:after="0"/>
              <w:rPr>
                <w:sz w:val="17"/>
                <w:szCs w:val="17"/>
                <w:color w:val="auto"/>
              </w:rPr>
            </w:pPr>
          </w:p>
        </w:tc>
        <w:tc>
          <w:tcPr>
            <w:tcW w:w="60" w:type="dxa"/>
            <w:vAlign w:val="bottom"/>
            <w:shd w:val="clear" w:color="auto" w:fill="BFBFBF"/>
          </w:tcPr>
          <w:p>
            <w:pPr>
              <w:spacing w:after="0"/>
              <w:rPr>
                <w:sz w:val="17"/>
                <w:szCs w:val="17"/>
                <w:color w:val="auto"/>
              </w:rPr>
            </w:pPr>
          </w:p>
        </w:tc>
        <w:tc>
          <w:tcPr>
            <w:tcW w:w="84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31,832</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31,628</w:t>
            </w: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31,809</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31,935</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31,628</w:t>
            </w:r>
          </w:p>
        </w:tc>
        <w:tc>
          <w:tcPr>
            <w:tcW w:w="536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31,913</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31,687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$0.16</w:t>
            </w:r>
          </w:p>
        </w:tc>
        <w:tc>
          <w:tcPr>
            <w:tcW w:w="200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$0.15</w:t>
            </w:r>
          </w:p>
        </w:tc>
        <w:tc>
          <w:tcPr>
            <w:tcW w:w="5360" w:type="dxa"/>
            <w:vAlign w:val="bottom"/>
            <w:shd w:val="clear" w:color="auto" w:fill="BFBFBF"/>
          </w:tcPr>
          <w:p>
            <w:pPr>
              <w:ind w:left="60"/>
              <w:spacing w:after="0" w:line="202" w:lineRule="exact"/>
              <w:rPr>
                <w:sz w:val="20"/>
                <w:szCs w:val="20"/>
                <w:color w:val="auto"/>
              </w:rPr>
            </w:pPr>
            <w:r>
              <w:rPr>
                <w:rFonts w:ascii="Arial" w:cs="Arial" w:eastAsia="Arial" w:hAnsi="Arial"/>
                <w:sz w:val="18"/>
                <w:szCs w:val="18"/>
                <w:color w:val="auto"/>
              </w:rPr>
              <w:t>Dividends per share</w:t>
            </w:r>
          </w:p>
        </w:tc>
        <w:tc>
          <w:tcPr>
            <w:tcW w:w="10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$0.31</w:t>
            </w:r>
          </w:p>
        </w:tc>
        <w:tc>
          <w:tcPr>
            <w:tcW w:w="18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$0.29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gridSpan w:val="5"/>
          </w:tcPr>
          <w:p>
            <w:pPr>
              <w:jc w:val="center"/>
              <w:ind w:right="100"/>
              <w:spacing w:after="0"/>
              <w:rPr>
                <w:sz w:val="20"/>
                <w:szCs w:val="20"/>
                <w:color w:val="auto"/>
              </w:rPr>
            </w:pPr>
            <w:r>
              <w:rPr>
                <w:rFonts w:ascii="Arial" w:cs="Arial" w:eastAsia="Arial" w:hAnsi="Arial"/>
                <w:sz w:val="18"/>
                <w:szCs w:val="18"/>
                <w:color w:val="auto"/>
                <w:w w:val="99"/>
              </w:rPr>
              <w:t>Three Months Ended</w:t>
            </w:r>
          </w:p>
        </w:tc>
        <w:tc>
          <w:tcPr>
            <w:tcW w:w="630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8"/>
                <w:szCs w:val="18"/>
                <w:color w:val="auto"/>
                <w:w w:val="99"/>
              </w:rPr>
              <w:t>Six Months Ended</w:t>
            </w:r>
          </w:p>
        </w:tc>
      </w:tr>
      <w:tr>
        <w:trPr>
          <w:trHeight w:val="203"/>
        </w:trPr>
        <w:tc>
          <w:tcPr>
            <w:tcW w:w="1660" w:type="dxa"/>
            <w:vAlign w:val="bottom"/>
            <w:gridSpan w:val="3"/>
          </w:tcPr>
          <w:p>
            <w:pPr>
              <w:jc w:val="center"/>
              <w:ind w:left="750"/>
              <w:spacing w:after="0" w:line="202" w:lineRule="exact"/>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660" w:type="dxa"/>
            <w:vAlign w:val="bottom"/>
            <w:gridSpan w:val="3"/>
          </w:tcPr>
          <w:p>
            <w:pPr>
              <w:jc w:val="center"/>
              <w:ind w:left="750"/>
              <w:spacing w:after="0" w:line="202" w:lineRule="exact"/>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7"/>
                <w:szCs w:val="17"/>
                <w:color w:val="auto"/>
              </w:rPr>
            </w:pPr>
          </w:p>
        </w:tc>
      </w:tr>
      <w:tr>
        <w:trPr>
          <w:trHeight w:val="203"/>
        </w:trPr>
        <w:tc>
          <w:tcPr>
            <w:tcW w:w="11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2014</w:t>
            </w:r>
          </w:p>
        </w:tc>
        <w:tc>
          <w:tcPr>
            <w:tcW w:w="260" w:type="dxa"/>
            <w:vAlign w:val="bottom"/>
            <w:tcBorders>
              <w:bottom w:val="single" w:sz="8" w:color="BFBFB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2013</w:t>
            </w:r>
          </w:p>
        </w:tc>
        <w:tc>
          <w:tcPr>
            <w:tcW w:w="120" w:type="dxa"/>
            <w:vAlign w:val="bottom"/>
            <w:tcBorders>
              <w:bottom w:val="single" w:sz="8" w:color="BFBFBF"/>
            </w:tcBorders>
          </w:tcPr>
          <w:p>
            <w:pPr>
              <w:spacing w:after="0"/>
              <w:rPr>
                <w:sz w:val="17"/>
                <w:szCs w:val="17"/>
                <w:color w:val="auto"/>
              </w:rPr>
            </w:pPr>
          </w:p>
        </w:tc>
        <w:tc>
          <w:tcPr>
            <w:tcW w:w="6300" w:type="dxa"/>
            <w:vAlign w:val="bottom"/>
            <w:tcBorders>
              <w:bottom w:val="single" w:sz="8" w:color="BFBFBF"/>
            </w:tcBorders>
          </w:tcPr>
          <w:p>
            <w:pPr>
              <w:spacing w:after="0"/>
              <w:rPr>
                <w:sz w:val="17"/>
                <w:szCs w:val="17"/>
                <w:color w:val="auto"/>
              </w:rPr>
            </w:pPr>
          </w:p>
        </w:tc>
        <w:tc>
          <w:tcPr>
            <w:tcW w:w="11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2014</w:t>
            </w:r>
          </w:p>
        </w:tc>
        <w:tc>
          <w:tcPr>
            <w:tcW w:w="260" w:type="dxa"/>
            <w:vAlign w:val="bottom"/>
            <w:tcBorders>
              <w:bottom w:val="single" w:sz="8" w:color="BFBFB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2013</w:t>
            </w:r>
          </w:p>
        </w:tc>
      </w:tr>
      <w:tr>
        <w:trPr>
          <w:trHeight w:val="196"/>
        </w:trPr>
        <w:tc>
          <w:tcPr>
            <w:tcW w:w="11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$11,177</w:t>
            </w:r>
          </w:p>
        </w:tc>
        <w:tc>
          <w:tcPr>
            <w:tcW w:w="260" w:type="dxa"/>
            <w:vAlign w:val="bottom"/>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8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($7,379)</w:t>
            </w:r>
          </w:p>
        </w:tc>
        <w:tc>
          <w:tcPr>
            <w:tcW w:w="120" w:type="dxa"/>
            <w:vAlign w:val="bottom"/>
            <w:shd w:val="clear" w:color="auto" w:fill="BFBFBF"/>
          </w:tcPr>
          <w:p>
            <w:pPr>
              <w:spacing w:after="0"/>
              <w:rPr>
                <w:sz w:val="17"/>
                <w:szCs w:val="17"/>
                <w:color w:val="auto"/>
              </w:rPr>
            </w:pPr>
          </w:p>
        </w:tc>
        <w:tc>
          <w:tcPr>
            <w:tcW w:w="6300" w:type="dxa"/>
            <w:vAlign w:val="bottom"/>
            <w:shd w:val="clear" w:color="auto" w:fill="BFBFBF"/>
          </w:tcPr>
          <w:p>
            <w:pPr>
              <w:ind w:left="120"/>
              <w:spacing w:after="0" w:line="196" w:lineRule="exact"/>
              <w:rPr>
                <w:sz w:val="20"/>
                <w:szCs w:val="20"/>
                <w:color w:val="auto"/>
              </w:rPr>
            </w:pPr>
            <w:r>
              <w:rPr>
                <w:rFonts w:ascii="Arial" w:cs="Arial" w:eastAsia="Arial" w:hAnsi="Arial"/>
                <w:sz w:val="18"/>
                <w:szCs w:val="18"/>
                <w:color w:val="auto"/>
              </w:rPr>
              <w:t>Net income/(loss)</w:t>
            </w:r>
          </w:p>
        </w:tc>
        <w:tc>
          <w:tcPr>
            <w:tcW w:w="11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$21,870</w:t>
            </w:r>
          </w:p>
        </w:tc>
        <w:tc>
          <w:tcPr>
            <w:tcW w:w="260" w:type="dxa"/>
            <w:vAlign w:val="bottom"/>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8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$4,132</w:t>
            </w:r>
          </w:p>
        </w:tc>
      </w:tr>
      <w:tr>
        <w:trPr>
          <w:trHeight w:val="399"/>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Other comprehensive income, before tax:</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3,289</w:t>
            </w:r>
          </w:p>
        </w:tc>
        <w:tc>
          <w:tcPr>
            <w:tcW w:w="280" w:type="dxa"/>
            <w:vAlign w:val="bottom"/>
            <w:shd w:val="clear" w:color="auto" w:fill="BFBFBF"/>
          </w:tcPr>
          <w:p>
            <w:pPr>
              <w:spacing w:after="0"/>
              <w:rPr>
                <w:sz w:val="17"/>
                <w:szCs w:val="17"/>
                <w:color w:val="auto"/>
              </w:rPr>
            </w:pPr>
          </w:p>
        </w:tc>
        <w:tc>
          <w:tcPr>
            <w:tcW w:w="9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(2,647)</w:t>
            </w:r>
          </w:p>
        </w:tc>
        <w:tc>
          <w:tcPr>
            <w:tcW w:w="630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(1,940)</w:t>
            </w: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(13,269)</w:t>
            </w:r>
          </w:p>
        </w:tc>
      </w:tr>
      <w:tr>
        <w:trPr>
          <w:trHeight w:val="203"/>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Pr>
          <w:p>
            <w:pPr>
              <w:ind w:left="30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BFBFBF"/>
          </w:tcPr>
          <w:p>
            <w:pPr>
              <w:spacing w:after="0"/>
              <w:rPr>
                <w:sz w:val="17"/>
                <w:szCs w:val="17"/>
                <w:color w:val="auto"/>
              </w:rPr>
            </w:pPr>
          </w:p>
        </w:tc>
        <w:tc>
          <w:tcPr>
            <w:tcW w:w="9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630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Transition obligation</w:t>
            </w:r>
          </w:p>
        </w:tc>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(1,108)</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120" w:type="dxa"/>
            <w:vAlign w:val="bottom"/>
          </w:tcPr>
          <w:p>
            <w:pPr>
              <w:spacing w:after="0"/>
              <w:rPr>
                <w:sz w:val="17"/>
                <w:szCs w:val="17"/>
                <w:color w:val="auto"/>
              </w:rPr>
            </w:pPr>
          </w:p>
        </w:tc>
        <w:tc>
          <w:tcPr>
            <w:tcW w:w="6300" w:type="dxa"/>
            <w:vAlign w:val="bottom"/>
          </w:tcPr>
          <w:p>
            <w:pPr>
              <w:ind w:left="300"/>
              <w:spacing w:after="0" w:line="202" w:lineRule="exact"/>
              <w:rPr>
                <w:sz w:val="20"/>
                <w:szCs w:val="20"/>
                <w:color w:val="auto"/>
              </w:rPr>
            </w:pPr>
            <w:r>
              <w:rPr>
                <w:rFonts w:ascii="Arial" w:cs="Arial" w:eastAsia="Arial" w:hAnsi="Arial"/>
                <w:sz w:val="18"/>
                <w:szCs w:val="18"/>
                <w:color w:val="auto"/>
              </w:rPr>
              <w:t>Prior service (credit)/cost</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(2,217)</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(1,817)</w:t>
            </w:r>
          </w:p>
        </w:tc>
      </w:tr>
      <w:tr>
        <w:trPr>
          <w:trHeight w:val="203"/>
        </w:trPr>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1,355</w:t>
            </w: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1,664</w:t>
            </w:r>
          </w:p>
        </w:tc>
        <w:tc>
          <w:tcPr>
            <w:tcW w:w="120" w:type="dxa"/>
            <w:vAlign w:val="bottom"/>
            <w:shd w:val="clear" w:color="auto" w:fill="BFBFBF"/>
          </w:tcPr>
          <w:p>
            <w:pPr>
              <w:spacing w:after="0"/>
              <w:rPr>
                <w:sz w:val="17"/>
                <w:szCs w:val="17"/>
                <w:color w:val="auto"/>
              </w:rPr>
            </w:pPr>
          </w:p>
        </w:tc>
        <w:tc>
          <w:tcPr>
            <w:tcW w:w="630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Net actuarial loss</w:t>
            </w:r>
          </w:p>
        </w:tc>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2,683</w:t>
            </w: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3,328</w:t>
            </w:r>
          </w:p>
        </w:tc>
      </w:tr>
      <w:tr>
        <w:trPr>
          <w:trHeight w:val="203"/>
        </w:trPr>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c>
          <w:tcPr>
            <w:tcW w:w="120" w:type="dxa"/>
            <w:vAlign w:val="bottom"/>
          </w:tcPr>
          <w:p>
            <w:pPr>
              <w:spacing w:after="0"/>
              <w:rPr>
                <w:sz w:val="17"/>
                <w:szCs w:val="17"/>
                <w:color w:val="auto"/>
              </w:rPr>
            </w:pPr>
          </w:p>
        </w:tc>
        <w:tc>
          <w:tcPr>
            <w:tcW w:w="6300" w:type="dxa"/>
            <w:vAlign w:val="bottom"/>
          </w:tcPr>
          <w:p>
            <w:pPr>
              <w:ind w:left="30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910</w:t>
            </w:r>
          </w:p>
        </w:tc>
      </w:tr>
      <w:tr>
        <w:trPr>
          <w:trHeight w:val="203"/>
        </w:trPr>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(955)</w:t>
            </w: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1,960</w:t>
            </w:r>
          </w:p>
        </w:tc>
        <w:tc>
          <w:tcPr>
            <w:tcW w:w="120" w:type="dxa"/>
            <w:vAlign w:val="bottom"/>
            <w:shd w:val="clear" w:color="auto" w:fill="BFBFBF"/>
          </w:tcPr>
          <w:p>
            <w:pPr>
              <w:spacing w:after="0"/>
              <w:rPr>
                <w:sz w:val="17"/>
                <w:szCs w:val="17"/>
                <w:color w:val="auto"/>
              </w:rPr>
            </w:pPr>
          </w:p>
        </w:tc>
        <w:tc>
          <w:tcPr>
            <w:tcW w:w="630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Derivative valuation adjustment</w:t>
            </w:r>
          </w:p>
        </w:tc>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(1,315)</w:t>
            </w: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1,961</w:t>
            </w:r>
          </w:p>
        </w:tc>
      </w:tr>
      <w:tr>
        <w:trPr>
          <w:trHeight w:val="203"/>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1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6300" w:type="dxa"/>
            <w:vAlign w:val="bottom"/>
            <w:shd w:val="clear" w:color="auto" w:fill="BFBFBF"/>
          </w:tcPr>
          <w:p>
            <w:pPr>
              <w:ind w:left="300"/>
              <w:spacing w:after="0" w:line="201" w:lineRule="exact"/>
              <w:rPr>
                <w:sz w:val="20"/>
                <w:szCs w:val="20"/>
                <w:color w:val="auto"/>
              </w:rPr>
            </w:pPr>
            <w:r>
              <w:rPr>
                <w:rFonts w:ascii="Arial" w:cs="Arial" w:eastAsia="Arial" w:hAnsi="Arial"/>
                <w:sz w:val="18"/>
                <w:szCs w:val="18"/>
                <w:color w:val="auto"/>
              </w:rPr>
              <w:t>Income taxes related to items of other comprehensive</w:t>
            </w:r>
          </w:p>
        </w:tc>
        <w:tc>
          <w:tcPr>
            <w:tcW w:w="1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spacing w:after="0"/>
              <w:rPr>
                <w:sz w:val="17"/>
                <w:szCs w:val="17"/>
                <w:color w:val="auto"/>
              </w:rPr>
            </w:pPr>
          </w:p>
        </w:tc>
      </w:tr>
      <w:tr>
        <w:trPr>
          <w:trHeight w:val="203"/>
        </w:trPr>
        <w:tc>
          <w:tcPr>
            <w:tcW w:w="1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6300" w:type="dxa"/>
            <w:vAlign w:val="bottom"/>
            <w:shd w:val="clear" w:color="auto" w:fill="BFBFBF"/>
          </w:tcPr>
          <w:p>
            <w:pPr>
              <w:ind w:left="280"/>
              <w:spacing w:after="0" w:line="203" w:lineRule="exact"/>
              <w:rPr>
                <w:sz w:val="20"/>
                <w:szCs w:val="20"/>
                <w:color w:val="auto"/>
              </w:rPr>
            </w:pPr>
            <w:r>
              <w:rPr>
                <w:rFonts w:ascii="Arial" w:cs="Arial" w:eastAsia="Arial" w:hAnsi="Arial"/>
                <w:sz w:val="18"/>
                <w:szCs w:val="18"/>
                <w:color w:val="auto"/>
              </w:rPr>
              <w:t>income:</w:t>
            </w:r>
          </w:p>
        </w:tc>
        <w:tc>
          <w:tcPr>
            <w:tcW w:w="1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spacing w:after="0"/>
              <w:rPr>
                <w:sz w:val="17"/>
                <w:szCs w:val="17"/>
                <w:color w:val="auto"/>
              </w:rPr>
            </w:pPr>
          </w:p>
        </w:tc>
      </w:tr>
      <w:tr>
        <w:trPr>
          <w:trHeight w:val="203"/>
        </w:trPr>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(98)</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120" w:type="dxa"/>
            <w:vAlign w:val="bottom"/>
          </w:tcPr>
          <w:p>
            <w:pPr>
              <w:spacing w:after="0"/>
              <w:rPr>
                <w:sz w:val="17"/>
                <w:szCs w:val="17"/>
                <w:color w:val="auto"/>
              </w:rPr>
            </w:pPr>
          </w:p>
        </w:tc>
        <w:tc>
          <w:tcPr>
            <w:tcW w:w="6300" w:type="dxa"/>
            <w:vAlign w:val="bottom"/>
          </w:tcPr>
          <w:p>
            <w:pPr>
              <w:ind w:left="30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(541)</w:t>
            </w:r>
          </w:p>
        </w:tc>
      </w:tr>
      <w:tr>
        <w:trPr>
          <w:trHeight w:val="203"/>
        </w:trPr>
        <w:tc>
          <w:tcPr>
            <w:tcW w:w="138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(184)</w:t>
            </w: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(177)</w:t>
            </w:r>
          </w:p>
        </w:tc>
        <w:tc>
          <w:tcPr>
            <w:tcW w:w="120" w:type="dxa"/>
            <w:vAlign w:val="bottom"/>
            <w:shd w:val="clear" w:color="auto" w:fill="BFBFBF"/>
          </w:tcPr>
          <w:p>
            <w:pPr>
              <w:spacing w:after="0"/>
              <w:rPr>
                <w:sz w:val="17"/>
                <w:szCs w:val="17"/>
                <w:color w:val="auto"/>
              </w:rPr>
            </w:pPr>
          </w:p>
        </w:tc>
        <w:tc>
          <w:tcPr>
            <w:tcW w:w="630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(371)</w:t>
            </w:r>
          </w:p>
        </w:tc>
        <w:tc>
          <w:tcPr>
            <w:tcW w:w="260" w:type="dxa"/>
            <w:vAlign w:val="bottom"/>
            <w:shd w:val="clear" w:color="auto" w:fill="BFBFBF"/>
          </w:tcPr>
          <w:p>
            <w:pPr>
              <w:spacing w:after="0"/>
              <w:rPr>
                <w:sz w:val="17"/>
                <w:szCs w:val="17"/>
                <w:color w:val="auto"/>
              </w:rPr>
            </w:pP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(354)</w:t>
            </w:r>
          </w:p>
        </w:tc>
      </w:tr>
      <w:tr>
        <w:trPr>
          <w:trHeight w:val="203"/>
        </w:trPr>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w:t>
            </w:r>
          </w:p>
        </w:tc>
        <w:tc>
          <w:tcPr>
            <w:tcW w:w="260" w:type="dxa"/>
            <w:vAlign w:val="bottom"/>
            <w:tcBorders>
              <w:bottom w:val="single" w:sz="8" w:color="BFBFB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w:t>
            </w:r>
          </w:p>
        </w:tc>
        <w:tc>
          <w:tcPr>
            <w:tcW w:w="120" w:type="dxa"/>
            <w:vAlign w:val="bottom"/>
            <w:tcBorders>
              <w:bottom w:val="single" w:sz="8" w:color="BFBFBF"/>
            </w:tcBorders>
          </w:tcPr>
          <w:p>
            <w:pPr>
              <w:spacing w:after="0"/>
              <w:rPr>
                <w:sz w:val="17"/>
                <w:szCs w:val="17"/>
                <w:color w:val="auto"/>
              </w:rPr>
            </w:pPr>
          </w:p>
        </w:tc>
        <w:tc>
          <w:tcPr>
            <w:tcW w:w="6300" w:type="dxa"/>
            <w:vAlign w:val="bottom"/>
            <w:tcBorders>
              <w:bottom w:val="single" w:sz="8" w:color="BFBFBF"/>
            </w:tcBorders>
          </w:tcPr>
          <w:p>
            <w:pPr>
              <w:ind w:left="300"/>
              <w:spacing w:after="0" w:line="202" w:lineRule="exact"/>
              <w:rPr>
                <w:sz w:val="20"/>
                <w:szCs w:val="20"/>
                <w:color w:val="auto"/>
              </w:rPr>
            </w:pPr>
            <w:r>
              <w:rPr>
                <w:rFonts w:ascii="Arial" w:cs="Arial" w:eastAsia="Arial" w:hAnsi="Arial"/>
                <w:sz w:val="18"/>
                <w:szCs w:val="18"/>
                <w:color w:val="auto"/>
              </w:rPr>
              <w:t>Derivative valuation adjustment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w:t>
            </w:r>
          </w:p>
        </w:tc>
        <w:tc>
          <w:tcPr>
            <w:tcW w:w="260" w:type="dxa"/>
            <w:vAlign w:val="bottom"/>
            <w:tcBorders>
              <w:bottom w:val="single" w:sz="8" w:color="BFBFB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w:t>
            </w:r>
          </w:p>
        </w:tc>
      </w:tr>
      <w:tr>
        <w:trPr>
          <w:trHeight w:val="196"/>
        </w:trPr>
        <w:tc>
          <w:tcPr>
            <w:tcW w:w="112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14,321</w:t>
            </w:r>
          </w:p>
        </w:tc>
        <w:tc>
          <w:tcPr>
            <w:tcW w:w="260" w:type="dxa"/>
            <w:vAlign w:val="bottom"/>
            <w:shd w:val="clear" w:color="auto" w:fill="BFBFBF"/>
          </w:tcPr>
          <w:p>
            <w:pPr>
              <w:spacing w:after="0"/>
              <w:rPr>
                <w:sz w:val="17"/>
                <w:szCs w:val="17"/>
                <w:color w:val="auto"/>
              </w:rPr>
            </w:pP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(8,052)</w:t>
            </w:r>
          </w:p>
        </w:tc>
        <w:tc>
          <w:tcPr>
            <w:tcW w:w="120" w:type="dxa"/>
            <w:vAlign w:val="bottom"/>
            <w:shd w:val="clear" w:color="auto" w:fill="BFBFBF"/>
          </w:tcPr>
          <w:p>
            <w:pPr>
              <w:spacing w:after="0"/>
              <w:rPr>
                <w:sz w:val="17"/>
                <w:szCs w:val="17"/>
                <w:color w:val="auto"/>
              </w:rPr>
            </w:pPr>
          </w:p>
        </w:tc>
        <w:tc>
          <w:tcPr>
            <w:tcW w:w="6300" w:type="dxa"/>
            <w:vAlign w:val="bottom"/>
            <w:shd w:val="clear" w:color="auto" w:fill="BFBFBF"/>
          </w:tcPr>
          <w:p>
            <w:pPr>
              <w:ind w:left="300"/>
              <w:spacing w:after="0" w:line="196" w:lineRule="exact"/>
              <w:rPr>
                <w:sz w:val="20"/>
                <w:szCs w:val="20"/>
                <w:color w:val="auto"/>
              </w:rPr>
            </w:pPr>
            <w:r>
              <w:rPr>
                <w:rFonts w:ascii="Arial" w:cs="Arial" w:eastAsia="Arial" w:hAnsi="Arial"/>
                <w:sz w:val="18"/>
                <w:szCs w:val="18"/>
                <w:color w:val="auto"/>
              </w:rPr>
              <w:t>Comprehensive income/(loss)</w:t>
            </w:r>
          </w:p>
        </w:tc>
        <w:tc>
          <w:tcPr>
            <w:tcW w:w="112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19,988</w:t>
            </w:r>
          </w:p>
        </w:tc>
        <w:tc>
          <w:tcPr>
            <w:tcW w:w="260" w:type="dxa"/>
            <w:vAlign w:val="bottom"/>
            <w:shd w:val="clear" w:color="auto" w:fill="BFBFBF"/>
          </w:tcPr>
          <w:p>
            <w:pPr>
              <w:spacing w:after="0"/>
              <w:rPr>
                <w:sz w:val="17"/>
                <w:szCs w:val="17"/>
                <w:color w:val="auto"/>
              </w:rPr>
            </w:pPr>
          </w:p>
        </w:tc>
        <w:tc>
          <w:tcPr>
            <w:tcW w:w="280" w:type="dxa"/>
            <w:vAlign w:val="bottom"/>
            <w:shd w:val="clear" w:color="auto" w:fill="BFBFBF"/>
          </w:tcPr>
          <w:p>
            <w:pPr>
              <w:spacing w:after="0"/>
              <w:rPr>
                <w:sz w:val="17"/>
                <w:szCs w:val="17"/>
                <w:color w:val="auto"/>
              </w:rPr>
            </w:pPr>
          </w:p>
        </w:tc>
        <w:tc>
          <w:tcPr>
            <w:tcW w:w="84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(6,381)</w:t>
            </w:r>
          </w:p>
        </w:tc>
      </w:tr>
      <w:tr>
        <w:trPr>
          <w:trHeight w:val="203"/>
        </w:trPr>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300" w:type="dxa"/>
            <w:vAlign w:val="bottom"/>
          </w:tcPr>
          <w:p>
            <w:pPr>
              <w:ind w:left="120"/>
              <w:spacing w:after="0" w:line="202" w:lineRule="exact"/>
              <w:rPr>
                <w:sz w:val="20"/>
                <w:szCs w:val="20"/>
                <w:color w:val="auto"/>
              </w:rPr>
            </w:pPr>
            <w:r>
              <w:rPr>
                <w:rFonts w:ascii="Arial" w:cs="Arial" w:eastAsia="Arial" w:hAnsi="Arial"/>
                <w:sz w:val="18"/>
                <w:szCs w:val="18"/>
                <w:color w:val="auto"/>
              </w:rPr>
              <w:t>Comprehensive income attributable to the noncontrolling interest</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11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$14,321</w:t>
            </w:r>
          </w:p>
        </w:tc>
        <w:tc>
          <w:tcPr>
            <w:tcW w:w="260" w:type="dxa"/>
            <w:vAlign w:val="bottom"/>
            <w:tcBorders>
              <w:top w:val="single" w:sz="8" w:color="BFBFBF"/>
              <w:bottom w:val="single" w:sz="8" w:color="BFBFBF"/>
            </w:tcBorders>
            <w:shd w:val="clear" w:color="auto" w:fill="BFBFBF"/>
          </w:tcPr>
          <w:p>
            <w:pPr>
              <w:spacing w:after="0"/>
              <w:rPr>
                <w:sz w:val="17"/>
                <w:szCs w:val="17"/>
                <w:color w:val="auto"/>
              </w:rPr>
            </w:pPr>
          </w:p>
        </w:tc>
        <w:tc>
          <w:tcPr>
            <w:tcW w:w="280" w:type="dxa"/>
            <w:vAlign w:val="bottom"/>
            <w:tcBorders>
              <w:top w:val="single" w:sz="8" w:color="auto"/>
              <w:bottom w:val="single" w:sz="8" w:color="auto"/>
            </w:tcBorders>
            <w:shd w:val="clear" w:color="auto" w:fill="BFBFBF"/>
          </w:tcPr>
          <w:p>
            <w:pPr>
              <w:spacing w:after="0"/>
              <w:rPr>
                <w:sz w:val="17"/>
                <w:szCs w:val="17"/>
                <w:color w:val="auto"/>
              </w:rPr>
            </w:pPr>
          </w:p>
        </w:tc>
        <w:tc>
          <w:tcPr>
            <w:tcW w:w="8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($8,052)</w:t>
            </w:r>
          </w:p>
        </w:tc>
        <w:tc>
          <w:tcPr>
            <w:tcW w:w="120" w:type="dxa"/>
            <w:vAlign w:val="bottom"/>
            <w:tcBorders>
              <w:top w:val="single" w:sz="8" w:color="BFBFBF"/>
              <w:bottom w:val="single" w:sz="8" w:color="BFBFBF"/>
            </w:tcBorders>
            <w:shd w:val="clear" w:color="auto" w:fill="BFBFBF"/>
          </w:tcPr>
          <w:p>
            <w:pPr>
              <w:spacing w:after="0"/>
              <w:rPr>
                <w:sz w:val="17"/>
                <w:szCs w:val="17"/>
                <w:color w:val="auto"/>
              </w:rPr>
            </w:pPr>
          </w:p>
        </w:tc>
        <w:tc>
          <w:tcPr>
            <w:tcW w:w="6300" w:type="dxa"/>
            <w:vAlign w:val="bottom"/>
            <w:tcBorders>
              <w:top w:val="single" w:sz="8" w:color="BFBFBF"/>
              <w:bottom w:val="single" w:sz="8" w:color="BFBFBF"/>
            </w:tcBorders>
            <w:shd w:val="clear" w:color="auto" w:fill="BFBFBF"/>
          </w:tcPr>
          <w:p>
            <w:pPr>
              <w:ind w:left="120"/>
              <w:spacing w:after="0" w:line="196" w:lineRule="exact"/>
              <w:rPr>
                <w:sz w:val="20"/>
                <w:szCs w:val="20"/>
                <w:color w:val="auto"/>
              </w:rPr>
            </w:pPr>
            <w:r>
              <w:rPr>
                <w:rFonts w:ascii="Arial" w:cs="Arial" w:eastAsia="Arial" w:hAnsi="Arial"/>
                <w:sz w:val="18"/>
                <w:szCs w:val="18"/>
                <w:color w:val="auto"/>
              </w:rPr>
              <w:t>Comprehensive income/(loss) attributable to the Company</w:t>
            </w:r>
          </w:p>
        </w:tc>
        <w:tc>
          <w:tcPr>
            <w:tcW w:w="11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$19,988</w:t>
            </w:r>
          </w:p>
        </w:tc>
        <w:tc>
          <w:tcPr>
            <w:tcW w:w="260" w:type="dxa"/>
            <w:vAlign w:val="bottom"/>
            <w:tcBorders>
              <w:top w:val="single" w:sz="8" w:color="BFBFBF"/>
              <w:bottom w:val="single" w:sz="8" w:color="BFBFBF"/>
            </w:tcBorders>
            <w:shd w:val="clear" w:color="auto" w:fill="BFBFBF"/>
          </w:tcPr>
          <w:p>
            <w:pPr>
              <w:spacing w:after="0"/>
              <w:rPr>
                <w:sz w:val="17"/>
                <w:szCs w:val="17"/>
                <w:color w:val="auto"/>
              </w:rPr>
            </w:pPr>
          </w:p>
        </w:tc>
        <w:tc>
          <w:tcPr>
            <w:tcW w:w="280" w:type="dxa"/>
            <w:vAlign w:val="bottom"/>
            <w:tcBorders>
              <w:top w:val="single" w:sz="8" w:color="auto"/>
              <w:bottom w:val="single" w:sz="8" w:color="auto"/>
            </w:tcBorders>
            <w:shd w:val="clear" w:color="auto" w:fill="BFBFBF"/>
          </w:tcPr>
          <w:p>
            <w:pPr>
              <w:spacing w:after="0"/>
              <w:rPr>
                <w:sz w:val="17"/>
                <w:szCs w:val="17"/>
                <w:color w:val="auto"/>
              </w:rPr>
            </w:pPr>
          </w:p>
        </w:tc>
        <w:tc>
          <w:tcPr>
            <w:tcW w:w="8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($6,381)</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gridSpan w:val="3"/>
          </w:tcPr>
          <w:p>
            <w:pPr>
              <w:ind w:left="180"/>
              <w:spacing w:after="0"/>
              <w:rPr>
                <w:sz w:val="20"/>
                <w:szCs w:val="20"/>
                <w:color w:val="auto"/>
              </w:rPr>
            </w:pPr>
            <w:r>
              <w:rPr>
                <w:rFonts w:ascii="Arial" w:cs="Arial" w:eastAsia="Arial" w:hAnsi="Arial"/>
                <w:sz w:val="18"/>
                <w:szCs w:val="18"/>
                <w:color w:val="auto"/>
              </w:rPr>
              <w:t>June 30,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780" w:type="dxa"/>
            <w:vAlign w:val="bottom"/>
            <w:gridSpan w:val="2"/>
          </w:tcPr>
          <w:p>
            <w:pPr>
              <w:jc w:val="right"/>
              <w:ind w:right="110"/>
              <w:spacing w:after="0" w:line="203"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2013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$206,836</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$222,666</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 net</w:t>
            </w:r>
          </w:p>
        </w:tc>
        <w:tc>
          <w:tcPr>
            <w:tcW w:w="1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148,473</w:t>
            </w:r>
          </w:p>
        </w:tc>
        <w:tc>
          <w:tcPr>
            <w:tcW w:w="8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163,547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Inventories</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123,889</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112,739</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Deferred income taxes</w:t>
            </w:r>
          </w:p>
        </w:tc>
        <w:tc>
          <w:tcPr>
            <w:tcW w:w="1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13,900</w:t>
            </w:r>
          </w:p>
        </w:tc>
        <w:tc>
          <w:tcPr>
            <w:tcW w:w="8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BFBFBF"/>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880" w:type="dxa"/>
            <w:vAlign w:val="bottom"/>
            <w:gridSpan w:val="3"/>
            <w:shd w:val="clear" w:color="auto" w:fill="BFBFBF"/>
          </w:tcPr>
          <w:p>
            <w:pPr>
              <w:jc w:val="right"/>
              <w:ind w:right="100"/>
              <w:spacing w:after="0"/>
              <w:rPr>
                <w:sz w:val="20"/>
                <w:szCs w:val="20"/>
                <w:color w:val="auto"/>
              </w:rPr>
            </w:pPr>
            <w:r>
              <w:rPr>
                <w:rFonts w:ascii="Arial" w:cs="Arial" w:eastAsia="Arial" w:hAnsi="Arial"/>
                <w:sz w:val="18"/>
                <w:szCs w:val="18"/>
                <w:color w:val="auto"/>
              </w:rPr>
              <w:t>10,120</w:t>
            </w:r>
          </w:p>
        </w:tc>
        <w:tc>
          <w:tcPr>
            <w:tcW w:w="880" w:type="dxa"/>
            <w:vAlign w:val="bottom"/>
            <w:shd w:val="clear" w:color="auto" w:fill="BFBFBF"/>
          </w:tcPr>
          <w:p>
            <w:pPr>
              <w:spacing w:after="0"/>
              <w:rPr>
                <w:sz w:val="18"/>
                <w:szCs w:val="18"/>
                <w:color w:val="auto"/>
              </w:rPr>
            </w:pPr>
          </w:p>
        </w:tc>
        <w:tc>
          <w:tcPr>
            <w:tcW w:w="940" w:type="dxa"/>
            <w:vAlign w:val="bottom"/>
            <w:tcBorders>
              <w:right w:val="single" w:sz="8" w:color="BFBFBF"/>
            </w:tcBorders>
            <w:shd w:val="clear" w:color="auto" w:fill="BFBFBF"/>
          </w:tcPr>
          <w:p>
            <w:pPr>
              <w:jc w:val="right"/>
              <w:spacing w:after="0"/>
              <w:rPr>
                <w:sz w:val="20"/>
                <w:szCs w:val="20"/>
                <w:color w:val="auto"/>
              </w:rPr>
            </w:pPr>
            <w:r>
              <w:rPr>
                <w:rFonts w:ascii="Arial" w:cs="Arial" w:eastAsia="Arial" w:hAnsi="Arial"/>
                <w:sz w:val="18"/>
                <w:szCs w:val="18"/>
                <w:color w:val="auto"/>
              </w:rPr>
              <w:t>9,659</w:t>
            </w:r>
          </w:p>
        </w:tc>
        <w:tc>
          <w:tcPr>
            <w:tcW w:w="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860" w:type="dxa"/>
            <w:vAlign w:val="bottom"/>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503,218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522,484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spacing w:after="0"/>
              <w:rPr>
                <w:sz w:val="17"/>
                <w:szCs w:val="17"/>
                <w:color w:val="auto"/>
              </w:rPr>
            </w:pPr>
          </w:p>
        </w:tc>
        <w:tc>
          <w:tcPr>
            <w:tcW w:w="86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Property, plant and equipment, net</w:t>
            </w:r>
          </w:p>
        </w:tc>
        <w:tc>
          <w:tcPr>
            <w:tcW w:w="1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414,758</w:t>
            </w:r>
          </w:p>
        </w:tc>
        <w:tc>
          <w:tcPr>
            <w:tcW w:w="8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418,830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Intangibles</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501</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616</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Goodwill</w:t>
            </w:r>
          </w:p>
        </w:tc>
        <w:tc>
          <w:tcPr>
            <w:tcW w:w="1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78,635</w:t>
            </w:r>
          </w:p>
        </w:tc>
        <w:tc>
          <w:tcPr>
            <w:tcW w:w="8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Income taxes receivable and deferred</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111,942</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119,612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29,709</w:t>
            </w:r>
          </w:p>
        </w:tc>
        <w:tc>
          <w:tcPr>
            <w:tcW w:w="8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shd w:val="clear" w:color="auto" w:fill="BFBFBF"/>
          </w:tcPr>
          <w:p>
            <w:pPr>
              <w:ind w:left="280"/>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BFBFB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880" w:type="dxa"/>
            <w:vAlign w:val="bottom"/>
            <w:shd w:val="clear" w:color="auto" w:fill="BFBFBF"/>
          </w:tcPr>
          <w:p>
            <w:pPr>
              <w:spacing w:after="0" w:line="20" w:lineRule="exact"/>
              <w:rPr>
                <w:sz w:val="1"/>
                <w:szCs w:val="1"/>
                <w:color w:val="auto"/>
              </w:rPr>
            </w:pPr>
          </w:p>
        </w:tc>
        <w:tc>
          <w:tcPr>
            <w:tcW w:w="940" w:type="dxa"/>
            <w:vAlign w:val="bottom"/>
            <w:tcBorders>
              <w:right w:val="single" w:sz="8" w:color="BFBFBF"/>
            </w:tcBorders>
            <w:shd w:val="clear" w:color="auto" w:fill="000000"/>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vMerge w:val="continue"/>
            <w:shd w:val="clear" w:color="auto" w:fill="BFBFBF"/>
          </w:tcPr>
          <w:p>
            <w:pPr>
              <w:spacing w:after="0"/>
              <w:rPr>
                <w:sz w:val="18"/>
                <w:szCs w:val="18"/>
                <w:color w:val="auto"/>
              </w:rPr>
            </w:pPr>
          </w:p>
        </w:tc>
        <w:tc>
          <w:tcPr>
            <w:tcW w:w="860" w:type="dxa"/>
            <w:vAlign w:val="bottom"/>
            <w:shd w:val="clear" w:color="auto" w:fill="BFBFBF"/>
          </w:tcPr>
          <w:p>
            <w:pPr>
              <w:spacing w:after="0"/>
              <w:rPr>
                <w:sz w:val="18"/>
                <w:szCs w:val="18"/>
                <w:color w:val="auto"/>
              </w:rPr>
            </w:pPr>
          </w:p>
        </w:tc>
        <w:tc>
          <w:tcPr>
            <w:tcW w:w="102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1,138,763</w:t>
            </w:r>
          </w:p>
        </w:tc>
        <w:tc>
          <w:tcPr>
            <w:tcW w:w="880" w:type="dxa"/>
            <w:vAlign w:val="bottom"/>
            <w:shd w:val="clear" w:color="auto" w:fill="BFBFBF"/>
          </w:tcPr>
          <w:p>
            <w:pPr>
              <w:spacing w:after="0"/>
              <w:rPr>
                <w:sz w:val="18"/>
                <w:szCs w:val="18"/>
                <w:color w:val="auto"/>
              </w:rPr>
            </w:pPr>
          </w:p>
        </w:tc>
        <w:tc>
          <w:tcPr>
            <w:tcW w:w="940" w:type="dxa"/>
            <w:vAlign w:val="bottom"/>
            <w:tcBorders>
              <w:right w:val="single" w:sz="8" w:color="BFBFBF"/>
            </w:tcBorders>
            <w:shd w:val="clear" w:color="auto" w:fill="BFBFB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1,166,888</w:t>
            </w:r>
          </w:p>
        </w:tc>
        <w:tc>
          <w:tcPr>
            <w:tcW w:w="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BFBFBF"/>
            </w:tcBorders>
          </w:tcPr>
          <w:p>
            <w:pPr>
              <w:spacing w:after="0" w:line="20" w:lineRule="exact"/>
              <w:rPr>
                <w:sz w:val="1"/>
                <w:szCs w:val="1"/>
                <w:color w:val="auto"/>
              </w:rPr>
            </w:pPr>
          </w:p>
        </w:tc>
        <w:tc>
          <w:tcPr>
            <w:tcW w:w="860" w:type="dxa"/>
            <w:vAlign w:val="bottom"/>
            <w:tcBorders>
              <w:top w:val="single" w:sz="8" w:color="BFBFB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880" w:type="dxa"/>
            <w:vAlign w:val="bottom"/>
            <w:tcBorders>
              <w:top w:val="single" w:sz="8" w:color="BFBFB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86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Notes and loans payable</w:t>
            </w:r>
          </w:p>
        </w:tc>
        <w:tc>
          <w:tcPr>
            <w:tcW w:w="1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$692</w:t>
            </w:r>
          </w:p>
        </w:tc>
        <w:tc>
          <w:tcPr>
            <w:tcW w:w="8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35,698</w:t>
            </w:r>
          </w:p>
        </w:tc>
        <w:tc>
          <w:tcPr>
            <w:tcW w:w="880" w:type="dxa"/>
            <w:vAlign w:val="bottom"/>
            <w:shd w:val="clear" w:color="auto" w:fill="BFBFBF"/>
          </w:tcPr>
          <w:p>
            <w:pPr>
              <w:spacing w:after="0"/>
              <w:rPr>
                <w:sz w:val="17"/>
                <w:szCs w:val="17"/>
                <w:color w:val="auto"/>
              </w:rPr>
            </w:pPr>
          </w:p>
        </w:tc>
        <w:tc>
          <w:tcPr>
            <w:tcW w:w="102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36,397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Accrued liabilities</w:t>
            </w:r>
          </w:p>
        </w:tc>
        <w:tc>
          <w:tcPr>
            <w:tcW w:w="1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100,006</w:t>
            </w:r>
          </w:p>
        </w:tc>
        <w:tc>
          <w:tcPr>
            <w:tcW w:w="8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112,331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Current maturities of long-term debt</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1,265</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3,764</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0"/>
              <w:spacing w:after="0"/>
              <w:rPr>
                <w:sz w:val="20"/>
                <w:szCs w:val="20"/>
                <w:color w:val="auto"/>
              </w:rPr>
            </w:pPr>
            <w:r>
              <w:rPr>
                <w:rFonts w:ascii="Arial" w:cs="Arial" w:eastAsia="Arial" w:hAnsi="Arial"/>
                <w:sz w:val="18"/>
                <w:szCs w:val="18"/>
                <w:color w:val="auto"/>
              </w:rPr>
              <w:t>Income taxes payable and deferred</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4,378</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top w:val="single" w:sz="8" w:color="BFBFBF"/>
            </w:tcBorders>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86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142,039</w:t>
            </w:r>
          </w:p>
        </w:tc>
        <w:tc>
          <w:tcPr>
            <w:tcW w:w="100" w:type="dxa"/>
            <w:vAlign w:val="bottom"/>
            <w:tcBorders>
              <w:top w:val="single" w:sz="8" w:color="BFBFBF"/>
            </w:tcBorders>
            <w:shd w:val="clear" w:color="auto" w:fill="BFBFBF"/>
          </w:tcPr>
          <w:p>
            <w:pPr>
              <w:spacing w:after="0"/>
              <w:rPr>
                <w:sz w:val="17"/>
                <w:szCs w:val="17"/>
                <w:color w:val="auto"/>
              </w:rPr>
            </w:pPr>
          </w:p>
        </w:tc>
        <w:tc>
          <w:tcPr>
            <w:tcW w:w="880" w:type="dxa"/>
            <w:vAlign w:val="bottom"/>
            <w:tcBorders>
              <w:top w:val="single" w:sz="8" w:color="BFBFBF"/>
            </w:tcBorders>
            <w:shd w:val="clear" w:color="auto" w:fill="BFBFBF"/>
          </w:tcPr>
          <w:p>
            <w:pPr>
              <w:spacing w:after="0"/>
              <w:rPr>
                <w:sz w:val="17"/>
                <w:szCs w:val="17"/>
                <w:color w:val="auto"/>
              </w:rPr>
            </w:pPr>
          </w:p>
        </w:tc>
        <w:tc>
          <w:tcPr>
            <w:tcW w:w="940" w:type="dxa"/>
            <w:vAlign w:val="bottom"/>
            <w:tcBorders>
              <w:top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158,508</w:t>
            </w: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Long-term debt</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283,104</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300,111</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liabilities</w:t>
            </w:r>
          </w:p>
        </w:tc>
        <w:tc>
          <w:tcPr>
            <w:tcW w:w="1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100,940</w:t>
            </w:r>
          </w:p>
        </w:tc>
        <w:tc>
          <w:tcPr>
            <w:tcW w:w="8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106,014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BFBFBF"/>
          </w:tcPr>
          <w:p>
            <w:pPr>
              <w:ind w:left="80"/>
              <w:spacing w:after="0"/>
              <w:rPr>
                <w:sz w:val="20"/>
                <w:szCs w:val="20"/>
                <w:color w:val="auto"/>
              </w:rPr>
            </w:pPr>
            <w:r>
              <w:rPr>
                <w:rFonts w:ascii="Arial" w:cs="Arial" w:eastAsia="Arial" w:hAnsi="Arial"/>
                <w:sz w:val="18"/>
                <w:szCs w:val="18"/>
                <w:color w:val="auto"/>
              </w:rPr>
              <w:t>Deferred taxes and other credits</w:t>
            </w:r>
          </w:p>
        </w:tc>
        <w:tc>
          <w:tcPr>
            <w:tcW w:w="1880" w:type="dxa"/>
            <w:vAlign w:val="bottom"/>
            <w:gridSpan w:val="3"/>
            <w:shd w:val="clear" w:color="auto" w:fill="BFBFBF"/>
          </w:tcPr>
          <w:p>
            <w:pPr>
              <w:jc w:val="right"/>
              <w:ind w:right="100"/>
              <w:spacing w:after="0"/>
              <w:rPr>
                <w:sz w:val="20"/>
                <w:szCs w:val="20"/>
                <w:color w:val="auto"/>
              </w:rPr>
            </w:pPr>
            <w:r>
              <w:rPr>
                <w:rFonts w:ascii="Arial" w:cs="Arial" w:eastAsia="Arial" w:hAnsi="Arial"/>
                <w:sz w:val="18"/>
                <w:szCs w:val="18"/>
                <w:color w:val="auto"/>
              </w:rPr>
              <w:t>53,302</w:t>
            </w:r>
          </w:p>
        </w:tc>
        <w:tc>
          <w:tcPr>
            <w:tcW w:w="880" w:type="dxa"/>
            <w:vAlign w:val="bottom"/>
            <w:shd w:val="clear" w:color="auto" w:fill="BFBFBF"/>
          </w:tcPr>
          <w:p>
            <w:pPr>
              <w:spacing w:after="0"/>
              <w:rPr>
                <w:sz w:val="18"/>
                <w:szCs w:val="18"/>
                <w:color w:val="auto"/>
              </w:rPr>
            </w:pPr>
          </w:p>
        </w:tc>
        <w:tc>
          <w:tcPr>
            <w:tcW w:w="102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54,476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bottom w:val="single" w:sz="8" w:color="BFBFBF"/>
            </w:tcBorders>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BFBFB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579,385</w:t>
            </w:r>
          </w:p>
        </w:tc>
        <w:tc>
          <w:tcPr>
            <w:tcW w:w="100" w:type="dxa"/>
            <w:vAlign w:val="bottom"/>
            <w:tcBorders>
              <w:bottom w:val="single" w:sz="8" w:color="BFBFBF"/>
            </w:tcBorders>
          </w:tcPr>
          <w:p>
            <w:pPr>
              <w:spacing w:after="0"/>
              <w:rPr>
                <w:sz w:val="17"/>
                <w:szCs w:val="17"/>
                <w:color w:val="auto"/>
              </w:rPr>
            </w:pPr>
          </w:p>
        </w:tc>
        <w:tc>
          <w:tcPr>
            <w:tcW w:w="880" w:type="dxa"/>
            <w:vAlign w:val="bottom"/>
            <w:tcBorders>
              <w:bottom w:val="single" w:sz="8" w:color="BFBFB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619,109</w:t>
            </w:r>
          </w:p>
        </w:tc>
        <w:tc>
          <w:tcPr>
            <w:tcW w:w="8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20" w:type="dxa"/>
            <w:vAlign w:val="bottom"/>
            <w:shd w:val="clear" w:color="auto" w:fill="BFBFBF"/>
          </w:tcPr>
          <w:p>
            <w:pPr>
              <w:spacing w:after="0"/>
              <w:rPr>
                <w:sz w:val="17"/>
                <w:szCs w:val="17"/>
                <w:color w:val="auto"/>
              </w:rPr>
            </w:pPr>
          </w:p>
        </w:tc>
        <w:tc>
          <w:tcPr>
            <w:tcW w:w="86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rPr>
              <w:t>SHAREHOLDERS' EQUITY</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2" w:lineRule="exact"/>
              <w:rPr>
                <w:sz w:val="20"/>
                <w:szCs w:val="20"/>
                <w:color w:val="auto"/>
              </w:rPr>
            </w:pPr>
            <w:r>
              <w:rPr>
                <w:rFonts w:ascii="Arial" w:cs="Arial" w:eastAsia="Arial" w:hAnsi="Arial"/>
                <w:sz w:val="18"/>
                <w:szCs w:val="18"/>
                <w:color w:val="auto"/>
              </w:rPr>
              <w:t>Preferred stock, par value $5.00 per share;</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180"/>
              <w:spacing w:after="0" w:line="203" w:lineRule="exact"/>
              <w:rPr>
                <w:sz w:val="20"/>
                <w:szCs w:val="20"/>
                <w:color w:val="auto"/>
              </w:rPr>
            </w:pPr>
            <w:r>
              <w:rPr>
                <w:rFonts w:ascii="Arial" w:cs="Arial" w:eastAsia="Arial" w:hAnsi="Arial"/>
                <w:sz w:val="18"/>
                <w:szCs w:val="18"/>
                <w:color w:val="auto"/>
              </w:rPr>
              <w:t>authorized 2,000,000 shares; none issued</w:t>
            </w:r>
          </w:p>
        </w:tc>
        <w:tc>
          <w:tcPr>
            <w:tcW w:w="188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86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authorized 100,000,000 shares; issued</w:t>
            </w:r>
          </w:p>
        </w:tc>
        <w:tc>
          <w:tcPr>
            <w:tcW w:w="86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180"/>
              <w:spacing w:after="0" w:line="203" w:lineRule="exact"/>
              <w:rPr>
                <w:sz w:val="20"/>
                <w:szCs w:val="20"/>
                <w:color w:val="auto"/>
              </w:rPr>
            </w:pPr>
            <w:r>
              <w:rPr>
                <w:rFonts w:ascii="Arial" w:cs="Arial" w:eastAsia="Arial" w:hAnsi="Arial"/>
                <w:sz w:val="18"/>
                <w:szCs w:val="18"/>
                <w:color w:val="auto"/>
              </w:rPr>
              <w:t>37,064,939 in 2014 and 36,997,277 in 2013</w:t>
            </w:r>
          </w:p>
        </w:tc>
        <w:tc>
          <w:tcPr>
            <w:tcW w:w="1880" w:type="dxa"/>
            <w:vAlign w:val="bottom"/>
            <w:gridSpan w:val="3"/>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37</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3" w:lineRule="exact"/>
              <w:rPr>
                <w:sz w:val="20"/>
                <w:szCs w:val="20"/>
                <w:color w:val="auto"/>
              </w:rPr>
            </w:pPr>
            <w:r>
              <w:rPr>
                <w:rFonts w:ascii="Arial" w:cs="Arial" w:eastAsia="Arial" w:hAnsi="Arial"/>
                <w:sz w:val="18"/>
                <w:szCs w:val="18"/>
                <w:color w:val="auto"/>
              </w:rPr>
              <w:t>37</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8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180"/>
              <w:spacing w:after="0" w:line="202" w:lineRule="exact"/>
              <w:rPr>
                <w:sz w:val="20"/>
                <w:szCs w:val="20"/>
                <w:color w:val="auto"/>
              </w:rPr>
            </w:pPr>
            <w:r>
              <w:rPr>
                <w:rFonts w:ascii="Arial" w:cs="Arial" w:eastAsia="Arial" w:hAnsi="Arial"/>
                <w:sz w:val="18"/>
                <w:szCs w:val="18"/>
                <w:color w:val="auto"/>
              </w:rPr>
              <w:t>authorized 25,000,000 shares; issued and</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180"/>
              <w:spacing w:after="0" w:line="203" w:lineRule="exact"/>
              <w:rPr>
                <w:sz w:val="20"/>
                <w:szCs w:val="20"/>
                <w:color w:val="auto"/>
              </w:rPr>
            </w:pPr>
            <w:r>
              <w:rPr>
                <w:rFonts w:ascii="Arial" w:cs="Arial" w:eastAsia="Arial" w:hAnsi="Arial"/>
                <w:sz w:val="18"/>
                <w:szCs w:val="18"/>
                <w:color w:val="auto"/>
              </w:rPr>
              <w:t>outstanding 3,235,048 in 2014 and 3,235,048 in 2013</w:t>
            </w:r>
          </w:p>
        </w:tc>
        <w:tc>
          <w:tcPr>
            <w:tcW w:w="188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3</w:t>
            </w:r>
          </w:p>
        </w:tc>
        <w:tc>
          <w:tcPr>
            <w:tcW w:w="8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88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418,117</w:t>
            </w:r>
          </w:p>
        </w:tc>
        <w:tc>
          <w:tcPr>
            <w:tcW w:w="880" w:type="dxa"/>
            <w:vAlign w:val="bottom"/>
            <w:shd w:val="clear" w:color="auto" w:fill="BFBFBF"/>
          </w:tcPr>
          <w:p>
            <w:pPr>
              <w:spacing w:after="0"/>
              <w:rPr>
                <w:sz w:val="17"/>
                <w:szCs w:val="17"/>
                <w:color w:val="auto"/>
              </w:rPr>
            </w:pPr>
          </w:p>
        </w:tc>
        <w:tc>
          <w:tcPr>
            <w:tcW w:w="9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416,728</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80"/>
              <w:spacing w:after="0" w:line="201" w:lineRule="exact"/>
              <w:rPr>
                <w:sz w:val="20"/>
                <w:szCs w:val="20"/>
                <w:color w:val="auto"/>
              </w:rPr>
            </w:pPr>
            <w:r>
              <w:rPr>
                <w:rFonts w:ascii="Arial" w:cs="Arial" w:eastAsia="Arial" w:hAnsi="Arial"/>
                <w:sz w:val="18"/>
                <w:szCs w:val="18"/>
                <w:color w:val="auto"/>
              </w:rPr>
              <w:t>Retained earnings</w:t>
            </w:r>
          </w:p>
        </w:tc>
        <w:tc>
          <w:tcPr>
            <w:tcW w:w="18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446,570</w:t>
            </w:r>
          </w:p>
        </w:tc>
        <w:tc>
          <w:tcPr>
            <w:tcW w:w="8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434,598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80"/>
              <w:spacing w:after="0" w:line="203" w:lineRule="exact"/>
              <w:rPr>
                <w:sz w:val="20"/>
                <w:szCs w:val="20"/>
                <w:color w:val="auto"/>
              </w:rPr>
            </w:pPr>
            <w:r>
              <w:rPr>
                <w:rFonts w:ascii="Arial" w:cs="Arial" w:eastAsia="Arial" w:hAnsi="Arial"/>
                <w:sz w:val="18"/>
                <w:szCs w:val="18"/>
                <w:color w:val="auto"/>
              </w:rPr>
              <w:t>Accumulated items of other comprehensive income:</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Translation adjustments</w:t>
            </w:r>
          </w:p>
        </w:tc>
        <w:tc>
          <w:tcPr>
            <w:tcW w:w="188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(1,976)</w:t>
            </w:r>
          </w:p>
        </w:tc>
        <w:tc>
          <w:tcPr>
            <w:tcW w:w="880" w:type="dxa"/>
            <w:vAlign w:val="bottom"/>
            <w:shd w:val="clear" w:color="auto" w:fill="BFBFBF"/>
          </w:tcPr>
          <w:p>
            <w:pPr>
              <w:spacing w:after="0"/>
              <w:rPr>
                <w:sz w:val="17"/>
                <w:szCs w:val="17"/>
                <w:color w:val="auto"/>
              </w:rPr>
            </w:pPr>
          </w:p>
        </w:tc>
        <w:tc>
          <w:tcPr>
            <w:tcW w:w="102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1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8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(48,205)</w:t>
            </w:r>
          </w:p>
        </w:tc>
        <w:tc>
          <w:tcPr>
            <w:tcW w:w="8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188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(1,199)</w:t>
            </w:r>
          </w:p>
        </w:tc>
        <w:tc>
          <w:tcPr>
            <w:tcW w:w="880" w:type="dxa"/>
            <w:vAlign w:val="bottom"/>
            <w:shd w:val="clear" w:color="auto" w:fill="BFBFBF"/>
          </w:tcPr>
          <w:p>
            <w:pPr>
              <w:spacing w:after="0"/>
              <w:rPr>
                <w:sz w:val="17"/>
                <w:szCs w:val="17"/>
                <w:color w:val="auto"/>
              </w:rPr>
            </w:pPr>
          </w:p>
        </w:tc>
        <w:tc>
          <w:tcPr>
            <w:tcW w:w="102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80"/>
              <w:spacing w:after="0" w:line="201" w:lineRule="exact"/>
              <w:rPr>
                <w:sz w:val="20"/>
                <w:szCs w:val="20"/>
                <w:color w:val="auto"/>
              </w:rPr>
            </w:pPr>
            <w:r>
              <w:rPr>
                <w:rFonts w:ascii="Arial" w:cs="Arial" w:eastAsia="Arial" w:hAnsi="Arial"/>
                <w:sz w:val="18"/>
                <w:szCs w:val="18"/>
                <w:color w:val="auto"/>
              </w:rPr>
              <w:t>Treasury stock (Class A), at cost 8,459,498 shares</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in 2014 and 8,463,635 in 2013</w:t>
            </w: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(257,481)</w:t>
            </w:r>
          </w:p>
        </w:tc>
        <w:tc>
          <w:tcPr>
            <w:tcW w:w="8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(257,571)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top w:val="single" w:sz="8" w:color="BFBFBF"/>
            </w:tcBorders>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Company shareholders' equity</w:t>
            </w:r>
          </w:p>
        </w:tc>
        <w:tc>
          <w:tcPr>
            <w:tcW w:w="86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555,866</w:t>
            </w:r>
          </w:p>
        </w:tc>
        <w:tc>
          <w:tcPr>
            <w:tcW w:w="100" w:type="dxa"/>
            <w:vAlign w:val="bottom"/>
            <w:tcBorders>
              <w:top w:val="single" w:sz="8" w:color="BFBFBF"/>
            </w:tcBorders>
            <w:shd w:val="clear" w:color="auto" w:fill="BFBFBF"/>
          </w:tcPr>
          <w:p>
            <w:pPr>
              <w:spacing w:after="0"/>
              <w:rPr>
                <w:sz w:val="17"/>
                <w:szCs w:val="17"/>
                <w:color w:val="auto"/>
              </w:rPr>
            </w:pPr>
          </w:p>
        </w:tc>
        <w:tc>
          <w:tcPr>
            <w:tcW w:w="880" w:type="dxa"/>
            <w:vAlign w:val="bottom"/>
            <w:tcBorders>
              <w:top w:val="single" w:sz="8" w:color="BFBFBF"/>
            </w:tcBorders>
            <w:shd w:val="clear" w:color="auto" w:fill="BFBFBF"/>
          </w:tcPr>
          <w:p>
            <w:pPr>
              <w:spacing w:after="0"/>
              <w:rPr>
                <w:sz w:val="17"/>
                <w:szCs w:val="17"/>
                <w:color w:val="auto"/>
              </w:rPr>
            </w:pPr>
          </w:p>
        </w:tc>
        <w:tc>
          <w:tcPr>
            <w:tcW w:w="940" w:type="dxa"/>
            <w:vAlign w:val="bottom"/>
            <w:tcBorders>
              <w:top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544,297</w:t>
            </w: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0"/>
              <w:spacing w:after="0"/>
              <w:rPr>
                <w:sz w:val="20"/>
                <w:szCs w:val="20"/>
                <w:color w:val="auto"/>
              </w:rPr>
            </w:pPr>
            <w:r>
              <w:rPr>
                <w:rFonts w:ascii="Arial" w:cs="Arial" w:eastAsia="Arial" w:hAnsi="Arial"/>
                <w:sz w:val="18"/>
                <w:szCs w:val="18"/>
                <w:color w:val="auto"/>
              </w:rPr>
              <w:t>Noncontrolling interest</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3,512</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top w:val="single" w:sz="8" w:color="BFBFBF"/>
            </w:tcBorders>
            <w:shd w:val="clear" w:color="auto" w:fill="BFBFBF"/>
          </w:tcPr>
          <w:p>
            <w:pPr>
              <w:ind w:left="40"/>
              <w:spacing w:after="0" w:line="196" w:lineRule="exact"/>
              <w:rPr>
                <w:sz w:val="20"/>
                <w:szCs w:val="20"/>
                <w:color w:val="auto"/>
              </w:rPr>
            </w:pPr>
            <w:r>
              <w:rPr>
                <w:rFonts w:ascii="Arial" w:cs="Arial" w:eastAsia="Arial" w:hAnsi="Arial"/>
                <w:sz w:val="18"/>
                <w:szCs w:val="18"/>
                <w:color w:val="auto"/>
              </w:rPr>
              <w:t>Total equity</w:t>
            </w:r>
          </w:p>
        </w:tc>
        <w:tc>
          <w:tcPr>
            <w:tcW w:w="86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559,378</w:t>
            </w:r>
          </w:p>
        </w:tc>
        <w:tc>
          <w:tcPr>
            <w:tcW w:w="100" w:type="dxa"/>
            <w:vAlign w:val="bottom"/>
            <w:tcBorders>
              <w:top w:val="single" w:sz="8" w:color="BFBFBF"/>
            </w:tcBorders>
            <w:shd w:val="clear" w:color="auto" w:fill="BFBFBF"/>
          </w:tcPr>
          <w:p>
            <w:pPr>
              <w:spacing w:after="0"/>
              <w:rPr>
                <w:sz w:val="17"/>
                <w:szCs w:val="17"/>
                <w:color w:val="auto"/>
              </w:rPr>
            </w:pPr>
          </w:p>
        </w:tc>
        <w:tc>
          <w:tcPr>
            <w:tcW w:w="880" w:type="dxa"/>
            <w:vAlign w:val="bottom"/>
            <w:tcBorders>
              <w:top w:val="single" w:sz="8" w:color="BFBFBF"/>
            </w:tcBorders>
            <w:shd w:val="clear" w:color="auto" w:fill="BFBFBF"/>
          </w:tcPr>
          <w:p>
            <w:pPr>
              <w:spacing w:after="0"/>
              <w:rPr>
                <w:sz w:val="17"/>
                <w:szCs w:val="17"/>
                <w:color w:val="auto"/>
              </w:rPr>
            </w:pPr>
          </w:p>
        </w:tc>
        <w:tc>
          <w:tcPr>
            <w:tcW w:w="940" w:type="dxa"/>
            <w:vAlign w:val="bottom"/>
            <w:tcBorders>
              <w:top w:val="single" w:sz="8" w:color="auto"/>
              <w:bottom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547,779</w:t>
            </w: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28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1,138,763</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1,166,888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60" w:type="dxa"/>
            <w:vAlign w:val="bottom"/>
            <w:gridSpan w:val="5"/>
          </w:tcPr>
          <w:p>
            <w:pPr>
              <w:jc w:val="center"/>
              <w:ind w:right="160"/>
              <w:spacing w:after="0"/>
              <w:rPr>
                <w:sz w:val="20"/>
                <w:szCs w:val="20"/>
                <w:color w:val="auto"/>
              </w:rPr>
            </w:pPr>
            <w:r>
              <w:rPr>
                <w:rFonts w:ascii="Arial" w:cs="Arial" w:eastAsia="Arial" w:hAnsi="Arial"/>
                <w:sz w:val="18"/>
                <w:szCs w:val="18"/>
                <w:color w:val="auto"/>
                <w:w w:val="99"/>
              </w:rPr>
              <w:t>Three Months Ended</w:t>
            </w:r>
          </w:p>
        </w:tc>
        <w:tc>
          <w:tcPr>
            <w:tcW w:w="6760" w:type="dxa"/>
            <w:vAlign w:val="bottom"/>
          </w:tcPr>
          <w:p>
            <w:pPr>
              <w:spacing w:after="0"/>
              <w:rPr>
                <w:sz w:val="18"/>
                <w:szCs w:val="18"/>
                <w:color w:val="auto"/>
              </w:rPr>
            </w:pPr>
          </w:p>
        </w:tc>
        <w:tc>
          <w:tcPr>
            <w:tcW w:w="2300" w:type="dxa"/>
            <w:vAlign w:val="bottom"/>
            <w:gridSpan w:val="4"/>
          </w:tcPr>
          <w:p>
            <w:pPr>
              <w:jc w:val="center"/>
              <w:ind w:right="30"/>
              <w:spacing w:after="0"/>
              <w:rPr>
                <w:sz w:val="20"/>
                <w:szCs w:val="20"/>
                <w:color w:val="auto"/>
              </w:rPr>
            </w:pPr>
            <w:r>
              <w:rPr>
                <w:rFonts w:ascii="Arial" w:cs="Arial" w:eastAsia="Arial" w:hAnsi="Arial"/>
                <w:sz w:val="18"/>
                <w:szCs w:val="18"/>
                <w:color w:val="auto"/>
                <w:w w:val="99"/>
              </w:rPr>
              <w:t>Six Months Ended</w:t>
            </w:r>
          </w:p>
        </w:tc>
      </w:tr>
      <w:tr>
        <w:trPr>
          <w:trHeight w:val="243"/>
        </w:trPr>
        <w:tc>
          <w:tcPr>
            <w:tcW w:w="1500" w:type="dxa"/>
            <w:vAlign w:val="bottom"/>
            <w:gridSpan w:val="3"/>
          </w:tcPr>
          <w:p>
            <w:pPr>
              <w:jc w:val="center"/>
              <w:ind w:left="630"/>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1500" w:type="dxa"/>
            <w:vAlign w:val="bottom"/>
            <w:gridSpan w:val="3"/>
          </w:tcPr>
          <w:p>
            <w:pPr>
              <w:jc w:val="center"/>
              <w:ind w:left="610"/>
              <w:spacing w:after="0"/>
              <w:rPr>
                <w:sz w:val="20"/>
                <w:szCs w:val="20"/>
                <w:color w:val="auto"/>
              </w:rPr>
            </w:pPr>
            <w:r>
              <w:rPr>
                <w:rFonts w:ascii="Arial" w:cs="Arial" w:eastAsia="Arial" w:hAnsi="Arial"/>
                <w:sz w:val="18"/>
                <w:szCs w:val="18"/>
                <w:color w:val="auto"/>
                <w:w w:val="98"/>
              </w:rPr>
              <w:t>June 30,</w:t>
            </w:r>
          </w:p>
        </w:tc>
        <w:tc>
          <w:tcPr>
            <w:tcW w:w="800" w:type="dxa"/>
            <w:vAlign w:val="bottom"/>
          </w:tcPr>
          <w:p>
            <w:pPr>
              <w:spacing w:after="0"/>
              <w:rPr>
                <w:sz w:val="21"/>
                <w:szCs w:val="21"/>
                <w:color w:val="auto"/>
              </w:rPr>
            </w:pPr>
          </w:p>
        </w:tc>
      </w:tr>
      <w:tr>
        <w:trPr>
          <w:trHeight w:val="716"/>
        </w:trPr>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r>
      <w:tr>
        <w:trPr>
          <w:trHeight w:val="237"/>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tcPr>
          <w:p>
            <w:pPr>
              <w:ind w:left="6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$11,177</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6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($7,379)</w:t>
            </w:r>
          </w:p>
        </w:tc>
        <w:tc>
          <w:tcPr>
            <w:tcW w:w="6760" w:type="dxa"/>
            <w:vAlign w:val="bottom"/>
            <w:shd w:val="clear" w:color="auto" w:fill="BFBFBF"/>
          </w:tcPr>
          <w:p>
            <w:pPr>
              <w:ind w:left="60"/>
              <w:spacing w:after="0"/>
              <w:rPr>
                <w:sz w:val="20"/>
                <w:szCs w:val="20"/>
                <w:color w:val="auto"/>
              </w:rPr>
            </w:pPr>
            <w:r>
              <w:rPr>
                <w:rFonts w:ascii="Arial" w:cs="Arial" w:eastAsia="Arial" w:hAnsi="Arial"/>
                <w:sz w:val="18"/>
                <w:szCs w:val="18"/>
                <w:color w:val="auto"/>
              </w:rPr>
              <w:t>Net income/(loss)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$21,870</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$4,132</w:t>
            </w:r>
          </w:p>
        </w:tc>
      </w:tr>
      <w:tr>
        <w:trPr>
          <w:trHeight w:val="243"/>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760" w:type="dxa"/>
            <w:vAlign w:val="bottom"/>
          </w:tcPr>
          <w:p>
            <w:pPr>
              <w:ind w:left="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14,276</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14,427</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Depreciation</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28,383</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28,638</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1,821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1,654</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3,622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3,317</w:t>
            </w: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2,946</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(7,864)</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Change in long-term liabilities, deferred taxes and other credits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2,732</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(3,991)</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Provision for write-off of property, 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Gain on disposition or involuntary conversion of assets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(3,763)</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Excess tax benefit of options 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Compensation and benefits paid or payable in Class A Common Stock</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(1,174)</w:t>
            </w:r>
          </w:p>
        </w:tc>
      </w:tr>
      <w:tr>
        <w:trPr>
          <w:trHeight w:val="44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60" w:type="dxa"/>
            <w:vAlign w:val="bottom"/>
          </w:tcPr>
          <w:p>
            <w:pPr>
              <w:ind w:left="60"/>
              <w:spacing w:after="0"/>
              <w:rPr>
                <w:sz w:val="20"/>
                <w:szCs w:val="20"/>
                <w:color w:val="auto"/>
              </w:rPr>
            </w:pPr>
            <w:r>
              <w:rPr>
                <w:rFonts w:ascii="Arial" w:cs="Arial" w:eastAsia="Arial" w:hAnsi="Arial"/>
                <w:sz w:val="18"/>
                <w:szCs w:val="18"/>
                <w:color w:val="auto"/>
              </w:rPr>
              <w:t>Changes in operating assets and liabilities that provide/(use) cash, net of business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60" w:type="dxa"/>
            <w:vAlign w:val="bottom"/>
          </w:tcPr>
          <w:p>
            <w:pPr>
              <w:ind w:left="60"/>
              <w:spacing w:after="0" w:line="203" w:lineRule="exact"/>
              <w:rPr>
                <w:sz w:val="20"/>
                <w:szCs w:val="20"/>
                <w:color w:val="auto"/>
              </w:rPr>
            </w:pPr>
            <w:r>
              <w:rPr>
                <w:rFonts w:ascii="Arial" w:cs="Arial" w:eastAsia="Arial" w:hAnsi="Arial"/>
                <w:sz w:val="18"/>
                <w:szCs w:val="18"/>
                <w:color w:val="auto"/>
              </w:rPr>
              <w:t>divestitures: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3,333</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(4,515)</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14,297</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(6,238)</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(1,963)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2,458</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020" w:type="dxa"/>
            <w:vAlign w:val="bottom"/>
          </w:tcPr>
          <w:p>
            <w:pPr>
              <w:jc w:val="right"/>
              <w:spacing w:after="0"/>
              <w:rPr>
                <w:sz w:val="20"/>
                <w:szCs w:val="20"/>
                <w:color w:val="auto"/>
              </w:rPr>
            </w:pPr>
            <w:r>
              <w:rPr>
                <w:rFonts w:ascii="Arial" w:cs="Arial" w:eastAsia="Arial" w:hAnsi="Arial"/>
                <w:sz w:val="18"/>
                <w:szCs w:val="18"/>
                <w:color w:val="auto"/>
              </w:rPr>
              <w:t>(10,959)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1,762</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1,544</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(2,033)</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Income taxes prepaid and receivable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555</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(1,139)</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(739)</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29,912</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(12,679)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20,929</w:t>
            </w: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Income taxes payable</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(4,877)</w:t>
            </w:r>
          </w:p>
        </w:tc>
      </w:tr>
      <w:tr>
        <w:trPr>
          <w:trHeight w:val="24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60" w:type="dxa"/>
            <w:vAlign w:val="bottom"/>
            <w:tcBorders>
              <w:bottom w:val="single" w:sz="8" w:color="BFBFBF"/>
            </w:tcBorders>
          </w:tcPr>
          <w:p>
            <w:pPr>
              <w:spacing w:after="0"/>
              <w:rPr>
                <w:sz w:val="21"/>
                <w:szCs w:val="21"/>
                <w:color w:val="auto"/>
              </w:rPr>
            </w:pPr>
          </w:p>
        </w:tc>
        <w:tc>
          <w:tcPr>
            <w:tcW w:w="67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2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32,689</w:t>
            </w:r>
          </w:p>
        </w:tc>
        <w:tc>
          <w:tcPr>
            <w:tcW w:w="240" w:type="dxa"/>
            <w:vAlign w:val="bottom"/>
          </w:tcPr>
          <w:p>
            <w:pPr>
              <w:spacing w:after="0"/>
              <w:rPr>
                <w:sz w:val="19"/>
                <w:szCs w:val="19"/>
                <w:color w:val="auto"/>
              </w:rPr>
            </w:pPr>
          </w:p>
        </w:tc>
        <w:tc>
          <w:tcPr>
            <w:tcW w:w="220" w:type="dxa"/>
            <w:vAlign w:val="bottom"/>
            <w:shd w:val="clear" w:color="auto" w:fill="BFBFBF"/>
          </w:tcPr>
          <w:p>
            <w:pPr>
              <w:spacing w:after="0"/>
              <w:rPr>
                <w:sz w:val="19"/>
                <w:szCs w:val="19"/>
                <w:color w:val="auto"/>
              </w:rPr>
            </w:pPr>
          </w:p>
        </w:tc>
        <w:tc>
          <w:tcPr>
            <w:tcW w:w="86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28,147</w:t>
            </w: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41,537</w:t>
            </w:r>
          </w:p>
        </w:tc>
        <w:tc>
          <w:tcPr>
            <w:tcW w:w="260" w:type="dxa"/>
            <w:vAlign w:val="bottom"/>
          </w:tcPr>
          <w:p>
            <w:pPr>
              <w:spacing w:after="0"/>
              <w:rPr>
                <w:sz w:val="19"/>
                <w:szCs w:val="19"/>
                <w:color w:val="auto"/>
              </w:rPr>
            </w:pPr>
          </w:p>
        </w:tc>
        <w:tc>
          <w:tcPr>
            <w:tcW w:w="220" w:type="dxa"/>
            <w:vAlign w:val="bottom"/>
            <w:shd w:val="clear" w:color="auto" w:fill="BFBFBF"/>
          </w:tcPr>
          <w:p>
            <w:pPr>
              <w:spacing w:after="0"/>
              <w:rPr>
                <w:sz w:val="19"/>
                <w:szCs w:val="19"/>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32,308</w:t>
            </w:r>
          </w:p>
        </w:tc>
      </w:tr>
      <w:tr>
        <w:trPr>
          <w:trHeight w:val="480"/>
        </w:trPr>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6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(12,799)</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(14,620)</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(27,402)</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(27,808)</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Purchased software</w:t>
            </w: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43"/>
        </w:trPr>
        <w:tc>
          <w:tcPr>
            <w:tcW w:w="10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21"/>
                <w:szCs w:val="21"/>
                <w:color w:val="auto"/>
              </w:rPr>
            </w:pPr>
          </w:p>
        </w:tc>
        <w:tc>
          <w:tcPr>
            <w:tcW w:w="220" w:type="dxa"/>
            <w:vAlign w:val="bottom"/>
            <w:tcBorders>
              <w:bottom w:val="single" w:sz="8" w:color="auto"/>
            </w:tcBorders>
            <w:shd w:val="clear" w:color="auto" w:fill="BFBFBF"/>
          </w:tcPr>
          <w:p>
            <w:pPr>
              <w:spacing w:after="0"/>
              <w:rPr>
                <w:sz w:val="21"/>
                <w:szCs w:val="21"/>
                <w:color w:val="auto"/>
              </w:rPr>
            </w:pPr>
          </w:p>
        </w:tc>
        <w:tc>
          <w:tcPr>
            <w:tcW w:w="80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Proceeds from sale or involuntary conversion of assets</w:t>
            </w: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21"/>
                <w:szCs w:val="21"/>
                <w:color w:val="auto"/>
              </w:rPr>
            </w:pPr>
          </w:p>
        </w:tc>
        <w:tc>
          <w:tcPr>
            <w:tcW w:w="220" w:type="dxa"/>
            <w:vAlign w:val="bottom"/>
            <w:tcBorders>
              <w:bottom w:val="single" w:sz="8" w:color="auto"/>
            </w:tcBorders>
            <w:shd w:val="clear" w:color="auto" w:fill="BFBFBF"/>
          </w:tcPr>
          <w:p>
            <w:pPr>
              <w:spacing w:after="0"/>
              <w:rPr>
                <w:sz w:val="21"/>
                <w:szCs w:val="21"/>
                <w:color w:val="auto"/>
              </w:rPr>
            </w:pPr>
          </w:p>
        </w:tc>
        <w:tc>
          <w:tcPr>
            <w:tcW w:w="8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6,268</w:t>
            </w:r>
          </w:p>
        </w:tc>
      </w:tr>
      <w:tr>
        <w:trPr>
          <w:trHeight w:val="223"/>
        </w:trPr>
        <w:tc>
          <w:tcPr>
            <w:tcW w:w="1040" w:type="dxa"/>
            <w:vAlign w:val="bottom"/>
          </w:tcPr>
          <w:p>
            <w:pPr>
              <w:jc w:val="right"/>
              <w:spacing w:after="0"/>
              <w:rPr>
                <w:sz w:val="20"/>
                <w:szCs w:val="20"/>
                <w:color w:val="auto"/>
              </w:rPr>
            </w:pPr>
            <w:r>
              <w:rPr>
                <w:rFonts w:ascii="Arial" w:cs="Arial" w:eastAsia="Arial" w:hAnsi="Arial"/>
                <w:sz w:val="18"/>
                <w:szCs w:val="18"/>
                <w:color w:val="auto"/>
              </w:rPr>
              <w:t>(11,859)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(15,175)</w:t>
            </w:r>
          </w:p>
        </w:tc>
        <w:tc>
          <w:tcPr>
            <w:tcW w:w="676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(26,756)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(22,188)</w:t>
            </w:r>
          </w:p>
        </w:tc>
      </w:tr>
      <w:tr>
        <w:trPr>
          <w:trHeight w:val="480"/>
        </w:trPr>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60" w:type="dxa"/>
            <w:vAlign w:val="bottom"/>
          </w:tcPr>
          <w:p>
            <w:pPr>
              <w:ind w:left="6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6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5,037</w:t>
            </w: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Proceeds from borrowings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4,670</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51,905</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(17,593)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(18,476)</w:t>
            </w:r>
          </w:p>
        </w:tc>
        <w:tc>
          <w:tcPr>
            <w:tcW w:w="6760" w:type="dxa"/>
            <w:vAlign w:val="bottom"/>
          </w:tcPr>
          <w:p>
            <w:pPr>
              <w:ind w:left="140"/>
              <w:spacing w:after="0"/>
              <w:rPr>
                <w:sz w:val="20"/>
                <w:szCs w:val="20"/>
                <w:color w:val="auto"/>
              </w:rPr>
            </w:pPr>
            <w:r>
              <w:rPr>
                <w:rFonts w:ascii="Arial" w:cs="Arial" w:eastAsia="Arial" w:hAnsi="Arial"/>
                <w:sz w:val="18"/>
                <w:szCs w:val="18"/>
                <w:color w:val="auto"/>
              </w:rPr>
              <w:t>Principal payments on debt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(24,109)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(50,659)</w:t>
            </w: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1,004</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Proceeds from options exercised</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2,968</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1"/>
                <w:szCs w:val="21"/>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Excess tax benefit of options 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104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Debt acquisition costs</w:t>
            </w:r>
          </w:p>
        </w:tc>
        <w:tc>
          <w:tcPr>
            <w:tcW w:w="102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(1,639)</w:t>
            </w:r>
          </w:p>
        </w:tc>
      </w:tr>
      <w:tr>
        <w:trPr>
          <w:trHeight w:val="24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60" w:type="dxa"/>
            <w:vAlign w:val="bottom"/>
            <w:tcBorders>
              <w:bottom w:val="single" w:sz="8" w:color="BFBFBF"/>
            </w:tcBorders>
          </w:tcPr>
          <w:p>
            <w:pPr>
              <w:spacing w:after="0"/>
              <w:rPr>
                <w:sz w:val="21"/>
                <w:szCs w:val="21"/>
                <w:color w:val="auto"/>
              </w:rPr>
            </w:pPr>
          </w:p>
        </w:tc>
        <w:tc>
          <w:tcPr>
            <w:tcW w:w="676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Dividends paid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r>
      <w:tr>
        <w:trPr>
          <w:trHeight w:val="22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(21,765)</w:t>
            </w:r>
          </w:p>
        </w:tc>
        <w:tc>
          <w:tcPr>
            <w:tcW w:w="240" w:type="dxa"/>
            <w:vAlign w:val="bottom"/>
          </w:tcPr>
          <w:p>
            <w:pPr>
              <w:spacing w:after="0"/>
              <w:rPr>
                <w:sz w:val="19"/>
                <w:szCs w:val="19"/>
                <w:color w:val="auto"/>
              </w:rPr>
            </w:pPr>
          </w:p>
        </w:tc>
        <w:tc>
          <w:tcPr>
            <w:tcW w:w="220" w:type="dxa"/>
            <w:vAlign w:val="bottom"/>
            <w:shd w:val="clear" w:color="auto" w:fill="BFBFBF"/>
          </w:tcPr>
          <w:p>
            <w:pPr>
              <w:spacing w:after="0"/>
              <w:rPr>
                <w:sz w:val="19"/>
                <w:szCs w:val="19"/>
                <w:color w:val="auto"/>
              </w:rPr>
            </w:pPr>
          </w:p>
        </w:tc>
        <w:tc>
          <w:tcPr>
            <w:tcW w:w="86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(16,762)</w:t>
            </w:r>
          </w:p>
        </w:tc>
        <w:tc>
          <w:tcPr>
            <w:tcW w:w="67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(28,446)</w:t>
            </w:r>
          </w:p>
        </w:tc>
        <w:tc>
          <w:tcPr>
            <w:tcW w:w="260" w:type="dxa"/>
            <w:vAlign w:val="bottom"/>
          </w:tcPr>
          <w:p>
            <w:pPr>
              <w:spacing w:after="0"/>
              <w:rPr>
                <w:sz w:val="19"/>
                <w:szCs w:val="19"/>
                <w:color w:val="auto"/>
              </w:rPr>
            </w:pPr>
          </w:p>
        </w:tc>
        <w:tc>
          <w:tcPr>
            <w:tcW w:w="220" w:type="dxa"/>
            <w:vAlign w:val="bottom"/>
            <w:shd w:val="clear" w:color="auto" w:fill="BFBFBF"/>
          </w:tcPr>
          <w:p>
            <w:pPr>
              <w:spacing w:after="0"/>
              <w:rPr>
                <w:sz w:val="19"/>
                <w:szCs w:val="19"/>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(1,324)</w:t>
            </w:r>
          </w:p>
        </w:tc>
      </w:tr>
      <w:tr>
        <w:trPr>
          <w:trHeight w:val="237"/>
        </w:trPr>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43"/>
        </w:trPr>
        <w:tc>
          <w:tcPr>
            <w:tcW w:w="10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21"/>
                <w:szCs w:val="21"/>
                <w:color w:val="auto"/>
              </w:rPr>
            </w:pPr>
          </w:p>
        </w:tc>
        <w:tc>
          <w:tcPr>
            <w:tcW w:w="220" w:type="dxa"/>
            <w:vAlign w:val="bottom"/>
            <w:tcBorders>
              <w:bottom w:val="single" w:sz="8" w:color="auto"/>
            </w:tcBorders>
            <w:shd w:val="clear" w:color="auto" w:fill="BFBFBF"/>
          </w:tcPr>
          <w:p>
            <w:pPr>
              <w:spacing w:after="0"/>
              <w:rPr>
                <w:sz w:val="21"/>
                <w:szCs w:val="21"/>
                <w:color w:val="auto"/>
              </w:rPr>
            </w:pPr>
          </w:p>
        </w:tc>
        <w:tc>
          <w:tcPr>
            <w:tcW w:w="8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1,278</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60"/>
              <w:spacing w:after="0"/>
              <w:rPr>
                <w:sz w:val="20"/>
                <w:szCs w:val="20"/>
                <w:color w:val="auto"/>
              </w:rPr>
            </w:pPr>
            <w:r>
              <w:rPr>
                <w:rFonts w:ascii="Arial" w:cs="Arial" w:eastAsia="Arial" w:hAnsi="Arial"/>
                <w:sz w:val="18"/>
                <w:szCs w:val="18"/>
                <w:color w:val="auto"/>
              </w:rPr>
              <w:t>Effect of exchange rate changes on cash and cash equivalents</w:t>
            </w: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(2,165)</w:t>
            </w:r>
          </w:p>
        </w:tc>
        <w:tc>
          <w:tcPr>
            <w:tcW w:w="260" w:type="dxa"/>
            <w:vAlign w:val="bottom"/>
          </w:tcPr>
          <w:p>
            <w:pPr>
              <w:spacing w:after="0"/>
              <w:rPr>
                <w:sz w:val="21"/>
                <w:szCs w:val="21"/>
                <w:color w:val="auto"/>
              </w:rPr>
            </w:pPr>
          </w:p>
        </w:tc>
        <w:tc>
          <w:tcPr>
            <w:tcW w:w="220" w:type="dxa"/>
            <w:vAlign w:val="bottom"/>
            <w:tcBorders>
              <w:bottom w:val="single" w:sz="8" w:color="auto"/>
            </w:tcBorders>
            <w:shd w:val="clear" w:color="auto" w:fill="BFBFBF"/>
          </w:tcPr>
          <w:p>
            <w:pPr>
              <w:spacing w:after="0"/>
              <w:rPr>
                <w:sz w:val="21"/>
                <w:szCs w:val="21"/>
                <w:color w:val="auto"/>
              </w:rPr>
            </w:pPr>
          </w:p>
        </w:tc>
        <w:tc>
          <w:tcPr>
            <w:tcW w:w="8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(2,193)</w:t>
            </w:r>
          </w:p>
        </w:tc>
      </w:tr>
      <w:tr>
        <w:trPr>
          <w:trHeight w:val="237"/>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(2,512)</w:t>
            </w:r>
          </w:p>
        </w:tc>
        <w:tc>
          <w:tcPr>
            <w:tcW w:w="60" w:type="dxa"/>
            <w:vAlign w:val="bottom"/>
            <w:shd w:val="clear" w:color="auto" w:fill="BFBFBF"/>
          </w:tcPr>
          <w:p>
            <w:pPr>
              <w:spacing w:after="0"/>
              <w:rPr>
                <w:sz w:val="21"/>
                <w:szCs w:val="21"/>
                <w:color w:val="auto"/>
              </w:rPr>
            </w:pPr>
          </w:p>
        </w:tc>
        <w:tc>
          <w:tcPr>
            <w:tcW w:w="6760" w:type="dxa"/>
            <w:vAlign w:val="bottom"/>
            <w:shd w:val="clear" w:color="auto" w:fill="BFBFBF"/>
          </w:tcPr>
          <w:p>
            <w:pPr>
              <w:ind w:left="60"/>
              <w:spacing w:after="0"/>
              <w:rPr>
                <w:sz w:val="20"/>
                <w:szCs w:val="20"/>
                <w:color w:val="auto"/>
              </w:rPr>
            </w:pPr>
            <w:r>
              <w:rPr>
                <w:rFonts w:ascii="Arial" w:cs="Arial" w:eastAsia="Arial" w:hAnsi="Arial"/>
                <w:sz w:val="18"/>
                <w:szCs w:val="18"/>
                <w:color w:val="auto"/>
              </w:rPr>
              <w:t>(Decrease)/increase in cash and cash equivalents</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(15,830)</w:t>
            </w:r>
          </w:p>
        </w:tc>
        <w:tc>
          <w:tcPr>
            <w:tcW w:w="260" w:type="dxa"/>
            <w:vAlign w:val="bottom"/>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6,603</w:t>
            </w:r>
          </w:p>
        </w:tc>
      </w:tr>
      <w:tr>
        <w:trPr>
          <w:trHeight w:val="24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208,379</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199,833</w:t>
            </w:r>
          </w:p>
        </w:tc>
        <w:tc>
          <w:tcPr>
            <w:tcW w:w="60" w:type="dxa"/>
            <w:vAlign w:val="bottom"/>
            <w:tcBorders>
              <w:bottom w:val="single" w:sz="8" w:color="BFBFBF"/>
            </w:tcBorders>
          </w:tcPr>
          <w:p>
            <w:pPr>
              <w:spacing w:after="0"/>
              <w:rPr>
                <w:sz w:val="21"/>
                <w:szCs w:val="21"/>
                <w:color w:val="auto"/>
              </w:rPr>
            </w:pPr>
          </w:p>
        </w:tc>
        <w:tc>
          <w:tcPr>
            <w:tcW w:w="6760" w:type="dxa"/>
            <w:vAlign w:val="bottom"/>
            <w:tcBorders>
              <w:bottom w:val="single" w:sz="8" w:color="BFBFBF"/>
            </w:tcBorders>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222,666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190,718</w:t>
            </w:r>
          </w:p>
        </w:tc>
      </w:tr>
      <w:tr>
        <w:trPr>
          <w:trHeight w:val="210"/>
        </w:trPr>
        <w:tc>
          <w:tcPr>
            <w:tcW w:w="10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$206,836</w:t>
            </w:r>
          </w:p>
        </w:tc>
        <w:tc>
          <w:tcPr>
            <w:tcW w:w="240" w:type="dxa"/>
            <w:vAlign w:val="bottom"/>
          </w:tcPr>
          <w:p>
            <w:pPr>
              <w:spacing w:after="0"/>
              <w:rPr>
                <w:sz w:val="18"/>
                <w:szCs w:val="18"/>
                <w:color w:val="auto"/>
              </w:rPr>
            </w:pPr>
          </w:p>
        </w:tc>
        <w:tc>
          <w:tcPr>
            <w:tcW w:w="220" w:type="dxa"/>
            <w:vAlign w:val="bottom"/>
            <w:shd w:val="clear" w:color="auto" w:fill="BFBFBF"/>
          </w:tcPr>
          <w:p>
            <w:pPr>
              <w:spacing w:after="0"/>
              <w:rPr>
                <w:sz w:val="18"/>
                <w:szCs w:val="18"/>
                <w:color w:val="auto"/>
              </w:rPr>
            </w:pPr>
          </w:p>
        </w:tc>
        <w:tc>
          <w:tcPr>
            <w:tcW w:w="86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$197,321</w:t>
            </w:r>
          </w:p>
        </w:tc>
        <w:tc>
          <w:tcPr>
            <w:tcW w:w="6760" w:type="dxa"/>
            <w:vAlign w:val="bottom"/>
            <w:shd w:val="clear" w:color="auto" w:fill="BFBFB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$206,836</w:t>
            </w:r>
          </w:p>
        </w:tc>
        <w:tc>
          <w:tcPr>
            <w:tcW w:w="260" w:type="dxa"/>
            <w:vAlign w:val="bottom"/>
          </w:tcPr>
          <w:p>
            <w:pPr>
              <w:spacing w:after="0"/>
              <w:rPr>
                <w:sz w:val="18"/>
                <w:szCs w:val="18"/>
                <w:color w:val="auto"/>
              </w:rPr>
            </w:pPr>
          </w:p>
        </w:tc>
        <w:tc>
          <w:tcPr>
            <w:tcW w:w="220" w:type="dxa"/>
            <w:vAlign w:val="bottom"/>
            <w:shd w:val="clear" w:color="auto" w:fill="BFBFBF"/>
          </w:tcPr>
          <w:p>
            <w:pPr>
              <w:spacing w:after="0"/>
              <w:rPr>
                <w:sz w:val="18"/>
                <w:szCs w:val="18"/>
                <w:color w:val="auto"/>
              </w:rPr>
            </w:pPr>
          </w:p>
        </w:tc>
        <w:tc>
          <w:tcPr>
            <w:tcW w:w="8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$197,321</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BFBFBF"/>
            </w:tcBorders>
          </w:tcPr>
          <w:p>
            <w:pPr>
              <w:spacing w:after="0" w:line="20" w:lineRule="exact"/>
              <w:rPr>
                <w:sz w:val="1"/>
                <w:szCs w:val="1"/>
                <w:color w:val="auto"/>
              </w:rPr>
            </w:pPr>
          </w:p>
        </w:tc>
        <w:tc>
          <w:tcPr>
            <w:tcW w:w="6760" w:type="dxa"/>
            <w:vAlign w:val="bottom"/>
            <w:tcBorders>
              <w:top w:val="single" w:sz="8" w:color="BFBFB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77" w:right="239" w:bottom="856"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ALBANY INTERNATIONAL CORP.</w:t>
      </w:r>
    </w:p>
    <w:p>
      <w:pPr>
        <w:jc w:val="center"/>
        <w:ind w:right="-1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26" w:lineRule="exact"/>
        <w:rPr>
          <w:sz w:val="20"/>
          <w:szCs w:val="20"/>
          <w:color w:val="auto"/>
        </w:rPr>
      </w:pPr>
    </w:p>
    <w:p>
      <w:pPr>
        <w:ind w:right="80" w:firstLine="360"/>
        <w:spacing w:after="0" w:line="236"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fiscal year ended December 31, 2013.</w:t>
      </w:r>
    </w:p>
    <w:p>
      <w:pPr>
        <w:spacing w:after="0" w:line="100"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Noncontrolling Interest</w:t>
      </w:r>
    </w:p>
    <w:p>
      <w:pPr>
        <w:spacing w:after="0" w:line="126" w:lineRule="exact"/>
        <w:rPr>
          <w:sz w:val="20"/>
          <w:szCs w:val="20"/>
          <w:color w:val="auto"/>
        </w:rPr>
      </w:pPr>
    </w:p>
    <w:p>
      <w:pPr>
        <w:ind w:right="200" w:firstLine="360"/>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97"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94" w:lineRule="exact"/>
        <w:rPr>
          <w:sz w:val="20"/>
          <w:szCs w:val="20"/>
          <w:color w:val="auto"/>
        </w:rPr>
      </w:pPr>
    </w:p>
    <w:p>
      <w:pPr>
        <w:ind w:right="140" w:firstLine="360"/>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7" w:name="page8"/>
    <w:bookmarkEnd w:id="7"/>
    <w:p>
      <w:pPr>
        <w:ind w:left="3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(in thousands, except percentages)</w:t>
            </w:r>
          </w:p>
        </w:tc>
        <w:tc>
          <w:tcPr>
            <w:tcW w:w="3600" w:type="dxa"/>
            <w:vAlign w:val="bottom"/>
            <w:tcBorders>
              <w:top w:val="single" w:sz="8" w:color="auto"/>
            </w:tcBorders>
          </w:tcPr>
          <w:p>
            <w:pPr>
              <w:jc w:val="right"/>
              <w:ind w:right="390"/>
              <w:spacing w:after="0" w:line="194" w:lineRule="exact"/>
              <w:rPr>
                <w:sz w:val="20"/>
                <w:szCs w:val="20"/>
                <w:color w:val="auto"/>
              </w:rPr>
            </w:pPr>
            <w:r>
              <w:rPr>
                <w:rFonts w:ascii="Arial" w:cs="Arial" w:eastAsia="Arial" w:hAnsi="Arial"/>
                <w:sz w:val="18"/>
                <w:szCs w:val="18"/>
                <w:b w:val="1"/>
                <w:bCs w:val="1"/>
                <w:color w:val="auto"/>
              </w:rPr>
              <w:t>Six months ended</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3640" w:type="dxa"/>
            <w:vAlign w:val="bottom"/>
            <w:gridSpan w:val="3"/>
          </w:tcPr>
          <w:p>
            <w:pPr>
              <w:ind w:left="1800"/>
              <w:spacing w:after="0"/>
              <w:rPr>
                <w:sz w:val="20"/>
                <w:szCs w:val="20"/>
                <w:color w:val="auto"/>
              </w:rPr>
            </w:pPr>
            <w:r>
              <w:rPr>
                <w:rFonts w:ascii="Arial" w:cs="Arial" w:eastAsia="Arial" w:hAnsi="Arial"/>
                <w:sz w:val="18"/>
                <w:szCs w:val="18"/>
                <w:b w:val="1"/>
                <w:bCs w:val="1"/>
                <w:color w:val="auto"/>
              </w:rPr>
              <w:t>June 30, 2014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income of ASC</w:t>
            </w:r>
          </w:p>
        </w:tc>
        <w:tc>
          <w:tcPr>
            <w:tcW w:w="36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$801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3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173"/>
        </w:trPr>
        <w:tc>
          <w:tcPr>
            <w:tcW w:w="782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362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8"/>
                <w:szCs w:val="18"/>
                <w:b w:val="1"/>
                <w:bCs w:val="1"/>
                <w:color w:val="auto"/>
              </w:rPr>
              <w:t>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Ownership percentage of noncontrolling shareholder</w:t>
            </w:r>
          </w:p>
        </w:tc>
        <w:tc>
          <w:tcPr>
            <w:tcW w:w="3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gridSpan w:val="2"/>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36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78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20" w:type="dxa"/>
            <w:vAlign w:val="bottom"/>
            <w:gridSpan w:val="2"/>
          </w:tcPr>
          <w:p>
            <w:pPr>
              <w:spacing w:after="0" w:line="173" w:lineRule="exact"/>
              <w:rPr>
                <w:sz w:val="20"/>
                <w:szCs w:val="20"/>
                <w:color w:val="auto"/>
              </w:rPr>
            </w:pPr>
            <w:r>
              <w:rPr>
                <w:rFonts w:ascii="Arial" w:cs="Arial" w:eastAsia="Arial" w:hAnsi="Arial"/>
                <w:sz w:val="18"/>
                <w:szCs w:val="18"/>
                <w:color w:val="auto"/>
              </w:rPr>
              <w:t>Noncontrolling interest as of December 31, 2013</w:t>
            </w:r>
          </w:p>
        </w:tc>
        <w:tc>
          <w:tcPr>
            <w:tcW w:w="3620" w:type="dxa"/>
            <w:vAlign w:val="bottom"/>
            <w:gridSpan w:val="2"/>
          </w:tcPr>
          <w:p>
            <w:pPr>
              <w:jc w:val="right"/>
              <w:ind w:right="20"/>
              <w:spacing w:after="0" w:line="173" w:lineRule="exact"/>
              <w:rPr>
                <w:sz w:val="20"/>
                <w:szCs w:val="20"/>
                <w:color w:val="auto"/>
              </w:rPr>
            </w:pPr>
            <w:r>
              <w:rPr>
                <w:rFonts w:ascii="Arial" w:cs="Arial" w:eastAsia="Arial" w:hAnsi="Arial"/>
                <w:sz w:val="18"/>
                <w:szCs w:val="18"/>
                <w:b w:val="1"/>
                <w:bCs w:val="1"/>
                <w:color w:val="auto"/>
              </w:rPr>
              <w:t>$3,482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3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3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Noncontrolling interest as of June 30, 2014</w:t>
            </w:r>
          </w:p>
        </w:tc>
        <w:tc>
          <w:tcPr>
            <w:tcW w:w="3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$3,512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26" w:lineRule="exact"/>
        <w:rPr>
          <w:sz w:val="20"/>
          <w:szCs w:val="20"/>
          <w:color w:val="auto"/>
        </w:rPr>
      </w:pPr>
    </w:p>
    <w:p>
      <w:pPr>
        <w:ind w:right="20" w:firstLine="360"/>
        <w:spacing w:after="0" w:line="236" w:lineRule="auto"/>
        <w:rPr>
          <w:sz w:val="20"/>
          <w:szCs w:val="20"/>
          <w:color w:val="auto"/>
        </w:rPr>
      </w:pPr>
      <w:r>
        <w:rPr>
          <w:rFonts w:ascii="Arial" w:cs="Arial" w:eastAsia="Arial" w:hAnsi="Arial"/>
          <w:sz w:val="18"/>
          <w:szCs w:val="18"/>
          <w:color w:val="auto"/>
        </w:rPr>
        <w:t>Effective January 1, 2014, Albany International Corp. (the “Company”) changed its business segment reporting by recasting, for all prior periods, certain expenses previously identified as Research and Unallocated expenses to existing segments. The Company has two reportable segments: Machine Clothing (MC) and Albany Engineered Composites (AEC), and had Research and Unallocated expenses that were not allocated to these segments. Substantially all research and development expenses are now included in segment operating expenses. Prior to this change, Unallocated expenses included long-term incentive compensation for all Company employees. To the extent such programs are related to MC and AEC employees, such expenses are now included in segment operating expenses. Additionally, the amounts previously referred to as “Unallocated expenses,” is now referred to as “Corporate expenses.” These changes are being made to be consistent with how the chief operating decision-maker assesses Company performance. On April 10, 2014, we filed a Form 8-K to show the effect of these changes on previously reported results and, accordingly, the 2013 segment results in this report reflect the effect of this change.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 w:name="page9"/>
    <w:bookmarkEnd w:id="8"/>
    <w:p>
      <w:pPr>
        <w:ind w:left="3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Three months ended</w:t>
            </w:r>
          </w:p>
        </w:tc>
        <w:tc>
          <w:tcPr>
            <w:tcW w:w="252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8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1200" w:type="dxa"/>
            <w:vAlign w:val="bottom"/>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5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c>
          <w:tcPr>
            <w:tcW w:w="15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5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$172,809</w:t>
            </w:r>
          </w:p>
        </w:tc>
        <w:tc>
          <w:tcPr>
            <w:tcW w:w="1200" w:type="dxa"/>
            <w:vAlign w:val="bottom"/>
          </w:tcPr>
          <w:p>
            <w:pPr>
              <w:spacing w:after="0"/>
              <w:rPr>
                <w:sz w:val="16"/>
                <w:szCs w:val="16"/>
                <w:color w:val="auto"/>
              </w:rPr>
            </w:pPr>
          </w:p>
        </w:tc>
        <w:tc>
          <w:tcPr>
            <w:tcW w:w="15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$336,897</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580" w:type="dxa"/>
            <w:vAlign w:val="bottom"/>
            <w:vMerge w:val="continue"/>
          </w:tcPr>
          <w:p>
            <w:pPr>
              <w:spacing w:after="0"/>
              <w:rPr>
                <w:sz w:val="15"/>
                <w:szCs w:val="15"/>
                <w:color w:val="auto"/>
              </w:rPr>
            </w:pPr>
          </w:p>
        </w:tc>
        <w:tc>
          <w:tcPr>
            <w:tcW w:w="12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$177,536</w:t>
            </w:r>
          </w:p>
        </w:tc>
        <w:tc>
          <w:tcPr>
            <w:tcW w:w="1540" w:type="dxa"/>
            <w:vAlign w:val="bottom"/>
            <w:vMerge w:val="continue"/>
          </w:tcPr>
          <w:p>
            <w:pPr>
              <w:spacing w:after="0"/>
              <w:rPr>
                <w:sz w:val="15"/>
                <w:szCs w:val="15"/>
                <w:color w:val="auto"/>
              </w:rPr>
            </w:pPr>
          </w:p>
        </w:tc>
        <w:tc>
          <w:tcPr>
            <w:tcW w:w="102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$344,946</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2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20,709</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20,438</w:t>
            </w:r>
          </w:p>
        </w:tc>
        <w:tc>
          <w:tcPr>
            <w:tcW w:w="1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36,928</w:t>
            </w: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39,682</w:t>
            </w:r>
          </w:p>
        </w:tc>
        <w:tc>
          <w:tcPr>
            <w:tcW w:w="0" w:type="dxa"/>
            <w:vAlign w:val="bottom"/>
          </w:tcPr>
          <w:p>
            <w:pPr>
              <w:spacing w:after="0"/>
              <w:rPr>
                <w:sz w:val="1"/>
                <w:szCs w:val="1"/>
                <w:color w:val="auto"/>
              </w:rPr>
            </w:pPr>
          </w:p>
        </w:tc>
      </w:tr>
      <w:tr>
        <w:trPr>
          <w:trHeight w:val="196"/>
        </w:trPr>
        <w:tc>
          <w:tcPr>
            <w:tcW w:w="5120" w:type="dxa"/>
            <w:vAlign w:val="bottom"/>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58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$193,518</w:t>
            </w:r>
          </w:p>
        </w:tc>
        <w:tc>
          <w:tcPr>
            <w:tcW w:w="12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$197,974</w:t>
            </w:r>
          </w:p>
        </w:tc>
        <w:tc>
          <w:tcPr>
            <w:tcW w:w="15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$373,825</w:t>
            </w:r>
          </w:p>
        </w:tc>
        <w:tc>
          <w:tcPr>
            <w:tcW w:w="10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$384,628</w:t>
            </w: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58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$33,879</w:t>
            </w:r>
          </w:p>
        </w:tc>
        <w:tc>
          <w:tcPr>
            <w:tcW w:w="1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$70,022</w:t>
            </w: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580" w:type="dxa"/>
            <w:vAlign w:val="bottom"/>
            <w:vMerge w:val="continue"/>
          </w:tcPr>
          <w:p>
            <w:pPr>
              <w:spacing w:after="0"/>
              <w:rPr>
                <w:sz w:val="15"/>
                <w:szCs w:val="15"/>
                <w:color w:val="auto"/>
              </w:rPr>
            </w:pPr>
          </w:p>
        </w:tc>
        <w:tc>
          <w:tcPr>
            <w:tcW w:w="12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$14,821</w:t>
            </w:r>
          </w:p>
        </w:tc>
        <w:tc>
          <w:tcPr>
            <w:tcW w:w="1540" w:type="dxa"/>
            <w:vAlign w:val="bottom"/>
            <w:vMerge w:val="continue"/>
          </w:tcPr>
          <w:p>
            <w:pPr>
              <w:spacing w:after="0"/>
              <w:rPr>
                <w:sz w:val="15"/>
                <w:szCs w:val="15"/>
                <w:color w:val="auto"/>
              </w:rPr>
            </w:pPr>
          </w:p>
        </w:tc>
        <w:tc>
          <w:tcPr>
            <w:tcW w:w="10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$52,377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58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(3,545)</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(4,678)</w:t>
            </w:r>
          </w:p>
        </w:tc>
        <w:tc>
          <w:tcPr>
            <w:tcW w:w="15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(7,021)</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2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(11,357)</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(13,656)</w:t>
            </w:r>
          </w:p>
        </w:tc>
        <w:tc>
          <w:tcPr>
            <w:tcW w:w="1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(23,423)</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2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income/(loss) before reconciling items</w:t>
            </w:r>
          </w:p>
        </w:tc>
        <w:tc>
          <w:tcPr>
            <w:tcW w:w="2580" w:type="dxa"/>
            <w:vAlign w:val="bottom"/>
          </w:tcPr>
          <w:p>
            <w:pPr>
              <w:jc w:val="right"/>
              <w:ind w:right="410"/>
              <w:spacing w:after="0" w:line="195" w:lineRule="exact"/>
              <w:rPr>
                <w:sz w:val="20"/>
                <w:szCs w:val="20"/>
                <w:color w:val="auto"/>
              </w:rPr>
            </w:pPr>
            <w:r>
              <w:rPr>
                <w:rFonts w:ascii="Arial" w:cs="Arial" w:eastAsia="Arial" w:hAnsi="Arial"/>
                <w:sz w:val="18"/>
                <w:szCs w:val="18"/>
                <w:b w:val="1"/>
                <w:bCs w:val="1"/>
                <w:color w:val="auto"/>
              </w:rPr>
              <w:t>18,977</w:t>
            </w:r>
          </w:p>
        </w:tc>
        <w:tc>
          <w:tcPr>
            <w:tcW w:w="12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(3,513)</w:t>
            </w:r>
          </w:p>
        </w:tc>
        <w:tc>
          <w:tcPr>
            <w:tcW w:w="1540" w:type="dxa"/>
            <w:vAlign w:val="bottom"/>
          </w:tcPr>
          <w:p>
            <w:pPr>
              <w:jc w:val="right"/>
              <w:ind w:right="410"/>
              <w:spacing w:after="0" w:line="195" w:lineRule="exact"/>
              <w:rPr>
                <w:sz w:val="20"/>
                <w:szCs w:val="20"/>
                <w:color w:val="auto"/>
              </w:rPr>
            </w:pPr>
            <w:r>
              <w:rPr>
                <w:rFonts w:ascii="Arial" w:cs="Arial" w:eastAsia="Arial" w:hAnsi="Arial"/>
                <w:sz w:val="18"/>
                <w:szCs w:val="18"/>
                <w:b w:val="1"/>
                <w:bCs w:val="1"/>
                <w:color w:val="auto"/>
              </w:rPr>
              <w:t>39,578</w:t>
            </w:r>
          </w:p>
        </w:tc>
        <w:tc>
          <w:tcPr>
            <w:tcW w:w="10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19,005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5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(356)</w:t>
            </w:r>
          </w:p>
        </w:tc>
        <w:tc>
          <w:tcPr>
            <w:tcW w:w="1200" w:type="dxa"/>
            <w:vAlign w:val="bottom"/>
          </w:tcPr>
          <w:p>
            <w:pPr>
              <w:spacing w:after="0"/>
              <w:rPr>
                <w:sz w:val="17"/>
                <w:szCs w:val="17"/>
                <w:color w:val="auto"/>
              </w:rPr>
            </w:pPr>
          </w:p>
        </w:tc>
        <w:tc>
          <w:tcPr>
            <w:tcW w:w="15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(552)</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ind w:left="140"/>
              <w:spacing w:after="0" w:line="181" w:lineRule="exact"/>
              <w:rPr>
                <w:sz w:val="20"/>
                <w:szCs w:val="20"/>
                <w:color w:val="auto"/>
              </w:rPr>
            </w:pPr>
            <w:r>
              <w:rPr>
                <w:rFonts w:ascii="Arial" w:cs="Arial" w:eastAsia="Arial" w:hAnsi="Arial"/>
                <w:sz w:val="18"/>
                <w:szCs w:val="18"/>
                <w:color w:val="auto"/>
              </w:rPr>
              <w:t>Interest income</w:t>
            </w:r>
          </w:p>
        </w:tc>
        <w:tc>
          <w:tcPr>
            <w:tcW w:w="2580" w:type="dxa"/>
            <w:vAlign w:val="bottom"/>
            <w:vMerge w:val="continue"/>
          </w:tcPr>
          <w:p>
            <w:pPr>
              <w:spacing w:after="0"/>
              <w:rPr>
                <w:sz w:val="15"/>
                <w:szCs w:val="15"/>
                <w:color w:val="auto"/>
              </w:rPr>
            </w:pPr>
          </w:p>
        </w:tc>
        <w:tc>
          <w:tcPr>
            <w:tcW w:w="12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(300)</w:t>
            </w:r>
          </w:p>
        </w:tc>
        <w:tc>
          <w:tcPr>
            <w:tcW w:w="1540" w:type="dxa"/>
            <w:vAlign w:val="bottom"/>
            <w:vMerge w:val="continue"/>
          </w:tcPr>
          <w:p>
            <w:pPr>
              <w:spacing w:after="0"/>
              <w:rPr>
                <w:sz w:val="15"/>
                <w:szCs w:val="15"/>
                <w:color w:val="auto"/>
              </w:rPr>
            </w:pPr>
          </w:p>
        </w:tc>
        <w:tc>
          <w:tcPr>
            <w:tcW w:w="10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258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3,073</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3,847</w:t>
            </w:r>
          </w:p>
        </w:tc>
        <w:tc>
          <w:tcPr>
            <w:tcW w:w="15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6,187</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expense/ (income), net</w:t>
            </w:r>
          </w:p>
        </w:tc>
        <w:tc>
          <w:tcPr>
            <w:tcW w:w="2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(2,133)</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2,211</w:t>
            </w:r>
          </w:p>
        </w:tc>
        <w:tc>
          <w:tcPr>
            <w:tcW w:w="1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(2,600)</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Income/(loss) before income taxes</w:t>
            </w:r>
          </w:p>
        </w:tc>
        <w:tc>
          <w:tcPr>
            <w:tcW w:w="25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$18,393</w:t>
            </w:r>
          </w:p>
        </w:tc>
        <w:tc>
          <w:tcPr>
            <w:tcW w:w="12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($9,271)</w:t>
            </w:r>
          </w:p>
        </w:tc>
        <w:tc>
          <w:tcPr>
            <w:tcW w:w="15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$36,543</w:t>
            </w:r>
          </w:p>
        </w:tc>
        <w:tc>
          <w:tcPr>
            <w:tcW w:w="10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$8,488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Three months ended</w:t>
            </w:r>
          </w:p>
        </w:tc>
        <w:tc>
          <w:tcPr>
            <w:tcW w:w="268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280" w:type="dxa"/>
            <w:vAlign w:val="bottom"/>
          </w:tcPr>
          <w:p>
            <w:pPr>
              <w:spacing w:after="0"/>
              <w:rPr>
                <w:sz w:val="15"/>
                <w:szCs w:val="15"/>
                <w:color w:val="auto"/>
              </w:rPr>
            </w:pPr>
          </w:p>
        </w:tc>
        <w:tc>
          <w:tcPr>
            <w:tcW w:w="31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June 30,</w:t>
            </w:r>
          </w:p>
        </w:tc>
        <w:tc>
          <w:tcPr>
            <w:tcW w:w="1320" w:type="dxa"/>
            <w:vAlign w:val="bottom"/>
          </w:tcPr>
          <w:p>
            <w:pPr>
              <w:spacing w:after="0"/>
              <w:rPr>
                <w:sz w:val="15"/>
                <w:szCs w:val="15"/>
                <w:color w:val="auto"/>
              </w:rPr>
            </w:pPr>
          </w:p>
        </w:tc>
        <w:tc>
          <w:tcPr>
            <w:tcW w:w="16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1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2014</w:t>
            </w: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2013</w:t>
            </w:r>
          </w:p>
        </w:tc>
        <w:tc>
          <w:tcPr>
            <w:tcW w:w="16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2014</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line="195" w:lineRule="exact"/>
              <w:rPr>
                <w:sz w:val="20"/>
                <w:szCs w:val="20"/>
                <w:color w:val="auto"/>
              </w:rPr>
            </w:pPr>
            <w:r>
              <w:rPr>
                <w:rFonts w:ascii="Arial" w:cs="Arial" w:eastAsia="Arial" w:hAnsi="Arial"/>
                <w:sz w:val="18"/>
                <w:szCs w:val="18"/>
                <w:b w:val="1"/>
                <w:bCs w:val="1"/>
                <w:color w:val="auto"/>
              </w:rPr>
              <w:t>Restructuring expense</w:t>
            </w:r>
          </w:p>
        </w:tc>
        <w:tc>
          <w:tcPr>
            <w:tcW w:w="31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$1,297</w:t>
            </w:r>
          </w:p>
        </w:tc>
        <w:tc>
          <w:tcPr>
            <w:tcW w:w="1320" w:type="dxa"/>
            <w:vAlign w:val="bottom"/>
          </w:tcPr>
          <w:p>
            <w:pPr>
              <w:spacing w:after="0"/>
              <w:rPr>
                <w:sz w:val="16"/>
                <w:szCs w:val="16"/>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$2,159</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3140" w:type="dxa"/>
            <w:vAlign w:val="bottom"/>
            <w:vMerge w:val="continue"/>
          </w:tcPr>
          <w:p>
            <w:pPr>
              <w:spacing w:after="0"/>
              <w:rPr>
                <w:sz w:val="15"/>
                <w:szCs w:val="15"/>
                <w:color w:val="auto"/>
              </w:rPr>
            </w:pPr>
          </w:p>
        </w:tc>
        <w:tc>
          <w:tcPr>
            <w:tcW w:w="132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$24,230</w:t>
            </w:r>
          </w:p>
        </w:tc>
        <w:tc>
          <w:tcPr>
            <w:tcW w:w="1640" w:type="dxa"/>
            <w:vAlign w:val="bottom"/>
            <w:vMerge w:val="continue"/>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$24,423</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660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91</w:t>
            </w:r>
          </w:p>
        </w:tc>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980</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31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$1,957</w:t>
            </w:r>
          </w:p>
        </w:tc>
        <w:tc>
          <w:tcPr>
            <w:tcW w:w="13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$24,321</w:t>
            </w:r>
          </w:p>
        </w:tc>
        <w:tc>
          <w:tcPr>
            <w:tcW w:w="16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$3,139</w:t>
            </w: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$24,957</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400" w:firstLine="360"/>
        <w:spacing w:after="0"/>
        <w:rPr>
          <w:sz w:val="20"/>
          <w:szCs w:val="20"/>
          <w:color w:val="auto"/>
        </w:rPr>
      </w:pPr>
      <w:r>
        <w:rPr>
          <w:rFonts w:ascii="Arial" w:cs="Arial" w:eastAsia="Arial" w:hAnsi="Arial"/>
          <w:sz w:val="18"/>
          <w:szCs w:val="18"/>
          <w:color w:val="auto"/>
        </w:rPr>
        <w:t>Machine Clothing restructuring expense was principally related to the reduction in manufacturing capacity at the production facilities in France. Restructuring expenses in the Albany Engineered Composites operations were principally related to organizational changes and exiting certain aerospace programs.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w:t>
      </w:r>
    </w:p>
    <w:p>
      <w:pPr>
        <w:spacing w:after="0" w:line="149" w:lineRule="exact"/>
        <w:rPr>
          <w:sz w:val="20"/>
          <w:szCs w:val="20"/>
          <w:color w:val="auto"/>
        </w:rPr>
      </w:pPr>
    </w:p>
    <w:p>
      <w:pPr>
        <w:ind w:right="7000" w:firstLine="8"/>
        <w:spacing w:after="0" w:line="372"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i w:val="1"/>
          <w:iCs w:val="1"/>
          <w:color w:val="auto"/>
        </w:rPr>
        <w:t>Pension Plans</w:t>
      </w:r>
    </w:p>
    <w:p>
      <w:pPr>
        <w:spacing w:after="0" w:line="2"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 w:name="page10"/>
    <w:bookmarkEnd w:id="9"/>
    <w:p>
      <w:pPr>
        <w:ind w:right="260"/>
        <w:spacing w:after="0" w:line="246" w:lineRule="auto"/>
        <w:rPr>
          <w:sz w:val="20"/>
          <w:szCs w:val="20"/>
          <w:color w:val="auto"/>
        </w:rPr>
      </w:pPr>
      <w:r>
        <w:rPr>
          <w:rFonts w:ascii="Arial" w:cs="Arial" w:eastAsia="Arial" w:hAnsi="Arial"/>
          <w:sz w:val="18"/>
          <w:szCs w:val="18"/>
          <w:color w:val="auto"/>
        </w:rPr>
        <w:t>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22" w:lineRule="exact"/>
        <w:rPr>
          <w:sz w:val="20"/>
          <w:szCs w:val="20"/>
          <w:color w:val="auto"/>
        </w:rPr>
      </w:pPr>
    </w:p>
    <w:p>
      <w:pPr>
        <w:ind w:right="100" w:firstLine="360"/>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In September 2008, we changed the cost sharing arrangement under this program such that increases in health care costs are the responsibility of plan participants. In August 2013, we reduced the life insurance benefit for retirees and eliminated the benefit for active employees.</w:t>
      </w:r>
    </w:p>
    <w:p>
      <w:pPr>
        <w:spacing w:after="0" w:line="97" w:lineRule="exact"/>
        <w:rPr>
          <w:sz w:val="20"/>
          <w:szCs w:val="20"/>
          <w:color w:val="auto"/>
        </w:rPr>
      </w:pPr>
    </w:p>
    <w:p>
      <w:pPr>
        <w:ind w:right="80" w:firstLine="360"/>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the net periodic benefit plan cost for the six months ended June 30, 2014 and 2013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gridSpan w:val="2"/>
          </w:tcPr>
          <w:p>
            <w:pPr>
              <w:jc w:val="right"/>
              <w:ind w:right="1090"/>
              <w:spacing w:after="0" w:line="194" w:lineRule="exact"/>
              <w:rPr>
                <w:sz w:val="20"/>
                <w:szCs w:val="20"/>
                <w:color w:val="auto"/>
              </w:rPr>
            </w:pPr>
            <w:r>
              <w:rPr>
                <w:rFonts w:ascii="Arial" w:cs="Arial" w:eastAsia="Arial" w:hAnsi="Arial"/>
                <w:sz w:val="18"/>
                <w:szCs w:val="18"/>
                <w:color w:val="auto"/>
              </w:rPr>
              <w:t>Pension plans</w:t>
            </w:r>
          </w:p>
        </w:tc>
        <w:tc>
          <w:tcPr>
            <w:tcW w:w="298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color w:val="auto"/>
              </w:rPr>
              <w:t>Other postretirement benefits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2013</w:t>
            </w: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446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24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$1,683</w:t>
            </w:r>
          </w:p>
        </w:tc>
        <w:tc>
          <w:tcPr>
            <w:tcW w:w="1500" w:type="dxa"/>
            <w:vAlign w:val="bottom"/>
          </w:tcPr>
          <w:p>
            <w:pPr>
              <w:spacing w:after="0"/>
              <w:rPr>
                <w:sz w:val="24"/>
                <w:szCs w:val="24"/>
                <w:color w:val="auto"/>
              </w:rPr>
            </w:pPr>
          </w:p>
        </w:tc>
        <w:tc>
          <w:tcPr>
            <w:tcW w:w="16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$157</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480" w:type="dxa"/>
            <w:vAlign w:val="bottom"/>
            <w:vMerge w:val="continue"/>
          </w:tcPr>
          <w:p>
            <w:pPr>
              <w:spacing w:after="0"/>
              <w:rPr>
                <w:sz w:val="15"/>
                <w:szCs w:val="15"/>
                <w:color w:val="auto"/>
              </w:rPr>
            </w:pPr>
          </w:p>
        </w:tc>
        <w:tc>
          <w:tcPr>
            <w:tcW w:w="150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$1,684</w:t>
            </w:r>
          </w:p>
        </w:tc>
        <w:tc>
          <w:tcPr>
            <w:tcW w:w="1680" w:type="dxa"/>
            <w:vAlign w:val="bottom"/>
            <w:vMerge w:val="continue"/>
          </w:tcPr>
          <w:p>
            <w:pPr>
              <w:spacing w:after="0"/>
              <w:rPr>
                <w:sz w:val="15"/>
                <w:szCs w:val="15"/>
                <w:color w:val="auto"/>
              </w:rPr>
            </w:pPr>
          </w:p>
        </w:tc>
        <w:tc>
          <w:tcPr>
            <w:tcW w:w="132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4,815</w:t>
            </w:r>
          </w:p>
        </w:tc>
        <w:tc>
          <w:tcPr>
            <w:tcW w:w="1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4,000</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1,371</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(4,846)</w:t>
            </w:r>
          </w:p>
        </w:tc>
        <w:tc>
          <w:tcPr>
            <w:tcW w:w="1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(4,068)</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27</w:t>
            </w:r>
          </w:p>
        </w:tc>
        <w:tc>
          <w:tcPr>
            <w:tcW w:w="1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(2,244)</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34</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1,229</w:t>
            </w:r>
          </w:p>
        </w:tc>
        <w:tc>
          <w:tcPr>
            <w:tcW w:w="1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1,571</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1,454</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Curtailment</w:t>
            </w:r>
          </w:p>
        </w:tc>
        <w:tc>
          <w:tcPr>
            <w:tcW w:w="2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(710)</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4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$2,198</w:t>
            </w:r>
          </w:p>
        </w:tc>
        <w:tc>
          <w:tcPr>
            <w:tcW w:w="15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$3,238</w:t>
            </w:r>
          </w:p>
        </w:tc>
        <w:tc>
          <w:tcPr>
            <w:tcW w:w="1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$738</w:t>
            </w:r>
          </w:p>
        </w:tc>
        <w:tc>
          <w:tcPr>
            <w:tcW w:w="13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26" w:lineRule="exact"/>
        <w:rPr>
          <w:sz w:val="20"/>
          <w:szCs w:val="20"/>
          <w:color w:val="auto"/>
        </w:rPr>
      </w:pPr>
    </w:p>
    <w:p>
      <w:pPr>
        <w:ind w:right="360" w:firstLine="360"/>
        <w:spacing w:after="0"/>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June 30, 2014, approximately 190 positions had been eliminated.</w:t>
      </w:r>
    </w:p>
    <w:p>
      <w:pPr>
        <w:spacing w:after="0" w:line="95"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The Company recorded a curtailment gain of $0.2 million in the second quarter of 2014 and $0.7 million for the first six months of 2014 related to the elimination of pension accruals, which reduced net restructuring expense as reflected in the table below. Such curtailment gains are recorded as employees terminate employment and, accordingly, we expect to record additional gains during 2014. Remaining costs for this program are expected to be between $1 and $3 million, most of which we expect to be incurred in 2014.</w:t>
      </w:r>
    </w:p>
    <w:p>
      <w:pPr>
        <w:spacing w:after="0" w:line="95"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Restructuring expenses in the Albany Engineered Composites operations were principally related to organizational changes and exiting certain aerospace programs.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0" w:name="page11"/>
    <w:bookmarkEnd w:id="10"/>
    <w:p>
      <w:pPr>
        <w:ind w:left="3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0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Six months ended</w:t>
            </w:r>
          </w:p>
        </w:tc>
        <w:tc>
          <w:tcPr>
            <w:tcW w:w="700" w:type="dxa"/>
            <w:vAlign w:val="bottom"/>
            <w:tcBorders>
              <w:top w:val="single" w:sz="8" w:color="auto"/>
            </w:tcBorders>
          </w:tcPr>
          <w:p>
            <w:pPr>
              <w:spacing w:after="0"/>
              <w:rPr>
                <w:sz w:val="18"/>
                <w:szCs w:val="18"/>
                <w:color w:val="auto"/>
              </w:rPr>
            </w:pPr>
          </w:p>
        </w:tc>
      </w:tr>
      <w:tr>
        <w:trPr>
          <w:trHeight w:val="181"/>
        </w:trPr>
        <w:tc>
          <w:tcPr>
            <w:tcW w:w="4340" w:type="dxa"/>
            <w:vAlign w:val="bottom"/>
          </w:tcPr>
          <w:p>
            <w:pPr>
              <w:spacing w:after="0"/>
              <w:rPr>
                <w:sz w:val="15"/>
                <w:szCs w:val="15"/>
                <w:color w:val="auto"/>
              </w:rPr>
            </w:pPr>
          </w:p>
        </w:tc>
        <w:tc>
          <w:tcPr>
            <w:tcW w:w="3460" w:type="dxa"/>
            <w:vAlign w:val="bottom"/>
          </w:tcPr>
          <w:p>
            <w:pPr>
              <w:jc w:val="right"/>
              <w:ind w:right="390"/>
              <w:spacing w:after="0" w:line="18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5"/>
                <w:szCs w:val="15"/>
                <w:color w:val="auto"/>
              </w:rPr>
            </w:pPr>
          </w:p>
        </w:tc>
        <w:tc>
          <w:tcPr>
            <w:tcW w:w="188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15"/>
                <w:szCs w:val="15"/>
                <w:color w:val="auto"/>
              </w:rPr>
            </w:pPr>
          </w:p>
        </w:tc>
      </w:tr>
      <w:tr>
        <w:trPr>
          <w:trHeight w:val="22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r>
      <w:tr>
        <w:trPr>
          <w:trHeight w:val="173"/>
        </w:trPr>
        <w:tc>
          <w:tcPr>
            <w:tcW w:w="43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460" w:type="dxa"/>
            <w:vAlign w:val="bottom"/>
          </w:tcPr>
          <w:p>
            <w:pPr>
              <w:jc w:val="right"/>
              <w:ind w:right="730"/>
              <w:spacing w:after="0" w:line="173" w:lineRule="exact"/>
              <w:rPr>
                <w:sz w:val="20"/>
                <w:szCs w:val="20"/>
                <w:color w:val="auto"/>
              </w:rPr>
            </w:pPr>
            <w:r>
              <w:rPr>
                <w:rFonts w:ascii="Arial" w:cs="Arial" w:eastAsia="Arial" w:hAnsi="Arial"/>
                <w:sz w:val="18"/>
                <w:szCs w:val="18"/>
                <w:b w:val="1"/>
                <w:bCs w:val="1"/>
                <w:color w:val="auto"/>
              </w:rPr>
              <w:t>$1,297</w:t>
            </w:r>
          </w:p>
        </w:tc>
        <w:tc>
          <w:tcPr>
            <w:tcW w:w="1040" w:type="dxa"/>
            <w:vAlign w:val="bottom"/>
          </w:tcPr>
          <w:p>
            <w:pPr>
              <w:jc w:val="right"/>
              <w:ind w:right="290"/>
              <w:spacing w:after="0" w:line="173" w:lineRule="exact"/>
              <w:rPr>
                <w:sz w:val="20"/>
                <w:szCs w:val="20"/>
                <w:color w:val="auto"/>
              </w:rPr>
            </w:pPr>
            <w:r>
              <w:rPr>
                <w:rFonts w:ascii="Arial" w:cs="Arial" w:eastAsia="Arial" w:hAnsi="Arial"/>
                <w:sz w:val="18"/>
                <w:szCs w:val="18"/>
                <w:color w:val="auto"/>
                <w:w w:val="98"/>
              </w:rPr>
              <w:t>$24,230</w:t>
            </w:r>
          </w:p>
        </w:tc>
        <w:tc>
          <w:tcPr>
            <w:tcW w:w="188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$2,159</w:t>
            </w:r>
          </w:p>
        </w:tc>
        <w:tc>
          <w:tcPr>
            <w:tcW w:w="700" w:type="dxa"/>
            <w:vAlign w:val="bottom"/>
          </w:tcPr>
          <w:p>
            <w:pPr>
              <w:jc w:val="right"/>
              <w:spacing w:after="0" w:line="173" w:lineRule="exact"/>
              <w:rPr>
                <w:sz w:val="20"/>
                <w:szCs w:val="20"/>
                <w:color w:val="auto"/>
              </w:rPr>
            </w:pPr>
            <w:r>
              <w:rPr>
                <w:rFonts w:ascii="Arial" w:cs="Arial" w:eastAsia="Arial" w:hAnsi="Arial"/>
                <w:sz w:val="18"/>
                <w:szCs w:val="18"/>
                <w:color w:val="auto"/>
              </w:rPr>
              <w:t>$24,423</w:t>
            </w:r>
          </w:p>
        </w:tc>
      </w:tr>
      <w:tr>
        <w:trPr>
          <w:trHeight w:val="22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4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660</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91</w:t>
            </w:r>
          </w:p>
        </w:tc>
        <w:tc>
          <w:tcPr>
            <w:tcW w:w="1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980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196"/>
        </w:trPr>
        <w:tc>
          <w:tcPr>
            <w:tcW w:w="4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46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$1,957</w:t>
            </w:r>
          </w:p>
        </w:tc>
        <w:tc>
          <w:tcPr>
            <w:tcW w:w="10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8"/>
              </w:rPr>
              <w:t>$24,321</w:t>
            </w:r>
          </w:p>
        </w:tc>
        <w:tc>
          <w:tcPr>
            <w:tcW w:w="18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$3,139</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$24,957</w:t>
            </w: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Six months ended June 30, 2014</w:t>
            </w:r>
          </w:p>
        </w:tc>
        <w:tc>
          <w:tcPr>
            <w:tcW w:w="16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210"/>
              <w:spacing w:after="0" w:line="194"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290"/>
              <w:spacing w:after="0" w:line="194" w:lineRule="exact"/>
              <w:rPr>
                <w:sz w:val="20"/>
                <w:szCs w:val="20"/>
                <w:color w:val="auto"/>
              </w:rPr>
            </w:pPr>
            <w:r>
              <w:rPr>
                <w:rFonts w:ascii="Arial" w:cs="Arial" w:eastAsia="Arial" w:hAnsi="Arial"/>
                <w:sz w:val="18"/>
                <w:szCs w:val="18"/>
                <w:b w:val="1"/>
                <w:bCs w:val="1"/>
                <w:color w:val="auto"/>
              </w:rPr>
              <w:t>Impairment of</w:t>
            </w:r>
          </w:p>
        </w:tc>
        <w:tc>
          <w:tcPr>
            <w:tcW w:w="1480" w:type="dxa"/>
            <w:vAlign w:val="bottom"/>
            <w:tcBorders>
              <w:top w:val="single" w:sz="8" w:color="auto"/>
            </w:tcBorders>
          </w:tcPr>
          <w:p>
            <w:pPr>
              <w:ind w:left="120"/>
              <w:spacing w:after="0" w:line="194" w:lineRule="exact"/>
              <w:rPr>
                <w:sz w:val="20"/>
                <w:szCs w:val="20"/>
                <w:color w:val="auto"/>
              </w:rPr>
            </w:pPr>
            <w:r>
              <w:rPr>
                <w:rFonts w:ascii="Arial" w:cs="Arial" w:eastAsia="Arial" w:hAnsi="Arial"/>
                <w:sz w:val="18"/>
                <w:szCs w:val="18"/>
                <w:b w:val="1"/>
                <w:bCs w:val="1"/>
                <w:color w:val="auto"/>
              </w:rPr>
              <w:t>Benefit plan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6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720" w:type="dxa"/>
            <w:vAlign w:val="bottom"/>
            <w:gridSpan w:val="2"/>
          </w:tcPr>
          <w:p>
            <w:pPr>
              <w:jc w:val="right"/>
              <w:ind w:right="170"/>
              <w:spacing w:after="0" w:line="202" w:lineRule="exact"/>
              <w:rPr>
                <w:sz w:val="20"/>
                <w:szCs w:val="20"/>
                <w:color w:val="auto"/>
              </w:rPr>
            </w:pPr>
            <w:r>
              <w:rPr>
                <w:rFonts w:ascii="Arial" w:cs="Arial" w:eastAsia="Arial" w:hAnsi="Arial"/>
                <w:sz w:val="18"/>
                <w:szCs w:val="18"/>
                <w:b w:val="1"/>
                <w:bCs w:val="1"/>
                <w:color w:val="auto"/>
              </w:rPr>
              <w:t>Termination and</w:t>
            </w:r>
          </w:p>
        </w:tc>
        <w:tc>
          <w:tcPr>
            <w:tcW w:w="1820" w:type="dxa"/>
            <w:vAlign w:val="bottom"/>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plant and</w:t>
            </w:r>
          </w:p>
        </w:tc>
        <w:tc>
          <w:tcPr>
            <w:tcW w:w="152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curtailment/</w:t>
            </w:r>
          </w:p>
        </w:tc>
        <w:tc>
          <w:tcPr>
            <w:tcW w:w="0" w:type="dxa"/>
            <w:vAlign w:val="bottom"/>
          </w:tcPr>
          <w:p>
            <w:pPr>
              <w:spacing w:after="0"/>
              <w:rPr>
                <w:sz w:val="1"/>
                <w:szCs w:val="1"/>
                <w:color w:val="auto"/>
              </w:rPr>
            </w:pPr>
          </w:p>
        </w:tc>
      </w:tr>
      <w:tr>
        <w:trPr>
          <w:trHeight w:val="225"/>
        </w:trPr>
        <w:tc>
          <w:tcPr>
            <w:tcW w:w="31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20" w:type="dxa"/>
            <w:vAlign w:val="bottom"/>
          </w:tcPr>
          <w:p>
            <w:pPr>
              <w:spacing w:after="0"/>
              <w:rPr>
                <w:sz w:val="19"/>
                <w:szCs w:val="19"/>
                <w:color w:val="auto"/>
              </w:rPr>
            </w:pPr>
          </w:p>
        </w:tc>
        <w:tc>
          <w:tcPr>
            <w:tcW w:w="166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costs incurred</w:t>
            </w:r>
          </w:p>
        </w:tc>
        <w:tc>
          <w:tcPr>
            <w:tcW w:w="180" w:type="dxa"/>
            <w:vAlign w:val="bottom"/>
          </w:tcPr>
          <w:p>
            <w:pPr>
              <w:spacing w:after="0"/>
              <w:rPr>
                <w:sz w:val="19"/>
                <w:szCs w:val="19"/>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 costs</w:t>
            </w: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equipment</w:t>
            </w:r>
          </w:p>
        </w:tc>
        <w:tc>
          <w:tcPr>
            <w:tcW w:w="1520" w:type="dxa"/>
            <w:vAlign w:val="bottom"/>
            <w:gridSpan w:val="3"/>
          </w:tcPr>
          <w:p>
            <w:pPr>
              <w:ind w:left="120"/>
              <w:spacing w:after="0"/>
              <w:rPr>
                <w:sz w:val="20"/>
                <w:szCs w:val="20"/>
                <w:color w:val="auto"/>
              </w:rPr>
            </w:pPr>
            <w:r>
              <w:rPr>
                <w:rFonts w:ascii="Arial" w:cs="Arial" w:eastAsia="Arial" w:hAnsi="Arial"/>
                <w:sz w:val="18"/>
                <w:szCs w:val="18"/>
                <w:b w:val="1"/>
                <w:bCs w:val="1"/>
                <w:color w:val="auto"/>
              </w:rPr>
              <w:t>settlement</w:t>
            </w:r>
          </w:p>
        </w:tc>
        <w:tc>
          <w:tcPr>
            <w:tcW w:w="0" w:type="dxa"/>
            <w:vAlign w:val="bottom"/>
          </w:tcPr>
          <w:p>
            <w:pPr>
              <w:spacing w:after="0"/>
              <w:rPr>
                <w:sz w:val="1"/>
                <w:szCs w:val="1"/>
                <w:color w:val="auto"/>
              </w:rPr>
            </w:pPr>
          </w:p>
        </w:tc>
      </w:tr>
      <w:tr>
        <w:trPr>
          <w:trHeight w:val="195"/>
        </w:trPr>
        <w:tc>
          <w:tcPr>
            <w:tcW w:w="31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Machine Clothing</w:t>
            </w:r>
          </w:p>
        </w:tc>
        <w:tc>
          <w:tcPr>
            <w:tcW w:w="16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$2,159</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$2,869</w:t>
            </w:r>
          </w:p>
        </w:tc>
        <w:tc>
          <w:tcPr>
            <w:tcW w:w="18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1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980</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320</w:t>
            </w:r>
          </w:p>
        </w:tc>
        <w:tc>
          <w:tcPr>
            <w:tcW w:w="18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660</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$3,139</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$3,189</w:t>
            </w:r>
          </w:p>
        </w:tc>
        <w:tc>
          <w:tcPr>
            <w:tcW w:w="18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$660</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1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Six months ended June 30, 2013</w:t>
            </w:r>
          </w:p>
        </w:tc>
        <w:tc>
          <w:tcPr>
            <w:tcW w:w="16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230"/>
              <w:spacing w:after="0" w:line="195" w:lineRule="exact"/>
              <w:rPr>
                <w:sz w:val="20"/>
                <w:szCs w:val="20"/>
                <w:color w:val="auto"/>
              </w:rPr>
            </w:pPr>
            <w:r>
              <w:rPr>
                <w:rFonts w:ascii="Arial" w:cs="Arial" w:eastAsia="Arial" w:hAnsi="Arial"/>
                <w:sz w:val="18"/>
                <w:szCs w:val="18"/>
                <w:color w:val="auto"/>
                <w:w w:val="94"/>
              </w:rPr>
              <w:t>Total</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270"/>
              <w:spacing w:after="0" w:line="195" w:lineRule="exact"/>
              <w:rPr>
                <w:sz w:val="20"/>
                <w:szCs w:val="20"/>
                <w:color w:val="auto"/>
              </w:rPr>
            </w:pPr>
            <w:r>
              <w:rPr>
                <w:rFonts w:ascii="Arial" w:cs="Arial" w:eastAsia="Arial" w:hAnsi="Arial"/>
                <w:sz w:val="18"/>
                <w:szCs w:val="18"/>
                <w:color w:val="auto"/>
                <w:w w:val="99"/>
              </w:rPr>
              <w:t>Impairment of</w:t>
            </w:r>
          </w:p>
        </w:tc>
        <w:tc>
          <w:tcPr>
            <w:tcW w:w="14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Benefit plan</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6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restructuring</w:t>
            </w:r>
          </w:p>
        </w:tc>
        <w:tc>
          <w:tcPr>
            <w:tcW w:w="172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Termination and</w:t>
            </w:r>
          </w:p>
        </w:tc>
        <w:tc>
          <w:tcPr>
            <w:tcW w:w="182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plant and</w:t>
            </w:r>
          </w:p>
        </w:tc>
        <w:tc>
          <w:tcPr>
            <w:tcW w:w="15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curtailment/</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620" w:type="dxa"/>
            <w:vAlign w:val="bottom"/>
          </w:tcPr>
          <w:p>
            <w:pPr>
              <w:spacing w:after="0"/>
              <w:rPr>
                <w:sz w:val="17"/>
                <w:szCs w:val="17"/>
                <w:color w:val="auto"/>
              </w:rPr>
            </w:pPr>
          </w:p>
        </w:tc>
        <w:tc>
          <w:tcPr>
            <w:tcW w:w="166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costs incurred</w:t>
            </w:r>
          </w:p>
        </w:tc>
        <w:tc>
          <w:tcPr>
            <w:tcW w:w="180" w:type="dxa"/>
            <w:vAlign w:val="bottom"/>
          </w:tcPr>
          <w:p>
            <w:pPr>
              <w:spacing w:after="0"/>
              <w:rPr>
                <w:sz w:val="17"/>
                <w:szCs w:val="17"/>
                <w:color w:val="auto"/>
              </w:rPr>
            </w:pPr>
          </w:p>
        </w:tc>
        <w:tc>
          <w:tcPr>
            <w:tcW w:w="154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other costs</w:t>
            </w:r>
          </w:p>
        </w:tc>
        <w:tc>
          <w:tcPr>
            <w:tcW w:w="1820" w:type="dxa"/>
            <w:vAlign w:val="bottom"/>
          </w:tcPr>
          <w:p>
            <w:pPr>
              <w:jc w:val="center"/>
              <w:ind w:right="250"/>
              <w:spacing w:after="0" w:line="203" w:lineRule="exact"/>
              <w:rPr>
                <w:sz w:val="20"/>
                <w:szCs w:val="20"/>
                <w:color w:val="auto"/>
              </w:rPr>
            </w:pPr>
            <w:r>
              <w:rPr>
                <w:rFonts w:ascii="Arial" w:cs="Arial" w:eastAsia="Arial" w:hAnsi="Arial"/>
                <w:sz w:val="18"/>
                <w:szCs w:val="18"/>
                <w:color w:val="auto"/>
                <w:w w:val="99"/>
              </w:rPr>
              <w:t>equipment</w:t>
            </w:r>
          </w:p>
        </w:tc>
        <w:tc>
          <w:tcPr>
            <w:tcW w:w="1520" w:type="dxa"/>
            <w:vAlign w:val="bottom"/>
            <w:gridSpan w:val="3"/>
          </w:tcPr>
          <w:p>
            <w:pPr>
              <w:ind w:left="160"/>
              <w:spacing w:after="0" w:line="203" w:lineRule="exact"/>
              <w:rPr>
                <w:sz w:val="20"/>
                <w:szCs w:val="20"/>
                <w:color w:val="auto"/>
              </w:rPr>
            </w:pPr>
            <w:r>
              <w:rPr>
                <w:rFonts w:ascii="Arial" w:cs="Arial" w:eastAsia="Arial" w:hAnsi="Arial"/>
                <w:sz w:val="18"/>
                <w:szCs w:val="18"/>
                <w:color w:val="auto"/>
              </w:rPr>
              <w:t>settlement</w:t>
            </w:r>
          </w:p>
        </w:tc>
        <w:tc>
          <w:tcPr>
            <w:tcW w:w="0" w:type="dxa"/>
            <w:vAlign w:val="bottom"/>
          </w:tcPr>
          <w:p>
            <w:pPr>
              <w:spacing w:after="0"/>
              <w:rPr>
                <w:sz w:val="1"/>
                <w:szCs w:val="1"/>
                <w:color w:val="auto"/>
              </w:rPr>
            </w:pPr>
          </w:p>
        </w:tc>
      </w:tr>
      <w:tr>
        <w:trPr>
          <w:trHeight w:val="195"/>
        </w:trPr>
        <w:tc>
          <w:tcPr>
            <w:tcW w:w="31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Machine Clothing</w:t>
            </w:r>
          </w:p>
        </w:tc>
        <w:tc>
          <w:tcPr>
            <w:tcW w:w="16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$24,423</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$24,587</w:t>
            </w:r>
          </w:p>
        </w:tc>
        <w:tc>
          <w:tcPr>
            <w:tcW w:w="18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1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534</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446</w:t>
            </w:r>
          </w:p>
        </w:tc>
        <w:tc>
          <w:tcPr>
            <w:tcW w:w="18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88</w:t>
            </w:r>
          </w:p>
        </w:tc>
        <w:tc>
          <w:tcPr>
            <w:tcW w:w="15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7"/>
                <w:szCs w:val="17"/>
                <w:color w:val="auto"/>
              </w:rPr>
            </w:pPr>
          </w:p>
        </w:tc>
        <w:tc>
          <w:tcPr>
            <w:tcW w:w="16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$24,957</w:t>
            </w:r>
          </w:p>
        </w:tc>
        <w:tc>
          <w:tcPr>
            <w:tcW w:w="180" w:type="dxa"/>
            <w:vAlign w:val="bottom"/>
          </w:tcPr>
          <w:p>
            <w:pPr>
              <w:spacing w:after="0"/>
              <w:rPr>
                <w:sz w:val="17"/>
                <w:szCs w:val="17"/>
                <w:color w:val="auto"/>
              </w:rPr>
            </w:pPr>
          </w:p>
        </w:tc>
        <w:tc>
          <w:tcPr>
            <w:tcW w:w="15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$25,033</w:t>
            </w:r>
          </w:p>
        </w:tc>
        <w:tc>
          <w:tcPr>
            <w:tcW w:w="18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$88</w:t>
            </w:r>
          </w:p>
        </w:tc>
        <w:tc>
          <w:tcPr>
            <w:tcW w:w="1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400" w:type="dxa"/>
            <w:vAlign w:val="bottom"/>
            <w:tcBorders>
              <w:top w:val="single" w:sz="8" w:color="auto"/>
            </w:tcBorders>
            <w:gridSpan w:val="7"/>
          </w:tcPr>
          <w:p>
            <w:pPr>
              <w:jc w:val="center"/>
              <w:ind w:right="70"/>
              <w:spacing w:after="0"/>
              <w:rPr>
                <w:sz w:val="20"/>
                <w:szCs w:val="20"/>
                <w:color w:val="auto"/>
              </w:rPr>
            </w:pPr>
            <w:r>
              <w:rPr>
                <w:rFonts w:ascii="Arial" w:cs="Arial" w:eastAsia="Arial" w:hAnsi="Arial"/>
                <w:sz w:val="18"/>
                <w:szCs w:val="18"/>
                <w:color w:val="auto"/>
              </w:rPr>
              <w:t>We expect that substantially all Accrued liabilities for restructuring will be paid within one year. The table below presents year-to-date</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120" w:type="dxa"/>
            <w:vAlign w:val="bottom"/>
            <w:gridSpan w:val="6"/>
          </w:tcPr>
          <w:p>
            <w:pPr>
              <w:spacing w:after="0"/>
              <w:rPr>
                <w:sz w:val="20"/>
                <w:szCs w:val="20"/>
                <w:color w:val="auto"/>
              </w:rPr>
            </w:pPr>
            <w:r>
              <w:rPr>
                <w:rFonts w:ascii="Arial" w:cs="Arial" w:eastAsia="Arial" w:hAnsi="Arial"/>
                <w:sz w:val="18"/>
                <w:szCs w:val="18"/>
                <w:color w:val="auto"/>
              </w:rPr>
              <w:t>changes in restructuring liabilities for 2014 and 2013 all of which related to termination costs:</w:t>
            </w: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December 31,</w:t>
            </w:r>
          </w:p>
        </w:tc>
        <w:tc>
          <w:tcPr>
            <w:tcW w:w="16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Restructuring</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20" w:type="dxa"/>
            <w:vAlign w:val="bottom"/>
          </w:tcPr>
          <w:p>
            <w:pPr>
              <w:jc w:val="center"/>
              <w:ind w:right="150"/>
              <w:spacing w:after="0" w:line="173" w:lineRule="exact"/>
              <w:rPr>
                <w:sz w:val="20"/>
                <w:szCs w:val="20"/>
                <w:color w:val="auto"/>
              </w:rPr>
            </w:pPr>
            <w:r>
              <w:rPr>
                <w:rFonts w:ascii="Arial" w:cs="Arial" w:eastAsia="Arial" w:hAnsi="Arial"/>
                <w:sz w:val="18"/>
                <w:szCs w:val="18"/>
                <w:b w:val="1"/>
                <w:bCs w:val="1"/>
                <w:color w:val="auto"/>
                <w:w w:val="98"/>
              </w:rPr>
              <w:t>Currency</w:t>
            </w:r>
          </w:p>
        </w:tc>
        <w:tc>
          <w:tcPr>
            <w:tcW w:w="1480" w:type="dxa"/>
            <w:vAlign w:val="bottom"/>
          </w:tcPr>
          <w:p>
            <w:pPr>
              <w:jc w:val="center"/>
              <w:ind w:right="30"/>
              <w:spacing w:after="0" w:line="173" w:lineRule="exact"/>
              <w:rPr>
                <w:sz w:val="20"/>
                <w:szCs w:val="20"/>
                <w:color w:val="auto"/>
              </w:rPr>
            </w:pPr>
            <w:r>
              <w:rPr>
                <w:rFonts w:ascii="Arial" w:cs="Arial" w:eastAsia="Arial" w:hAnsi="Arial"/>
                <w:sz w:val="18"/>
                <w:szCs w:val="18"/>
                <w:b w:val="1"/>
                <w:bCs w:val="1"/>
                <w:color w:val="auto"/>
                <w:w w:val="99"/>
              </w:rPr>
              <w:t>June 30,</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rPr>
              <w:t>charges accrued</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Payments</w:t>
            </w:r>
          </w:p>
        </w:tc>
        <w:tc>
          <w:tcPr>
            <w:tcW w:w="1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translation/other</w:t>
            </w:r>
          </w:p>
        </w:tc>
        <w:tc>
          <w:tcPr>
            <w:tcW w:w="14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Termination costs</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$9,656</w:t>
            </w:r>
          </w:p>
        </w:tc>
        <w:tc>
          <w:tcPr>
            <w:tcW w:w="1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$3,189</w:t>
            </w:r>
          </w:p>
        </w:tc>
        <w:tc>
          <w:tcPr>
            <w:tcW w:w="1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($8,675)</w:t>
            </w:r>
          </w:p>
        </w:tc>
        <w:tc>
          <w:tcPr>
            <w:tcW w:w="18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($144)</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$4,026</w:t>
            </w:r>
          </w:p>
        </w:tc>
        <w:tc>
          <w:tcPr>
            <w:tcW w:w="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$9,656</w:t>
            </w:r>
          </w:p>
        </w:tc>
        <w:tc>
          <w:tcPr>
            <w:tcW w:w="1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$3,189</w:t>
            </w: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($8,675)</w:t>
            </w:r>
          </w:p>
        </w:tc>
        <w:tc>
          <w:tcPr>
            <w:tcW w:w="18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($144)</w:t>
            </w:r>
          </w:p>
        </w:tc>
        <w:tc>
          <w:tcPr>
            <w:tcW w:w="15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10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December 31,</w:t>
            </w:r>
          </w:p>
        </w:tc>
        <w:tc>
          <w:tcPr>
            <w:tcW w:w="16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20" w:type="dxa"/>
            <w:vAlign w:val="bottom"/>
          </w:tcPr>
          <w:p>
            <w:pPr>
              <w:jc w:val="center"/>
              <w:ind w:right="150"/>
              <w:spacing w:after="0" w:line="195" w:lineRule="exact"/>
              <w:rPr>
                <w:sz w:val="20"/>
                <w:szCs w:val="20"/>
                <w:color w:val="auto"/>
              </w:rPr>
            </w:pPr>
            <w:r>
              <w:rPr>
                <w:rFonts w:ascii="Arial" w:cs="Arial" w:eastAsia="Arial" w:hAnsi="Arial"/>
                <w:sz w:val="18"/>
                <w:szCs w:val="18"/>
                <w:color w:val="auto"/>
              </w:rPr>
              <w:t>Currency</w:t>
            </w:r>
          </w:p>
        </w:tc>
        <w:tc>
          <w:tcPr>
            <w:tcW w:w="14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8"/>
              </w:rPr>
              <w:t>June 30,</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620" w:type="dxa"/>
            <w:vAlign w:val="bottom"/>
            <w:tcBorders>
              <w:bottom w:val="single" w:sz="8" w:color="auto"/>
            </w:tcBorders>
          </w:tcPr>
          <w:p>
            <w:pPr>
              <w:jc w:val="right"/>
              <w:ind w:right="610"/>
              <w:spacing w:after="0" w:line="203" w:lineRule="exact"/>
              <w:rPr>
                <w:sz w:val="20"/>
                <w:szCs w:val="20"/>
                <w:color w:val="auto"/>
              </w:rPr>
            </w:pPr>
            <w:r>
              <w:rPr>
                <w:rFonts w:ascii="Arial" w:cs="Arial" w:eastAsia="Arial" w:hAnsi="Arial"/>
                <w:sz w:val="18"/>
                <w:szCs w:val="18"/>
                <w:color w:val="auto"/>
              </w:rPr>
              <w:t>2012</w:t>
            </w:r>
          </w:p>
        </w:tc>
        <w:tc>
          <w:tcPr>
            <w:tcW w:w="16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charges accrued</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Payments</w:t>
            </w:r>
          </w:p>
        </w:tc>
        <w:tc>
          <w:tcPr>
            <w:tcW w:w="1820" w:type="dxa"/>
            <w:vAlign w:val="bottom"/>
            <w:tcBorders>
              <w:bottom w:val="single" w:sz="8" w:color="auto"/>
            </w:tcBorders>
          </w:tcPr>
          <w:p>
            <w:pPr>
              <w:jc w:val="center"/>
              <w:ind w:right="150"/>
              <w:spacing w:after="0" w:line="203" w:lineRule="exact"/>
              <w:rPr>
                <w:sz w:val="20"/>
                <w:szCs w:val="20"/>
                <w:color w:val="auto"/>
              </w:rPr>
            </w:pPr>
            <w:r>
              <w:rPr>
                <w:rFonts w:ascii="Arial" w:cs="Arial" w:eastAsia="Arial" w:hAnsi="Arial"/>
                <w:sz w:val="18"/>
                <w:szCs w:val="18"/>
                <w:color w:val="auto"/>
              </w:rPr>
              <w:t>translation/other</w:t>
            </w:r>
          </w:p>
        </w:tc>
        <w:tc>
          <w:tcPr>
            <w:tcW w:w="148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9"/>
              </w:rPr>
              <w:t>2013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Termination costs</w:t>
            </w:r>
          </w:p>
        </w:tc>
        <w:tc>
          <w:tcPr>
            <w:tcW w:w="16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$4,947</w:t>
            </w:r>
          </w:p>
        </w:tc>
        <w:tc>
          <w:tcPr>
            <w:tcW w:w="1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$24,869</w:t>
            </w:r>
          </w:p>
        </w:tc>
        <w:tc>
          <w:tcPr>
            <w:tcW w:w="1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($2,576)</w:t>
            </w:r>
          </w:p>
        </w:tc>
        <w:tc>
          <w:tcPr>
            <w:tcW w:w="18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($269)</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$26,971</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6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$4,947</w:t>
            </w:r>
          </w:p>
        </w:tc>
        <w:tc>
          <w:tcPr>
            <w:tcW w:w="1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$24,869</w:t>
            </w: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($2,576)</w:t>
            </w:r>
          </w:p>
        </w:tc>
        <w:tc>
          <w:tcPr>
            <w:tcW w:w="18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($269)</w:t>
            </w:r>
          </w:p>
        </w:tc>
        <w:tc>
          <w:tcPr>
            <w:tcW w:w="1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0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6. Other (Income)/Expenses, net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(income)/expenses, net,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Three months ended</w:t>
            </w:r>
          </w:p>
        </w:tc>
        <w:tc>
          <w:tcPr>
            <w:tcW w:w="248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c>
          <w:tcPr>
            <w:tcW w:w="40" w:type="dxa"/>
            <w:vAlign w:val="bottom"/>
            <w:gridSpan w:val="2"/>
          </w:tcPr>
          <w:p>
            <w:pPr>
              <w:spacing w:after="0"/>
              <w:rPr>
                <w:sz w:val="18"/>
                <w:szCs w:val="18"/>
                <w:color w:val="auto"/>
              </w:rPr>
            </w:pPr>
          </w:p>
        </w:tc>
      </w:tr>
      <w:tr>
        <w:trPr>
          <w:trHeight w:val="181"/>
        </w:trPr>
        <w:tc>
          <w:tcPr>
            <w:tcW w:w="5260" w:type="dxa"/>
            <w:vAlign w:val="bottom"/>
          </w:tcPr>
          <w:p>
            <w:pPr>
              <w:spacing w:after="0"/>
              <w:rPr>
                <w:sz w:val="15"/>
                <w:szCs w:val="15"/>
                <w:color w:val="auto"/>
              </w:rPr>
            </w:pPr>
          </w:p>
        </w:tc>
        <w:tc>
          <w:tcPr>
            <w:tcW w:w="248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1200" w:type="dxa"/>
            <w:vAlign w:val="bottom"/>
          </w:tcPr>
          <w:p>
            <w:pPr>
              <w:spacing w:after="0"/>
              <w:rPr>
                <w:sz w:val="15"/>
                <w:szCs w:val="15"/>
                <w:color w:val="auto"/>
              </w:rPr>
            </w:pP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 thousands)</w:t>
            </w:r>
          </w:p>
        </w:tc>
        <w:tc>
          <w:tcPr>
            <w:tcW w:w="2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2013</w:t>
            </w:r>
          </w:p>
        </w:tc>
        <w:tc>
          <w:tcPr>
            <w:tcW w:w="15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5260" w:type="dxa"/>
            <w:vAlign w:val="bottom"/>
          </w:tcPr>
          <w:p>
            <w:pPr>
              <w:ind w:left="60"/>
              <w:spacing w:after="0" w:line="173" w:lineRule="exact"/>
              <w:rPr>
                <w:sz w:val="20"/>
                <w:szCs w:val="20"/>
                <w:color w:val="auto"/>
              </w:rPr>
            </w:pPr>
            <w:r>
              <w:rPr>
                <w:rFonts w:ascii="Arial" w:cs="Arial" w:eastAsia="Arial" w:hAnsi="Arial"/>
                <w:sz w:val="18"/>
                <w:szCs w:val="18"/>
                <w:color w:val="auto"/>
              </w:rPr>
              <w:t>Currency transactions</w:t>
            </w:r>
          </w:p>
        </w:tc>
        <w:tc>
          <w:tcPr>
            <w:tcW w:w="248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($1,397)</w:t>
            </w:r>
          </w:p>
        </w:tc>
        <w:tc>
          <w:tcPr>
            <w:tcW w:w="120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$1,894</w:t>
            </w:r>
          </w:p>
        </w:tc>
        <w:tc>
          <w:tcPr>
            <w:tcW w:w="152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($1,903)</w:t>
            </w:r>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$1,903</w:t>
            </w:r>
          </w:p>
        </w:tc>
        <w:tc>
          <w:tcPr>
            <w:tcW w:w="40" w:type="dxa"/>
            <w:vAlign w:val="bottom"/>
            <w:gridSpan w:val="2"/>
          </w:tcPr>
          <w:p>
            <w:pPr>
              <w:spacing w:after="0"/>
              <w:rPr>
                <w:sz w:val="15"/>
                <w:szCs w:val="15"/>
                <w:color w:val="auto"/>
              </w:rPr>
            </w:pPr>
          </w:p>
        </w:tc>
      </w:tr>
      <w:tr>
        <w:trPr>
          <w:trHeight w:val="203"/>
        </w:trPr>
        <w:tc>
          <w:tcPr>
            <w:tcW w:w="5260" w:type="dxa"/>
            <w:vAlign w:val="bottom"/>
          </w:tcPr>
          <w:p>
            <w:pPr>
              <w:ind w:left="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4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285</w:t>
            </w:r>
          </w:p>
        </w:tc>
        <w:tc>
          <w:tcPr>
            <w:tcW w:w="12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377</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597</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998</w:t>
            </w:r>
          </w:p>
        </w:tc>
        <w:tc>
          <w:tcPr>
            <w:tcW w:w="20" w:type="dxa"/>
            <w:vAlign w:val="bottom"/>
          </w:tcPr>
          <w:p>
            <w:pPr>
              <w:spacing w:after="0"/>
              <w:rPr>
                <w:sz w:val="17"/>
                <w:szCs w:val="17"/>
                <w:color w:val="auto"/>
              </w:rPr>
            </w:pPr>
          </w:p>
        </w:tc>
      </w:tr>
      <w:tr>
        <w:trPr>
          <w:trHeight w:val="203"/>
        </w:trPr>
        <w:tc>
          <w:tcPr>
            <w:tcW w:w="5260" w:type="dxa"/>
            <w:vAlign w:val="bottom"/>
          </w:tcPr>
          <w:p>
            <w:pPr>
              <w:ind w:left="60"/>
              <w:spacing w:after="0" w:line="202" w:lineRule="exact"/>
              <w:rPr>
                <w:sz w:val="20"/>
                <w:szCs w:val="20"/>
                <w:color w:val="auto"/>
              </w:rPr>
            </w:pPr>
            <w:r>
              <w:rPr>
                <w:rFonts w:ascii="Arial" w:cs="Arial" w:eastAsia="Arial" w:hAnsi="Arial"/>
                <w:sz w:val="18"/>
                <w:szCs w:val="18"/>
                <w:color w:val="auto"/>
              </w:rPr>
              <w:t>Gain on insurance recovery</w:t>
            </w:r>
          </w:p>
        </w:tc>
        <w:tc>
          <w:tcPr>
            <w:tcW w:w="24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(961)</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(961)</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(60)</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(333)</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196"/>
        </w:trPr>
        <w:tc>
          <w:tcPr>
            <w:tcW w:w="52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($2,133)</w:t>
            </w:r>
          </w:p>
        </w:tc>
        <w:tc>
          <w:tcPr>
            <w:tcW w:w="12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$2,211</w:t>
            </w:r>
          </w:p>
        </w:tc>
        <w:tc>
          <w:tcPr>
            <w:tcW w:w="1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($2,600)</w:t>
            </w:r>
          </w:p>
        </w:tc>
        <w:tc>
          <w:tcPr>
            <w:tcW w:w="9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$2,945</w:t>
            </w:r>
          </w:p>
        </w:tc>
        <w:tc>
          <w:tcPr>
            <w:tcW w:w="20" w:type="dxa"/>
            <w:vAlign w:val="bottom"/>
            <w:tcBorders>
              <w:bottom w:val="single" w:sz="8" w:color="auto"/>
            </w:tcBorders>
          </w:tcPr>
          <w:p>
            <w:pPr>
              <w:spacing w:after="0"/>
              <w:rPr>
                <w:sz w:val="17"/>
                <w:szCs w:val="17"/>
                <w:color w:val="auto"/>
              </w:rPr>
            </w:pPr>
          </w:p>
        </w:tc>
      </w:tr>
    </w:tbl>
    <w:p>
      <w:pPr>
        <w:spacing w:after="0" w:line="188" w:lineRule="exact"/>
        <w:rPr>
          <w:sz w:val="20"/>
          <w:szCs w:val="20"/>
          <w:color w:val="auto"/>
        </w:rPr>
      </w:pPr>
    </w:p>
    <w:p>
      <w:pPr>
        <w:ind w:right="60" w:firstLine="360"/>
        <w:spacing w:after="0"/>
        <w:rPr>
          <w:sz w:val="20"/>
          <w:szCs w:val="20"/>
          <w:color w:val="auto"/>
        </w:rPr>
      </w:pPr>
      <w:r>
        <w:rPr>
          <w:rFonts w:ascii="Arial" w:cs="Arial" w:eastAsia="Arial" w:hAnsi="Arial"/>
          <w:sz w:val="18"/>
          <w:szCs w:val="18"/>
          <w:color w:val="auto"/>
        </w:rPr>
        <w:t>In July 2013, the Company’s manufacturing facility in Germany was damaged by severe weather. At that time, the Company expensed the remaining book value of the damaged property, but that value was minimal. In the second quarter of 2014, we recorded a gain equal to proceeds received.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components of income tax expense/(benefit) for the three and six months ending June 30, 2014 and 2013: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Three months ended June</w:t>
            </w:r>
          </w:p>
        </w:tc>
        <w:tc>
          <w:tcPr>
            <w:tcW w:w="23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Six months ended June 30,</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52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30,</w:t>
            </w: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664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 estimated tax rates of</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$6,368</w:t>
            </w:r>
          </w:p>
        </w:tc>
        <w:tc>
          <w:tcPr>
            <w:tcW w:w="920" w:type="dxa"/>
            <w:vAlign w:val="bottom"/>
          </w:tcPr>
          <w:p>
            <w:pPr>
              <w:jc w:val="right"/>
              <w:spacing w:after="0"/>
              <w:rPr>
                <w:sz w:val="20"/>
                <w:szCs w:val="20"/>
                <w:color w:val="auto"/>
              </w:rPr>
            </w:pPr>
            <w:r>
              <w:rPr>
                <w:rFonts w:ascii="Arial" w:cs="Arial" w:eastAsia="Arial" w:hAnsi="Arial"/>
                <w:sz w:val="18"/>
                <w:szCs w:val="18"/>
                <w:color w:val="auto"/>
              </w:rPr>
              <w:t>($3,616)</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$12,999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36.5% and 39.0%, respectively</w:t>
            </w: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278</w:t>
            </w:r>
          </w:p>
        </w:tc>
        <w:tc>
          <w:tcPr>
            <w:tcW w:w="920" w:type="dxa"/>
            <w:vAlign w:val="bottom"/>
          </w:tcPr>
          <w:p>
            <w:pPr>
              <w:spacing w:after="0"/>
              <w:rPr>
                <w:sz w:val="17"/>
                <w:szCs w:val="17"/>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40" w:type="dxa"/>
            <w:vAlign w:val="bottom"/>
            <w:gridSpan w:val="2"/>
          </w:tcPr>
          <w:p>
            <w:pPr>
              <w:spacing w:after="0" w:line="181" w:lineRule="exact"/>
              <w:rPr>
                <w:sz w:val="20"/>
                <w:szCs w:val="20"/>
                <w:color w:val="auto"/>
              </w:rPr>
            </w:pPr>
            <w:r>
              <w:rPr>
                <w:rFonts w:ascii="Arial" w:cs="Arial" w:eastAsia="Arial" w:hAnsi="Arial"/>
                <w:sz w:val="18"/>
                <w:szCs w:val="18"/>
                <w:color w:val="auto"/>
              </w:rPr>
              <w:t>Provision for change in estimated tax rates</w:t>
            </w:r>
          </w:p>
        </w:tc>
        <w:tc>
          <w:tcPr>
            <w:tcW w:w="1520" w:type="dxa"/>
            <w:vAlign w:val="bottom"/>
            <w:vMerge w:val="continue"/>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888</w:t>
            </w:r>
          </w:p>
        </w:tc>
        <w:tc>
          <w:tcPr>
            <w:tcW w:w="1480" w:type="dxa"/>
            <w:vAlign w:val="bottom"/>
            <w:vMerge w:val="continue"/>
          </w:tcPr>
          <w:p>
            <w:pPr>
              <w:spacing w:after="0"/>
              <w:rPr>
                <w:sz w:val="15"/>
                <w:szCs w:val="15"/>
                <w:color w:val="auto"/>
              </w:rPr>
            </w:pPr>
          </w:p>
        </w:tc>
        <w:tc>
          <w:tcPr>
            <w:tcW w:w="8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64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6,646</w:t>
            </w:r>
          </w:p>
        </w:tc>
        <w:tc>
          <w:tcPr>
            <w:tcW w:w="920" w:type="dxa"/>
            <w:vAlign w:val="bottom"/>
          </w:tcPr>
          <w:p>
            <w:pPr>
              <w:jc w:val="right"/>
              <w:spacing w:after="0"/>
              <w:rPr>
                <w:sz w:val="20"/>
                <w:szCs w:val="20"/>
                <w:color w:val="auto"/>
              </w:rPr>
            </w:pPr>
            <w:r>
              <w:rPr>
                <w:rFonts w:ascii="Arial" w:cs="Arial" w:eastAsia="Arial" w:hAnsi="Arial"/>
                <w:sz w:val="18"/>
                <w:szCs w:val="18"/>
                <w:color w:val="auto"/>
              </w:rPr>
              <w:t>(2,728)</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12,999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64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437</w:t>
            </w:r>
          </w:p>
        </w:tc>
        <w:tc>
          <w:tcPr>
            <w:tcW w:w="920" w:type="dxa"/>
            <w:vAlign w:val="bottom"/>
          </w:tcPr>
          <w:p>
            <w:pPr>
              <w:spacing w:after="0"/>
              <w:rPr>
                <w:sz w:val="24"/>
                <w:szCs w:val="24"/>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437</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20" w:type="dxa"/>
            <w:vAlign w:val="bottom"/>
          </w:tcPr>
          <w:p>
            <w:pPr>
              <w:ind w:left="40"/>
              <w:spacing w:after="0" w:line="181" w:lineRule="exact"/>
              <w:rPr>
                <w:sz w:val="20"/>
                <w:szCs w:val="20"/>
                <w:color w:val="auto"/>
              </w:rPr>
            </w:pPr>
            <w:r>
              <w:rPr>
                <w:rFonts w:ascii="Arial" w:cs="Arial" w:eastAsia="Arial" w:hAnsi="Arial"/>
                <w:sz w:val="18"/>
                <w:szCs w:val="18"/>
                <w:color w:val="auto"/>
              </w:rPr>
              <w:t>Provision for/adjustment to beginning of year valuation allowances</w:t>
            </w:r>
          </w:p>
        </w:tc>
        <w:tc>
          <w:tcPr>
            <w:tcW w:w="1520" w:type="dxa"/>
            <w:vAlign w:val="bottom"/>
            <w:vMerge w:val="continue"/>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480" w:type="dxa"/>
            <w:vAlign w:val="bottom"/>
            <w:vMerge w:val="continue"/>
          </w:tcPr>
          <w:p>
            <w:pPr>
              <w:spacing w:after="0"/>
              <w:rPr>
                <w:sz w:val="15"/>
                <w:szCs w:val="15"/>
                <w:color w:val="auto"/>
              </w:rPr>
            </w:pPr>
          </w:p>
        </w:tc>
        <w:tc>
          <w:tcPr>
            <w:tcW w:w="8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99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979</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254</w:t>
            </w: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
              <w:spacing w:after="0" w:line="202" w:lineRule="exact"/>
              <w:rPr>
                <w:sz w:val="20"/>
                <w:szCs w:val="20"/>
                <w:color w:val="auto"/>
              </w:rPr>
            </w:pPr>
            <w:r>
              <w:rPr>
                <w:rFonts w:ascii="Arial" w:cs="Arial" w:eastAsia="Arial" w:hAnsi="Arial"/>
                <w:sz w:val="18"/>
                <w:szCs w:val="18"/>
                <w:color w:val="auto"/>
              </w:rPr>
              <w:t>Repatriation of non-U.S. prior years' earnings</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discrete tax adjustments, net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expense/(benefit)</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$7,216</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($2,243)</w:t>
            </w:r>
          </w:p>
        </w:tc>
        <w:tc>
          <w:tcPr>
            <w:tcW w:w="14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$14,673</w:t>
            </w:r>
          </w:p>
        </w:tc>
        <w:tc>
          <w:tcPr>
            <w:tcW w:w="8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$4,005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360"/>
        <w:spacing w:after="0"/>
        <w:rPr>
          <w:sz w:val="20"/>
          <w:szCs w:val="20"/>
          <w:color w:val="auto"/>
        </w:rPr>
      </w:pPr>
      <w:r>
        <w:rPr>
          <w:rFonts w:ascii="Arial" w:cs="Arial" w:eastAsia="Arial" w:hAnsi="Arial"/>
          <w:sz w:val="18"/>
          <w:szCs w:val="18"/>
          <w:color w:val="auto"/>
        </w:rPr>
        <w:t>The second quarter estimated effective tax rate on continuing operations was 36.5 percent in 2014, as compared to 39.0 percent for the same period in 2013. The change in the estimated effective tax rate was primarily attributable to the amount and distribution of income and loss among the countries in which we operate.</w:t>
      </w:r>
    </w:p>
    <w:p>
      <w:pPr>
        <w:spacing w:after="0" w:line="95"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At June 30, 2014 the Company reported a deferred tax liability of $0.3 million on $3.6 million of prior year non-U.S. earnings that have been targeted for future repatriation to the U.S. The Company records the residual U.S. and foreign taxes on certain amounts of current foreign earnings that have been targeted for repatriation to the U.S. As a result, such amounts are not considered to be permanently reinvested, and the Company accrued for the residual taxes on these earnings to the extent they cannot be repatriated in a tax-free manner.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2" w:name="page13"/>
    <w:bookmarkEnd w:id="12"/>
    <w:p>
      <w:pPr>
        <w:ind w:right="100" w:firstLine="360"/>
        <w:spacing w:after="0" w:line="238"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In the normal course of business we are subject to examination by taxing authorities throughout the world, including major jurisdictions such as the United States, Brazil, Canada, China, France, Germany, Italy, Mexico, and Switzerland. The open tax years in these jurisdictions range from 2000 to 2013. We are currently under audit in the U.S. and in other non-U.S. tax jurisdictions, including but not limited to Canada, Germany and Italy.</w:t>
      </w:r>
    </w:p>
    <w:p>
      <w:pPr>
        <w:spacing w:after="0" w:line="95" w:lineRule="exact"/>
        <w:rPr>
          <w:sz w:val="20"/>
          <w:szCs w:val="20"/>
          <w:color w:val="auto"/>
        </w:rPr>
      </w:pPr>
    </w:p>
    <w:p>
      <w:pPr>
        <w:ind w:firstLine="360"/>
        <w:spacing w:after="0" w:line="235" w:lineRule="auto"/>
        <w:rPr>
          <w:sz w:val="20"/>
          <w:szCs w:val="20"/>
          <w:color w:val="auto"/>
        </w:rPr>
      </w:pPr>
      <w:r>
        <w:rPr>
          <w:rFonts w:ascii="Arial" w:cs="Arial" w:eastAsia="Arial" w:hAnsi="Arial"/>
          <w:sz w:val="18"/>
          <w:szCs w:val="18"/>
          <w:color w:val="auto"/>
        </w:rPr>
        <w:t>It is reasonably possible that over the next twelve months the amount of the liability on uncertain tax positions may change within a range of a net increase of $0 million to a net decrease of $9.8 million, from the reevaluation of uncertain tax positions arising in examinations, in appeals, or in the courts, or from the closure of tax statutes. Not included in the range is $24.0 million of tax benefits in Germany related to a 1999 reorganization that have been challenged by the German tax authorities in the course of an audit, of which $18.4 million would have a direct impact on our Statements of Income if resolved unfavorably.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On July 2, 2014, The FTC conducted a hearing in the aforementioned case involving the other taxpayer and a decision is expected later in the year. Although we were required to pay tax and interest of approximately $16.3 million to the German tax authorities in order to continue to pursue the position, when taking into consideration the ECJ decision, the May 2010 FTC decision and the lower court decision, we believe that it is more likely than not that the relevant German law is violative of EU principles and, accordingly, we have not accrued tax expense on this matter. As we continue to monitor developments and consider the outcome of the July 2, 2014 hearing, it may become necessary for us to accrue tax expense and related interest.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26"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Three months ended</w:t>
            </w:r>
          </w:p>
        </w:tc>
        <w:tc>
          <w:tcPr>
            <w:tcW w:w="208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00" w:type="dxa"/>
            <w:vAlign w:val="bottom"/>
          </w:tcPr>
          <w:p>
            <w:pPr>
              <w:spacing w:after="0"/>
              <w:rPr>
                <w:sz w:val="15"/>
                <w:szCs w:val="15"/>
                <w:color w:val="auto"/>
              </w:rPr>
            </w:pPr>
          </w:p>
        </w:tc>
        <w:tc>
          <w:tcPr>
            <w:tcW w:w="25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June 30,</w:t>
            </w:r>
          </w:p>
        </w:tc>
        <w:tc>
          <w:tcPr>
            <w:tcW w:w="118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market price data)</w:t>
            </w:r>
          </w:p>
        </w:tc>
        <w:tc>
          <w:tcPr>
            <w:tcW w:w="25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2013</w:t>
            </w:r>
          </w:p>
        </w:tc>
        <w:tc>
          <w:tcPr>
            <w:tcW w:w="13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600" w:type="dxa"/>
            <w:vAlign w:val="bottom"/>
          </w:tcPr>
          <w:p>
            <w:pPr>
              <w:spacing w:after="0"/>
              <w:rPr>
                <w:sz w:val="20"/>
                <w:szCs w:val="20"/>
                <w:color w:val="auto"/>
              </w:rPr>
            </w:pPr>
            <w:r>
              <w:rPr>
                <w:rFonts w:ascii="Arial" w:cs="Arial" w:eastAsia="Arial" w:hAnsi="Arial"/>
                <w:sz w:val="18"/>
                <w:szCs w:val="18"/>
                <w:color w:val="auto"/>
              </w:rPr>
              <w:t>Net income/ (loss) attributable to the Company</w:t>
            </w: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$11,219</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($7,379)</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$21,840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412"/>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5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0" w:type="dxa"/>
            <w:vAlign w:val="bottom"/>
          </w:tcPr>
          <w:p>
            <w:pPr>
              <w:ind w:left="60"/>
              <w:spacing w:after="0"/>
              <w:rPr>
                <w:sz w:val="20"/>
                <w:szCs w:val="20"/>
                <w:color w:val="auto"/>
              </w:rPr>
            </w:pPr>
            <w:r>
              <w:rPr>
                <w:rFonts w:ascii="Arial" w:cs="Arial" w:eastAsia="Arial" w:hAnsi="Arial"/>
                <w:sz w:val="18"/>
                <w:szCs w:val="18"/>
                <w:color w:val="auto"/>
              </w:rPr>
              <w:t>Weighted average number of shares used in</w:t>
            </w:r>
          </w:p>
        </w:tc>
        <w:tc>
          <w:tcPr>
            <w:tcW w:w="25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31,832</w:t>
            </w:r>
          </w:p>
        </w:tc>
        <w:tc>
          <w:tcPr>
            <w:tcW w:w="1180" w:type="dxa"/>
            <w:vAlign w:val="bottom"/>
          </w:tcPr>
          <w:p>
            <w:pPr>
              <w:spacing w:after="0"/>
              <w:rPr>
                <w:sz w:val="24"/>
                <w:szCs w:val="24"/>
                <w:color w:val="auto"/>
              </w:rPr>
            </w:pPr>
          </w:p>
        </w:tc>
        <w:tc>
          <w:tcPr>
            <w:tcW w:w="13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31,809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00" w:type="dxa"/>
            <w:vAlign w:val="bottom"/>
          </w:tcPr>
          <w:p>
            <w:pPr>
              <w:ind w:left="60"/>
              <w:spacing w:after="0"/>
              <w:rPr>
                <w:sz w:val="20"/>
                <w:szCs w:val="20"/>
                <w:color w:val="auto"/>
              </w:rPr>
            </w:pPr>
            <w:r>
              <w:rPr>
                <w:rFonts w:ascii="Arial" w:cs="Arial" w:eastAsia="Arial" w:hAnsi="Arial"/>
                <w:sz w:val="18"/>
                <w:szCs w:val="18"/>
                <w:color w:val="auto"/>
              </w:rPr>
              <w:t>calculating basic net income/(loss) per share</w:t>
            </w:r>
          </w:p>
        </w:tc>
        <w:tc>
          <w:tcPr>
            <w:tcW w:w="2560" w:type="dxa"/>
            <w:vAlign w:val="bottom"/>
            <w:vMerge w:val="continue"/>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31,628</w:t>
            </w:r>
          </w:p>
        </w:tc>
        <w:tc>
          <w:tcPr>
            <w:tcW w:w="1300" w:type="dxa"/>
            <w:vAlign w:val="bottom"/>
            <w:vMerge w:val="continue"/>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31,562</w:t>
            </w:r>
          </w:p>
        </w:tc>
        <w:tc>
          <w:tcPr>
            <w:tcW w:w="0" w:type="dxa"/>
            <w:vAlign w:val="bottom"/>
          </w:tcPr>
          <w:p>
            <w:pPr>
              <w:spacing w:after="0"/>
              <w:rPr>
                <w:sz w:val="1"/>
                <w:szCs w:val="1"/>
                <w:color w:val="auto"/>
              </w:rPr>
            </w:pPr>
          </w:p>
        </w:tc>
      </w:tr>
      <w:tr>
        <w:trPr>
          <w:trHeight w:val="405"/>
        </w:trPr>
        <w:tc>
          <w:tcPr>
            <w:tcW w:w="560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Pr>
          <w:p>
            <w:pPr>
              <w:ind w:left="60"/>
              <w:spacing w:after="0"/>
              <w:rPr>
                <w:sz w:val="20"/>
                <w:szCs w:val="20"/>
                <w:color w:val="auto"/>
              </w:rPr>
            </w:pPr>
            <w:r>
              <w:rPr>
                <w:rFonts w:ascii="Arial" w:cs="Arial" w:eastAsia="Arial" w:hAnsi="Arial"/>
                <w:sz w:val="18"/>
                <w:szCs w:val="18"/>
                <w:color w:val="auto"/>
              </w:rPr>
              <w:t>Stock options</w:t>
            </w: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103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104</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60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5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31,935</w:t>
            </w:r>
          </w:p>
        </w:tc>
        <w:tc>
          <w:tcPr>
            <w:tcW w:w="1180" w:type="dxa"/>
            <w:vAlign w:val="bottom"/>
          </w:tcPr>
          <w:p>
            <w:pPr>
              <w:spacing w:after="0"/>
              <w:rPr>
                <w:sz w:val="24"/>
                <w:szCs w:val="24"/>
                <w:color w:val="auto"/>
              </w:rPr>
            </w:pPr>
          </w:p>
        </w:tc>
        <w:tc>
          <w:tcPr>
            <w:tcW w:w="13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31,913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560" w:type="dxa"/>
            <w:vAlign w:val="bottom"/>
            <w:vMerge w:val="continue"/>
          </w:tcPr>
          <w:p>
            <w:pPr>
              <w:spacing w:after="0"/>
              <w:rPr>
                <w:sz w:val="17"/>
                <w:szCs w:val="17"/>
                <w:color w:val="auto"/>
              </w:rPr>
            </w:pPr>
          </w:p>
        </w:tc>
        <w:tc>
          <w:tcPr>
            <w:tcW w:w="1180" w:type="dxa"/>
            <w:vAlign w:val="bottom"/>
          </w:tcPr>
          <w:p>
            <w:pPr>
              <w:jc w:val="right"/>
              <w:ind w:right="90"/>
              <w:spacing w:after="0" w:line="203" w:lineRule="exact"/>
              <w:rPr>
                <w:sz w:val="20"/>
                <w:szCs w:val="20"/>
                <w:color w:val="auto"/>
              </w:rPr>
            </w:pPr>
            <w:r>
              <w:rPr>
                <w:rFonts w:ascii="Arial" w:cs="Arial" w:eastAsia="Arial" w:hAnsi="Arial"/>
                <w:sz w:val="18"/>
                <w:szCs w:val="18"/>
                <w:color w:val="auto"/>
              </w:rPr>
              <w:t>31,628</w:t>
            </w:r>
          </w:p>
        </w:tc>
        <w:tc>
          <w:tcPr>
            <w:tcW w:w="1300" w:type="dxa"/>
            <w:vAlign w:val="bottom"/>
            <w:vMerge w:val="continue"/>
          </w:tcPr>
          <w:p>
            <w:pPr>
              <w:spacing w:after="0"/>
              <w:rPr>
                <w:sz w:val="17"/>
                <w:szCs w:val="17"/>
                <w:color w:val="auto"/>
              </w:rPr>
            </w:pPr>
          </w:p>
        </w:tc>
        <w:tc>
          <w:tcPr>
            <w:tcW w:w="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31,687</w:t>
            </w:r>
          </w:p>
        </w:tc>
        <w:tc>
          <w:tcPr>
            <w:tcW w:w="0" w:type="dxa"/>
            <w:vAlign w:val="bottom"/>
          </w:tcPr>
          <w:p>
            <w:pPr>
              <w:spacing w:after="0"/>
              <w:rPr>
                <w:sz w:val="1"/>
                <w:szCs w:val="1"/>
                <w:color w:val="auto"/>
              </w:rPr>
            </w:pPr>
          </w:p>
        </w:tc>
      </w:tr>
      <w:tr>
        <w:trPr>
          <w:trHeight w:val="398"/>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market price of common stock used</w:t>
            </w:r>
          </w:p>
        </w:tc>
        <w:tc>
          <w:tcPr>
            <w:tcW w:w="256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$36.23</w:t>
            </w:r>
          </w:p>
        </w:tc>
        <w:tc>
          <w:tcPr>
            <w:tcW w:w="1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$35.97</w:t>
            </w: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560" w:type="dxa"/>
            <w:vAlign w:val="bottom"/>
            <w:vMerge w:val="continue"/>
          </w:tcPr>
          <w:p>
            <w:pPr>
              <w:spacing w:after="0"/>
              <w:rPr>
                <w:sz w:val="17"/>
                <w:szCs w:val="17"/>
                <w:color w:val="auto"/>
              </w:rPr>
            </w:pPr>
          </w:p>
        </w:tc>
        <w:tc>
          <w:tcPr>
            <w:tcW w:w="1180" w:type="dxa"/>
            <w:vAlign w:val="bottom"/>
          </w:tcPr>
          <w:p>
            <w:pPr>
              <w:jc w:val="right"/>
              <w:ind w:right="90"/>
              <w:spacing w:after="0" w:line="203" w:lineRule="exact"/>
              <w:rPr>
                <w:sz w:val="20"/>
                <w:szCs w:val="20"/>
                <w:color w:val="auto"/>
              </w:rPr>
            </w:pPr>
            <w:r>
              <w:rPr>
                <w:rFonts w:ascii="Arial" w:cs="Arial" w:eastAsia="Arial" w:hAnsi="Arial"/>
                <w:sz w:val="18"/>
                <w:szCs w:val="18"/>
                <w:color w:val="auto"/>
              </w:rPr>
              <w:t>$30.59</w:t>
            </w:r>
          </w:p>
        </w:tc>
        <w:tc>
          <w:tcPr>
            <w:tcW w:w="1300" w:type="dxa"/>
            <w:vAlign w:val="bottom"/>
            <w:vMerge w:val="continue"/>
          </w:tcPr>
          <w:p>
            <w:pPr>
              <w:spacing w:after="0"/>
              <w:rPr>
                <w:sz w:val="17"/>
                <w:szCs w:val="17"/>
                <w:color w:val="auto"/>
              </w:rPr>
            </w:pPr>
          </w:p>
        </w:tc>
        <w:tc>
          <w:tcPr>
            <w:tcW w:w="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412"/>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income/(loss) per share:</w:t>
            </w:r>
          </w:p>
        </w:tc>
        <w:tc>
          <w:tcPr>
            <w:tcW w:w="25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Pr>
          <w:p>
            <w:pPr>
              <w:ind w:left="60"/>
              <w:spacing w:after="0"/>
              <w:rPr>
                <w:sz w:val="20"/>
                <w:szCs w:val="20"/>
                <w:color w:val="auto"/>
              </w:rPr>
            </w:pPr>
            <w:r>
              <w:rPr>
                <w:rFonts w:ascii="Arial" w:cs="Arial" w:eastAsia="Arial" w:hAnsi="Arial"/>
                <w:sz w:val="18"/>
                <w:szCs w:val="18"/>
                <w:color w:val="auto"/>
              </w:rPr>
              <w:t>Basic</w:t>
            </w: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$0.35</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($0.23)</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$0.69</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Diluted</w:t>
            </w:r>
          </w:p>
        </w:tc>
        <w:tc>
          <w:tcPr>
            <w:tcW w:w="2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$0.35</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($0.23)</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$0.68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40" w:firstLine="360"/>
        <w:spacing w:after="0" w:line="235" w:lineRule="auto"/>
        <w:rPr>
          <w:sz w:val="20"/>
          <w:szCs w:val="20"/>
          <w:color w:val="auto"/>
        </w:rPr>
      </w:pPr>
      <w:r>
        <w:rPr>
          <w:rFonts w:ascii="Arial" w:cs="Arial" w:eastAsia="Arial" w:hAnsi="Arial"/>
          <w:sz w:val="22"/>
          <w:szCs w:val="22"/>
          <w:color w:val="auto"/>
        </w:rPr>
        <w:t>As a result of a net loss in the second quarter of 2013, the potential dilutive effect of stock-based compensation plans was not included in the computation of the diluted earnings per share because to do so would have been antidilutive.</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number of shares issued and outstanding: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2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9"/>
              </w:rPr>
              <w:t>Class A</w:t>
            </w: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Class B</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Less: Treasury</w:t>
            </w:r>
          </w:p>
        </w:tc>
        <w:tc>
          <w:tcPr>
            <w:tcW w:w="20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8"/>
              </w:rPr>
              <w:t>Net shares</w:t>
            </w:r>
          </w:p>
        </w:tc>
      </w:tr>
      <w:tr>
        <w:trPr>
          <w:trHeight w:val="203"/>
        </w:trPr>
        <w:tc>
          <w:tcPr>
            <w:tcW w:w="2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left="130"/>
              <w:spacing w:after="0" w:line="203" w:lineRule="exact"/>
              <w:rPr>
                <w:sz w:val="20"/>
                <w:szCs w:val="20"/>
                <w:color w:val="auto"/>
              </w:rPr>
            </w:pPr>
            <w:r>
              <w:rPr>
                <w:rFonts w:ascii="Arial" w:cs="Arial" w:eastAsia="Arial" w:hAnsi="Arial"/>
                <w:sz w:val="18"/>
                <w:szCs w:val="18"/>
                <w:color w:val="auto"/>
              </w:rPr>
              <w:t>Shares</w:t>
            </w:r>
          </w:p>
        </w:tc>
        <w:tc>
          <w:tcPr>
            <w:tcW w:w="21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Shares</w:t>
            </w:r>
          </w:p>
        </w:tc>
        <w:tc>
          <w:tcPr>
            <w:tcW w:w="24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Shares</w:t>
            </w:r>
          </w:p>
        </w:tc>
        <w:tc>
          <w:tcPr>
            <w:tcW w:w="2040" w:type="dxa"/>
            <w:vAlign w:val="bottom"/>
            <w:tcBorders>
              <w:bottom w:val="single" w:sz="8" w:color="auto"/>
            </w:tcBorders>
          </w:tcPr>
          <w:p>
            <w:pPr>
              <w:jc w:val="center"/>
              <w:ind w:left="10"/>
              <w:spacing w:after="0" w:line="203" w:lineRule="exact"/>
              <w:rPr>
                <w:sz w:val="20"/>
                <w:szCs w:val="20"/>
                <w:color w:val="auto"/>
              </w:rPr>
            </w:pPr>
            <w:r>
              <w:rPr>
                <w:rFonts w:ascii="Arial" w:cs="Arial" w:eastAsia="Arial" w:hAnsi="Arial"/>
                <w:sz w:val="18"/>
                <w:szCs w:val="18"/>
                <w:color w:val="auto"/>
              </w:rPr>
              <w:t>Outstanding</w:t>
            </w:r>
          </w:p>
        </w:tc>
      </w:tr>
      <w:tr>
        <w:trPr>
          <w:trHeight w:val="398"/>
        </w:trPr>
        <w:tc>
          <w:tcPr>
            <w:tcW w:w="2220" w:type="dxa"/>
            <w:vAlign w:val="bottom"/>
          </w:tcPr>
          <w:p>
            <w:pPr>
              <w:spacing w:after="0"/>
              <w:rPr>
                <w:sz w:val="20"/>
                <w:szCs w:val="20"/>
                <w:color w:val="auto"/>
              </w:rPr>
            </w:pPr>
            <w:r>
              <w:rPr>
                <w:rFonts w:ascii="Arial" w:cs="Arial" w:eastAsia="Arial" w:hAnsi="Arial"/>
                <w:sz w:val="18"/>
                <w:szCs w:val="18"/>
                <w:color w:val="auto"/>
              </w:rPr>
              <w:t>June 30, 2014</w:t>
            </w:r>
          </w:p>
        </w:tc>
        <w:tc>
          <w:tcPr>
            <w:tcW w:w="2560" w:type="dxa"/>
            <w:vAlign w:val="bottom"/>
          </w:tcPr>
          <w:p>
            <w:pPr>
              <w:jc w:val="center"/>
              <w:ind w:left="130"/>
              <w:spacing w:after="0"/>
              <w:rPr>
                <w:sz w:val="20"/>
                <w:szCs w:val="20"/>
                <w:color w:val="auto"/>
              </w:rPr>
            </w:pPr>
            <w:r>
              <w:rPr>
                <w:rFonts w:ascii="Arial" w:cs="Arial" w:eastAsia="Arial" w:hAnsi="Arial"/>
                <w:sz w:val="18"/>
                <w:szCs w:val="18"/>
                <w:color w:val="auto"/>
                <w:w w:val="99"/>
              </w:rPr>
              <w:t>37,064,939</w:t>
            </w:r>
          </w:p>
        </w:tc>
        <w:tc>
          <w:tcPr>
            <w:tcW w:w="2180" w:type="dxa"/>
            <w:vAlign w:val="bottom"/>
          </w:tcPr>
          <w:p>
            <w:pPr>
              <w:jc w:val="center"/>
              <w:spacing w:after="0"/>
              <w:rPr>
                <w:sz w:val="20"/>
                <w:szCs w:val="20"/>
                <w:color w:val="auto"/>
              </w:rPr>
            </w:pPr>
            <w:r>
              <w:rPr>
                <w:rFonts w:ascii="Arial" w:cs="Arial" w:eastAsia="Arial" w:hAnsi="Arial"/>
                <w:sz w:val="18"/>
                <w:szCs w:val="18"/>
                <w:color w:val="auto"/>
              </w:rPr>
              <w:t>3,235,048</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(8,459,498)</w:t>
            </w:r>
          </w:p>
        </w:tc>
        <w:tc>
          <w:tcPr>
            <w:tcW w:w="2040" w:type="dxa"/>
            <w:vAlign w:val="bottom"/>
          </w:tcPr>
          <w:p>
            <w:pPr>
              <w:jc w:val="center"/>
              <w:ind w:left="10"/>
              <w:spacing w:after="0"/>
              <w:rPr>
                <w:sz w:val="20"/>
                <w:szCs w:val="20"/>
                <w:color w:val="auto"/>
              </w:rPr>
            </w:pPr>
            <w:r>
              <w:rPr>
                <w:rFonts w:ascii="Arial" w:cs="Arial" w:eastAsia="Arial" w:hAnsi="Arial"/>
                <w:sz w:val="18"/>
                <w:szCs w:val="18"/>
                <w:color w:val="auto"/>
                <w:w w:val="99"/>
              </w:rPr>
              <w:t>31,840,489</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March 31, 2014</w:t>
            </w:r>
          </w:p>
        </w:tc>
        <w:tc>
          <w:tcPr>
            <w:tcW w:w="256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9"/>
              </w:rPr>
              <w:t>37,050,389</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3,235,048</w:t>
            </w:r>
          </w:p>
        </w:tc>
        <w:tc>
          <w:tcPr>
            <w:tcW w:w="2420" w:type="dxa"/>
            <w:vAlign w:val="bottom"/>
          </w:tcPr>
          <w:p>
            <w:pPr>
              <w:jc w:val="center"/>
              <w:spacing w:after="0" w:line="202" w:lineRule="exact"/>
              <w:rPr>
                <w:sz w:val="20"/>
                <w:szCs w:val="20"/>
                <w:color w:val="auto"/>
              </w:rPr>
            </w:pPr>
            <w:r>
              <w:rPr>
                <w:rFonts w:ascii="Arial" w:cs="Arial" w:eastAsia="Arial" w:hAnsi="Arial"/>
                <w:sz w:val="18"/>
                <w:szCs w:val="18"/>
                <w:color w:val="auto"/>
                <w:w w:val="99"/>
              </w:rPr>
              <w:t>(8,463,635)</w:t>
            </w:r>
          </w:p>
        </w:tc>
        <w:tc>
          <w:tcPr>
            <w:tcW w:w="204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31,821,802</w:t>
            </w:r>
          </w:p>
        </w:tc>
      </w:tr>
      <w:tr>
        <w:trPr>
          <w:trHeight w:val="203"/>
        </w:trPr>
        <w:tc>
          <w:tcPr>
            <w:tcW w:w="2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June 30, 2013</w:t>
            </w:r>
          </w:p>
        </w:tc>
        <w:tc>
          <w:tcPr>
            <w:tcW w:w="2560" w:type="dxa"/>
            <w:vAlign w:val="bottom"/>
            <w:tcBorders>
              <w:bottom w:val="single" w:sz="8" w:color="auto"/>
            </w:tcBorders>
          </w:tcPr>
          <w:p>
            <w:pPr>
              <w:jc w:val="center"/>
              <w:ind w:left="130"/>
              <w:spacing w:after="0" w:line="203" w:lineRule="exact"/>
              <w:rPr>
                <w:sz w:val="20"/>
                <w:szCs w:val="20"/>
                <w:color w:val="auto"/>
              </w:rPr>
            </w:pPr>
            <w:r>
              <w:rPr>
                <w:rFonts w:ascii="Arial" w:cs="Arial" w:eastAsia="Arial" w:hAnsi="Arial"/>
                <w:sz w:val="18"/>
                <w:szCs w:val="18"/>
                <w:color w:val="auto"/>
                <w:w w:val="99"/>
              </w:rPr>
              <w:t>36,875,127</w:t>
            </w:r>
          </w:p>
        </w:tc>
        <w:tc>
          <w:tcPr>
            <w:tcW w:w="21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3,236,098</w:t>
            </w:r>
          </w:p>
        </w:tc>
        <w:tc>
          <w:tcPr>
            <w:tcW w:w="24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(8,463,635)</w:t>
            </w:r>
          </w:p>
        </w:tc>
        <w:tc>
          <w:tcPr>
            <w:tcW w:w="2040" w:type="dxa"/>
            <w:vAlign w:val="bottom"/>
            <w:tcBorders>
              <w:bottom w:val="single" w:sz="8" w:color="auto"/>
            </w:tcBorders>
          </w:tcPr>
          <w:p>
            <w:pPr>
              <w:jc w:val="center"/>
              <w:ind w:left="10"/>
              <w:spacing w:after="0" w:line="203" w:lineRule="exact"/>
              <w:rPr>
                <w:sz w:val="20"/>
                <w:szCs w:val="20"/>
                <w:color w:val="auto"/>
              </w:rPr>
            </w:pPr>
            <w:r>
              <w:rPr>
                <w:rFonts w:ascii="Arial" w:cs="Arial" w:eastAsia="Arial" w:hAnsi="Arial"/>
                <w:sz w:val="18"/>
                <w:szCs w:val="18"/>
                <w:color w:val="auto"/>
                <w:w w:val="99"/>
              </w:rPr>
              <w:t>31,647,590</w:t>
            </w:r>
          </w:p>
        </w:tc>
      </w:tr>
      <w:tr>
        <w:trPr>
          <w:trHeight w:val="925"/>
        </w:trPr>
        <w:tc>
          <w:tcPr>
            <w:tcW w:w="2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80" w:type="dxa"/>
            <w:vAlign w:val="bottom"/>
          </w:tcPr>
          <w:p>
            <w:pPr>
              <w:jc w:val="right"/>
              <w:ind w:right="1070"/>
              <w:spacing w:after="0"/>
              <w:rPr>
                <w:sz w:val="20"/>
                <w:szCs w:val="20"/>
                <w:color w:val="auto"/>
              </w:rPr>
            </w:pPr>
            <w:r>
              <w:rPr>
                <w:rFonts w:ascii="Arial" w:cs="Arial" w:eastAsia="Arial" w:hAnsi="Arial"/>
                <w:sz w:val="18"/>
                <w:szCs w:val="18"/>
                <w:color w:val="auto"/>
              </w:rPr>
              <w:t>14</w:t>
            </w:r>
          </w:p>
        </w:tc>
        <w:tc>
          <w:tcPr>
            <w:tcW w:w="24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81"/>
        </w:trPr>
        <w:tc>
          <w:tcPr>
            <w:tcW w:w="22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68"/>
        </w:trPr>
        <w:tc>
          <w:tcPr>
            <w:tcW w:w="2220" w:type="dxa"/>
            <w:vAlign w:val="bottom"/>
            <w:shd w:val="clear" w:color="auto" w:fill="000000"/>
          </w:tcPr>
          <w:p>
            <w:pPr>
              <w:spacing w:after="0"/>
              <w:rPr>
                <w:sz w:val="5"/>
                <w:szCs w:val="5"/>
                <w:color w:val="auto"/>
              </w:rPr>
            </w:pPr>
          </w:p>
        </w:tc>
        <w:tc>
          <w:tcPr>
            <w:tcW w:w="256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2420" w:type="dxa"/>
            <w:vAlign w:val="bottom"/>
            <w:shd w:val="clear" w:color="auto" w:fill="000000"/>
          </w:tcPr>
          <w:p>
            <w:pPr>
              <w:spacing w:after="0"/>
              <w:rPr>
                <w:sz w:val="5"/>
                <w:szCs w:val="5"/>
                <w:color w:val="auto"/>
              </w:rPr>
            </w:pPr>
          </w:p>
        </w:tc>
        <w:tc>
          <w:tcPr>
            <w:tcW w:w="20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9. Accumulated Other Comprehensive Income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changes in the components of Accumulated Other Comprehensive Income for the period December 31, 2013 to</w:t>
      </w:r>
    </w:p>
    <w:p>
      <w:pPr>
        <w:spacing w:after="0"/>
        <w:rPr>
          <w:sz w:val="20"/>
          <w:szCs w:val="20"/>
          <w:color w:val="auto"/>
        </w:rPr>
      </w:pPr>
      <w:r>
        <w:rPr>
          <w:rFonts w:ascii="Arial" w:cs="Arial" w:eastAsia="Arial" w:hAnsi="Arial"/>
          <w:sz w:val="18"/>
          <w:szCs w:val="18"/>
          <w:color w:val="auto"/>
        </w:rPr>
        <w:t>June 30, 2014:</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9"/>
              </w:rPr>
              <w:t>Pension and</w:t>
            </w:r>
          </w:p>
        </w:tc>
        <w:tc>
          <w:tcPr>
            <w:tcW w:w="12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jc w:val="center"/>
              <w:ind w:right="170"/>
              <w:spacing w:after="0" w:line="202" w:lineRule="exact"/>
              <w:rPr>
                <w:sz w:val="20"/>
                <w:szCs w:val="20"/>
                <w:color w:val="auto"/>
              </w:rPr>
            </w:pPr>
            <w:r>
              <w:rPr>
                <w:rFonts w:ascii="Arial" w:cs="Arial" w:eastAsia="Arial" w:hAnsi="Arial"/>
                <w:sz w:val="18"/>
                <w:szCs w:val="18"/>
                <w:color w:val="auto"/>
                <w:w w:val="99"/>
              </w:rPr>
              <w:t>postretirement</w:t>
            </w:r>
          </w:p>
        </w:tc>
        <w:tc>
          <w:tcPr>
            <w:tcW w:w="12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Derivative</w:t>
            </w: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5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Translation</w:t>
            </w:r>
          </w:p>
        </w:tc>
        <w:tc>
          <w:tcPr>
            <w:tcW w:w="1680" w:type="dxa"/>
            <w:vAlign w:val="bottom"/>
          </w:tcPr>
          <w:p>
            <w:pPr>
              <w:jc w:val="center"/>
              <w:ind w:right="170"/>
              <w:spacing w:after="0" w:line="202" w:lineRule="exact"/>
              <w:rPr>
                <w:sz w:val="20"/>
                <w:szCs w:val="20"/>
                <w:color w:val="auto"/>
              </w:rPr>
            </w:pPr>
            <w:r>
              <w:rPr>
                <w:rFonts w:ascii="Arial" w:cs="Arial" w:eastAsia="Arial" w:hAnsi="Arial"/>
                <w:sz w:val="18"/>
                <w:szCs w:val="18"/>
                <w:color w:val="auto"/>
                <w:w w:val="99"/>
              </w:rPr>
              <w:t>liability</w:t>
            </w:r>
          </w:p>
        </w:tc>
        <w:tc>
          <w:tcPr>
            <w:tcW w:w="12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valuation</w:t>
            </w:r>
          </w:p>
        </w:tc>
        <w:tc>
          <w:tcPr>
            <w:tcW w:w="17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526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50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adjustments</w:t>
            </w:r>
          </w:p>
        </w:tc>
        <w:tc>
          <w:tcPr>
            <w:tcW w:w="168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adjustments</w:t>
            </w:r>
          </w:p>
        </w:tc>
        <w:tc>
          <w:tcPr>
            <w:tcW w:w="12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adjustment</w:t>
            </w:r>
          </w:p>
        </w:tc>
        <w:tc>
          <w:tcPr>
            <w:tcW w:w="1720" w:type="dxa"/>
            <w:vAlign w:val="bottom"/>
            <w:gridSpan w:val="2"/>
          </w:tcPr>
          <w:p>
            <w:pPr>
              <w:ind w:left="500"/>
              <w:spacing w:after="0" w:line="203" w:lineRule="exact"/>
              <w:rPr>
                <w:sz w:val="20"/>
                <w:szCs w:val="20"/>
                <w:color w:val="auto"/>
              </w:rPr>
            </w:pPr>
            <w:r>
              <w:rPr>
                <w:rFonts w:ascii="Arial" w:cs="Arial" w:eastAsia="Arial" w:hAnsi="Arial"/>
                <w:sz w:val="18"/>
                <w:szCs w:val="18"/>
                <w:color w:val="auto"/>
              </w:rPr>
              <w:t>Income</w:t>
            </w:r>
          </w:p>
        </w:tc>
      </w:tr>
      <w:tr>
        <w:trPr>
          <w:trHeight w:val="399"/>
        </w:trPr>
        <w:tc>
          <w:tcPr>
            <w:tcW w:w="5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December 31, 2013</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($48,383)</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($977)</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($49,498)</w:t>
            </w:r>
          </w:p>
        </w:tc>
        <w:tc>
          <w:tcPr>
            <w:tcW w:w="20" w:type="dxa"/>
            <w:vAlign w:val="bottom"/>
          </w:tcPr>
          <w:p>
            <w:pPr>
              <w:spacing w:after="0"/>
              <w:rPr>
                <w:sz w:val="24"/>
                <w:szCs w:val="24"/>
                <w:color w:val="auto"/>
              </w:rPr>
            </w:pPr>
          </w:p>
        </w:tc>
      </w:tr>
      <w:tr>
        <w:trPr>
          <w:trHeight w:val="196"/>
        </w:trPr>
        <w:tc>
          <w:tcPr>
            <w:tcW w:w="5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Other comprehensive income before reclassifications</w:t>
            </w:r>
          </w:p>
        </w:tc>
        <w:tc>
          <w:tcPr>
            <w:tcW w:w="1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(1,838)</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(802)</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(2,742)</w:t>
            </w:r>
          </w:p>
        </w:tc>
        <w:tc>
          <w:tcPr>
            <w:tcW w:w="20" w:type="dxa"/>
            <w:vAlign w:val="bottom"/>
          </w:tcPr>
          <w:p>
            <w:pPr>
              <w:spacing w:after="0"/>
              <w:rPr>
                <w:sz w:val="17"/>
                <w:szCs w:val="17"/>
                <w:color w:val="auto"/>
              </w:rPr>
            </w:pPr>
          </w:p>
        </w:tc>
      </w:tr>
      <w:tr>
        <w:trPr>
          <w:trHeight w:val="195"/>
        </w:trPr>
        <w:tc>
          <w:tcPr>
            <w:tcW w:w="5260" w:type="dxa"/>
            <w:vAlign w:val="bottom"/>
            <w:gridSpan w:val="2"/>
          </w:tcPr>
          <w:p>
            <w:pPr>
              <w:spacing w:after="0" w:line="195" w:lineRule="exact"/>
              <w:rPr>
                <w:sz w:val="20"/>
                <w:szCs w:val="20"/>
                <w:color w:val="auto"/>
              </w:rPr>
            </w:pPr>
            <w:r>
              <w:rPr>
                <w:rFonts w:ascii="Arial" w:cs="Arial" w:eastAsia="Arial" w:hAnsi="Arial"/>
                <w:sz w:val="18"/>
                <w:szCs w:val="18"/>
                <w:color w:val="auto"/>
              </w:rPr>
              <w:t>Interest expense related to swaps reclassified to the Statements</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of Income, net of tax</w:t>
            </w:r>
          </w:p>
        </w:tc>
        <w:tc>
          <w:tcPr>
            <w:tcW w:w="15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580</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Pension and postretirement liability adjustments reclassified to</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Statements of Income, net of tax</w:t>
            </w:r>
          </w:p>
        </w:tc>
        <w:tc>
          <w:tcPr>
            <w:tcW w:w="15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12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(1,838)</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(222)</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(1,882)</w:t>
            </w:r>
          </w:p>
        </w:tc>
        <w:tc>
          <w:tcPr>
            <w:tcW w:w="20" w:type="dxa"/>
            <w:vAlign w:val="bottom"/>
          </w:tcPr>
          <w:p>
            <w:pPr>
              <w:spacing w:after="0"/>
              <w:rPr>
                <w:sz w:val="17"/>
                <w:szCs w:val="17"/>
                <w:color w:val="auto"/>
              </w:rPr>
            </w:pPr>
          </w:p>
        </w:tc>
      </w:tr>
      <w:tr>
        <w:trPr>
          <w:trHeight w:val="399"/>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June 30, 2014</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($1,976)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($48,205)</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($51,380)</w:t>
            </w:r>
          </w:p>
        </w:tc>
        <w:tc>
          <w:tcPr>
            <w:tcW w:w="20" w:type="dxa"/>
            <w:vAlign w:val="bottom"/>
          </w:tcPr>
          <w:p>
            <w:pPr>
              <w:spacing w:after="0"/>
              <w:rPr>
                <w:sz w:val="24"/>
                <w:szCs w:val="24"/>
                <w:color w:val="auto"/>
              </w:rPr>
            </w:pPr>
          </w:p>
        </w:tc>
      </w:tr>
    </w:tbl>
    <w:p>
      <w:pPr>
        <w:spacing w:after="0" w:line="296" w:lineRule="exact"/>
        <w:rPr>
          <w:sz w:val="20"/>
          <w:szCs w:val="20"/>
          <w:color w:val="auto"/>
        </w:rPr>
      </w:pPr>
    </w:p>
    <w:p>
      <w:pPr>
        <w:ind w:right="60" w:firstLine="360"/>
        <w:spacing w:after="0"/>
        <w:rPr>
          <w:sz w:val="20"/>
          <w:szCs w:val="20"/>
          <w:color w:val="auto"/>
        </w:rPr>
      </w:pPr>
      <w:r>
        <w:rPr>
          <w:rFonts w:ascii="Arial" w:cs="Arial" w:eastAsia="Arial" w:hAnsi="Arial"/>
          <w:sz w:val="18"/>
          <w:szCs w:val="18"/>
          <w:color w:val="auto"/>
        </w:rPr>
        <w:t>The components of our Accumulated Other Comprehensive Income that are reclassified to the Statements of Income relate to our pension and postretirement plans and interest rate swaps. The table below presents the amounts reclassified, and the line items of the Statements of Income that were affected: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2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Three months ended</w:t>
            </w:r>
          </w:p>
        </w:tc>
        <w:tc>
          <w:tcPr>
            <w:tcW w:w="228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Six months ended</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82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108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Expense/(income)(in thousands)</w:t>
            </w:r>
          </w:p>
        </w:tc>
        <w:tc>
          <w:tcPr>
            <w:tcW w:w="18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2013</w:t>
            </w:r>
          </w:p>
        </w:tc>
        <w:tc>
          <w:tcPr>
            <w:tcW w:w="14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20" w:type="dxa"/>
            <w:vAlign w:val="bottom"/>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1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8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$473</w:t>
            </w:r>
          </w:p>
        </w:tc>
        <w:tc>
          <w:tcPr>
            <w:tcW w:w="1080" w:type="dxa"/>
            <w:vAlign w:val="bottom"/>
          </w:tcPr>
          <w:p>
            <w:pPr>
              <w:spacing w:after="0"/>
              <w:rPr>
                <w:sz w:val="19"/>
                <w:szCs w:val="19"/>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$951</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Pr>
          <w:p>
            <w:pPr>
              <w:ind w:left="40"/>
              <w:spacing w:after="0" w:line="181" w:lineRule="exact"/>
              <w:rPr>
                <w:sz w:val="20"/>
                <w:szCs w:val="20"/>
                <w:color w:val="auto"/>
              </w:rPr>
            </w:pPr>
            <w:r>
              <w:rPr>
                <w:rFonts w:ascii="Arial" w:cs="Arial" w:eastAsia="Arial" w:hAnsi="Arial"/>
                <w:sz w:val="18"/>
                <w:szCs w:val="18"/>
                <w:color w:val="auto"/>
              </w:rPr>
              <w:t>Payments made on interest rate swaps included in earnings</w:t>
            </w:r>
          </w:p>
        </w:tc>
        <w:tc>
          <w:tcPr>
            <w:tcW w:w="1820" w:type="dxa"/>
            <w:vAlign w:val="bottom"/>
            <w:vMerge w:val="continue"/>
          </w:tcPr>
          <w:p>
            <w:pPr>
              <w:spacing w:after="0"/>
              <w:rPr>
                <w:sz w:val="15"/>
                <w:szCs w:val="15"/>
                <w:color w:val="auto"/>
              </w:rPr>
            </w:pPr>
          </w:p>
        </w:tc>
        <w:tc>
          <w:tcPr>
            <w:tcW w:w="108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$454</w:t>
            </w:r>
          </w:p>
        </w:tc>
        <w:tc>
          <w:tcPr>
            <w:tcW w:w="1420" w:type="dxa"/>
            <w:vAlign w:val="bottom"/>
            <w:vMerge w:val="continue"/>
          </w:tcPr>
          <w:p>
            <w:pPr>
              <w:spacing w:after="0"/>
              <w:rPr>
                <w:sz w:val="15"/>
                <w:szCs w:val="15"/>
                <w:color w:val="auto"/>
              </w:rPr>
            </w:pPr>
          </w:p>
        </w:tc>
        <w:tc>
          <w:tcPr>
            <w:tcW w:w="8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tax effect</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(184)</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(177)</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(371)</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2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820" w:type="dxa"/>
            <w:vAlign w:val="bottom"/>
          </w:tcPr>
          <w:p>
            <w:pPr>
              <w:jc w:val="right"/>
              <w:ind w:right="310"/>
              <w:spacing w:after="0" w:line="195" w:lineRule="exact"/>
              <w:rPr>
                <w:sz w:val="20"/>
                <w:szCs w:val="20"/>
                <w:color w:val="auto"/>
              </w:rPr>
            </w:pPr>
            <w:r>
              <w:rPr>
                <w:rFonts w:ascii="Arial" w:cs="Arial" w:eastAsia="Arial" w:hAnsi="Arial"/>
                <w:sz w:val="18"/>
                <w:szCs w:val="18"/>
                <w:b w:val="1"/>
                <w:bCs w:val="1"/>
                <w:color w:val="auto"/>
              </w:rPr>
              <w:t>$289</w:t>
            </w:r>
          </w:p>
        </w:tc>
        <w:tc>
          <w:tcPr>
            <w:tcW w:w="10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$277</w:t>
            </w:r>
          </w:p>
        </w:tc>
        <w:tc>
          <w:tcPr>
            <w:tcW w:w="1420" w:type="dxa"/>
            <w:vAlign w:val="bottom"/>
          </w:tcPr>
          <w:p>
            <w:pPr>
              <w:jc w:val="right"/>
              <w:ind w:right="290"/>
              <w:spacing w:after="0" w:line="195" w:lineRule="exact"/>
              <w:rPr>
                <w:sz w:val="20"/>
                <w:szCs w:val="20"/>
                <w:color w:val="auto"/>
              </w:rPr>
            </w:pPr>
            <w:r>
              <w:rPr>
                <w:rFonts w:ascii="Arial" w:cs="Arial" w:eastAsia="Arial" w:hAnsi="Arial"/>
                <w:sz w:val="18"/>
                <w:szCs w:val="18"/>
                <w:b w:val="1"/>
                <w:bCs w:val="1"/>
                <w:color w:val="auto"/>
              </w:rPr>
              <w:t>$580</w:t>
            </w:r>
          </w:p>
        </w:tc>
        <w:tc>
          <w:tcPr>
            <w:tcW w:w="8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$556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1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8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($1,108)</w:t>
            </w:r>
          </w:p>
        </w:tc>
        <w:tc>
          <w:tcPr>
            <w:tcW w:w="1080" w:type="dxa"/>
            <w:vAlign w:val="bottom"/>
          </w:tcPr>
          <w:p>
            <w:pPr>
              <w:spacing w:after="0"/>
              <w:rPr>
                <w:sz w:val="19"/>
                <w:szCs w:val="19"/>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($2,217)</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Pr>
          <w:p>
            <w:pPr>
              <w:ind w:left="20"/>
              <w:spacing w:after="0" w:line="181" w:lineRule="exact"/>
              <w:rPr>
                <w:sz w:val="20"/>
                <w:szCs w:val="20"/>
                <w:color w:val="auto"/>
              </w:rPr>
            </w:pPr>
            <w:r>
              <w:rPr>
                <w:rFonts w:ascii="Arial" w:cs="Arial" w:eastAsia="Arial" w:hAnsi="Arial"/>
                <w:sz w:val="18"/>
                <w:szCs w:val="18"/>
                <w:color w:val="auto"/>
              </w:rPr>
              <w:t>Amortization of prior service cost/(credit)</w:t>
            </w:r>
          </w:p>
        </w:tc>
        <w:tc>
          <w:tcPr>
            <w:tcW w:w="1820" w:type="dxa"/>
            <w:vAlign w:val="bottom"/>
            <w:vMerge w:val="continue"/>
          </w:tcPr>
          <w:p>
            <w:pPr>
              <w:spacing w:after="0"/>
              <w:rPr>
                <w:sz w:val="15"/>
                <w:szCs w:val="15"/>
                <w:color w:val="auto"/>
              </w:rPr>
            </w:pPr>
          </w:p>
        </w:tc>
        <w:tc>
          <w:tcPr>
            <w:tcW w:w="108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($909)</w:t>
            </w:r>
          </w:p>
        </w:tc>
        <w:tc>
          <w:tcPr>
            <w:tcW w:w="1420" w:type="dxa"/>
            <w:vAlign w:val="bottom"/>
            <w:vMerge w:val="continue"/>
          </w:tcPr>
          <w:p>
            <w:pPr>
              <w:spacing w:after="0"/>
              <w:rPr>
                <w:sz w:val="15"/>
                <w:szCs w:val="15"/>
                <w:color w:val="auto"/>
              </w:rPr>
            </w:pPr>
          </w:p>
        </w:tc>
        <w:tc>
          <w:tcPr>
            <w:tcW w:w="8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($1,817)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transition obligation</w:t>
            </w:r>
          </w:p>
        </w:tc>
        <w:tc>
          <w:tcPr>
            <w:tcW w:w="18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1,355</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1,664</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2,683</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Total pretax amount reclassified (a)</w:t>
            </w:r>
          </w:p>
        </w:tc>
        <w:tc>
          <w:tcPr>
            <w:tcW w:w="1820" w:type="dxa"/>
            <w:vAlign w:val="bottom"/>
          </w:tcPr>
          <w:p>
            <w:pPr>
              <w:jc w:val="right"/>
              <w:ind w:right="310"/>
              <w:spacing w:after="0"/>
              <w:rPr>
                <w:sz w:val="20"/>
                <w:szCs w:val="20"/>
                <w:color w:val="auto"/>
              </w:rPr>
            </w:pPr>
            <w:r>
              <w:rPr>
                <w:rFonts w:ascii="Arial" w:cs="Arial" w:eastAsia="Arial" w:hAnsi="Arial"/>
                <w:sz w:val="18"/>
                <w:szCs w:val="18"/>
                <w:b w:val="1"/>
                <w:bCs w:val="1"/>
                <w:color w:val="auto"/>
              </w:rPr>
              <w:t>247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772</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466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(98)</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(271)</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(186)</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4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820" w:type="dxa"/>
            <w:vAlign w:val="bottom"/>
          </w:tcPr>
          <w:p>
            <w:pPr>
              <w:jc w:val="right"/>
              <w:ind w:right="310"/>
              <w:spacing w:after="0" w:line="195" w:lineRule="exact"/>
              <w:rPr>
                <w:sz w:val="20"/>
                <w:szCs w:val="20"/>
                <w:color w:val="auto"/>
              </w:rPr>
            </w:pPr>
            <w:r>
              <w:rPr>
                <w:rFonts w:ascii="Arial" w:cs="Arial" w:eastAsia="Arial" w:hAnsi="Arial"/>
                <w:sz w:val="18"/>
                <w:szCs w:val="18"/>
                <w:b w:val="1"/>
                <w:bCs w:val="1"/>
                <w:color w:val="auto"/>
              </w:rPr>
              <w:t>$149</w:t>
            </w:r>
          </w:p>
        </w:tc>
        <w:tc>
          <w:tcPr>
            <w:tcW w:w="10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$501</w:t>
            </w:r>
          </w:p>
        </w:tc>
        <w:tc>
          <w:tcPr>
            <w:tcW w:w="1420" w:type="dxa"/>
            <w:vAlign w:val="bottom"/>
          </w:tcPr>
          <w:p>
            <w:pPr>
              <w:jc w:val="right"/>
              <w:ind w:right="290"/>
              <w:spacing w:after="0" w:line="195" w:lineRule="exact"/>
              <w:rPr>
                <w:sz w:val="20"/>
                <w:szCs w:val="20"/>
                <w:color w:val="auto"/>
              </w:rPr>
            </w:pPr>
            <w:r>
              <w:rPr>
                <w:rFonts w:ascii="Arial" w:cs="Arial" w:eastAsia="Arial" w:hAnsi="Arial"/>
                <w:sz w:val="18"/>
                <w:szCs w:val="18"/>
                <w:b w:val="1"/>
                <w:bCs w:val="1"/>
                <w:color w:val="auto"/>
              </w:rPr>
              <w:t>$280</w:t>
            </w:r>
          </w:p>
        </w:tc>
        <w:tc>
          <w:tcPr>
            <w:tcW w:w="8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1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4).</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26"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Accounts receivable are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0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June 30, 2014</w:t>
            </w:r>
          </w:p>
        </w:tc>
        <w:tc>
          <w:tcPr>
            <w:tcW w:w="2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December 31, 2013</w:t>
            </w:r>
          </w:p>
        </w:tc>
        <w:tc>
          <w:tcPr>
            <w:tcW w:w="40" w:type="dxa"/>
            <w:vAlign w:val="bottom"/>
            <w:gridSpan w:val="2"/>
          </w:tcPr>
          <w:p>
            <w:pPr>
              <w:spacing w:after="0"/>
              <w:rPr>
                <w:sz w:val="18"/>
                <w:szCs w:val="18"/>
                <w:color w:val="auto"/>
              </w:rPr>
            </w:pPr>
          </w:p>
        </w:tc>
      </w:tr>
      <w:tr>
        <w:trPr>
          <w:trHeight w:val="173"/>
        </w:trPr>
        <w:tc>
          <w:tcPr>
            <w:tcW w:w="5240" w:type="dxa"/>
            <w:vAlign w:val="bottom"/>
          </w:tcPr>
          <w:p>
            <w:pPr>
              <w:spacing w:after="0" w:line="173" w:lineRule="exact"/>
              <w:rPr>
                <w:sz w:val="20"/>
                <w:szCs w:val="20"/>
                <w:color w:val="auto"/>
              </w:rPr>
            </w:pPr>
            <w:r>
              <w:rPr>
                <w:rFonts w:ascii="Arial" w:cs="Arial" w:eastAsia="Arial" w:hAnsi="Arial"/>
                <w:sz w:val="18"/>
                <w:szCs w:val="18"/>
                <w:color w:val="auto"/>
              </w:rPr>
              <w:t>Trade accounts receivable</w:t>
            </w:r>
          </w:p>
        </w:tc>
        <w:tc>
          <w:tcPr>
            <w:tcW w:w="408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$147,304</w:t>
            </w:r>
          </w:p>
        </w:tc>
        <w:tc>
          <w:tcPr>
            <w:tcW w:w="2100" w:type="dxa"/>
            <w:vAlign w:val="bottom"/>
          </w:tcPr>
          <w:p>
            <w:pPr>
              <w:jc w:val="right"/>
              <w:spacing w:after="0" w:line="173" w:lineRule="exact"/>
              <w:rPr>
                <w:sz w:val="20"/>
                <w:szCs w:val="20"/>
                <w:color w:val="auto"/>
              </w:rPr>
            </w:pPr>
            <w:r>
              <w:rPr>
                <w:rFonts w:ascii="Arial" w:cs="Arial" w:eastAsia="Arial" w:hAnsi="Arial"/>
                <w:sz w:val="18"/>
                <w:szCs w:val="18"/>
                <w:color w:val="auto"/>
              </w:rPr>
              <w:t>$154,296</w:t>
            </w:r>
          </w:p>
        </w:tc>
        <w:tc>
          <w:tcPr>
            <w:tcW w:w="40" w:type="dxa"/>
            <w:vAlign w:val="bottom"/>
            <w:gridSpan w:val="2"/>
          </w:tcPr>
          <w:p>
            <w:pPr>
              <w:spacing w:after="0"/>
              <w:rPr>
                <w:sz w:val="15"/>
                <w:szCs w:val="15"/>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11,046</w:t>
            </w:r>
          </w:p>
        </w:tc>
        <w:tc>
          <w:tcPr>
            <w:tcW w:w="21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20,525</w:t>
            </w:r>
          </w:p>
        </w:tc>
      </w:t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(9,877)</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(11,274)</w:t>
            </w:r>
          </w:p>
        </w:tc>
        <w:tc>
          <w:tcPr>
            <w:tcW w:w="20" w:type="dxa"/>
            <w:vAlign w:val="bottom"/>
          </w:tcPr>
          <w:p>
            <w:pPr>
              <w:spacing w:after="0"/>
              <w:rPr>
                <w:sz w:val="19"/>
                <w:szCs w:val="19"/>
                <w:color w:val="auto"/>
              </w:rPr>
            </w:pPr>
          </w:p>
        </w:tc>
      </w:tr>
      <w:tr>
        <w:trPr>
          <w:trHeight w:val="196"/>
        </w:trPr>
        <w:tc>
          <w:tcPr>
            <w:tcW w:w="5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$148,473</w:t>
            </w:r>
          </w:p>
        </w:tc>
        <w:tc>
          <w:tcPr>
            <w:tcW w:w="21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$163,547</w:t>
            </w:r>
          </w:p>
        </w:tc>
        <w:tc>
          <w:tcPr>
            <w:tcW w:w="20" w:type="dxa"/>
            <w:vAlign w:val="bottom"/>
            <w:tcBorders>
              <w:bottom w:val="single" w:sz="8" w:color="auto"/>
            </w:tcBorders>
          </w:tcPr>
          <w:p>
            <w:pPr>
              <w:spacing w:after="0"/>
              <w:rPr>
                <w:sz w:val="17"/>
                <w:szCs w:val="17"/>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26"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2014 and December 31, 2013, inventories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80" w:type="dxa"/>
            <w:vAlign w:val="bottom"/>
          </w:tcPr>
          <w:p>
            <w:pPr>
              <w:spacing w:after="0"/>
              <w:rPr>
                <w:sz w:val="20"/>
                <w:szCs w:val="20"/>
                <w:color w:val="auto"/>
              </w:rPr>
            </w:pPr>
            <w:r>
              <w:rPr>
                <w:rFonts w:ascii="Arial" w:cs="Arial" w:eastAsia="Arial" w:hAnsi="Arial"/>
                <w:sz w:val="18"/>
                <w:szCs w:val="18"/>
                <w:color w:val="auto"/>
              </w:rPr>
              <w:t>(in thousands)</w:t>
            </w:r>
          </w:p>
        </w:tc>
        <w:tc>
          <w:tcPr>
            <w:tcW w:w="4940" w:type="dxa"/>
            <w:vAlign w:val="bottom"/>
          </w:tcPr>
          <w:p>
            <w:pPr>
              <w:jc w:val="right"/>
              <w:ind w:right="650"/>
              <w:spacing w:after="0"/>
              <w:rPr>
                <w:sz w:val="20"/>
                <w:szCs w:val="20"/>
                <w:color w:val="auto"/>
              </w:rPr>
            </w:pPr>
            <w:r>
              <w:rPr>
                <w:rFonts w:ascii="Arial" w:cs="Arial" w:eastAsia="Arial" w:hAnsi="Arial"/>
                <w:sz w:val="18"/>
                <w:szCs w:val="18"/>
                <w:b w:val="1"/>
                <w:bCs w:val="1"/>
                <w:color w:val="auto"/>
              </w:rPr>
              <w:t>June 30, 2014</w:t>
            </w:r>
          </w:p>
        </w:tc>
        <w:tc>
          <w:tcPr>
            <w:tcW w:w="2120" w:type="dxa"/>
            <w:vAlign w:val="bottom"/>
            <w:gridSpan w:val="2"/>
          </w:tcPr>
          <w:p>
            <w:pPr>
              <w:jc w:val="right"/>
              <w:ind w:right="380"/>
              <w:spacing w:after="0"/>
              <w:rPr>
                <w:sz w:val="20"/>
                <w:szCs w:val="20"/>
                <w:color w:val="auto"/>
              </w:rPr>
            </w:pPr>
            <w:r>
              <w:rPr>
                <w:rFonts w:ascii="Arial" w:cs="Arial" w:eastAsia="Arial" w:hAnsi="Arial"/>
                <w:sz w:val="18"/>
                <w:szCs w:val="18"/>
                <w:color w:val="auto"/>
              </w:rPr>
              <w:t>December 31, 2013</w:t>
            </w:r>
          </w:p>
        </w:tc>
      </w:tr>
      <w:tr>
        <w:trPr>
          <w:trHeight w:val="173"/>
        </w:trPr>
        <w:tc>
          <w:tcPr>
            <w:tcW w:w="43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Raw materials</w:t>
            </w:r>
          </w:p>
        </w:tc>
        <w:tc>
          <w:tcPr>
            <w:tcW w:w="494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b w:val="1"/>
                <w:bCs w:val="1"/>
                <w:color w:val="auto"/>
              </w:rPr>
              <w:t>$29,322</w:t>
            </w:r>
          </w:p>
        </w:tc>
        <w:tc>
          <w:tcPr>
            <w:tcW w:w="21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$25,754</w:t>
            </w:r>
          </w:p>
        </w:tc>
        <w:tc>
          <w:tcPr>
            <w:tcW w:w="20" w:type="dxa"/>
            <w:vAlign w:val="bottom"/>
          </w:tcPr>
          <w:p>
            <w:pPr>
              <w:spacing w:after="0"/>
              <w:rPr>
                <w:sz w:val="15"/>
                <w:szCs w:val="15"/>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9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50,132</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45,998</w:t>
            </w:r>
          </w:p>
        </w:tc>
      </w:tr>
      <w:tr>
        <w:trPr>
          <w:trHeight w:val="225"/>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4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44,435</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40,987</w:t>
            </w:r>
          </w:p>
        </w:tc>
      </w:tr>
      <w:tr>
        <w:trPr>
          <w:trHeight w:val="196"/>
        </w:trPr>
        <w:tc>
          <w:tcPr>
            <w:tcW w:w="43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 inventories</w:t>
            </w:r>
          </w:p>
        </w:tc>
        <w:tc>
          <w:tcPr>
            <w:tcW w:w="49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$123,889</w:t>
            </w:r>
          </w:p>
        </w:tc>
        <w:tc>
          <w:tcPr>
            <w:tcW w:w="21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$112,739</w:t>
            </w:r>
          </w:p>
        </w:tc>
      </w:tr>
    </w:tbl>
    <w:p>
      <w:pPr>
        <w:spacing w:after="0" w:line="242" w:lineRule="exact"/>
        <w:rPr>
          <w:sz w:val="20"/>
          <w:szCs w:val="20"/>
          <w:color w:val="auto"/>
        </w:rPr>
      </w:pPr>
    </w:p>
    <w:p>
      <w:pPr>
        <w:ind w:right="120" w:firstLine="360"/>
        <w:spacing w:after="0" w:line="239" w:lineRule="auto"/>
        <w:rPr>
          <w:sz w:val="20"/>
          <w:szCs w:val="20"/>
          <w:color w:val="auto"/>
        </w:rPr>
      </w:pPr>
      <w:r>
        <w:rPr>
          <w:rFonts w:ascii="Arial" w:cs="Arial" w:eastAsia="Arial" w:hAnsi="Arial"/>
          <w:sz w:val="18"/>
          <w:szCs w:val="18"/>
          <w:color w:val="auto"/>
        </w:rPr>
        <w:t>During the second quarter of 2014, the Company identified an error in the value of Machine Clothing inventories reported in prior periods. Included in cost of goods sold for the second quarter is a charge of $1.6 million to correct the errors by reducing inventories to their proper carrying values. The error relates to intercompany transfers of inventory and originated when the Company transitioned to a new ERP system in the Americas in 2008 and Europe in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26"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 w:name="page17"/>
    <w:bookmarkEnd w:id="16"/>
    <w:p>
      <w:pPr>
        <w:ind w:right="320" w:firstLine="360"/>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4"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5"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2014, the Company applied the qualitative assessment approach in performing its annual evaluation of goodwill and concluded that no impairment provision was required. In addition, there were no amounts at risk due to the large spread between the fair and carrying values.</w:t>
      </w:r>
    </w:p>
    <w:p>
      <w:pPr>
        <w:spacing w:after="0" w:line="95"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2013 to June 30, 2014,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tcPr>
          <w:p>
            <w:pPr>
              <w:jc w:val="right"/>
              <w:ind w:right="630"/>
              <w:spacing w:after="0" w:line="194" w:lineRule="exact"/>
              <w:rPr>
                <w:sz w:val="20"/>
                <w:szCs w:val="20"/>
                <w:color w:val="auto"/>
              </w:rPr>
            </w:pPr>
            <w:r>
              <w:rPr>
                <w:rFonts w:ascii="Arial" w:cs="Arial" w:eastAsia="Arial" w:hAnsi="Arial"/>
                <w:sz w:val="18"/>
                <w:szCs w:val="18"/>
                <w:b w:val="1"/>
                <w:bCs w:val="1"/>
                <w:color w:val="auto"/>
              </w:rPr>
              <w:t>Balance at</w:t>
            </w:r>
          </w:p>
        </w:tc>
        <w:tc>
          <w:tcPr>
            <w:tcW w:w="1980" w:type="dxa"/>
            <w:vAlign w:val="bottom"/>
            <w:tcBorders>
              <w:top w:val="single" w:sz="8" w:color="auto"/>
            </w:tcBorders>
          </w:tcPr>
          <w:p>
            <w:pPr>
              <w:jc w:val="right"/>
              <w:ind w:right="570"/>
              <w:spacing w:after="0" w:line="194" w:lineRule="exact"/>
              <w:rPr>
                <w:sz w:val="20"/>
                <w:szCs w:val="20"/>
                <w:color w:val="auto"/>
              </w:rPr>
            </w:pPr>
            <w:r>
              <w:rPr>
                <w:rFonts w:ascii="Arial" w:cs="Arial" w:eastAsia="Arial" w:hAnsi="Arial"/>
                <w:sz w:val="18"/>
                <w:szCs w:val="18"/>
                <w:b w:val="1"/>
                <w:bCs w:val="1"/>
                <w:color w:val="auto"/>
              </w:rPr>
              <w:t>Amortization</w:t>
            </w:r>
          </w:p>
        </w:tc>
        <w:tc>
          <w:tcPr>
            <w:tcW w:w="1880" w:type="dxa"/>
            <w:vAlign w:val="bottom"/>
            <w:tcBorders>
              <w:top w:val="single" w:sz="8" w:color="auto"/>
            </w:tcBorders>
          </w:tcPr>
          <w:p>
            <w:pPr>
              <w:jc w:val="right"/>
              <w:ind w:right="670"/>
              <w:spacing w:after="0" w:line="194" w:lineRule="exact"/>
              <w:rPr>
                <w:sz w:val="20"/>
                <w:szCs w:val="20"/>
                <w:color w:val="auto"/>
              </w:rPr>
            </w:pPr>
            <w:r>
              <w:rPr>
                <w:rFonts w:ascii="Arial" w:cs="Arial" w:eastAsia="Arial" w:hAnsi="Arial"/>
                <w:sz w:val="18"/>
                <w:szCs w:val="18"/>
                <w:b w:val="1"/>
                <w:bCs w:val="1"/>
                <w:color w:val="auto"/>
              </w:rPr>
              <w:t>Currency</w:t>
            </w:r>
          </w:p>
        </w:tc>
        <w:tc>
          <w:tcPr>
            <w:tcW w:w="1740" w:type="dxa"/>
            <w:vAlign w:val="bottom"/>
            <w:tcBorders>
              <w:top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Balance at</w:t>
            </w:r>
          </w:p>
        </w:tc>
        <w:tc>
          <w:tcPr>
            <w:tcW w:w="20" w:type="dxa"/>
            <w:vAlign w:val="bottom"/>
          </w:tcPr>
          <w:p>
            <w:pPr>
              <w:spacing w:after="0"/>
              <w:rPr>
                <w:sz w:val="16"/>
                <w:szCs w:val="16"/>
                <w:color w:val="auto"/>
              </w:rPr>
            </w:pPr>
          </w:p>
        </w:tc>
      </w:tr>
      <w:tr>
        <w:trPr>
          <w:trHeight w:val="225"/>
        </w:trPr>
        <w:tc>
          <w:tcPr>
            <w:tcW w:w="32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2013</w:t>
            </w:r>
          </w:p>
        </w:tc>
        <w:tc>
          <w:tcPr>
            <w:tcW w:w="1980" w:type="dxa"/>
            <w:vAlign w:val="bottom"/>
          </w:tcPr>
          <w:p>
            <w:pPr>
              <w:spacing w:after="0"/>
              <w:rPr>
                <w:sz w:val="19"/>
                <w:szCs w:val="19"/>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b w:val="1"/>
                <w:bCs w:val="1"/>
                <w:color w:val="auto"/>
              </w:rPr>
              <w:t>Translation</w:t>
            </w:r>
          </w:p>
        </w:tc>
        <w:tc>
          <w:tcPr>
            <w:tcW w:w="1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June 30, 2014</w:t>
            </w:r>
          </w:p>
        </w:tc>
      </w:tr>
      <w:tr>
        <w:trPr>
          <w:trHeight w:val="398"/>
        </w:trPr>
        <w:tc>
          <w:tcPr>
            <w:tcW w:w="3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Amortized intangible assets:</w:t>
            </w:r>
          </w:p>
        </w:tc>
        <w:tc>
          <w:tcPr>
            <w:tcW w:w="260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80"/>
              <w:spacing w:after="0" w:line="202" w:lineRule="exact"/>
              <w:rPr>
                <w:sz w:val="20"/>
                <w:szCs w:val="20"/>
                <w:color w:val="auto"/>
              </w:rPr>
            </w:pPr>
            <w:r>
              <w:rPr>
                <w:rFonts w:ascii="Arial" w:cs="Arial" w:eastAsia="Arial" w:hAnsi="Arial"/>
                <w:sz w:val="18"/>
                <w:szCs w:val="18"/>
                <w:color w:val="auto"/>
              </w:rPr>
              <w:t>AEC trade names</w:t>
            </w:r>
          </w:p>
        </w:tc>
        <w:tc>
          <w:tcPr>
            <w:tcW w:w="2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w:t>
            </w:r>
          </w:p>
        </w:tc>
        <w:tc>
          <w:tcPr>
            <w:tcW w:w="19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w:t>
            </w:r>
          </w:p>
        </w:tc>
      </w:tr>
      <w:tr>
        <w:trPr>
          <w:trHeight w:val="203"/>
        </w:trPr>
        <w:tc>
          <w:tcPr>
            <w:tcW w:w="20" w:type="dxa"/>
            <w:vAlign w:val="bottom"/>
          </w:tcPr>
          <w:p>
            <w:pPr>
              <w:spacing w:after="0"/>
              <w:rPr>
                <w:sz w:val="17"/>
                <w:szCs w:val="17"/>
                <w:color w:val="auto"/>
              </w:rPr>
            </w:pPr>
          </w:p>
        </w:tc>
        <w:tc>
          <w:tcPr>
            <w:tcW w:w="320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2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404</w:t>
            </w:r>
          </w:p>
        </w:tc>
        <w:tc>
          <w:tcPr>
            <w:tcW w:w="19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(101)</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20" w:type="dxa"/>
            <w:vAlign w:val="bottom"/>
          </w:tcPr>
          <w:p>
            <w:pPr>
              <w:spacing w:after="0"/>
              <w:rPr>
                <w:sz w:val="17"/>
                <w:szCs w:val="17"/>
                <w:color w:val="auto"/>
              </w:rPr>
            </w:pPr>
          </w:p>
        </w:tc>
        <w:tc>
          <w:tcPr>
            <w:tcW w:w="32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AEC technology</w:t>
            </w:r>
          </w:p>
        </w:tc>
        <w:tc>
          <w:tcPr>
            <w:tcW w:w="26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179</w:t>
            </w:r>
          </w:p>
        </w:tc>
        <w:tc>
          <w:tcPr>
            <w:tcW w:w="19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(12)</w:t>
            </w:r>
          </w:p>
        </w:tc>
        <w:tc>
          <w:tcPr>
            <w:tcW w:w="18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167</w:t>
            </w:r>
          </w:p>
        </w:tc>
      </w:tr>
      <w:tr>
        <w:trPr>
          <w:trHeight w:val="196"/>
        </w:trPr>
        <w:tc>
          <w:tcPr>
            <w:tcW w:w="20" w:type="dxa"/>
            <w:vAlign w:val="bottom"/>
          </w:tcPr>
          <w:p>
            <w:pPr>
              <w:spacing w:after="0"/>
              <w:rPr>
                <w:sz w:val="17"/>
                <w:szCs w:val="17"/>
                <w:color w:val="auto"/>
              </w:rPr>
            </w:pPr>
          </w:p>
        </w:tc>
        <w:tc>
          <w:tcPr>
            <w:tcW w:w="3200" w:type="dxa"/>
            <w:vAlign w:val="bottom"/>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6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$616</w:t>
            </w:r>
          </w:p>
        </w:tc>
        <w:tc>
          <w:tcPr>
            <w:tcW w:w="19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($115)</w:t>
            </w:r>
          </w:p>
        </w:tc>
        <w:tc>
          <w:tcPr>
            <w:tcW w:w="18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$501</w:t>
            </w:r>
          </w:p>
        </w:tc>
      </w:tr>
      <w:tr>
        <w:trPr>
          <w:trHeight w:val="398"/>
        </w:trPr>
        <w:tc>
          <w:tcPr>
            <w:tcW w:w="3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Unamortized intangible assets:</w:t>
            </w:r>
          </w:p>
        </w:tc>
        <w:tc>
          <w:tcPr>
            <w:tcW w:w="260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2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Goodwill</w:t>
            </w:r>
          </w:p>
        </w:tc>
        <w:tc>
          <w:tcPr>
            <w:tcW w:w="26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$78,890</w:t>
            </w:r>
          </w:p>
        </w:tc>
        <w:tc>
          <w:tcPr>
            <w:tcW w:w="19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($255)</w:t>
            </w:r>
          </w:p>
        </w:tc>
        <w:tc>
          <w:tcPr>
            <w:tcW w:w="17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$78,635</w:t>
            </w:r>
          </w:p>
        </w:tc>
      </w:tr>
    </w:tbl>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amortization expense of intangibles for the years ending December 31, 2014 through 2018,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Annual amortization</w:t>
            </w:r>
          </w:p>
        </w:tc>
        <w:tc>
          <w:tcPr>
            <w:tcW w:w="4560" w:type="dxa"/>
            <w:vAlign w:val="bottom"/>
          </w:tcPr>
          <w:p>
            <w:pPr>
              <w:spacing w:after="0"/>
              <w:rPr>
                <w:sz w:val="16"/>
                <w:szCs w:val="16"/>
                <w:color w:val="auto"/>
              </w:rPr>
            </w:pPr>
          </w:p>
        </w:tc>
      </w:tr>
      <w:tr>
        <w:trPr>
          <w:trHeight w:val="225"/>
        </w:trPr>
        <w:tc>
          <w:tcPr>
            <w:tcW w:w="34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Year</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4560" w:type="dxa"/>
            <w:vAlign w:val="bottom"/>
          </w:tcPr>
          <w:p>
            <w:pPr>
              <w:spacing w:after="0"/>
              <w:rPr>
                <w:sz w:val="19"/>
                <w:szCs w:val="19"/>
                <w:color w:val="auto"/>
              </w:rPr>
            </w:pPr>
          </w:p>
        </w:tc>
      </w:tr>
      <w:tr>
        <w:trPr>
          <w:trHeight w:val="195"/>
        </w:trPr>
        <w:tc>
          <w:tcPr>
            <w:tcW w:w="3400" w:type="dxa"/>
            <w:vAlign w:val="bottom"/>
          </w:tcPr>
          <w:p>
            <w:pPr>
              <w:ind w:left="1280"/>
              <w:spacing w:after="0" w:line="195" w:lineRule="exact"/>
              <w:rPr>
                <w:sz w:val="20"/>
                <w:szCs w:val="20"/>
                <w:color w:val="auto"/>
              </w:rPr>
            </w:pPr>
            <w:r>
              <w:rPr>
                <w:rFonts w:ascii="Arial" w:cs="Arial" w:eastAsia="Arial" w:hAnsi="Arial"/>
                <w:sz w:val="18"/>
                <w:szCs w:val="18"/>
                <w:color w:val="auto"/>
              </w:rPr>
              <w:t>2014</w:t>
            </w:r>
          </w:p>
        </w:tc>
        <w:tc>
          <w:tcPr>
            <w:tcW w:w="3460" w:type="dxa"/>
            <w:vAlign w:val="bottom"/>
          </w:tcPr>
          <w:p>
            <w:pPr>
              <w:jc w:val="right"/>
              <w:spacing w:after="0" w:line="195" w:lineRule="exact"/>
              <w:rPr>
                <w:sz w:val="20"/>
                <w:szCs w:val="20"/>
                <w:color w:val="auto"/>
              </w:rPr>
            </w:pPr>
            <w:r>
              <w:rPr>
                <w:rFonts w:ascii="Arial" w:cs="Arial" w:eastAsia="Arial" w:hAnsi="Arial"/>
                <w:sz w:val="18"/>
                <w:szCs w:val="18"/>
                <w:color w:val="auto"/>
              </w:rPr>
              <w:t>$231</w:t>
            </w:r>
          </w:p>
        </w:tc>
        <w:tc>
          <w:tcPr>
            <w:tcW w:w="4560" w:type="dxa"/>
            <w:vAlign w:val="bottom"/>
          </w:tcPr>
          <w:p>
            <w:pPr>
              <w:spacing w:after="0"/>
              <w:rPr>
                <w:sz w:val="16"/>
                <w:szCs w:val="16"/>
                <w:color w:val="auto"/>
              </w:rPr>
            </w:pPr>
          </w:p>
        </w:tc>
      </w:tr>
      <w:tr>
        <w:trPr>
          <w:trHeight w:val="203"/>
        </w:trPr>
        <w:tc>
          <w:tcPr>
            <w:tcW w:w="3400" w:type="dxa"/>
            <w:vAlign w:val="bottom"/>
          </w:tcPr>
          <w:p>
            <w:pPr>
              <w:ind w:left="1280"/>
              <w:spacing w:after="0" w:line="202" w:lineRule="exact"/>
              <w:rPr>
                <w:sz w:val="20"/>
                <w:szCs w:val="20"/>
                <w:color w:val="auto"/>
              </w:rPr>
            </w:pPr>
            <w:r>
              <w:rPr>
                <w:rFonts w:ascii="Arial" w:cs="Arial" w:eastAsia="Arial" w:hAnsi="Arial"/>
                <w:sz w:val="18"/>
                <w:szCs w:val="18"/>
                <w:color w:val="auto"/>
              </w:rPr>
              <w:t>2015</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4560" w:type="dxa"/>
            <w:vAlign w:val="bottom"/>
          </w:tcPr>
          <w:p>
            <w:pPr>
              <w:spacing w:after="0"/>
              <w:rPr>
                <w:sz w:val="17"/>
                <w:szCs w:val="17"/>
                <w:color w:val="auto"/>
              </w:rPr>
            </w:pPr>
          </w:p>
        </w:tc>
      </w:tr>
      <w:tr>
        <w:trPr>
          <w:trHeight w:val="203"/>
        </w:trPr>
        <w:tc>
          <w:tcPr>
            <w:tcW w:w="3400" w:type="dxa"/>
            <w:vAlign w:val="bottom"/>
          </w:tcPr>
          <w:p>
            <w:pPr>
              <w:ind w:left="1280"/>
              <w:spacing w:after="0" w:line="202" w:lineRule="exact"/>
              <w:rPr>
                <w:sz w:val="20"/>
                <w:szCs w:val="20"/>
                <w:color w:val="auto"/>
              </w:rPr>
            </w:pPr>
            <w:r>
              <w:rPr>
                <w:rFonts w:ascii="Arial" w:cs="Arial" w:eastAsia="Arial" w:hAnsi="Arial"/>
                <w:sz w:val="18"/>
                <w:szCs w:val="18"/>
                <w:color w:val="auto"/>
              </w:rPr>
              <w:t>2016</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4560" w:type="dxa"/>
            <w:vAlign w:val="bottom"/>
          </w:tcPr>
          <w:p>
            <w:pPr>
              <w:spacing w:after="0"/>
              <w:rPr>
                <w:sz w:val="17"/>
                <w:szCs w:val="17"/>
                <w:color w:val="auto"/>
              </w:rPr>
            </w:pPr>
          </w:p>
        </w:tc>
      </w:tr>
      <w:tr>
        <w:trPr>
          <w:trHeight w:val="203"/>
        </w:trPr>
        <w:tc>
          <w:tcPr>
            <w:tcW w:w="3400" w:type="dxa"/>
            <w:vAlign w:val="bottom"/>
          </w:tcPr>
          <w:p>
            <w:pPr>
              <w:ind w:left="1280"/>
              <w:spacing w:after="0" w:line="202" w:lineRule="exact"/>
              <w:rPr>
                <w:sz w:val="20"/>
                <w:szCs w:val="20"/>
                <w:color w:val="auto"/>
              </w:rPr>
            </w:pPr>
            <w:r>
              <w:rPr>
                <w:rFonts w:ascii="Arial" w:cs="Arial" w:eastAsia="Arial" w:hAnsi="Arial"/>
                <w:sz w:val="18"/>
                <w:szCs w:val="18"/>
                <w:color w:val="auto"/>
              </w:rPr>
              <w:t>2017</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4560" w:type="dxa"/>
            <w:vAlign w:val="bottom"/>
          </w:tcPr>
          <w:p>
            <w:pPr>
              <w:spacing w:after="0"/>
              <w:rPr>
                <w:sz w:val="17"/>
                <w:szCs w:val="17"/>
                <w:color w:val="auto"/>
              </w:rPr>
            </w:pPr>
          </w:p>
        </w:tc>
      </w:tr>
      <w:tr>
        <w:trPr>
          <w:trHeight w:val="203"/>
        </w:trPr>
        <w:tc>
          <w:tcPr>
            <w:tcW w:w="3400" w:type="dxa"/>
            <w:vAlign w:val="bottom"/>
            <w:tcBorders>
              <w:bottom w:val="single" w:sz="8" w:color="auto"/>
            </w:tcBorders>
          </w:tcPr>
          <w:p>
            <w:pPr>
              <w:ind w:left="1280"/>
              <w:spacing w:after="0" w:line="203" w:lineRule="exact"/>
              <w:rPr>
                <w:sz w:val="20"/>
                <w:szCs w:val="20"/>
                <w:color w:val="auto"/>
              </w:rPr>
            </w:pPr>
            <w:r>
              <w:rPr>
                <w:rFonts w:ascii="Arial" w:cs="Arial" w:eastAsia="Arial" w:hAnsi="Arial"/>
                <w:sz w:val="18"/>
                <w:szCs w:val="18"/>
                <w:color w:val="auto"/>
              </w:rPr>
              <w:t>2018</w:t>
            </w:r>
          </w:p>
        </w:tc>
        <w:tc>
          <w:tcPr>
            <w:tcW w:w="3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4560" w:type="dxa"/>
            <w:vAlign w:val="bottom"/>
          </w:tcPr>
          <w:p>
            <w:pPr>
              <w:spacing w:after="0"/>
              <w:rPr>
                <w:sz w:val="17"/>
                <w:szCs w:val="17"/>
                <w:color w:val="auto"/>
              </w:rPr>
            </w:pPr>
          </w:p>
        </w:tc>
      </w:tr>
      <w:tr>
        <w:trPr>
          <w:trHeight w:val="507"/>
        </w:trPr>
        <w:tc>
          <w:tcPr>
            <w:tcW w:w="3400" w:type="dxa"/>
            <w:vAlign w:val="bottom"/>
          </w:tcPr>
          <w:p>
            <w:pPr>
              <w:spacing w:after="0"/>
              <w:rPr>
                <w:sz w:val="24"/>
                <w:szCs w:val="24"/>
                <w:color w:val="auto"/>
              </w:rPr>
            </w:pPr>
          </w:p>
        </w:tc>
        <w:tc>
          <w:tcPr>
            <w:tcW w:w="3460" w:type="dxa"/>
            <w:vAlign w:val="bottom"/>
          </w:tcPr>
          <w:p>
            <w:pPr>
              <w:jc w:val="right"/>
              <w:ind w:right="970"/>
              <w:spacing w:after="0"/>
              <w:rPr>
                <w:sz w:val="20"/>
                <w:szCs w:val="20"/>
                <w:color w:val="auto"/>
              </w:rPr>
            </w:pPr>
            <w:r>
              <w:rPr>
                <w:rFonts w:ascii="Arial" w:cs="Arial" w:eastAsia="Arial" w:hAnsi="Arial"/>
                <w:sz w:val="18"/>
                <w:szCs w:val="18"/>
                <w:color w:val="auto"/>
              </w:rPr>
              <w:t>17</w:t>
            </w:r>
          </w:p>
        </w:tc>
        <w:tc>
          <w:tcPr>
            <w:tcW w:w="4560" w:type="dxa"/>
            <w:vAlign w:val="bottom"/>
          </w:tcPr>
          <w:p>
            <w:pPr>
              <w:spacing w:after="0"/>
              <w:rPr>
                <w:sz w:val="24"/>
                <w:szCs w:val="24"/>
                <w:color w:val="auto"/>
              </w:rPr>
            </w:pPr>
          </w:p>
        </w:tc>
      </w:tr>
      <w:tr>
        <w:trPr>
          <w:trHeight w:val="95"/>
        </w:trPr>
        <w:tc>
          <w:tcPr>
            <w:tcW w:w="34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560" w:type="dxa"/>
            <w:vAlign w:val="bottom"/>
          </w:tcPr>
          <w:p>
            <w:pPr>
              <w:spacing w:after="0"/>
              <w:rPr>
                <w:sz w:val="8"/>
                <w:szCs w:val="8"/>
                <w:color w:val="auto"/>
              </w:rPr>
            </w:pPr>
          </w:p>
        </w:tc>
      </w:tr>
      <w:tr>
        <w:trPr>
          <w:trHeight w:val="68"/>
        </w:trPr>
        <w:tc>
          <w:tcPr>
            <w:tcW w:w="340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 except interest rates)</w:t>
            </w:r>
          </w:p>
        </w:tc>
        <w:tc>
          <w:tcPr>
            <w:tcW w:w="23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June 30, 2014</w:t>
            </w:r>
          </w:p>
        </w:tc>
        <w:tc>
          <w:tcPr>
            <w:tcW w:w="2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December 31, 2013</w:t>
            </w:r>
          </w:p>
        </w:tc>
        <w:tc>
          <w:tcPr>
            <w:tcW w:w="20" w:type="dxa"/>
            <w:vAlign w:val="bottom"/>
          </w:tcPr>
          <w:p>
            <w:pPr>
              <w:spacing w:after="0"/>
              <w:rPr>
                <w:sz w:val="18"/>
                <w:szCs w:val="18"/>
                <w:color w:val="auto"/>
              </w:rPr>
            </w:pPr>
          </w:p>
        </w:tc>
      </w:tr>
      <w:tr>
        <w:trPr>
          <w:trHeight w:val="412"/>
        </w:trPr>
        <w:tc>
          <w:tcPr>
            <w:tcW w:w="690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2015 through 2017</w:t>
            </w:r>
          </w:p>
        </w:tc>
        <w:tc>
          <w:tcPr>
            <w:tcW w:w="2340" w:type="dxa"/>
            <w:vAlign w:val="bottom"/>
          </w:tcPr>
          <w:p>
            <w:pPr>
              <w:jc w:val="right"/>
              <w:ind w:right="130"/>
              <w:spacing w:after="0"/>
              <w:rPr>
                <w:sz w:val="20"/>
                <w:szCs w:val="20"/>
                <w:color w:val="auto"/>
              </w:rPr>
            </w:pPr>
            <w:r>
              <w:rPr>
                <w:rFonts w:ascii="Arial" w:cs="Arial" w:eastAsia="Arial" w:hAnsi="Arial"/>
                <w:sz w:val="18"/>
                <w:szCs w:val="18"/>
                <w:b w:val="1"/>
                <w:bCs w:val="1"/>
                <w:color w:val="auto"/>
              </w:rPr>
              <w:t>$100,000</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r>
        <w:trPr>
          <w:trHeight w:val="391"/>
        </w:trPr>
        <w:tc>
          <w:tcPr>
            <w:tcW w:w="690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 of</w:t>
            </w:r>
          </w:p>
        </w:tc>
        <w:tc>
          <w:tcPr>
            <w:tcW w:w="2340" w:type="dxa"/>
            <w:vAlign w:val="bottom"/>
          </w:tcPr>
          <w:p>
            <w:pPr>
              <w:jc w:val="right"/>
              <w:ind w:right="130"/>
              <w:spacing w:after="0"/>
              <w:rPr>
                <w:sz w:val="20"/>
                <w:szCs w:val="20"/>
                <w:color w:val="auto"/>
              </w:rPr>
            </w:pPr>
            <w:r>
              <w:rPr>
                <w:rFonts w:ascii="Arial" w:cs="Arial" w:eastAsia="Arial" w:hAnsi="Arial"/>
                <w:sz w:val="18"/>
                <w:szCs w:val="18"/>
                <w:b w:val="1"/>
                <w:bCs w:val="1"/>
                <w:color w:val="auto"/>
              </w:rPr>
              <w:t>183,000</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2.62% in 2014 and 2.53% in 2013 (including the effect of interest rate hedging</w:t>
            </w:r>
          </w:p>
        </w:tc>
        <w:tc>
          <w:tcPr>
            <w:tcW w:w="2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transactions, as described below), due in 2018</w:t>
            </w:r>
          </w:p>
        </w:tc>
        <w:tc>
          <w:tcPr>
            <w:tcW w:w="2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1"/>
        </w:trPr>
        <w:tc>
          <w:tcPr>
            <w:tcW w:w="690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w:t>
            </w:r>
          </w:p>
        </w:tc>
        <w:tc>
          <w:tcPr>
            <w:tcW w:w="2340" w:type="dxa"/>
            <w:vAlign w:val="bottom"/>
          </w:tcPr>
          <w:p>
            <w:pPr>
              <w:jc w:val="right"/>
              <w:ind w:right="130"/>
              <w:spacing w:after="0"/>
              <w:rPr>
                <w:sz w:val="20"/>
                <w:szCs w:val="20"/>
                <w:color w:val="auto"/>
              </w:rPr>
            </w:pPr>
            <w:r>
              <w:rPr>
                <w:rFonts w:ascii="Arial" w:cs="Arial" w:eastAsia="Arial" w:hAnsi="Arial"/>
                <w:sz w:val="18"/>
                <w:szCs w:val="18"/>
                <w:b w:val="1"/>
                <w:bCs w:val="1"/>
                <w:color w:val="auto"/>
              </w:rPr>
              <w:t>1,369</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3,875</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States, at an average end of period rate of 3.13% in 2014 and 3.10% in 2013, due</w:t>
            </w:r>
          </w:p>
        </w:tc>
        <w:tc>
          <w:tcPr>
            <w:tcW w:w="2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varying amounts through 2021</w:t>
            </w:r>
          </w:p>
        </w:tc>
        <w:tc>
          <w:tcPr>
            <w:tcW w:w="2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900" w:type="dxa"/>
            <w:vAlign w:val="bottom"/>
          </w:tcPr>
          <w:p>
            <w:pPr>
              <w:spacing w:after="0"/>
              <w:rPr>
                <w:sz w:val="20"/>
                <w:szCs w:val="20"/>
                <w:color w:val="auto"/>
              </w:rPr>
            </w:pPr>
            <w:r>
              <w:rPr>
                <w:rFonts w:ascii="Arial" w:cs="Arial" w:eastAsia="Arial" w:hAnsi="Arial"/>
                <w:sz w:val="18"/>
                <w:szCs w:val="18"/>
                <w:color w:val="auto"/>
              </w:rPr>
              <w:t>Long-term debt</w:t>
            </w:r>
          </w:p>
        </w:tc>
        <w:tc>
          <w:tcPr>
            <w:tcW w:w="2340" w:type="dxa"/>
            <w:vAlign w:val="bottom"/>
          </w:tcPr>
          <w:p>
            <w:pPr>
              <w:jc w:val="right"/>
              <w:ind w:right="130"/>
              <w:spacing w:after="0"/>
              <w:rPr>
                <w:sz w:val="20"/>
                <w:szCs w:val="20"/>
                <w:color w:val="auto"/>
              </w:rPr>
            </w:pPr>
            <w:r>
              <w:rPr>
                <w:rFonts w:ascii="Arial" w:cs="Arial" w:eastAsia="Arial" w:hAnsi="Arial"/>
                <w:sz w:val="18"/>
                <w:szCs w:val="18"/>
                <w:b w:val="1"/>
                <w:bCs w:val="1"/>
                <w:color w:val="auto"/>
              </w:rPr>
              <w:t>284,369</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303,875</w:t>
            </w:r>
          </w:p>
        </w:tc>
      </w:tr>
      <w:tr>
        <w:trPr>
          <w:trHeight w:val="392"/>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2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(1,265)</w:t>
            </w: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(3,764)</w:t>
            </w:r>
          </w:p>
        </w:tc>
      </w:tr>
      <w:tr>
        <w:trPr>
          <w:trHeight w:val="399"/>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2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$283,104</w:t>
            </w: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$300,111</w:t>
            </w:r>
          </w:p>
        </w:tc>
      </w:tr>
    </w:tbl>
    <w:p>
      <w:pPr>
        <w:spacing w:after="0" w:line="188" w:lineRule="exact"/>
        <w:rPr>
          <w:sz w:val="20"/>
          <w:szCs w:val="20"/>
          <w:color w:val="auto"/>
        </w:rPr>
      </w:pPr>
    </w:p>
    <w:p>
      <w:pPr>
        <w:jc w:val="center"/>
        <w:ind w:right="380"/>
        <w:spacing w:after="0" w:line="234" w:lineRule="auto"/>
        <w:rPr>
          <w:sz w:val="20"/>
          <w:szCs w:val="20"/>
          <w:color w:val="auto"/>
        </w:rPr>
      </w:pPr>
      <w:r>
        <w:rPr>
          <w:rFonts w:ascii="Arial" w:cs="Arial" w:eastAsia="Arial" w:hAnsi="Arial"/>
          <w:sz w:val="18"/>
          <w:szCs w:val="18"/>
          <w:color w:val="auto"/>
        </w:rPr>
        <w:t>A note agreement and guaranty (“Prudential Agreement”) was entered into in October 2005, and was amended and restated as of September 17, 2010 and March 26, 2013, with the Prudential Insurance Company of America, and certain other purchasers with interest at</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6.84% and a maturity date of October 25, 2017. The remaining obligation under the Prudential Agreement has a mandatory payment of $50 million due on October 25, 2015, and the final payment is due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June 30, 2014, the fair value of this debt was approximately $113.7 million, which was measured using active market interest rates, and would be considered Level 2 for fair value measurement purposes.</w:t>
      </w:r>
    </w:p>
    <w:p>
      <w:pPr>
        <w:spacing w:after="0" w:line="298" w:lineRule="exact"/>
        <w:rPr>
          <w:sz w:val="20"/>
          <w:szCs w:val="20"/>
          <w:color w:val="auto"/>
        </w:rPr>
      </w:pPr>
    </w:p>
    <w:p>
      <w:pPr>
        <w:ind w:right="100" w:firstLine="360"/>
        <w:spacing w:after="0" w:line="238" w:lineRule="auto"/>
        <w:rPr>
          <w:sz w:val="20"/>
          <w:szCs w:val="20"/>
          <w:color w:val="auto"/>
        </w:rPr>
      </w:pPr>
      <w:r>
        <w:rPr>
          <w:rFonts w:ascii="Arial" w:cs="Arial" w:eastAsia="Arial" w:hAnsi="Arial"/>
          <w:sz w:val="18"/>
          <w:szCs w:val="18"/>
          <w:color w:val="auto"/>
        </w:rPr>
        <w:t>On March 26, 2013, we entered into a $330 million, unsecured Five -Year Revolving Credit Facility Agreement (“Credit Agreement”), under which $183 million of borrowings were outstanding as of June 30, 2014. The Credit Agreement replaces the previous $390 million five-year Credit Agreement made in 2010. The applicable interest rate for borrowings under the Credit Agreement, as well as under the former agreement, is LIBOR plus a spread, based on our leverage ratio at the time of borrowing. At the time of the last borrowing on June 23, 2014, the spread was 1.375%. The spread is based on a pricing grid, which ranges from 1.25% to 1.875%, based on our leverage ratio.</w:t>
      </w:r>
    </w:p>
    <w:p>
      <w:pPr>
        <w:spacing w:after="0" w:line="95" w:lineRule="exact"/>
        <w:rPr>
          <w:sz w:val="20"/>
          <w:szCs w:val="20"/>
          <w:color w:val="auto"/>
        </w:rPr>
      </w:pPr>
    </w:p>
    <w:p>
      <w:pPr>
        <w:ind w:right="260" w:firstLine="36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June 30, 2014, we would have been able to borrow an additional $147 million under our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8" w:name="page19"/>
    <w:bookmarkEnd w:id="18"/>
    <w:p>
      <w:pPr>
        <w:ind w:left="360"/>
        <w:spacing w:after="0"/>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w:t>
      </w:r>
    </w:p>
    <w:p>
      <w:pPr>
        <w:spacing w:after="0" w:line="234" w:lineRule="auto"/>
        <w:rPr>
          <w:sz w:val="20"/>
          <w:szCs w:val="20"/>
          <w:color w:val="auto"/>
        </w:rPr>
      </w:pPr>
      <w:r>
        <w:rPr>
          <w:rFonts w:ascii="Arial" w:cs="Arial" w:eastAsia="Arial" w:hAnsi="Arial"/>
          <w:sz w:val="18"/>
          <w:szCs w:val="18"/>
          <w:color w:val="auto"/>
        </w:rPr>
        <w:t>rate (before addition of the spread) on $105 million of the indebtedness drawn under the Credit Agreement at the rate of 2.04% until July 16,</w:t>
      </w:r>
    </w:p>
    <w:p>
      <w:pPr>
        <w:spacing w:after="0" w:line="235" w:lineRule="auto"/>
        <w:rPr>
          <w:sz w:val="20"/>
          <w:szCs w:val="20"/>
          <w:color w:val="auto"/>
        </w:rPr>
      </w:pPr>
      <w:r>
        <w:rPr>
          <w:rFonts w:ascii="Arial" w:cs="Arial" w:eastAsia="Arial" w:hAnsi="Arial"/>
          <w:sz w:val="18"/>
          <w:szCs w:val="18"/>
          <w:color w:val="auto"/>
        </w:rPr>
        <w:t>2015. Under the terms of these transactions, we pay the fixed rate of 2.04% and the counterparties pay a floating rate based on the three-</w:t>
      </w:r>
    </w:p>
    <w:p>
      <w:pPr>
        <w:spacing w:after="0" w:line="235" w:lineRule="auto"/>
        <w:rPr>
          <w:sz w:val="20"/>
          <w:szCs w:val="20"/>
          <w:color w:val="auto"/>
        </w:rPr>
      </w:pPr>
      <w:r>
        <w:rPr>
          <w:rFonts w:ascii="Arial" w:cs="Arial" w:eastAsia="Arial" w:hAnsi="Arial"/>
          <w:sz w:val="18"/>
          <w:szCs w:val="18"/>
          <w:color w:val="auto"/>
        </w:rPr>
        <w:t>month LIBOR rate at each quarterly calculation date, which on April 16, 2014 was 0.23%. The net effect is to fix the effective interest rate on</w:t>
      </w:r>
    </w:p>
    <w:p>
      <w:pPr>
        <w:spacing w:after="0" w:line="235" w:lineRule="auto"/>
        <w:rPr>
          <w:sz w:val="20"/>
          <w:szCs w:val="20"/>
          <w:color w:val="auto"/>
        </w:rPr>
      </w:pPr>
      <w:r>
        <w:rPr>
          <w:rFonts w:ascii="Arial" w:cs="Arial" w:eastAsia="Arial" w:hAnsi="Arial"/>
          <w:sz w:val="18"/>
          <w:szCs w:val="18"/>
          <w:color w:val="auto"/>
        </w:rPr>
        <w:t>$105 million of indebtedness at 2.04%, plus the applicable spread, until these swap agreements expire. On June 30, 2014, the all-in rate on the</w:t>
      </w:r>
    </w:p>
    <w:p>
      <w:pPr>
        <w:spacing w:after="0"/>
        <w:rPr>
          <w:sz w:val="20"/>
          <w:szCs w:val="20"/>
          <w:color w:val="auto"/>
        </w:rPr>
      </w:pPr>
      <w:r>
        <w:rPr>
          <w:rFonts w:ascii="Arial" w:cs="Arial" w:eastAsia="Arial" w:hAnsi="Arial"/>
          <w:sz w:val="18"/>
          <w:szCs w:val="18"/>
          <w:color w:val="auto"/>
        </w:rPr>
        <w:t>$105 million of debt was 3.415%.</w:t>
      </w:r>
    </w:p>
    <w:p>
      <w:pPr>
        <w:spacing w:after="0" w:line="104"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June 30, 2014 was 0.1552%. The net effect is to fix the effective interest rate on $110 million of indebtedness at 1.414%, plus the applicable spread, during the swap period.</w:t>
      </w:r>
    </w:p>
    <w:p>
      <w:pPr>
        <w:spacing w:after="0" w:line="97"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of the Notes to Consolidated Financial Statements. No cash collateral was received or pledged in relation to the swap agreements.</w:t>
      </w:r>
    </w:p>
    <w:p>
      <w:pPr>
        <w:spacing w:after="0" w:line="89" w:lineRule="exact"/>
        <w:rPr>
          <w:sz w:val="20"/>
          <w:szCs w:val="20"/>
          <w:color w:val="auto"/>
        </w:rPr>
      </w:pPr>
    </w:p>
    <w:p>
      <w:pPr>
        <w:ind w:right="900" w:firstLine="360"/>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89" w:lineRule="exact"/>
        <w:rPr>
          <w:sz w:val="20"/>
          <w:szCs w:val="20"/>
          <w:color w:val="auto"/>
        </w:rPr>
      </w:pPr>
    </w:p>
    <w:p>
      <w:pPr>
        <w:ind w:right="620" w:firstLine="360"/>
        <w:spacing w:after="0"/>
        <w:rPr>
          <w:sz w:val="20"/>
          <w:szCs w:val="20"/>
          <w:color w:val="auto"/>
        </w:rPr>
      </w:pPr>
      <w:r>
        <w:rPr>
          <w:rFonts w:ascii="Arial" w:cs="Arial" w:eastAsia="Arial" w:hAnsi="Arial"/>
          <w:sz w:val="18"/>
          <w:szCs w:val="18"/>
          <w:color w:val="auto"/>
        </w:rPr>
        <w:t>As of June 30, 2014, our leverage ratio was 1.56 to 1.00 and our interest coverage ratio was 10.64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297"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 compliance with all debt covenants as of June 30, 2014.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26"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As of June 30, 2014 and December 31, 2013, we have no Level 3 financial assets or liabilities.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74" w:right="259" w:bottom="1440" w:gutter="0" w:footer="0" w:header="0"/>
        </w:sectPr>
      </w:pPr>
    </w:p>
    <w:bookmarkStart w:id="19" w:name="page20"/>
    <w:bookmarkEnd w:id="19"/>
    <w:p>
      <w:pPr>
        <w:ind w:right="160" w:firstLine="360"/>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assets and liabilities measured at fair value on a recurring basis: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June 30, 2014</w:t>
            </w:r>
          </w:p>
        </w:tc>
        <w:tc>
          <w:tcPr>
            <w:tcW w:w="46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2"/>
          </w:tcPr>
          <w:p>
            <w:pPr>
              <w:jc w:val="right"/>
              <w:ind w:right="50"/>
              <w:spacing w:after="0" w:line="194" w:lineRule="exact"/>
              <w:rPr>
                <w:sz w:val="20"/>
                <w:szCs w:val="20"/>
                <w:color w:val="auto"/>
              </w:rPr>
            </w:pPr>
            <w:r>
              <w:rPr>
                <w:rFonts w:ascii="Arial" w:cs="Arial" w:eastAsia="Arial" w:hAnsi="Arial"/>
                <w:sz w:val="18"/>
                <w:szCs w:val="18"/>
                <w:color w:val="auto"/>
              </w:rPr>
              <w:t>December 31, 2013</w:t>
            </w:r>
          </w:p>
        </w:tc>
        <w:tc>
          <w:tcPr>
            <w:tcW w:w="420" w:type="dxa"/>
            <w:vAlign w:val="bottom"/>
            <w:tcBorders>
              <w:top w:val="single" w:sz="8" w:color="auto"/>
            </w:tcBorders>
          </w:tcPr>
          <w:p>
            <w:pPr>
              <w:spacing w:after="0"/>
              <w:rPr>
                <w:sz w:val="16"/>
                <w:szCs w:val="16"/>
                <w:color w:val="auto"/>
              </w:rPr>
            </w:pPr>
          </w:p>
        </w:tc>
      </w:tr>
      <w:tr>
        <w:trPr>
          <w:trHeight w:val="203"/>
        </w:trPr>
        <w:tc>
          <w:tcPr>
            <w:tcW w:w="4800" w:type="dxa"/>
            <w:vAlign w:val="bottom"/>
          </w:tcPr>
          <w:p>
            <w:pPr>
              <w:spacing w:after="0"/>
              <w:rPr>
                <w:sz w:val="17"/>
                <w:szCs w:val="17"/>
                <w:color w:val="auto"/>
              </w:rPr>
            </w:pPr>
          </w:p>
        </w:tc>
        <w:tc>
          <w:tcPr>
            <w:tcW w:w="2380" w:type="dxa"/>
            <w:vAlign w:val="bottom"/>
          </w:tcPr>
          <w:p>
            <w:pPr>
              <w:jc w:val="center"/>
              <w:ind w:left="790"/>
              <w:spacing w:after="0" w:line="202" w:lineRule="exact"/>
              <w:rPr>
                <w:sz w:val="20"/>
                <w:szCs w:val="20"/>
                <w:color w:val="auto"/>
              </w:rPr>
            </w:pPr>
            <w:r>
              <w:rPr>
                <w:rFonts w:ascii="Arial" w:cs="Arial" w:eastAsia="Arial" w:hAnsi="Arial"/>
                <w:sz w:val="18"/>
                <w:szCs w:val="18"/>
                <w:b w:val="1"/>
                <w:bCs w:val="1"/>
                <w:color w:val="auto"/>
                <w:w w:val="98"/>
              </w:rPr>
              <w:t>Quoted</w:t>
            </w:r>
          </w:p>
        </w:tc>
        <w:tc>
          <w:tcPr>
            <w:tcW w:w="1560" w:type="dxa"/>
            <w:vAlign w:val="bottom"/>
            <w:gridSpan w:val="2"/>
          </w:tcPr>
          <w:p>
            <w:pPr>
              <w:jc w:val="center"/>
              <w:ind w:right="85"/>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3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8"/>
              </w:rPr>
              <w:t>Quoted</w:t>
            </w:r>
          </w:p>
        </w:tc>
        <w:tc>
          <w:tcPr>
            <w:tcW w:w="1360" w:type="dxa"/>
            <w:vAlign w:val="bottom"/>
            <w:gridSpan w:val="2"/>
          </w:tcPr>
          <w:p>
            <w:pPr>
              <w:jc w:val="center"/>
              <w:ind w:right="85"/>
              <w:spacing w:after="0" w:line="202" w:lineRule="exact"/>
              <w:rPr>
                <w:sz w:val="20"/>
                <w:szCs w:val="20"/>
                <w:color w:val="auto"/>
              </w:rPr>
            </w:pPr>
            <w:r>
              <w:rPr>
                <w:rFonts w:ascii="Arial" w:cs="Arial" w:eastAsia="Arial" w:hAnsi="Arial"/>
                <w:sz w:val="18"/>
                <w:szCs w:val="18"/>
                <w:color w:val="auto"/>
              </w:rPr>
              <w:t>Significant</w:t>
            </w:r>
          </w:p>
        </w:tc>
      </w:tr>
      <w:tr>
        <w:trPr>
          <w:trHeight w:val="203"/>
        </w:trPr>
        <w:tc>
          <w:tcPr>
            <w:tcW w:w="4800" w:type="dxa"/>
            <w:vAlign w:val="bottom"/>
          </w:tcPr>
          <w:p>
            <w:pPr>
              <w:spacing w:after="0"/>
              <w:rPr>
                <w:sz w:val="17"/>
                <w:szCs w:val="17"/>
                <w:color w:val="auto"/>
              </w:rPr>
            </w:pPr>
          </w:p>
        </w:tc>
        <w:tc>
          <w:tcPr>
            <w:tcW w:w="2380" w:type="dxa"/>
            <w:vAlign w:val="bottom"/>
          </w:tcPr>
          <w:p>
            <w:pPr>
              <w:jc w:val="center"/>
              <w:ind w:left="790"/>
              <w:spacing w:after="0" w:line="202" w:lineRule="exact"/>
              <w:rPr>
                <w:sz w:val="20"/>
                <w:szCs w:val="20"/>
                <w:color w:val="auto"/>
              </w:rPr>
            </w:pPr>
            <w:r>
              <w:rPr>
                <w:rFonts w:ascii="Arial" w:cs="Arial" w:eastAsia="Arial" w:hAnsi="Arial"/>
                <w:sz w:val="18"/>
                <w:szCs w:val="18"/>
                <w:b w:val="1"/>
                <w:bCs w:val="1"/>
                <w:color w:val="auto"/>
              </w:rPr>
              <w:t>prices</w:t>
            </w:r>
          </w:p>
        </w:tc>
        <w:tc>
          <w:tcPr>
            <w:tcW w:w="1100" w:type="dxa"/>
            <w:vAlign w:val="bottom"/>
          </w:tcPr>
          <w:p>
            <w:pPr>
              <w:jc w:val="center"/>
              <w:ind w:left="210"/>
              <w:spacing w:after="0" w:line="202" w:lineRule="exact"/>
              <w:rPr>
                <w:sz w:val="20"/>
                <w:szCs w:val="20"/>
                <w:color w:val="auto"/>
              </w:rPr>
            </w:pPr>
            <w:r>
              <w:rPr>
                <w:rFonts w:ascii="Arial" w:cs="Arial" w:eastAsia="Arial" w:hAnsi="Arial"/>
                <w:sz w:val="18"/>
                <w:szCs w:val="18"/>
                <w:b w:val="1"/>
                <w:bCs w:val="1"/>
                <w:color w:val="auto"/>
                <w:w w:val="97"/>
              </w:rPr>
              <w:t>other</w:t>
            </w:r>
          </w:p>
        </w:tc>
        <w:tc>
          <w:tcPr>
            <w:tcW w:w="46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prices</w:t>
            </w:r>
          </w:p>
        </w:tc>
        <w:tc>
          <w:tcPr>
            <w:tcW w:w="94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97"/>
              </w:rPr>
              <w:t>other</w:t>
            </w:r>
          </w:p>
        </w:tc>
        <w:tc>
          <w:tcPr>
            <w:tcW w:w="42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2380" w:type="dxa"/>
            <w:vAlign w:val="bottom"/>
          </w:tcPr>
          <w:p>
            <w:pPr>
              <w:jc w:val="center"/>
              <w:ind w:left="770"/>
              <w:spacing w:after="0" w:line="202" w:lineRule="exact"/>
              <w:rPr>
                <w:sz w:val="20"/>
                <w:szCs w:val="20"/>
                <w:color w:val="auto"/>
              </w:rPr>
            </w:pPr>
            <w:r>
              <w:rPr>
                <w:rFonts w:ascii="Arial" w:cs="Arial" w:eastAsia="Arial" w:hAnsi="Arial"/>
                <w:sz w:val="18"/>
                <w:szCs w:val="18"/>
                <w:b w:val="1"/>
                <w:bCs w:val="1"/>
                <w:color w:val="auto"/>
                <w:w w:val="99"/>
              </w:rPr>
              <w:t>in active</w:t>
            </w:r>
          </w:p>
        </w:tc>
        <w:tc>
          <w:tcPr>
            <w:tcW w:w="1560" w:type="dxa"/>
            <w:vAlign w:val="bottom"/>
            <w:gridSpan w:val="2"/>
          </w:tcPr>
          <w:p>
            <w:pPr>
              <w:jc w:val="center"/>
              <w:ind w:right="85"/>
              <w:spacing w:after="0" w:line="202" w:lineRule="exact"/>
              <w:rPr>
                <w:sz w:val="20"/>
                <w:szCs w:val="20"/>
                <w:color w:val="auto"/>
              </w:rPr>
            </w:pPr>
            <w:r>
              <w:rPr>
                <w:rFonts w:ascii="Arial" w:cs="Arial" w:eastAsia="Arial" w:hAnsi="Arial"/>
                <w:sz w:val="18"/>
                <w:szCs w:val="18"/>
                <w:b w:val="1"/>
                <w:bCs w:val="1"/>
                <w:color w:val="auto"/>
              </w:rPr>
              <w:t>observable</w:t>
            </w:r>
          </w:p>
        </w:tc>
        <w:tc>
          <w:tcPr>
            <w:tcW w:w="13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in active</w:t>
            </w:r>
          </w:p>
        </w:tc>
        <w:tc>
          <w:tcPr>
            <w:tcW w:w="1360" w:type="dxa"/>
            <w:vAlign w:val="bottom"/>
            <w:gridSpan w:val="2"/>
          </w:tcPr>
          <w:p>
            <w:pPr>
              <w:jc w:val="center"/>
              <w:ind w:right="45"/>
              <w:spacing w:after="0" w:line="202" w:lineRule="exact"/>
              <w:rPr>
                <w:sz w:val="20"/>
                <w:szCs w:val="20"/>
                <w:color w:val="auto"/>
              </w:rPr>
            </w:pPr>
            <w:r>
              <w:rPr>
                <w:rFonts w:ascii="Arial" w:cs="Arial" w:eastAsia="Arial" w:hAnsi="Arial"/>
                <w:sz w:val="18"/>
                <w:szCs w:val="18"/>
                <w:color w:val="auto"/>
                <w:w w:val="99"/>
              </w:rPr>
              <w:t>observable</w:t>
            </w:r>
          </w:p>
        </w:tc>
      </w:tr>
      <w:tr>
        <w:trPr>
          <w:trHeight w:val="203"/>
        </w:trPr>
        <w:tc>
          <w:tcPr>
            <w:tcW w:w="4800" w:type="dxa"/>
            <w:vAlign w:val="bottom"/>
          </w:tcPr>
          <w:p>
            <w:pPr>
              <w:spacing w:after="0"/>
              <w:rPr>
                <w:sz w:val="17"/>
                <w:szCs w:val="17"/>
                <w:color w:val="auto"/>
              </w:rPr>
            </w:pPr>
          </w:p>
        </w:tc>
        <w:tc>
          <w:tcPr>
            <w:tcW w:w="2380" w:type="dxa"/>
            <w:vAlign w:val="bottom"/>
          </w:tcPr>
          <w:p>
            <w:pPr>
              <w:jc w:val="center"/>
              <w:ind w:left="830"/>
              <w:spacing w:after="0" w:line="202" w:lineRule="exact"/>
              <w:rPr>
                <w:sz w:val="20"/>
                <w:szCs w:val="20"/>
                <w:color w:val="auto"/>
              </w:rPr>
            </w:pPr>
            <w:r>
              <w:rPr>
                <w:rFonts w:ascii="Arial" w:cs="Arial" w:eastAsia="Arial" w:hAnsi="Arial"/>
                <w:sz w:val="18"/>
                <w:szCs w:val="18"/>
                <w:b w:val="1"/>
                <w:bCs w:val="1"/>
                <w:color w:val="auto"/>
              </w:rPr>
              <w:t>markets</w:t>
            </w:r>
          </w:p>
        </w:tc>
        <w:tc>
          <w:tcPr>
            <w:tcW w:w="110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inputs</w:t>
            </w:r>
          </w:p>
        </w:tc>
        <w:tc>
          <w:tcPr>
            <w:tcW w:w="460" w:type="dxa"/>
            <w:vAlign w:val="bottom"/>
          </w:tcPr>
          <w:p>
            <w:pPr>
              <w:spacing w:after="0"/>
              <w:rPr>
                <w:sz w:val="17"/>
                <w:szCs w:val="17"/>
                <w:color w:val="auto"/>
              </w:rPr>
            </w:pPr>
          </w:p>
        </w:tc>
        <w:tc>
          <w:tcPr>
            <w:tcW w:w="13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markets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inputs</w:t>
            </w:r>
          </w:p>
        </w:tc>
        <w:tc>
          <w:tcPr>
            <w:tcW w:w="420" w:type="dxa"/>
            <w:vAlign w:val="bottom"/>
          </w:tcPr>
          <w:p>
            <w:pPr>
              <w:spacing w:after="0"/>
              <w:rPr>
                <w:sz w:val="17"/>
                <w:szCs w:val="17"/>
                <w:color w:val="auto"/>
              </w:rPr>
            </w:pP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1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8"/>
              </w:rPr>
              <w:t>(Level 2)</w:t>
            </w: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1)</w:t>
            </w:r>
          </w:p>
        </w:tc>
        <w:tc>
          <w:tcPr>
            <w:tcW w:w="136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8"/>
                <w:szCs w:val="18"/>
                <w:color w:val="auto"/>
                <w:w w:val="99"/>
              </w:rPr>
              <w:t>(Level 2)</w:t>
            </w:r>
          </w:p>
        </w:tc>
      </w:tr>
      <w:tr>
        <w:trPr>
          <w:trHeight w:val="177"/>
        </w:trPr>
        <w:tc>
          <w:tcPr>
            <w:tcW w:w="480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2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3"/>
        </w:trPr>
        <w:tc>
          <w:tcPr>
            <w:tcW w:w="4800" w:type="dxa"/>
            <w:vAlign w:val="bottom"/>
          </w:tcPr>
          <w:p>
            <w:pPr>
              <w:ind w:left="60"/>
              <w:spacing w:after="0" w:line="202" w:lineRule="exact"/>
              <w:rPr>
                <w:sz w:val="20"/>
                <w:szCs w:val="20"/>
                <w:color w:val="auto"/>
              </w:rPr>
            </w:pPr>
            <w:r>
              <w:rPr>
                <w:rFonts w:ascii="Arial" w:cs="Arial" w:eastAsia="Arial" w:hAnsi="Arial"/>
                <w:sz w:val="18"/>
                <w:szCs w:val="18"/>
                <w:color w:val="auto"/>
              </w:rPr>
              <w:t>Cash equivalents</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$33,990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$25,073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r>
      <w:tr>
        <w:trPr>
          <w:trHeight w:val="203"/>
        </w:trPr>
        <w:tc>
          <w:tcPr>
            <w:tcW w:w="4800" w:type="dxa"/>
            <w:vAlign w:val="bottom"/>
          </w:tcPr>
          <w:p>
            <w:pPr>
              <w:ind w:left="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800" w:type="dxa"/>
            <w:vAlign w:val="bottom"/>
          </w:tcPr>
          <w:p>
            <w:pPr>
              <w:ind w:left="60"/>
              <w:spacing w:after="0" w:line="202" w:lineRule="exact"/>
              <w:rPr>
                <w:sz w:val="20"/>
                <w:szCs w:val="20"/>
                <w:color w:val="auto"/>
              </w:rPr>
            </w:pPr>
            <w:r>
              <w:rPr>
                <w:rFonts w:ascii="Arial" w:cs="Arial" w:eastAsia="Arial" w:hAnsi="Arial"/>
                <w:sz w:val="18"/>
                <w:szCs w:val="18"/>
                <w:color w:val="auto"/>
              </w:rPr>
              <w:t>Foreign currency instruments</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273</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r>
      <w:tr>
        <w:trPr>
          <w:trHeight w:val="203"/>
        </w:trPr>
        <w:tc>
          <w:tcPr>
            <w:tcW w:w="4800" w:type="dxa"/>
            <w:vAlign w:val="bottom"/>
          </w:tcPr>
          <w:p>
            <w:pPr>
              <w:ind w:left="60"/>
              <w:spacing w:after="0" w:line="202" w:lineRule="exact"/>
              <w:rPr>
                <w:sz w:val="20"/>
                <w:szCs w:val="20"/>
                <w:color w:val="auto"/>
              </w:rPr>
            </w:pPr>
            <w:r>
              <w:rPr>
                <w:rFonts w:ascii="Arial" w:cs="Arial" w:eastAsia="Arial" w:hAnsi="Arial"/>
                <w:sz w:val="18"/>
                <w:szCs w:val="18"/>
                <w:color w:val="auto"/>
              </w:rPr>
              <w:t>Other Assets:</w:t>
            </w:r>
          </w:p>
        </w:tc>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800" w:type="dxa"/>
            <w:vAlign w:val="bottom"/>
          </w:tcPr>
          <w:p>
            <w:pPr>
              <w:ind w:left="60"/>
              <w:spacing w:after="0" w:line="202" w:lineRule="exact"/>
              <w:rPr>
                <w:sz w:val="20"/>
                <w:szCs w:val="20"/>
                <w:color w:val="auto"/>
              </w:rPr>
            </w:pPr>
            <w:r>
              <w:rPr>
                <w:rFonts w:ascii="Arial" w:cs="Arial" w:eastAsia="Arial" w:hAnsi="Arial"/>
                <w:sz w:val="18"/>
                <w:szCs w:val="18"/>
                <w:color w:val="auto"/>
              </w:rPr>
              <w:t>Common stock of foreign public company</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817</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952</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r>
      <w:tr>
        <w:trPr>
          <w:trHeight w:val="185"/>
        </w:trPr>
        <w:tc>
          <w:tcPr>
            <w:tcW w:w="4800" w:type="dxa"/>
            <w:vAlign w:val="bottom"/>
          </w:tcPr>
          <w:p>
            <w:pPr>
              <w:ind w:left="60"/>
              <w:spacing w:after="0" w:line="185" w:lineRule="exact"/>
              <w:rPr>
                <w:sz w:val="20"/>
                <w:szCs w:val="20"/>
                <w:color w:val="auto"/>
              </w:rPr>
            </w:pPr>
            <w:r>
              <w:rPr>
                <w:rFonts w:ascii="Arial" w:cs="Arial" w:eastAsia="Arial" w:hAnsi="Arial"/>
                <w:sz w:val="18"/>
                <w:szCs w:val="18"/>
                <w:color w:val="auto"/>
              </w:rPr>
              <w:t>Interest rate swap</w:t>
            </w:r>
          </w:p>
        </w:tc>
        <w:tc>
          <w:tcPr>
            <w:tcW w:w="238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5" w:lineRule="exact"/>
              <w:rPr>
                <w:sz w:val="20"/>
                <w:szCs w:val="20"/>
                <w:color w:val="auto"/>
              </w:rPr>
            </w:pPr>
            <w:r>
              <w:rPr>
                <w:rFonts w:ascii="Arial" w:cs="Arial" w:eastAsia="Arial" w:hAnsi="Arial"/>
                <w:sz w:val="18"/>
                <w:szCs w:val="18"/>
                <w:color w:val="auto"/>
              </w:rPr>
              <w:t>372</w:t>
            </w:r>
          </w:p>
        </w:tc>
        <w:tc>
          <w:tcPr>
            <w:tcW w:w="460" w:type="dxa"/>
            <w:vAlign w:val="bottom"/>
          </w:tcPr>
          <w:p>
            <w:pPr>
              <w:ind w:left="20"/>
              <w:spacing w:after="0"/>
              <w:rPr>
                <w:sz w:val="20"/>
                <w:szCs w:val="20"/>
                <w:color w:val="auto"/>
              </w:rPr>
            </w:pPr>
            <w:r>
              <w:rPr>
                <w:rFonts w:ascii="Arial" w:cs="Arial" w:eastAsia="Arial" w:hAnsi="Arial"/>
                <w:sz w:val="15"/>
                <w:szCs w:val="15"/>
                <w:color w:val="auto"/>
              </w:rPr>
              <w:t>(a)</w:t>
            </w:r>
          </w:p>
        </w:tc>
        <w:tc>
          <w:tcPr>
            <w:tcW w:w="132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5" w:lineRule="exact"/>
              <w:rPr>
                <w:sz w:val="20"/>
                <w:szCs w:val="20"/>
                <w:color w:val="auto"/>
              </w:rPr>
            </w:pPr>
            <w:r>
              <w:rPr>
                <w:rFonts w:ascii="Arial" w:cs="Arial" w:eastAsia="Arial" w:hAnsi="Arial"/>
                <w:sz w:val="18"/>
                <w:szCs w:val="18"/>
                <w:color w:val="auto"/>
              </w:rPr>
              <w:t>1,517</w:t>
            </w:r>
          </w:p>
        </w:tc>
        <w:tc>
          <w:tcPr>
            <w:tcW w:w="420" w:type="dxa"/>
            <w:vAlign w:val="bottom"/>
          </w:tcPr>
          <w:p>
            <w:pPr>
              <w:ind w:left="20"/>
              <w:spacing w:after="0"/>
              <w:rPr>
                <w:sz w:val="20"/>
                <w:szCs w:val="20"/>
                <w:color w:val="auto"/>
              </w:rPr>
            </w:pPr>
            <w:r>
              <w:rPr>
                <w:rFonts w:ascii="Arial" w:cs="Arial" w:eastAsia="Arial" w:hAnsi="Arial"/>
                <w:sz w:val="15"/>
                <w:szCs w:val="15"/>
                <w:color w:val="auto"/>
              </w:rPr>
              <w:t>(c)</w:t>
            </w:r>
          </w:p>
        </w:tc>
      </w:tr>
      <w:tr>
        <w:trPr>
          <w:trHeight w:val="221"/>
        </w:trPr>
        <w:tc>
          <w:tcPr>
            <w:tcW w:w="480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3"/>
        </w:trPr>
        <w:tc>
          <w:tcPr>
            <w:tcW w:w="4800" w:type="dxa"/>
            <w:vAlign w:val="bottom"/>
          </w:tcPr>
          <w:p>
            <w:pPr>
              <w:ind w:left="60"/>
              <w:spacing w:after="0" w:line="202" w:lineRule="exact"/>
              <w:rPr>
                <w:sz w:val="20"/>
                <w:szCs w:val="20"/>
                <w:color w:val="auto"/>
              </w:rPr>
            </w:pPr>
            <w:r>
              <w:rPr>
                <w:rFonts w:ascii="Arial" w:cs="Arial" w:eastAsia="Arial" w:hAnsi="Arial"/>
                <w:sz w:val="18"/>
                <w:szCs w:val="18"/>
                <w:color w:val="auto"/>
              </w:rPr>
              <w:t>Other noncurrent liabilities:</w:t>
            </w:r>
          </w:p>
        </w:tc>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7"/>
        </w:trPr>
        <w:tc>
          <w:tcPr>
            <w:tcW w:w="4800" w:type="dxa"/>
            <w:vAlign w:val="bottom"/>
          </w:tcPr>
          <w:p>
            <w:pPr>
              <w:ind w:left="60"/>
              <w:spacing w:after="0"/>
              <w:rPr>
                <w:sz w:val="20"/>
                <w:szCs w:val="20"/>
                <w:color w:val="auto"/>
              </w:rPr>
            </w:pPr>
            <w:r>
              <w:rPr>
                <w:rFonts w:ascii="Arial" w:cs="Arial" w:eastAsia="Arial" w:hAnsi="Arial"/>
                <w:sz w:val="18"/>
                <w:szCs w:val="18"/>
                <w:color w:val="auto"/>
              </w:rPr>
              <w:t>Interest rate swap</w:t>
            </w:r>
          </w:p>
        </w:tc>
        <w:tc>
          <w:tcPr>
            <w:tcW w:w="2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(2,337)</w:t>
            </w:r>
          </w:p>
        </w:tc>
        <w:tc>
          <w:tcPr>
            <w:tcW w:w="460" w:type="dxa"/>
            <w:vAlign w:val="bottom"/>
          </w:tcPr>
          <w:p>
            <w:pPr>
              <w:ind w:left="20"/>
              <w:spacing w:after="0"/>
              <w:rPr>
                <w:sz w:val="20"/>
                <w:szCs w:val="20"/>
                <w:color w:val="auto"/>
              </w:rPr>
            </w:pPr>
            <w:r>
              <w:rPr>
                <w:rFonts w:ascii="Arial" w:cs="Arial" w:eastAsia="Arial" w:hAnsi="Arial"/>
                <w:sz w:val="15"/>
                <w:szCs w:val="15"/>
                <w:color w:val="auto"/>
              </w:rPr>
              <w:t>(b)</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(3,119)</w:t>
            </w:r>
          </w:p>
        </w:tc>
        <w:tc>
          <w:tcPr>
            <w:tcW w:w="420" w:type="dxa"/>
            <w:vAlign w:val="bottom"/>
          </w:tcPr>
          <w:p>
            <w:pPr>
              <w:ind w:left="20"/>
              <w:spacing w:after="0"/>
              <w:rPr>
                <w:sz w:val="20"/>
                <w:szCs w:val="20"/>
                <w:color w:val="auto"/>
              </w:rPr>
            </w:pPr>
            <w:r>
              <w:rPr>
                <w:rFonts w:ascii="Arial" w:cs="Arial" w:eastAsia="Arial" w:hAnsi="Arial"/>
                <w:sz w:val="15"/>
                <w:szCs w:val="15"/>
                <w:color w:val="auto"/>
              </w:rPr>
              <w: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720" w:hanging="361"/>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$4.5 million receivable floating leg and $4.1 million liability fixed leg</w:t>
      </w:r>
    </w:p>
    <w:p>
      <w:pPr>
        <w:spacing w:after="0" w:line="109" w:lineRule="exact"/>
        <w:rPr>
          <w:rFonts w:ascii="Arial" w:cs="Arial" w:eastAsia="Arial" w:hAnsi="Arial"/>
          <w:sz w:val="14"/>
          <w:szCs w:val="14"/>
          <w:color w:val="auto"/>
        </w:rPr>
      </w:pPr>
    </w:p>
    <w:p>
      <w:pPr>
        <w:ind w:left="720" w:hanging="361"/>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$0.4 million receivable floating leg and $2.7 million liability fixed leg</w:t>
      </w:r>
    </w:p>
    <w:p>
      <w:pPr>
        <w:spacing w:after="0" w:line="109" w:lineRule="exact"/>
        <w:rPr>
          <w:rFonts w:ascii="Arial" w:cs="Arial" w:eastAsia="Arial" w:hAnsi="Arial"/>
          <w:sz w:val="14"/>
          <w:szCs w:val="14"/>
          <w:color w:val="auto"/>
        </w:rPr>
      </w:pPr>
    </w:p>
    <w:p>
      <w:pPr>
        <w:ind w:left="720" w:hanging="361"/>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$5.6 million receivable floating leg and $4.1 million liability fixed leg</w:t>
      </w:r>
    </w:p>
    <w:p>
      <w:pPr>
        <w:spacing w:after="0" w:line="109" w:lineRule="exact"/>
        <w:rPr>
          <w:rFonts w:ascii="Arial" w:cs="Arial" w:eastAsia="Arial" w:hAnsi="Arial"/>
          <w:sz w:val="14"/>
          <w:szCs w:val="14"/>
          <w:color w:val="auto"/>
        </w:rPr>
      </w:pPr>
    </w:p>
    <w:p>
      <w:pPr>
        <w:ind w:left="720" w:hanging="361"/>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$0.7 million receivable floating leg and $3.8 million liability fixed leg</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six months ended June 30, 2014, there were no transfers between levels 1, 2, and 3.</w:t>
      </w:r>
    </w:p>
    <w:p>
      <w:pPr>
        <w:spacing w:after="0" w:line="104" w:lineRule="exact"/>
        <w:rPr>
          <w:sz w:val="20"/>
          <w:szCs w:val="20"/>
          <w:color w:val="auto"/>
        </w:rPr>
      </w:pPr>
    </w:p>
    <w:p>
      <w:pPr>
        <w:ind w:right="480" w:firstLine="360"/>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89" w:lineRule="exact"/>
        <w:rPr>
          <w:sz w:val="20"/>
          <w:szCs w:val="20"/>
          <w:color w:val="auto"/>
        </w:rPr>
      </w:pPr>
    </w:p>
    <w:p>
      <w:pPr>
        <w:ind w:right="120" w:firstLine="360"/>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95" w:lineRule="exact"/>
        <w:rPr>
          <w:sz w:val="20"/>
          <w:szCs w:val="20"/>
          <w:color w:val="auto"/>
        </w:rPr>
      </w:pPr>
    </w:p>
    <w:p>
      <w:pPr>
        <w:ind w:right="160" w:firstLine="360"/>
        <w:spacing w:after="0" w:line="238"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 Gains totaled $0.2 million for the six months ended June 30, 2014. There were no open contracts and no gains/(losses) for the six months ended June 30, 2013.</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0" w:name="page21"/>
    <w:bookmarkEnd w:id="20"/>
    <w:p>
      <w:pPr>
        <w:ind w:firstLine="360"/>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04"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receivable or payable balances (recorded in Selling, General and Administrative expenses) in a currency other than their local reporting (or functional) currency.</w:t>
      </w:r>
    </w:p>
    <w:p>
      <w:pPr>
        <w:spacing w:after="0" w:line="94"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4" w:lineRule="exact"/>
        <w:rPr>
          <w:sz w:val="20"/>
          <w:szCs w:val="20"/>
          <w:color w:val="auto"/>
        </w:rPr>
      </w:pPr>
    </w:p>
    <w:p>
      <w:pPr>
        <w:ind w:right="60" w:firstLine="360"/>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Sheets. Unrealized gains and losses on the swaps will flow through the caption Derivative valuation adjustment in the Shareholders’ equity section of the Consolidated Balance Sheets, to the extent that the hedges are highly effective. As of June 30, 2014, these interest rate swaps were determined to be 100% effective hedges of interest rate cash flow risk.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$1.0 million and $0.9 million for the six month periods ended June 30, 2014 and 2013, respectively.</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Statements of Income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gridSpan w:val="2"/>
          </w:tcPr>
          <w:p>
            <w:pPr>
              <w:jc w:val="center"/>
              <w:ind w:left="650"/>
              <w:spacing w:after="0"/>
              <w:rPr>
                <w:sz w:val="20"/>
                <w:szCs w:val="20"/>
                <w:color w:val="auto"/>
              </w:rPr>
            </w:pPr>
            <w:r>
              <w:rPr>
                <w:rFonts w:ascii="Arial" w:cs="Arial" w:eastAsia="Arial" w:hAnsi="Arial"/>
                <w:sz w:val="18"/>
                <w:szCs w:val="18"/>
                <w:color w:val="auto"/>
                <w:w w:val="99"/>
              </w:rPr>
              <w:t>Three months ended</w:t>
            </w:r>
          </w:p>
        </w:tc>
        <w:tc>
          <w:tcPr>
            <w:tcW w:w="228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2640" w:type="dxa"/>
            <w:vAlign w:val="bottom"/>
          </w:tcPr>
          <w:p>
            <w:pPr>
              <w:jc w:val="center"/>
              <w:ind w:left="1770"/>
              <w:spacing w:after="0" w:line="181" w:lineRule="exact"/>
              <w:rPr>
                <w:sz w:val="20"/>
                <w:szCs w:val="20"/>
                <w:color w:val="auto"/>
              </w:rPr>
            </w:pPr>
            <w:r>
              <w:rPr>
                <w:rFonts w:ascii="Arial" w:cs="Arial" w:eastAsia="Arial" w:hAnsi="Arial"/>
                <w:sz w:val="18"/>
                <w:szCs w:val="18"/>
                <w:color w:val="auto"/>
              </w:rPr>
              <w:t>June 30,</w:t>
            </w:r>
          </w:p>
        </w:tc>
        <w:tc>
          <w:tcPr>
            <w:tcW w:w="108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6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2013</w:t>
            </w:r>
          </w:p>
        </w:tc>
        <w:tc>
          <w:tcPr>
            <w:tcW w:w="14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4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6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$80</w:t>
            </w:r>
          </w:p>
        </w:tc>
        <w:tc>
          <w:tcPr>
            <w:tcW w:w="1080" w:type="dxa"/>
            <w:vAlign w:val="bottom"/>
          </w:tcPr>
          <w:p>
            <w:pPr>
              <w:spacing w:after="0"/>
              <w:rPr>
                <w:sz w:val="24"/>
                <w:szCs w:val="24"/>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$154</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Forward exchange options</w:t>
            </w:r>
          </w:p>
        </w:tc>
        <w:tc>
          <w:tcPr>
            <w:tcW w:w="26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1" w:name="page22"/>
    <w:bookmarkEnd w:id="21"/>
    <w:p>
      <w:pPr>
        <w:ind w:right="9740" w:firstLine="8"/>
        <w:spacing w:after="0" w:line="372" w:lineRule="auto"/>
        <w:tabs>
          <w:tab w:leader="none" w:pos="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2"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defending 4,217 claims as of June 30, 2014.</w:t>
      </w:r>
    </w:p>
    <w:p>
      <w:pPr>
        <w:spacing w:after="0" w:line="104" w:lineRule="exact"/>
        <w:rPr>
          <w:sz w:val="20"/>
          <w:szCs w:val="20"/>
          <w:color w:val="auto"/>
        </w:rPr>
      </w:pPr>
    </w:p>
    <w:p>
      <w:pPr>
        <w:jc w:val="both"/>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60" w:type="dxa"/>
            <w:vAlign w:val="bottom"/>
            <w:tcBorders>
              <w:top w:val="single" w:sz="8" w:color="auto"/>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Year ended</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Opening</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Closing</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Amounts Paid</w:t>
            </w:r>
          </w:p>
        </w:tc>
      </w:tr>
      <w:tr>
        <w:trPr>
          <w:trHeight w:val="203"/>
        </w:trPr>
        <w:tc>
          <w:tcPr>
            <w:tcW w:w="2660" w:type="dxa"/>
            <w:vAlign w:val="bottom"/>
            <w:tcBorders>
              <w:left w:val="single" w:sz="8" w:color="auto"/>
              <w:right w:val="single" w:sz="8" w:color="auto"/>
            </w:tcBorders>
          </w:tcPr>
          <w:p>
            <w:pPr>
              <w:ind w:left="760"/>
              <w:spacing w:after="0" w:line="202" w:lineRule="exact"/>
              <w:rPr>
                <w:sz w:val="20"/>
                <w:szCs w:val="20"/>
                <w:color w:val="auto"/>
              </w:rPr>
            </w:pPr>
            <w:r>
              <w:rPr>
                <w:rFonts w:ascii="Arial" w:cs="Arial" w:eastAsia="Arial" w:hAnsi="Arial"/>
                <w:sz w:val="18"/>
                <w:szCs w:val="18"/>
                <w:b w:val="1"/>
                <w:bCs w:val="1"/>
                <w:color w:val="auto"/>
              </w:rPr>
              <w:t>December 31,</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03"/>
        </w:trPr>
        <w:tc>
          <w:tcPr>
            <w:tcW w:w="266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Claims</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 or</w:t>
            </w:r>
          </w:p>
        </w:tc>
      </w:tr>
      <w:tr>
        <w:trPr>
          <w:trHeight w:val="225"/>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4,315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As of June 30, 2014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4,217</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$433</w:t>
            </w:r>
          </w:p>
        </w:tc>
      </w:tr>
    </w:tbl>
    <w:p>
      <w:pPr>
        <w:spacing w:after="0" w:line="242"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89" w:lineRule="exact"/>
        <w:rPr>
          <w:sz w:val="20"/>
          <w:szCs w:val="20"/>
          <w:color w:val="auto"/>
        </w:rPr>
      </w:pPr>
    </w:p>
    <w:p>
      <w:pPr>
        <w:jc w:val="both"/>
        <w:ind w:right="100" w:firstLine="360"/>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95"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June 30, 2014 we had resolved, by means of settlement or dismissal, 36,752 claims. The total cost of resolving all claims was $9.2 million. Of this amount, almost 100% was paid by our insurance carrier. The Company’s insurer has confirmed that although the coverage limits under two (of approximately 23) primary insurance policies have been exhausted, there still remains approximately $ 3 million in coverage limits under other applicable primary policies, and $140 million in coverage under excess umbrella coverage policies that should be available with respect to current and future asbestos claims.</w:t>
      </w:r>
    </w:p>
    <w:p>
      <w:pPr>
        <w:spacing w:after="0" w:line="95" w:lineRule="exact"/>
        <w:rPr>
          <w:sz w:val="20"/>
          <w:szCs w:val="20"/>
          <w:color w:val="auto"/>
        </w:rPr>
      </w:pPr>
    </w:p>
    <w:p>
      <w:pPr>
        <w:ind w:right="260" w:firstLine="360"/>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7,732 claims as of June 30, 2014.</w:t>
      </w:r>
    </w:p>
    <w:p>
      <w:pPr>
        <w:spacing w:after="0" w:line="95"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60" w:type="dxa"/>
            <w:vAlign w:val="bottom"/>
            <w:tcBorders>
              <w:top w:val="single" w:sz="8" w:color="auto"/>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Year ended</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Opening</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Closing</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Amounts Paid</w:t>
            </w:r>
          </w:p>
        </w:tc>
      </w:tr>
      <w:tr>
        <w:trPr>
          <w:trHeight w:val="203"/>
        </w:trPr>
        <w:tc>
          <w:tcPr>
            <w:tcW w:w="2660" w:type="dxa"/>
            <w:vAlign w:val="bottom"/>
            <w:tcBorders>
              <w:left w:val="single" w:sz="8" w:color="auto"/>
              <w:right w:val="single" w:sz="8" w:color="auto"/>
            </w:tcBorders>
          </w:tcPr>
          <w:p>
            <w:pPr>
              <w:ind w:left="760"/>
              <w:spacing w:after="0" w:line="202" w:lineRule="exact"/>
              <w:rPr>
                <w:sz w:val="20"/>
                <w:szCs w:val="20"/>
                <w:color w:val="auto"/>
              </w:rPr>
            </w:pPr>
            <w:r>
              <w:rPr>
                <w:rFonts w:ascii="Arial" w:cs="Arial" w:eastAsia="Arial" w:hAnsi="Arial"/>
                <w:sz w:val="18"/>
                <w:szCs w:val="18"/>
                <w:b w:val="1"/>
                <w:bCs w:val="1"/>
                <w:color w:val="auto"/>
              </w:rPr>
              <w:t>December 31,</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03"/>
        </w:trPr>
        <w:tc>
          <w:tcPr>
            <w:tcW w:w="266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Claims</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 or</w:t>
            </w:r>
          </w:p>
        </w:tc>
      </w:tr>
      <w:tr>
        <w:trPr>
          <w:trHeight w:val="225"/>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As of June 30, 2014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7,732</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242"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June 30, 2014, Brandon has resolved, by means of settlement or dismissal, 9,873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ectPr>
          <w:pgSz w:w="11900" w:h="16838" w:orient="portrait"/>
          <w:cols w:equalWidth="0" w:num="1">
            <w:col w:w="11420"/>
          </w:cols>
          <w:pgMar w:left="240" w:top="657" w:right="239" w:bottom="120" w:gutter="0" w:footer="0" w:header="0"/>
        </w:sectPr>
      </w:pPr>
    </w:p>
    <w:bookmarkStart w:id="22" w:name="page23"/>
    <w:bookmarkEnd w:id="22"/>
    <w:p>
      <w:pPr>
        <w:jc w:val="both"/>
        <w:ind w:right="120" w:firstLine="36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202"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140" w:right="359" w:bottom="1440" w:gutter="0" w:footer="0" w:header="0"/>
        </w:sectPr>
      </w:pPr>
    </w:p>
    <w:bookmarkStart w:id="23" w:name="page24"/>
    <w:bookmarkEnd w:id="23"/>
    <w:p>
      <w:pPr>
        <w:ind w:right="60" w:firstLine="360"/>
        <w:spacing w:after="0" w:line="23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95" w:lineRule="exact"/>
        <w:rPr>
          <w:sz w:val="20"/>
          <w:szCs w:val="20"/>
          <w:color w:val="auto"/>
        </w:rPr>
      </w:pPr>
    </w:p>
    <w:p>
      <w:pPr>
        <w:ind w:right="220" w:firstLine="360"/>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center"/>
              <w:ind w:left="88"/>
              <w:spacing w:after="0"/>
              <w:rPr>
                <w:sz w:val="20"/>
                <w:szCs w:val="20"/>
                <w:color w:val="auto"/>
              </w:rPr>
            </w:pPr>
            <w:r>
              <w:rPr>
                <w:rFonts w:ascii="Arial" w:cs="Arial" w:eastAsia="Arial" w:hAnsi="Arial"/>
                <w:sz w:val="14"/>
                <w:szCs w:val="14"/>
                <w:color w:val="auto"/>
                <w:w w:val="99"/>
              </w:rPr>
              <w:t>Class A</w:t>
            </w:r>
          </w:p>
        </w:tc>
        <w:tc>
          <w:tcPr>
            <w:tcW w:w="1060" w:type="dxa"/>
            <w:vAlign w:val="bottom"/>
            <w:tcBorders>
              <w:top w:val="single" w:sz="8" w:color="auto"/>
            </w:tcBorders>
            <w:vMerge w:val="restart"/>
          </w:tcPr>
          <w:p>
            <w:pPr>
              <w:jc w:val="center"/>
              <w:ind w:left="328"/>
              <w:spacing w:after="0"/>
              <w:rPr>
                <w:sz w:val="20"/>
                <w:szCs w:val="20"/>
                <w:color w:val="auto"/>
              </w:rPr>
            </w:pPr>
            <w:r>
              <w:rPr>
                <w:rFonts w:ascii="Arial" w:cs="Arial" w:eastAsia="Arial" w:hAnsi="Arial"/>
                <w:sz w:val="14"/>
                <w:szCs w:val="14"/>
                <w:color w:val="auto"/>
              </w:rPr>
              <w:t>Class B</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color w:val="auto"/>
              </w:rPr>
              <w:t>Additional</w:t>
            </w:r>
          </w:p>
        </w:tc>
        <w:tc>
          <w:tcPr>
            <w:tcW w:w="9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color w:val="auto"/>
              </w:rPr>
              <w:t>Accumulated</w:t>
            </w:r>
          </w:p>
        </w:tc>
        <w:tc>
          <w:tcPr>
            <w:tcW w:w="10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color w:val="auto"/>
              </w:rPr>
              <w:t>Retained</w:t>
            </w: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color w:val="auto"/>
              </w:rPr>
              <w:t>items of other</w:t>
            </w: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color w:val="auto"/>
              </w:rPr>
              <w:t>Treasury</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Noncontrolling</w:t>
            </w:r>
          </w:p>
        </w:tc>
        <w:tc>
          <w:tcPr>
            <w:tcW w:w="9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Common</w:t>
            </w:r>
          </w:p>
        </w:tc>
        <w:tc>
          <w:tcPr>
            <w:tcW w:w="1060" w:type="dxa"/>
            <w:vAlign w:val="bottom"/>
            <w:vMerge w:val="restart"/>
          </w:tcPr>
          <w:p>
            <w:pPr>
              <w:jc w:val="center"/>
              <w:ind w:left="328"/>
              <w:spacing w:after="0"/>
              <w:rPr>
                <w:sz w:val="20"/>
                <w:szCs w:val="20"/>
                <w:color w:val="auto"/>
              </w:rPr>
            </w:pPr>
            <w:r>
              <w:rPr>
                <w:rFonts w:ascii="Arial" w:cs="Arial" w:eastAsia="Arial" w:hAnsi="Arial"/>
                <w:sz w:val="14"/>
                <w:szCs w:val="14"/>
                <w:color w:val="auto"/>
              </w:rPr>
              <w:t>Common</w:t>
            </w:r>
          </w:p>
        </w:tc>
        <w:tc>
          <w:tcPr>
            <w:tcW w:w="280" w:type="dxa"/>
            <w:vAlign w:val="bottom"/>
          </w:tcPr>
          <w:p>
            <w:pPr>
              <w:spacing w:after="0"/>
              <w:rPr>
                <w:sz w:val="7"/>
                <w:szCs w:val="7"/>
                <w:color w:val="auto"/>
              </w:rPr>
            </w:pPr>
          </w:p>
        </w:tc>
        <w:tc>
          <w:tcPr>
            <w:tcW w:w="1040" w:type="dxa"/>
            <w:vAlign w:val="bottom"/>
            <w:vMerge w:val="restart"/>
          </w:tcPr>
          <w:p>
            <w:pPr>
              <w:jc w:val="center"/>
              <w:ind w:right="148"/>
              <w:spacing w:after="0"/>
              <w:rPr>
                <w:sz w:val="20"/>
                <w:szCs w:val="20"/>
                <w:color w:val="auto"/>
              </w:rPr>
            </w:pPr>
            <w:r>
              <w:rPr>
                <w:rFonts w:ascii="Arial" w:cs="Arial" w:eastAsia="Arial" w:hAnsi="Arial"/>
                <w:sz w:val="14"/>
                <w:szCs w:val="14"/>
                <w:color w:val="auto"/>
                <w:w w:val="98"/>
              </w:rPr>
              <w:t>paid</w:t>
            </w:r>
          </w:p>
        </w:tc>
        <w:tc>
          <w:tcPr>
            <w:tcW w:w="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81"/>
        </w:trPr>
        <w:tc>
          <w:tcPr>
            <w:tcW w:w="31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color w:val="auto"/>
              </w:rPr>
              <w:t>earnings</w:t>
            </w: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color w:val="auto"/>
              </w:rPr>
              <w:t>comprehensive</w:t>
            </w: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color w:val="auto"/>
              </w:rPr>
              <w:t>stock</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Interest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60" w:type="dxa"/>
            <w:vAlign w:val="bottom"/>
            <w:vMerge w:val="restart"/>
          </w:tcPr>
          <w:p>
            <w:pPr>
              <w:jc w:val="center"/>
              <w:ind w:left="128"/>
              <w:spacing w:after="0"/>
              <w:rPr>
                <w:sz w:val="20"/>
                <w:szCs w:val="20"/>
                <w:color w:val="auto"/>
              </w:rPr>
            </w:pPr>
            <w:r>
              <w:rPr>
                <w:rFonts w:ascii="Arial" w:cs="Arial" w:eastAsia="Arial" w:hAnsi="Arial"/>
                <w:sz w:val="14"/>
                <w:szCs w:val="14"/>
                <w:color w:val="auto"/>
              </w:rPr>
              <w:t>Stock</w:t>
            </w:r>
          </w:p>
        </w:tc>
        <w:tc>
          <w:tcPr>
            <w:tcW w:w="1060" w:type="dxa"/>
            <w:vAlign w:val="bottom"/>
            <w:vMerge w:val="restart"/>
          </w:tcPr>
          <w:p>
            <w:pPr>
              <w:jc w:val="center"/>
              <w:ind w:left="348"/>
              <w:spacing w:after="0"/>
              <w:rPr>
                <w:sz w:val="20"/>
                <w:szCs w:val="20"/>
                <w:color w:val="auto"/>
              </w:rPr>
            </w:pPr>
            <w:r>
              <w:rPr>
                <w:rFonts w:ascii="Arial" w:cs="Arial" w:eastAsia="Arial" w:hAnsi="Arial"/>
                <w:sz w:val="14"/>
                <w:szCs w:val="14"/>
                <w:color w:val="auto"/>
              </w:rPr>
              <w:t>Stock</w:t>
            </w:r>
          </w:p>
        </w:tc>
        <w:tc>
          <w:tcPr>
            <w:tcW w:w="280" w:type="dxa"/>
            <w:vAlign w:val="bottom"/>
          </w:tcPr>
          <w:p>
            <w:pPr>
              <w:spacing w:after="0"/>
              <w:rPr>
                <w:sz w:val="7"/>
                <w:szCs w:val="7"/>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color w:val="auto"/>
              </w:rPr>
              <w:t>in capital</w:t>
            </w:r>
          </w:p>
        </w:tc>
        <w:tc>
          <w:tcPr>
            <w:tcW w:w="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vMerge w:val="restart"/>
          </w:tcPr>
          <w:p>
            <w:pPr>
              <w:jc w:val="right"/>
              <w:ind w:right="348"/>
              <w:spacing w:after="0" w:line="157" w:lineRule="exact"/>
              <w:rPr>
                <w:sz w:val="20"/>
                <w:szCs w:val="20"/>
                <w:color w:val="auto"/>
              </w:rPr>
            </w:pPr>
            <w:r>
              <w:rPr>
                <w:rFonts w:ascii="Arial" w:cs="Arial" w:eastAsia="Arial" w:hAnsi="Arial"/>
                <w:sz w:val="14"/>
                <w:szCs w:val="14"/>
                <w:color w:val="auto"/>
              </w:rPr>
              <w:t>income</w:t>
            </w: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December 31, 2013</w:t>
            </w:r>
          </w:p>
        </w:tc>
        <w:tc>
          <w:tcPr>
            <w:tcW w:w="760" w:type="dxa"/>
            <w:vAlign w:val="bottom"/>
          </w:tcPr>
          <w:p>
            <w:pPr>
              <w:spacing w:after="0"/>
              <w:rPr>
                <w:sz w:val="13"/>
                <w:szCs w:val="13"/>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b w:val="1"/>
                <w:bCs w:val="1"/>
                <w:color w:val="auto"/>
                <w:w w:val="94"/>
              </w:rPr>
              <w:t>$37</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$416,728</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$434,598</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($49,498)</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($257,571)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$3,482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$547,779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60" w:type="dxa"/>
            <w:vAlign w:val="bottom"/>
          </w:tcPr>
          <w:p>
            <w:pPr>
              <w:spacing w:after="0"/>
              <w:rPr>
                <w:sz w:val="14"/>
                <w:szCs w:val="14"/>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21,840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21,870</w:t>
            </w: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Dividends declared</w:t>
            </w:r>
          </w:p>
        </w:tc>
        <w:tc>
          <w:tcPr>
            <w:tcW w:w="760" w:type="dxa"/>
            <w:vAlign w:val="bottom"/>
          </w:tcPr>
          <w:p>
            <w:pPr>
              <w:spacing w:after="0"/>
              <w:rPr>
                <w:sz w:val="14"/>
                <w:szCs w:val="14"/>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(9,868)</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(9,868)</w:t>
            </w: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Compensation and benefits paid or payable in</w:t>
            </w:r>
          </w:p>
        </w:tc>
        <w:tc>
          <w:tcPr>
            <w:tcW w:w="760" w:type="dxa"/>
            <w:vAlign w:val="bottom"/>
          </w:tcPr>
          <w:p>
            <w:pPr>
              <w:spacing w:after="0"/>
              <w:rPr>
                <w:sz w:val="14"/>
                <w:szCs w:val="14"/>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798</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Class A Common 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Options exercised</w:t>
            </w:r>
          </w:p>
        </w:tc>
        <w:tc>
          <w:tcPr>
            <w:tcW w:w="760" w:type="dxa"/>
            <w:vAlign w:val="bottom"/>
          </w:tcPr>
          <w:p>
            <w:pPr>
              <w:spacing w:after="0"/>
              <w:rPr>
                <w:sz w:val="14"/>
                <w:szCs w:val="14"/>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531</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Shares issued to Directors'</w:t>
            </w:r>
          </w:p>
        </w:tc>
        <w:tc>
          <w:tcPr>
            <w:tcW w:w="760" w:type="dxa"/>
            <w:vAlign w:val="bottom"/>
          </w:tcPr>
          <w:p>
            <w:pPr>
              <w:spacing w:after="0"/>
              <w:rPr>
                <w:sz w:val="14"/>
                <w:szCs w:val="14"/>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90</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Cumulative translation adjustment</w:t>
            </w:r>
          </w:p>
        </w:tc>
        <w:tc>
          <w:tcPr>
            <w:tcW w:w="760" w:type="dxa"/>
            <w:vAlign w:val="bottom"/>
          </w:tcPr>
          <w:p>
            <w:pPr>
              <w:spacing w:after="0"/>
              <w:rPr>
                <w:sz w:val="14"/>
                <w:szCs w:val="14"/>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(1,838)</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Change in pension liability adjustment</w:t>
            </w:r>
          </w:p>
        </w:tc>
        <w:tc>
          <w:tcPr>
            <w:tcW w:w="760" w:type="dxa"/>
            <w:vAlign w:val="bottom"/>
          </w:tcPr>
          <w:p>
            <w:pPr>
              <w:spacing w:after="0"/>
              <w:rPr>
                <w:sz w:val="14"/>
                <w:szCs w:val="14"/>
                <w:color w:val="auto"/>
              </w:rPr>
            </w:pP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178</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57"/>
        </w:trPr>
        <w:tc>
          <w:tcPr>
            <w:tcW w:w="31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Change in derivative valuation adjustment</w:t>
            </w:r>
          </w:p>
        </w:tc>
        <w:tc>
          <w:tcPr>
            <w:tcW w:w="7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48"/>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(222)</w:t>
            </w: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June 30, 2014</w:t>
            </w:r>
          </w:p>
        </w:tc>
        <w:tc>
          <w:tcPr>
            <w:tcW w:w="7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w w:val="94"/>
              </w:rPr>
              <w:t>$37</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$418,117</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$446,570</w:t>
            </w:r>
          </w:p>
        </w:tc>
        <w:tc>
          <w:tcPr>
            <w:tcW w:w="11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($51,380)</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($257,481)</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$3,512</w:t>
            </w: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$559,378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126" w:lineRule="exact"/>
        <w:rPr>
          <w:sz w:val="20"/>
          <w:szCs w:val="20"/>
          <w:color w:val="auto"/>
        </w:rPr>
      </w:pPr>
    </w:p>
    <w:p>
      <w:pPr>
        <w:jc w:val="both"/>
        <w:ind w:right="420" w:firstLine="360"/>
        <w:spacing w:after="0"/>
        <w:rPr>
          <w:sz w:val="20"/>
          <w:szCs w:val="20"/>
          <w:color w:val="auto"/>
        </w:rPr>
      </w:pPr>
      <w:r>
        <w:rPr>
          <w:rFonts w:ascii="Arial" w:cs="Arial" w:eastAsia="Arial" w:hAnsi="Arial"/>
          <w:sz w:val="18"/>
          <w:szCs w:val="18"/>
          <w:color w:val="auto"/>
        </w:rPr>
        <w:t>In July 2013, amended accounting guidance was issued regarding the financial statement presentation of an unrecognized tax benefit when a net operating loss carryforward, a similar tax loss or a tax credit carryforward exists. This guidance was adopted in the first quarter 2014 and had the effect of reducing noncurrent deferred tax assets and noncurrent deferred tax liabilities by $7.1 million.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4" w:name="page25"/>
    <w:bookmarkEnd w:id="24"/>
    <w:p>
      <w:pPr>
        <w:ind w:right="40" w:firstLine="360"/>
        <w:spacing w:after="0" w:line="239" w:lineRule="auto"/>
        <w:rPr>
          <w:sz w:val="20"/>
          <w:szCs w:val="20"/>
          <w:color w:val="auto"/>
        </w:rPr>
      </w:pPr>
      <w:r>
        <w:rPr>
          <w:rFonts w:ascii="Arial" w:cs="Arial" w:eastAsia="Arial" w:hAnsi="Arial"/>
          <w:sz w:val="18"/>
          <w:szCs w:val="18"/>
          <w:color w:val="auto"/>
        </w:rPr>
        <w:t>In April 2014, an accounting update was issued regarding which disposals qualify for reporting as discontinued operations. Additionally, new disclosures will apply for discontinued operations. This accounting update is to be applied prospectively to new disposals and new classifications of disposal groups as held for sale beginning in periods after December 15, 2014. We do not expect the adoption of this update to have a significant effect on our financial statements.</w:t>
      </w:r>
    </w:p>
    <w:p>
      <w:pPr>
        <w:spacing w:after="0" w:line="94"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In June 2014, an accounting update was issued that replaces the existing revenue recognition framework regarding contracts with customers. This accounting update is effective for reporting periods beginning after December 15, 2016. We have not determined the impact of this update on our financial statements.</w:t>
      </w:r>
    </w:p>
    <w:p>
      <w:pPr>
        <w:spacing w:after="0" w:line="95"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In June 2014, an accounting update was issued relating to accounting for share-based payments with a performance target that could be achieved after the requisite service period. The adoption of this accounting guidance will be effective for reporting periods beginning after December 15, 2015. We do not expect the adoption of this update to have a significant effect on our financial statements.</w:t>
      </w:r>
    </w:p>
    <w:p>
      <w:pPr>
        <w:spacing w:after="0" w:line="275" w:lineRule="exact"/>
        <w:rPr>
          <w:sz w:val="20"/>
          <w:szCs w:val="20"/>
          <w:color w:val="auto"/>
        </w:rPr>
      </w:pPr>
    </w:p>
    <w:p>
      <w:pPr>
        <w:ind w:right="1420"/>
        <w:spacing w:after="0" w:line="37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prior Quarterly Reports on Form 10-Q) that could cause actual results to differ materially from the Company’s historical experience and our present expectations or projections.</w:t>
      </w:r>
    </w:p>
    <w:p>
      <w:pPr>
        <w:spacing w:after="0" w:line="95" w:lineRule="exact"/>
        <w:rPr>
          <w:sz w:val="20"/>
          <w:szCs w:val="20"/>
          <w:color w:val="auto"/>
        </w:rPr>
      </w:pPr>
    </w:p>
    <w:p>
      <w:pPr>
        <w:ind w:right="60" w:firstLine="360"/>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89" w:lineRule="exact"/>
        <w:rPr>
          <w:sz w:val="20"/>
          <w:szCs w:val="20"/>
          <w:color w:val="auto"/>
        </w:rPr>
      </w:pPr>
    </w:p>
    <w:p>
      <w:pPr>
        <w:ind w:left="720" w:right="200" w:hanging="361"/>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remain competitive in the industries in which our Machine Clothing segment competes;</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have, achieve, or maintain anticipated profitable growth in our Engineered Composites segment; and</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ind w:right="60" w:firstLine="360"/>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and “Trends,” “Liquidity,” and “Legal Proceedings” sections of this quarterly report,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sectPr>
      </w:pPr>
    </w:p>
    <w:bookmarkStart w:id="25" w:name="page26"/>
    <w:bookmarkEnd w:id="25"/>
    <w:p>
      <w:pPr>
        <w:jc w:val="both"/>
        <w:ind w:right="160" w:firstLine="360"/>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95" w:lineRule="exact"/>
        <w:rPr>
          <w:sz w:val="20"/>
          <w:szCs w:val="20"/>
          <w:color w:val="auto"/>
        </w:rPr>
      </w:pPr>
    </w:p>
    <w:p>
      <w:pPr>
        <w:ind w:right="700" w:firstLine="360"/>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ind w:right="800" w:firstLine="360"/>
        <w:spacing w:after="0" w:line="246" w:lineRule="auto"/>
        <w:rPr>
          <w:sz w:val="20"/>
          <w:szCs w:val="20"/>
          <w:color w:val="auto"/>
        </w:rPr>
      </w:pPr>
      <w:r>
        <w:rPr>
          <w:rFonts w:ascii="Arial" w:cs="Arial" w:eastAsia="Arial" w:hAnsi="Arial"/>
          <w:sz w:val="18"/>
          <w:szCs w:val="18"/>
          <w:color w:val="auto"/>
        </w:rPr>
        <w:t>See Note 3, “Reportable Segments”, under Item 1, Financial Statements, for a discussion of recasting Research and Unallocated expenses to reportable segments.</w:t>
      </w:r>
    </w:p>
    <w:p>
      <w:pPr>
        <w:spacing w:after="0" w:line="89" w:lineRule="exact"/>
        <w:rPr>
          <w:sz w:val="20"/>
          <w:szCs w:val="20"/>
          <w:color w:val="auto"/>
        </w:rPr>
      </w:pPr>
    </w:p>
    <w:p>
      <w:pPr>
        <w:ind w:right="40" w:firstLine="360"/>
        <w:spacing w:after="0"/>
        <w:rPr>
          <w:sz w:val="20"/>
          <w:szCs w:val="20"/>
          <w:color w:val="auto"/>
        </w:rPr>
      </w:pPr>
      <w:r>
        <w:rPr>
          <w:rFonts w:ascii="Arial" w:cs="Arial" w:eastAsia="Arial" w:hAnsi="Arial"/>
          <w:sz w:val="18"/>
          <w:szCs w:val="18"/>
          <w:color w:val="auto"/>
        </w:rPr>
        <w:t>Our reportable segments: Machine Clothing (MC) and Albany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95" w:lineRule="exact"/>
        <w:rPr>
          <w:sz w:val="20"/>
          <w:szCs w:val="20"/>
          <w:color w:val="auto"/>
        </w:rPr>
      </w:pPr>
    </w:p>
    <w:p>
      <w:pPr>
        <w:ind w:right="120" w:firstLine="360"/>
        <w:spacing w:after="0" w:line="236" w:lineRule="auto"/>
        <w:rPr>
          <w:sz w:val="20"/>
          <w:szCs w:val="20"/>
          <w:color w:val="auto"/>
        </w:rPr>
      </w:pPr>
      <w:r>
        <w:rPr>
          <w:rFonts w:ascii="Arial" w:cs="Arial" w:eastAsia="Arial" w:hAnsi="Arial"/>
          <w:sz w:val="18"/>
          <w:szCs w:val="18"/>
          <w:color w:val="auto"/>
        </w:rPr>
        <w:t>MC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99"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(including Albany Safran Composites, LLC (“ASC”), in which our customer SAFRAN Group owns a 10%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Three months ended</w:t>
            </w:r>
          </w:p>
        </w:tc>
        <w:tc>
          <w:tcPr>
            <w:tcW w:w="12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Six months ended</w:t>
            </w: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1"/>
        </w:trPr>
        <w:tc>
          <w:tcPr>
            <w:tcW w:w="3740" w:type="dxa"/>
            <w:vAlign w:val="bottom"/>
          </w:tcPr>
          <w:p>
            <w:pPr>
              <w:spacing w:after="0"/>
              <w:rPr>
                <w:sz w:val="15"/>
                <w:szCs w:val="15"/>
                <w:color w:val="auto"/>
              </w:rPr>
            </w:pPr>
          </w:p>
        </w:tc>
        <w:tc>
          <w:tcPr>
            <w:tcW w:w="218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74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21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 Change</w:t>
            </w:r>
          </w:p>
        </w:tc>
        <w:tc>
          <w:tcPr>
            <w:tcW w:w="14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 Change</w:t>
            </w:r>
          </w:p>
        </w:tc>
      </w:tr>
      <w:tr>
        <w:trPr>
          <w:trHeight w:val="173"/>
        </w:trPr>
        <w:tc>
          <w:tcPr>
            <w:tcW w:w="37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180" w:type="dxa"/>
            <w:vAlign w:val="bottom"/>
            <w:tcBorders>
              <w:top w:val="single" w:sz="8" w:color="auto"/>
            </w:tcBorders>
          </w:tcPr>
          <w:p>
            <w:pPr>
              <w:jc w:val="right"/>
              <w:ind w:right="210"/>
              <w:spacing w:after="0" w:line="173" w:lineRule="exact"/>
              <w:rPr>
                <w:sz w:val="20"/>
                <w:szCs w:val="20"/>
                <w:color w:val="auto"/>
              </w:rPr>
            </w:pPr>
            <w:r>
              <w:rPr>
                <w:rFonts w:ascii="Arial" w:cs="Arial" w:eastAsia="Arial" w:hAnsi="Arial"/>
                <w:sz w:val="18"/>
                <w:szCs w:val="18"/>
                <w:b w:val="1"/>
                <w:bCs w:val="1"/>
                <w:color w:val="auto"/>
              </w:rPr>
              <w:t>$172,809</w:t>
            </w: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$177,536</w:t>
            </w:r>
          </w:p>
        </w:tc>
        <w:tc>
          <w:tcPr>
            <w:tcW w:w="1260" w:type="dxa"/>
            <w:vAlign w:val="bottom"/>
            <w:tcBorders>
              <w:top w:val="single" w:sz="8" w:color="auto"/>
            </w:tcBorders>
          </w:tcPr>
          <w:p>
            <w:pPr>
              <w:jc w:val="right"/>
              <w:ind w:right="190"/>
              <w:spacing w:after="0" w:line="173" w:lineRule="exact"/>
              <w:rPr>
                <w:sz w:val="20"/>
                <w:szCs w:val="20"/>
                <w:color w:val="auto"/>
              </w:rPr>
            </w:pPr>
            <w:r>
              <w:rPr>
                <w:rFonts w:ascii="Arial" w:cs="Arial" w:eastAsia="Arial" w:hAnsi="Arial"/>
                <w:sz w:val="18"/>
                <w:szCs w:val="18"/>
                <w:color w:val="auto"/>
              </w:rPr>
              <w:t>-2.7%</w:t>
            </w:r>
          </w:p>
        </w:tc>
        <w:tc>
          <w:tcPr>
            <w:tcW w:w="1480" w:type="dxa"/>
            <w:vAlign w:val="bottom"/>
            <w:tcBorders>
              <w:top w:val="single" w:sz="8" w:color="auto"/>
            </w:tcBorders>
          </w:tcPr>
          <w:p>
            <w:pPr>
              <w:jc w:val="right"/>
              <w:ind w:right="190"/>
              <w:spacing w:after="0" w:line="173" w:lineRule="exact"/>
              <w:rPr>
                <w:sz w:val="20"/>
                <w:szCs w:val="20"/>
                <w:color w:val="auto"/>
              </w:rPr>
            </w:pPr>
            <w:r>
              <w:rPr>
                <w:rFonts w:ascii="Arial" w:cs="Arial" w:eastAsia="Arial" w:hAnsi="Arial"/>
                <w:sz w:val="18"/>
                <w:szCs w:val="18"/>
                <w:b w:val="1"/>
                <w:bCs w:val="1"/>
                <w:color w:val="auto"/>
              </w:rPr>
              <w:t>$336,897</w:t>
            </w:r>
          </w:p>
        </w:tc>
        <w:tc>
          <w:tcPr>
            <w:tcW w:w="9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$344,946</w:t>
            </w:r>
          </w:p>
        </w:tc>
        <w:tc>
          <w:tcPr>
            <w:tcW w:w="9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r>
      <w:tr>
        <w:trPr>
          <w:trHeight w:val="225"/>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20,709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20,438</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36,928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39,682</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18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$193,518</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$197,974</w:t>
            </w:r>
          </w:p>
        </w:tc>
        <w:tc>
          <w:tcPr>
            <w:tcW w:w="126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-2.3%</w:t>
            </w:r>
          </w:p>
        </w:tc>
        <w:tc>
          <w:tcPr>
            <w:tcW w:w="14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$373,825</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$384,628</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r>
      <w:tr>
        <w:trPr>
          <w:trHeight w:val="507"/>
        </w:trPr>
        <w:tc>
          <w:tcPr>
            <w:tcW w:w="374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8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37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8"/>
        </w:trPr>
        <w:tc>
          <w:tcPr>
            <w:tcW w:w="374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Net sales were affected by the following: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ind w:left="720" w:right="560" w:hanging="361"/>
        <w:spacing w:after="0" w:line="2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$1.6 million during the second quarter of 2014 as compared to 2013.</w:t>
      </w:r>
    </w:p>
    <w:p>
      <w:pPr>
        <w:spacing w:after="0" w:line="88" w:lineRule="exact"/>
        <w:rPr>
          <w:rFonts w:ascii="Arial" w:cs="Arial" w:eastAsia="Arial" w:hAnsi="Arial"/>
          <w:sz w:val="18"/>
          <w:szCs w:val="18"/>
          <w:color w:val="auto"/>
        </w:rPr>
      </w:pPr>
    </w:p>
    <w:p>
      <w:pPr>
        <w:ind w:left="720" w:right="440" w:hanging="361"/>
        <w:spacing w:after="0" w:line="275"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year-over-year decline in second-quarter MC sales was primarily attributable to North America; where sales were particularly strong in the second quarter of 2013. Sales in the rest of the world were at levels comparable to the second quarter 2013.</w:t>
      </w:r>
    </w:p>
    <w:p>
      <w:pPr>
        <w:spacing w:after="0" w:line="65" w:lineRule="exact"/>
        <w:rPr>
          <w:rFonts w:ascii="Arial" w:cs="Arial" w:eastAsia="Arial" w:hAnsi="Arial"/>
          <w:sz w:val="17"/>
          <w:szCs w:val="17"/>
          <w:color w:val="auto"/>
        </w:rPr>
      </w:pPr>
    </w:p>
    <w:p>
      <w:pPr>
        <w:ind w:left="720" w:right="440" w:hanging="361"/>
        <w:spacing w:after="0" w:line="2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AEC sales rebounded to prior-year levels from the transitional effects of the change in LEAP invoicing terms discussed in the first quarter 2014.</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080" w:hanging="356"/>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Total Company Net sales decreased 3.0% compared to the same period in 2013</w:t>
      </w:r>
    </w:p>
    <w:p>
      <w:pPr>
        <w:spacing w:after="0" w:line="117" w:lineRule="exact"/>
        <w:rPr>
          <w:rFonts w:ascii="Arial" w:cs="Arial" w:eastAsia="Arial" w:hAnsi="Arial"/>
          <w:sz w:val="18"/>
          <w:szCs w:val="18"/>
          <w:color w:val="auto"/>
        </w:rPr>
      </w:pPr>
    </w:p>
    <w:p>
      <w:pPr>
        <w:ind w:left="1080" w:hanging="356"/>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decreased 3.6%</w:t>
      </w:r>
    </w:p>
    <w:p>
      <w:pPr>
        <w:spacing w:after="0" w:line="117" w:lineRule="exact"/>
        <w:rPr>
          <w:rFonts w:ascii="Arial" w:cs="Arial" w:eastAsia="Arial" w:hAnsi="Arial"/>
          <w:sz w:val="18"/>
          <w:szCs w:val="18"/>
          <w:color w:val="auto"/>
        </w:rPr>
      </w:pPr>
    </w:p>
    <w:p>
      <w:pPr>
        <w:ind w:left="1080" w:hanging="356"/>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AEC increased 1.3%</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$2.4 million during 2014 as compared to 2013.</w:t>
      </w:r>
    </w:p>
    <w:p>
      <w:pPr>
        <w:spacing w:after="0" w:line="117" w:lineRule="exact"/>
        <w:rPr>
          <w:rFonts w:ascii="Arial" w:cs="Arial" w:eastAsia="Arial" w:hAnsi="Arial"/>
          <w:sz w:val="18"/>
          <w:szCs w:val="18"/>
          <w:color w:val="auto"/>
        </w:rPr>
      </w:pPr>
    </w:p>
    <w:p>
      <w:pPr>
        <w:ind w:left="720" w:right="80" w:hanging="361"/>
        <w:spacing w:after="0" w:line="24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year-over-year decline in the first six months MC sales was attributable to North America; where sales were particularly strong for the first six months of 2013. Sales in the rest of the world remained stable.</w:t>
      </w:r>
    </w:p>
    <w:p>
      <w:pPr>
        <w:spacing w:after="0" w:line="88" w:lineRule="exact"/>
        <w:rPr>
          <w:rFonts w:ascii="Arial" w:cs="Arial" w:eastAsia="Arial" w:hAnsi="Arial"/>
          <w:sz w:val="18"/>
          <w:szCs w:val="18"/>
          <w:color w:val="auto"/>
        </w:rPr>
      </w:pPr>
    </w:p>
    <w:p>
      <w:pPr>
        <w:ind w:left="720" w:right="200" w:hanging="361"/>
        <w:spacing w:after="0" w:line="24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in AEC sales was principally due to the shift during the first quarter to larger scale LEAP part production, together with the related change in invoicing terms, resulting in a build-up of inventory and an associated temporary lag in sales.</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080" w:hanging="356"/>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Total Company Net sales decreased 3.4% compared to the same period in 2013</w:t>
      </w:r>
    </w:p>
    <w:p>
      <w:pPr>
        <w:spacing w:after="0" w:line="117" w:lineRule="exact"/>
        <w:rPr>
          <w:rFonts w:ascii="Arial" w:cs="Arial" w:eastAsia="Arial" w:hAnsi="Arial"/>
          <w:sz w:val="18"/>
          <w:szCs w:val="18"/>
          <w:color w:val="auto"/>
        </w:rPr>
      </w:pPr>
    </w:p>
    <w:p>
      <w:pPr>
        <w:ind w:left="1080" w:hanging="356"/>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MC decreased 3.0%</w:t>
      </w:r>
    </w:p>
    <w:p>
      <w:pPr>
        <w:spacing w:after="0" w:line="117" w:lineRule="exact"/>
        <w:rPr>
          <w:rFonts w:ascii="Arial" w:cs="Arial" w:eastAsia="Arial" w:hAnsi="Arial"/>
          <w:sz w:val="18"/>
          <w:szCs w:val="18"/>
          <w:color w:val="auto"/>
        </w:rPr>
      </w:pPr>
    </w:p>
    <w:p>
      <w:pPr>
        <w:ind w:left="1080" w:hanging="356"/>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AEC decreased 6.9%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Three months ended</w:t>
            </w:r>
          </w:p>
        </w:tc>
        <w:tc>
          <w:tcPr>
            <w:tcW w:w="266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181"/>
        </w:trPr>
        <w:tc>
          <w:tcPr>
            <w:tcW w:w="4520" w:type="dxa"/>
            <w:vAlign w:val="bottom"/>
          </w:tcPr>
          <w:p>
            <w:pPr>
              <w:spacing w:after="0"/>
              <w:rPr>
                <w:sz w:val="15"/>
                <w:szCs w:val="15"/>
                <w:color w:val="auto"/>
              </w:rPr>
            </w:pPr>
          </w:p>
        </w:tc>
        <w:tc>
          <w:tcPr>
            <w:tcW w:w="298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1260" w:type="dxa"/>
            <w:vAlign w:val="bottom"/>
          </w:tcPr>
          <w:p>
            <w:pPr>
              <w:spacing w:after="0"/>
              <w:rPr>
                <w:sz w:val="15"/>
                <w:szCs w:val="15"/>
                <w:color w:val="auto"/>
              </w:rPr>
            </w:pPr>
          </w:p>
        </w:tc>
        <w:tc>
          <w:tcPr>
            <w:tcW w:w="1660" w:type="dxa"/>
            <w:vAlign w:val="bottom"/>
          </w:tcPr>
          <w:p>
            <w:pPr>
              <w:jc w:val="right"/>
              <w:ind w:right="50"/>
              <w:spacing w:after="0" w:line="181" w:lineRule="exact"/>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29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2013</w:t>
            </w:r>
          </w:p>
        </w:tc>
        <w:tc>
          <w:tcPr>
            <w:tcW w:w="16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2014</w:t>
            </w: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4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98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$73,339</w:t>
            </w:r>
          </w:p>
        </w:tc>
        <w:tc>
          <w:tcPr>
            <w:tcW w:w="12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$77,797</w:t>
            </w:r>
          </w:p>
        </w:tc>
        <w:tc>
          <w:tcPr>
            <w:tcW w:w="166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$147,209</w:t>
            </w:r>
          </w:p>
        </w:tc>
        <w:tc>
          <w:tcPr>
            <w:tcW w:w="1000" w:type="dxa"/>
            <w:vAlign w:val="bottom"/>
          </w:tcPr>
          <w:p>
            <w:pPr>
              <w:jc w:val="right"/>
              <w:spacing w:after="0" w:line="173" w:lineRule="exact"/>
              <w:rPr>
                <w:sz w:val="20"/>
                <w:szCs w:val="20"/>
                <w:color w:val="auto"/>
              </w:rPr>
            </w:pPr>
            <w:r>
              <w:rPr>
                <w:rFonts w:ascii="Arial" w:cs="Arial" w:eastAsia="Arial" w:hAnsi="Arial"/>
                <w:sz w:val="18"/>
                <w:szCs w:val="18"/>
                <w:color w:val="auto"/>
              </w:rPr>
              <w:t>$151,786</w:t>
            </w:r>
          </w:p>
        </w:tc>
        <w:tc>
          <w:tcPr>
            <w:tcW w:w="20" w:type="dxa"/>
            <w:vAlign w:val="bottom"/>
          </w:tcPr>
          <w:p>
            <w:pPr>
              <w:spacing w:after="0"/>
              <w:rPr>
                <w:sz w:val="15"/>
                <w:szCs w:val="15"/>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9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2,358</w:t>
            </w: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667</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3,651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20" w:type="dxa"/>
            <w:vAlign w:val="bottom"/>
          </w:tcPr>
          <w:p>
            <w:pPr>
              <w:spacing w:after="0"/>
              <w:rPr>
                <w:sz w:val="17"/>
                <w:szCs w:val="17"/>
                <w:color w:val="auto"/>
              </w:rPr>
            </w:pP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(354)</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(1,031)</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(708)</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(2,065)</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$75,343</w:t>
            </w:r>
          </w:p>
        </w:tc>
        <w:tc>
          <w:tcPr>
            <w:tcW w:w="12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$77,433</w:t>
            </w:r>
          </w:p>
        </w:tc>
        <w:tc>
          <w:tcPr>
            <w:tcW w:w="16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$150,152</w:t>
            </w:r>
          </w:p>
        </w:tc>
        <w:tc>
          <w:tcPr>
            <w:tcW w:w="10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$150,202</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9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38.9%</w:t>
            </w:r>
          </w:p>
        </w:tc>
        <w:tc>
          <w:tcPr>
            <w:tcW w:w="12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39.1%</w:t>
            </w:r>
          </w:p>
        </w:tc>
        <w:tc>
          <w:tcPr>
            <w:tcW w:w="16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40.2%</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20" w:type="dxa"/>
            <w:vAlign w:val="bottom"/>
            <w:tcBorders>
              <w:bottom w:val="single" w:sz="8" w:color="auto"/>
            </w:tcBorders>
          </w:tcPr>
          <w:p>
            <w:pPr>
              <w:spacing w:after="0"/>
              <w:rPr>
                <w:sz w:val="17"/>
                <w:szCs w:val="17"/>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gross profit, compared to the same period in 2013, was principally due to the net effect of the following:</w:t>
      </w:r>
    </w:p>
    <w:p>
      <w:pPr>
        <w:spacing w:after="0" w:line="104" w:lineRule="exact"/>
        <w:rPr>
          <w:sz w:val="20"/>
          <w:szCs w:val="20"/>
          <w:color w:val="auto"/>
        </w:rPr>
      </w:pPr>
    </w:p>
    <w:p>
      <w:pPr>
        <w:ind w:left="720" w:right="60" w:hanging="361"/>
        <w:spacing w:after="0" w:line="23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second quarter of 2014, the Company identified an error in the value of Machine Clothing inventories reported in prior periods. Included in cost of goods sold for the second quarter is a charge of $1.6 million to correct the error by reducing inventories to their proper carrying values. The error relates to intercompany transfers of inventory and originated when the Company transitioned to a new ERP system in the Americas in 2008 and Europe in 2011.</w:t>
      </w:r>
    </w:p>
    <w:p>
      <w:pPr>
        <w:spacing w:after="0" w:line="93" w:lineRule="exact"/>
        <w:rPr>
          <w:rFonts w:ascii="Arial" w:cs="Arial" w:eastAsia="Arial" w:hAnsi="Arial"/>
          <w:sz w:val="18"/>
          <w:szCs w:val="18"/>
          <w:color w:val="auto"/>
        </w:rPr>
      </w:pPr>
    </w:p>
    <w:p>
      <w:pPr>
        <w:ind w:left="720" w:right="360" w:hanging="361"/>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margins in MC decreased from 43.8 percent to 42.4 percent principally due to the $1.6 million charge for the inventory valuation correction in 2014.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7" w:name="page28"/>
    <w:bookmarkEnd w:id="27"/>
    <w:p>
      <w:pPr>
        <w:ind w:left="720" w:right="800" w:hanging="361"/>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AEC gross margin for the second quarter of 2014 was 11.4 percent compared to 3.3 percent in 2013 due to improvements in profitability of programs at the Company’s Boerne, Texas facility.</w:t>
      </w:r>
    </w:p>
    <w:p>
      <w:pPr>
        <w:spacing w:after="0" w:line="88" w:lineRule="exact"/>
        <w:rPr>
          <w:rFonts w:ascii="Arial" w:cs="Arial" w:eastAsia="Arial" w:hAnsi="Arial"/>
          <w:sz w:val="18"/>
          <w:szCs w:val="18"/>
          <w:color w:val="auto"/>
        </w:rPr>
      </w:pPr>
    </w:p>
    <w:p>
      <w:pPr>
        <w:ind w:left="720" w:right="140" w:hanging="361"/>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expenses decreased $0.7 million for the second quarter of 2014 primarily due to a change made during the third quarter of 2013 that reduced the U.S. postretirement life insurance benefit for retirees and eliminated the benefit for active employees.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gross profit during 2014 was principally due to the net effect of the following:</w:t>
      </w:r>
    </w:p>
    <w:p>
      <w:pPr>
        <w:spacing w:after="0" w:line="104" w:lineRule="exact"/>
        <w:rPr>
          <w:sz w:val="20"/>
          <w:szCs w:val="20"/>
          <w:color w:val="auto"/>
        </w:rPr>
      </w:pPr>
    </w:p>
    <w:p>
      <w:pPr>
        <w:ind w:left="720" w:hanging="36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$3.5 million decrease due to lower sales in MC.</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charge of $1.6 million to correct MC inventory values, as described above.</w:t>
      </w:r>
    </w:p>
    <w:p>
      <w:pPr>
        <w:spacing w:after="0" w:line="117" w:lineRule="exact"/>
        <w:rPr>
          <w:rFonts w:ascii="Arial" w:cs="Arial" w:eastAsia="Arial" w:hAnsi="Arial"/>
          <w:sz w:val="18"/>
          <w:szCs w:val="18"/>
          <w:color w:val="auto"/>
        </w:rPr>
      </w:pPr>
    </w:p>
    <w:p>
      <w:pPr>
        <w:ind w:left="720" w:right="360" w:hanging="361"/>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$3.4 million increase due to higher gross profit margin in AEC due to improvements in profitability of programs at the Company’s Boerne, Texas facility.</w:t>
      </w:r>
    </w:p>
    <w:p>
      <w:pPr>
        <w:spacing w:after="0" w:line="88" w:lineRule="exact"/>
        <w:rPr>
          <w:rFonts w:ascii="Arial" w:cs="Arial" w:eastAsia="Arial" w:hAnsi="Arial"/>
          <w:sz w:val="18"/>
          <w:szCs w:val="18"/>
          <w:color w:val="auto"/>
        </w:rPr>
      </w:pPr>
    </w:p>
    <w:p>
      <w:pPr>
        <w:ind w:left="720" w:right="140" w:hanging="361"/>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expenses decreased $1.4 million for the first six months of 2014 primarily due to a change made during the third quarter of 2013 that reduced the U.S. postretirement life insurance benefit for retirees and eliminated the benefit for active employees.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Borders>
              <w:top w:val="single" w:sz="8" w:color="auto"/>
            </w:tcBorders>
          </w:tcPr>
          <w:p>
            <w:pPr>
              <w:spacing w:after="0"/>
              <w:rPr>
                <w:sz w:val="18"/>
                <w:szCs w:val="18"/>
                <w:color w:val="auto"/>
              </w:rPr>
            </w:pPr>
          </w:p>
        </w:tc>
        <w:tc>
          <w:tcPr>
            <w:tcW w:w="4400" w:type="dxa"/>
            <w:vAlign w:val="bottom"/>
            <w:tcBorders>
              <w:top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860" w:type="dxa"/>
            <w:vAlign w:val="bottom"/>
            <w:tcBorders>
              <w:top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181"/>
        </w:trPr>
        <w:tc>
          <w:tcPr>
            <w:tcW w:w="4160" w:type="dxa"/>
            <w:vAlign w:val="bottom"/>
          </w:tcPr>
          <w:p>
            <w:pPr>
              <w:spacing w:after="0"/>
              <w:rPr>
                <w:sz w:val="15"/>
                <w:szCs w:val="15"/>
                <w:color w:val="auto"/>
              </w:rPr>
            </w:pPr>
          </w:p>
        </w:tc>
        <w:tc>
          <w:tcPr>
            <w:tcW w:w="30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June 30,</w:t>
            </w:r>
          </w:p>
        </w:tc>
        <w:tc>
          <w:tcPr>
            <w:tcW w:w="1360" w:type="dxa"/>
            <w:vAlign w:val="bottom"/>
          </w:tcPr>
          <w:p>
            <w:pPr>
              <w:spacing w:after="0"/>
              <w:rPr>
                <w:sz w:val="15"/>
                <w:szCs w:val="15"/>
                <w:color w:val="auto"/>
              </w:rPr>
            </w:pPr>
          </w:p>
        </w:tc>
        <w:tc>
          <w:tcPr>
            <w:tcW w:w="1760" w:type="dxa"/>
            <w:vAlign w:val="bottom"/>
          </w:tcPr>
          <w:p>
            <w:pPr>
              <w:jc w:val="right"/>
              <w:ind w:right="50"/>
              <w:spacing w:after="0" w:line="181" w:lineRule="exact"/>
              <w:rPr>
                <w:sz w:val="20"/>
                <w:szCs w:val="20"/>
                <w:color w:val="auto"/>
              </w:rPr>
            </w:pPr>
            <w:r>
              <w:rPr>
                <w:rFonts w:ascii="Arial" w:cs="Arial" w:eastAsia="Arial" w:hAnsi="Arial"/>
                <w:sz w:val="18"/>
                <w:szCs w:val="18"/>
                <w:color w:val="auto"/>
              </w:rPr>
              <w:t>June 30,</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17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2014</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41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4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$38,162</w:t>
            </w:r>
          </w:p>
        </w:tc>
        <w:tc>
          <w:tcPr>
            <w:tcW w:w="136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$38,745</w:t>
            </w:r>
          </w:p>
        </w:tc>
        <w:tc>
          <w:tcPr>
            <w:tcW w:w="176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$75,027</w:t>
            </w:r>
          </w:p>
        </w:tc>
        <w:tc>
          <w:tcPr>
            <w:tcW w:w="1100" w:type="dxa"/>
            <w:vAlign w:val="bottom"/>
          </w:tcPr>
          <w:p>
            <w:pPr>
              <w:jc w:val="right"/>
              <w:spacing w:after="0" w:line="173" w:lineRule="exact"/>
              <w:rPr>
                <w:sz w:val="20"/>
                <w:szCs w:val="20"/>
                <w:color w:val="auto"/>
              </w:rPr>
            </w:pPr>
            <w:r>
              <w:rPr>
                <w:rFonts w:ascii="Arial" w:cs="Arial" w:eastAsia="Arial" w:hAnsi="Arial"/>
                <w:sz w:val="18"/>
                <w:szCs w:val="18"/>
                <w:color w:val="auto"/>
              </w:rPr>
              <w:t>$74,985</w:t>
            </w:r>
          </w:p>
        </w:tc>
        <w:tc>
          <w:tcPr>
            <w:tcW w:w="20" w:type="dxa"/>
            <w:vAlign w:val="bottom"/>
          </w:tcPr>
          <w:p>
            <w:pPr>
              <w:spacing w:after="0"/>
              <w:rPr>
                <w:sz w:val="15"/>
                <w:szCs w:val="15"/>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5,244</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5,255</w:t>
            </w:r>
          </w:p>
        </w:tc>
        <w:tc>
          <w:tcPr>
            <w:tcW w:w="17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9,693</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9,028</w:t>
            </w:r>
          </w:p>
        </w:tc>
        <w:tc>
          <w:tcPr>
            <w:tcW w:w="20" w:type="dxa"/>
            <w:vAlign w:val="bottom"/>
          </w:tcPr>
          <w:p>
            <w:pPr>
              <w:spacing w:after="0"/>
              <w:rPr>
                <w:sz w:val="17"/>
                <w:szCs w:val="17"/>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11,003</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12,625</w:t>
            </w:r>
          </w:p>
        </w:tc>
        <w:tc>
          <w:tcPr>
            <w:tcW w:w="1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22,715</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22,227</w:t>
            </w:r>
          </w:p>
        </w:tc>
      </w:tr>
      <w:tr>
        <w:trPr>
          <w:trHeight w:val="196"/>
        </w:trPr>
        <w:tc>
          <w:tcPr>
            <w:tcW w:w="4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$54,409</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$56,625</w:t>
            </w:r>
          </w:p>
        </w:tc>
        <w:tc>
          <w:tcPr>
            <w:tcW w:w="1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$107,435</w:t>
            </w:r>
          </w:p>
        </w:tc>
        <w:tc>
          <w:tcPr>
            <w:tcW w:w="11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$106,240</w:t>
            </w:r>
          </w:p>
        </w:tc>
      </w:tr>
      <w:tr>
        <w:trPr>
          <w:trHeight w:val="196"/>
        </w:trPr>
        <w:tc>
          <w:tcPr>
            <w:tcW w:w="4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3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28.1%</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28.6%</w:t>
            </w:r>
          </w:p>
        </w:tc>
        <w:tc>
          <w:tcPr>
            <w:tcW w:w="1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28.7%</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STG&amp;R expenses decreased $2.2 million, compared to the same period in 2013, principally due to the net effect of the following:</w:t>
      </w:r>
    </w:p>
    <w:p>
      <w:pPr>
        <w:spacing w:after="0" w:line="306" w:lineRule="exact"/>
        <w:rPr>
          <w:sz w:val="20"/>
          <w:szCs w:val="20"/>
          <w:color w:val="auto"/>
        </w:rPr>
      </w:pPr>
    </w:p>
    <w:p>
      <w:pPr>
        <w:ind w:left="720" w:right="340" w:hanging="361"/>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$0.4 million during the second quarter of 2014 and gains of $0.5 million in the comparable quarter of 2013.</w:t>
      </w:r>
    </w:p>
    <w:p>
      <w:pPr>
        <w:spacing w:after="0" w:line="88" w:lineRule="exact"/>
        <w:rPr>
          <w:rFonts w:ascii="Arial" w:cs="Arial" w:eastAsia="Arial" w:hAnsi="Arial"/>
          <w:sz w:val="18"/>
          <w:szCs w:val="18"/>
          <w:color w:val="auto"/>
        </w:rPr>
      </w:pPr>
    </w:p>
    <w:p>
      <w:pPr>
        <w:ind w:left="720" w:right="180" w:hanging="361"/>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expenses in the second quarter of 2013 included $1.0 million of increased legal expenses and accrual adjustments for the Company’s self-insured medical program.</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translation increased STG&amp;R expenses by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STG&amp;R expenses increased $1.2 million, compared to the same period in 2013, principally due to the net effect of the following:</w:t>
      </w:r>
    </w:p>
    <w:p>
      <w:pPr>
        <w:spacing w:after="0" w:line="306" w:lineRule="exact"/>
        <w:rPr>
          <w:sz w:val="20"/>
          <w:szCs w:val="20"/>
          <w:color w:val="auto"/>
        </w:rPr>
      </w:pPr>
    </w:p>
    <w:p>
      <w:pPr>
        <w:ind w:left="720" w:right="340" w:hanging="361"/>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$0.6 million during the first six months of 2014 and gains of $1.2 million in comparable period of 2013.</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gain on the sale of former manufacturing facility in Australia reduced 2013 expenses by $3.8 million.</w:t>
      </w:r>
    </w:p>
    <w:p>
      <w:pPr>
        <w:spacing w:after="0" w:line="117" w:lineRule="exact"/>
        <w:rPr>
          <w:rFonts w:ascii="Arial" w:cs="Arial" w:eastAsia="Arial" w:hAnsi="Arial"/>
          <w:sz w:val="18"/>
          <w:szCs w:val="18"/>
          <w:color w:val="auto"/>
        </w:rPr>
      </w:pPr>
    </w:p>
    <w:p>
      <w:pPr>
        <w:ind w:left="720" w:right="100" w:hanging="361"/>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expenses for the first six months of 2013 included $1.7 million of increased legal expenses and accrual adjustments for the Company’s self-insured medical program.</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translation decreased STG&amp;R expense by $0.3 million.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Three months ended</w:t>
            </w:r>
          </w:p>
        </w:tc>
        <w:tc>
          <w:tcPr>
            <w:tcW w:w="8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181"/>
        </w:trPr>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0" w:type="dxa"/>
            <w:vAlign w:val="bottom"/>
          </w:tcPr>
          <w:p>
            <w:pPr>
              <w:jc w:val="right"/>
              <w:ind w:right="590"/>
              <w:spacing w:after="0" w:line="181" w:lineRule="exact"/>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5"/>
                <w:szCs w:val="15"/>
                <w:color w:val="auto"/>
              </w:rPr>
            </w:pPr>
          </w:p>
        </w:tc>
        <w:tc>
          <w:tcPr>
            <w:tcW w:w="17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2"/>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r>
      <w:tr>
        <w:trPr>
          <w:trHeight w:val="180"/>
        </w:trPr>
        <w:tc>
          <w:tcPr>
            <w:tcW w:w="4080" w:type="dxa"/>
            <w:vAlign w:val="bottom"/>
          </w:tcPr>
          <w:p>
            <w:pPr>
              <w:spacing w:after="0" w:line="180" w:lineRule="exact"/>
              <w:rPr>
                <w:sz w:val="20"/>
                <w:szCs w:val="20"/>
                <w:color w:val="auto"/>
              </w:rPr>
            </w:pPr>
            <w:r>
              <w:rPr>
                <w:rFonts w:ascii="Arial" w:cs="Arial" w:eastAsia="Arial" w:hAnsi="Arial"/>
                <w:sz w:val="18"/>
                <w:szCs w:val="18"/>
                <w:color w:val="auto"/>
              </w:rPr>
              <w:t>Machine Clothing</w:t>
            </w:r>
          </w:p>
        </w:tc>
        <w:tc>
          <w:tcPr>
            <w:tcW w:w="1980" w:type="dxa"/>
            <w:vAlign w:val="bottom"/>
          </w:tcPr>
          <w:p>
            <w:pPr>
              <w:spacing w:after="0"/>
              <w:rPr>
                <w:sz w:val="15"/>
                <w:szCs w:val="15"/>
                <w:color w:val="auto"/>
              </w:rPr>
            </w:pPr>
          </w:p>
        </w:tc>
        <w:tc>
          <w:tcPr>
            <w:tcW w:w="1600" w:type="dxa"/>
            <w:vAlign w:val="bottom"/>
          </w:tcPr>
          <w:p>
            <w:pPr>
              <w:jc w:val="right"/>
              <w:ind w:right="930"/>
              <w:spacing w:after="0" w:line="180" w:lineRule="exact"/>
              <w:rPr>
                <w:sz w:val="20"/>
                <w:szCs w:val="20"/>
                <w:color w:val="auto"/>
              </w:rPr>
            </w:pPr>
            <w:r>
              <w:rPr>
                <w:rFonts w:ascii="Arial" w:cs="Arial" w:eastAsia="Arial" w:hAnsi="Arial"/>
                <w:sz w:val="18"/>
                <w:szCs w:val="18"/>
                <w:b w:val="1"/>
                <w:bCs w:val="1"/>
                <w:color w:val="auto"/>
              </w:rPr>
              <w:t>$5,185</w:t>
            </w:r>
          </w:p>
        </w:tc>
        <w:tc>
          <w:tcPr>
            <w:tcW w:w="880" w:type="dxa"/>
            <w:vAlign w:val="bottom"/>
          </w:tcPr>
          <w:p>
            <w:pPr>
              <w:jc w:val="right"/>
              <w:ind w:right="210"/>
              <w:spacing w:after="0" w:line="180" w:lineRule="exact"/>
              <w:rPr>
                <w:sz w:val="20"/>
                <w:szCs w:val="20"/>
                <w:color w:val="auto"/>
              </w:rPr>
            </w:pPr>
            <w:r>
              <w:rPr>
                <w:rFonts w:ascii="Arial" w:cs="Arial" w:eastAsia="Arial" w:hAnsi="Arial"/>
                <w:sz w:val="18"/>
                <w:szCs w:val="18"/>
                <w:color w:val="auto"/>
              </w:rPr>
              <w:t>$4,815</w:t>
            </w:r>
          </w:p>
        </w:tc>
        <w:tc>
          <w:tcPr>
            <w:tcW w:w="1760" w:type="dxa"/>
            <w:vAlign w:val="bottom"/>
          </w:tcPr>
          <w:p>
            <w:pPr>
              <w:jc w:val="right"/>
              <w:ind w:right="390"/>
              <w:spacing w:after="0" w:line="180" w:lineRule="exact"/>
              <w:rPr>
                <w:sz w:val="20"/>
                <w:szCs w:val="20"/>
                <w:color w:val="auto"/>
              </w:rPr>
            </w:pPr>
            <w:r>
              <w:rPr>
                <w:rFonts w:ascii="Arial" w:cs="Arial" w:eastAsia="Arial" w:hAnsi="Arial"/>
                <w:sz w:val="18"/>
                <w:szCs w:val="18"/>
                <w:b w:val="1"/>
                <w:bCs w:val="1"/>
                <w:color w:val="auto"/>
              </w:rPr>
              <w:t>$10,022</w:t>
            </w:r>
          </w:p>
        </w:tc>
        <w:tc>
          <w:tcPr>
            <w:tcW w:w="1120" w:type="dxa"/>
            <w:vAlign w:val="bottom"/>
          </w:tcPr>
          <w:p>
            <w:pPr>
              <w:jc w:val="right"/>
              <w:spacing w:after="0" w:line="180" w:lineRule="exact"/>
              <w:rPr>
                <w:sz w:val="20"/>
                <w:szCs w:val="20"/>
                <w:color w:val="auto"/>
              </w:rPr>
            </w:pPr>
            <w:r>
              <w:rPr>
                <w:rFonts w:ascii="Arial" w:cs="Arial" w:eastAsia="Arial" w:hAnsi="Arial"/>
                <w:sz w:val="18"/>
                <w:szCs w:val="18"/>
                <w:color w:val="auto"/>
              </w:rPr>
              <w:t>$9,201</w:t>
            </w:r>
          </w:p>
        </w:tc>
        <w:tc>
          <w:tcPr>
            <w:tcW w:w="20" w:type="dxa"/>
            <w:vAlign w:val="bottom"/>
          </w:tcPr>
          <w:p>
            <w:pPr>
              <w:spacing w:after="0"/>
              <w:rPr>
                <w:sz w:val="15"/>
                <w:szCs w:val="15"/>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980" w:type="dxa"/>
            <w:vAlign w:val="bottom"/>
          </w:tcPr>
          <w:p>
            <w:pPr>
              <w:spacing w:after="0"/>
              <w:rPr>
                <w:sz w:val="17"/>
                <w:szCs w:val="17"/>
                <w:color w:val="auto"/>
              </w:rPr>
            </w:pPr>
          </w:p>
        </w:tc>
        <w:tc>
          <w:tcPr>
            <w:tcW w:w="160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2,267</w:t>
            </w:r>
          </w:p>
        </w:tc>
        <w:tc>
          <w:tcPr>
            <w:tcW w:w="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2,507</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4,586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4,447</w:t>
            </w:r>
          </w:p>
        </w:tc>
        <w:tc>
          <w:tcPr>
            <w:tcW w:w="20" w:type="dxa"/>
            <w:vAlign w:val="bottom"/>
          </w:tcPr>
          <w:p>
            <w:pPr>
              <w:spacing w:after="0"/>
              <w:rPr>
                <w:sz w:val="17"/>
                <w:szCs w:val="17"/>
                <w:color w:val="auto"/>
              </w:rPr>
            </w:pP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19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199</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351</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391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Borders>
              <w:bottom w:val="single" w:sz="8" w:color="auto"/>
            </w:tcBorders>
          </w:tcPr>
          <w:p>
            <w:pPr>
              <w:spacing w:after="0"/>
              <w:rPr>
                <w:sz w:val="19"/>
                <w:szCs w:val="19"/>
                <w:color w:val="auto"/>
              </w:rPr>
            </w:pP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b w:val="1"/>
                <w:bCs w:val="1"/>
                <w:color w:val="auto"/>
              </w:rPr>
              <w:t>$7,651</w:t>
            </w:r>
          </w:p>
        </w:tc>
        <w:tc>
          <w:tcPr>
            <w:tcW w:w="8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$7,673</w:t>
            </w:r>
          </w:p>
        </w:tc>
        <w:tc>
          <w:tcPr>
            <w:tcW w:w="17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$14,999</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$14,664</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328" w:lineRule="exact"/>
        <w:rPr>
          <w:sz w:val="20"/>
          <w:szCs w:val="20"/>
          <w:color w:val="auto"/>
        </w:rPr>
      </w:pPr>
    </w:p>
    <w:p>
      <w:pPr>
        <w:ind w:right="260" w:firstLine="360"/>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$2.0 million in the second quarter of 2014 and $24.3 million in the second quarter of 2013.</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181"/>
        </w:trPr>
        <w:tc>
          <w:tcPr>
            <w:tcW w:w="3880" w:type="dxa"/>
            <w:vAlign w:val="bottom"/>
          </w:tcPr>
          <w:p>
            <w:pPr>
              <w:spacing w:after="0"/>
              <w:rPr>
                <w:sz w:val="15"/>
                <w:szCs w:val="15"/>
                <w:color w:val="auto"/>
              </w:rPr>
            </w:pPr>
          </w:p>
        </w:tc>
        <w:tc>
          <w:tcPr>
            <w:tcW w:w="2920" w:type="dxa"/>
            <w:vAlign w:val="bottom"/>
          </w:tcPr>
          <w:p>
            <w:pPr>
              <w:jc w:val="right"/>
              <w:ind w:right="70"/>
              <w:spacing w:after="0" w:line="181" w:lineRule="exact"/>
              <w:rPr>
                <w:sz w:val="20"/>
                <w:szCs w:val="20"/>
                <w:color w:val="auto"/>
              </w:rPr>
            </w:pPr>
            <w:r>
              <w:rPr>
                <w:rFonts w:ascii="Arial" w:cs="Arial" w:eastAsia="Arial" w:hAnsi="Arial"/>
                <w:sz w:val="18"/>
                <w:szCs w:val="18"/>
                <w:color w:val="auto"/>
              </w:rPr>
              <w:t>June 30,</w:t>
            </w:r>
          </w:p>
        </w:tc>
        <w:tc>
          <w:tcPr>
            <w:tcW w:w="1540" w:type="dxa"/>
            <w:vAlign w:val="bottom"/>
          </w:tcPr>
          <w:p>
            <w:pPr>
              <w:spacing w:after="0"/>
              <w:rPr>
                <w:sz w:val="15"/>
                <w:szCs w:val="15"/>
                <w:color w:val="auto"/>
              </w:rPr>
            </w:pPr>
          </w:p>
        </w:tc>
        <w:tc>
          <w:tcPr>
            <w:tcW w:w="18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June 30,</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9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2013</w:t>
            </w:r>
          </w:p>
        </w:tc>
        <w:tc>
          <w:tcPr>
            <w:tcW w:w="18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2014</w:t>
            </w: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38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92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$1,297</w:t>
            </w:r>
          </w:p>
        </w:tc>
        <w:tc>
          <w:tcPr>
            <w:tcW w:w="154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$24,230</w:t>
            </w:r>
          </w:p>
        </w:tc>
        <w:tc>
          <w:tcPr>
            <w:tcW w:w="188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$2,159</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$24,423</w:t>
            </w:r>
          </w:p>
        </w:tc>
        <w:tc>
          <w:tcPr>
            <w:tcW w:w="20" w:type="dxa"/>
            <w:vAlign w:val="bottom"/>
          </w:tcPr>
          <w:p>
            <w:pPr>
              <w:spacing w:after="0"/>
              <w:rPr>
                <w:sz w:val="15"/>
                <w:szCs w:val="15"/>
                <w:color w:val="auto"/>
              </w:rPr>
            </w:pPr>
          </w:p>
        </w:tc>
      </w:tr>
      <w:tr>
        <w:trPr>
          <w:trHeight w:val="225"/>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660</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91</w:t>
            </w: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980</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534</w:t>
            </w:r>
          </w:p>
        </w:tc>
      </w:tr>
      <w:tr>
        <w:trPr>
          <w:trHeight w:val="196"/>
        </w:trPr>
        <w:tc>
          <w:tcPr>
            <w:tcW w:w="3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$1,957</w:t>
            </w:r>
          </w:p>
        </w:tc>
        <w:tc>
          <w:tcPr>
            <w:tcW w:w="1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$24,321</w:t>
            </w:r>
          </w:p>
        </w:tc>
        <w:tc>
          <w:tcPr>
            <w:tcW w:w="18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$3,139</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$24,957</w:t>
            </w:r>
          </w:p>
        </w:tc>
      </w:tr>
    </w:tbl>
    <w:p>
      <w:pPr>
        <w:spacing w:after="0" w:line="188" w:lineRule="exact"/>
        <w:rPr>
          <w:sz w:val="20"/>
          <w:szCs w:val="20"/>
          <w:color w:val="auto"/>
        </w:rPr>
      </w:pPr>
    </w:p>
    <w:p>
      <w:pPr>
        <w:jc w:val="both"/>
        <w:ind w:right="40" w:firstLine="360"/>
        <w:spacing w:after="0"/>
        <w:rPr>
          <w:sz w:val="20"/>
          <w:szCs w:val="20"/>
          <w:color w:val="auto"/>
        </w:rPr>
      </w:pPr>
      <w:r>
        <w:rPr>
          <w:rFonts w:ascii="Arial" w:cs="Arial" w:eastAsia="Arial" w:hAnsi="Arial"/>
          <w:sz w:val="18"/>
          <w:szCs w:val="18"/>
          <w:color w:val="auto"/>
        </w:rPr>
        <w:t>Machine Clothing restructuring expense was principally related to the reduction in manufacturing capacity at production facilities in France. Restructuring expenses in the Albany Engineered Composites operations were principally related to organizational changes and exiting certain aerospace programs.</w:t>
      </w:r>
    </w:p>
    <w:p>
      <w:pPr>
        <w:spacing w:after="0" w:line="95"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June 30, 2014, approximately 190 positions had been eliminated. Accordingly, the Company is now realizing substantially all of the expected $10 million of annual cost savings, which principally impacts the cost of goods sold line in the Statements of Income.</w:t>
      </w:r>
    </w:p>
    <w:p>
      <w:pPr>
        <w:spacing w:after="0" w:line="94"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The Company recorded a curtailment gain of $0.2 million in the second quarter of 2014 and $0.7 million for the first six months of 2014 related to the elimination of pension accruals, which reduced net restructuring expense as reflected in the table above. Such curtailment gains are recorded as employees terminate employment and, accordingly, we expect to record additional gains during 2014. Remaining costs for this program are expected to be between $1 and $3 million, most of which we expect to be incurred in 2014.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9" w:name="page30"/>
    <w:bookmarkEnd w:id="29"/>
    <w:p>
      <w:pPr>
        <w:ind w:right="240" w:firstLine="360"/>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gridSpan w:val="2"/>
          </w:tcPr>
          <w:p>
            <w:pPr>
              <w:ind w:left="1700"/>
              <w:spacing w:after="0"/>
              <w:rPr>
                <w:sz w:val="20"/>
                <w:szCs w:val="20"/>
                <w:color w:val="auto"/>
              </w:rPr>
            </w:pPr>
            <w:r>
              <w:rPr>
                <w:rFonts w:ascii="Arial" w:cs="Arial" w:eastAsia="Arial" w:hAnsi="Arial"/>
                <w:sz w:val="18"/>
                <w:szCs w:val="18"/>
                <w:color w:val="auto"/>
              </w:rPr>
              <w:t>Three months ended</w:t>
            </w:r>
          </w:p>
        </w:tc>
        <w:tc>
          <w:tcPr>
            <w:tcW w:w="2880" w:type="dxa"/>
            <w:vAlign w:val="bottom"/>
            <w:tcBorders>
              <w:top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181"/>
        </w:trPr>
        <w:tc>
          <w:tcPr>
            <w:tcW w:w="4220" w:type="dxa"/>
            <w:vAlign w:val="bottom"/>
          </w:tcPr>
          <w:p>
            <w:pPr>
              <w:spacing w:after="0"/>
              <w:rPr>
                <w:sz w:val="15"/>
                <w:szCs w:val="15"/>
                <w:color w:val="auto"/>
              </w:rPr>
            </w:pPr>
          </w:p>
        </w:tc>
        <w:tc>
          <w:tcPr>
            <w:tcW w:w="3040" w:type="dxa"/>
            <w:vAlign w:val="bottom"/>
          </w:tcPr>
          <w:p>
            <w:pPr>
              <w:jc w:val="right"/>
              <w:ind w:right="50"/>
              <w:spacing w:after="0" w:line="181" w:lineRule="exact"/>
              <w:rPr>
                <w:sz w:val="20"/>
                <w:szCs w:val="20"/>
                <w:color w:val="auto"/>
              </w:rPr>
            </w:pPr>
            <w:r>
              <w:rPr>
                <w:rFonts w:ascii="Arial" w:cs="Arial" w:eastAsia="Arial" w:hAnsi="Arial"/>
                <w:sz w:val="18"/>
                <w:szCs w:val="18"/>
                <w:color w:val="auto"/>
              </w:rPr>
              <w:t>June 30,</w:t>
            </w:r>
          </w:p>
        </w:tc>
        <w:tc>
          <w:tcPr>
            <w:tcW w:w="1280" w:type="dxa"/>
            <w:vAlign w:val="bottom"/>
          </w:tcPr>
          <w:p>
            <w:pPr>
              <w:spacing w:after="0"/>
              <w:rPr>
                <w:sz w:val="15"/>
                <w:szCs w:val="15"/>
                <w:color w:val="auto"/>
              </w:rPr>
            </w:pPr>
          </w:p>
        </w:tc>
        <w:tc>
          <w:tcPr>
            <w:tcW w:w="17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4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2014</w:t>
            </w: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2013</w:t>
            </w:r>
          </w:p>
        </w:tc>
        <w:tc>
          <w:tcPr>
            <w:tcW w:w="17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42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$33,879</w:t>
            </w:r>
          </w:p>
        </w:tc>
        <w:tc>
          <w:tcPr>
            <w:tcW w:w="128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$14,821</w:t>
            </w:r>
          </w:p>
        </w:tc>
        <w:tc>
          <w:tcPr>
            <w:tcW w:w="176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$70,022</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$52,377</w:t>
            </w:r>
          </w:p>
        </w:tc>
        <w:tc>
          <w:tcPr>
            <w:tcW w:w="20" w:type="dxa"/>
            <w:vAlign w:val="bottom"/>
          </w:tcPr>
          <w:p>
            <w:pPr>
              <w:spacing w:after="0"/>
              <w:rPr>
                <w:sz w:val="15"/>
                <w:szCs w:val="15"/>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(3,545)</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(4,678)</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(7,021)</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(9,081)</w:t>
            </w: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(11,357)</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(13,656)</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(23,423)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(24,291)</w:t>
            </w:r>
          </w:p>
        </w:tc>
        <w:tc>
          <w:tcPr>
            <w:tcW w:w="20" w:type="dxa"/>
            <w:vAlign w:val="bottom"/>
            <w:tcBorders>
              <w:bottom w:val="single" w:sz="8" w:color="auto"/>
            </w:tcBorders>
          </w:tcPr>
          <w:p>
            <w:pPr>
              <w:spacing w:after="0"/>
              <w:rPr>
                <w:sz w:val="19"/>
                <w:szCs w:val="19"/>
                <w:color w:val="auto"/>
              </w:rPr>
            </w:pP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$18,977</w:t>
            </w:r>
          </w:p>
        </w:tc>
        <w:tc>
          <w:tcPr>
            <w:tcW w:w="12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($3,513)</w:t>
            </w:r>
          </w:p>
        </w:tc>
        <w:tc>
          <w:tcPr>
            <w:tcW w:w="17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$39,578</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$19,005</w:t>
            </w:r>
          </w:p>
        </w:tc>
        <w:tc>
          <w:tcPr>
            <w:tcW w:w="20" w:type="dxa"/>
            <w:vAlign w:val="bottom"/>
            <w:tcBorders>
              <w:bottom w:val="single" w:sz="8" w:color="auto"/>
            </w:tcBorders>
          </w:tcPr>
          <w:p>
            <w:pPr>
              <w:spacing w:after="0"/>
              <w:rPr>
                <w:sz w:val="17"/>
                <w:szCs w:val="17"/>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328" w:lineRule="exact"/>
        <w:rPr>
          <w:sz w:val="20"/>
          <w:szCs w:val="20"/>
          <w:color w:val="auto"/>
        </w:rPr>
      </w:pPr>
    </w:p>
    <w:p>
      <w:pPr>
        <w:ind w:right="60" w:firstLine="360"/>
        <w:spacing w:after="0"/>
        <w:rPr>
          <w:sz w:val="20"/>
          <w:szCs w:val="20"/>
          <w:color w:val="auto"/>
        </w:rPr>
      </w:pPr>
      <w:r>
        <w:rPr>
          <w:rFonts w:ascii="Arial" w:cs="Arial" w:eastAsia="Arial" w:hAnsi="Arial"/>
          <w:sz w:val="18"/>
          <w:szCs w:val="18"/>
          <w:color w:val="auto"/>
        </w:rPr>
        <w:t>Second quarter Interest expense, net, decreased $0.8 million principally due to lower average interest rates that resulted from using the revolving credit facility for the first $50 million payment under the Prudential Agreement. For more information on borrowings and interest rates, see Note 13 to the Consolidated Financial Statements in Item 1,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(Income)/Expenses,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(income)/expenses, net included the following: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ind w:left="720" w:right="60" w:hanging="361"/>
        <w:spacing w:after="0" w:line="24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of $1.4 million during the second quarter of 2014 and losses of $1.9 million in the second quarter 2013 income.</w:t>
      </w:r>
    </w:p>
    <w:p>
      <w:pPr>
        <w:spacing w:after="0" w:line="88" w:lineRule="exact"/>
        <w:rPr>
          <w:rFonts w:ascii="Arial" w:cs="Arial" w:eastAsia="Arial" w:hAnsi="Arial"/>
          <w:sz w:val="18"/>
          <w:szCs w:val="18"/>
          <w:color w:val="auto"/>
        </w:rPr>
      </w:pPr>
    </w:p>
    <w:p>
      <w:pPr>
        <w:ind w:left="720" w:right="100" w:hanging="36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July 2013, the Company’s MC manufacturing facility in Germany was damaged by severe weather. At that time, the Company expensed the remaining book value of the damaged property, but that value was minimal. In the second quarter of 2014, we recorded a gain of $1.0 million, which was equal to the proceeds received.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ind w:left="720" w:right="500" w:hanging="361"/>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of $1.9 million for the first six months of 2014 and $1.9 million loss for the comparable period of 2013.</w:t>
      </w:r>
    </w:p>
    <w:p>
      <w:pPr>
        <w:spacing w:after="0" w:line="88" w:lineRule="exact"/>
        <w:rPr>
          <w:rFonts w:ascii="Arial" w:cs="Arial" w:eastAsia="Arial" w:hAnsi="Arial"/>
          <w:sz w:val="18"/>
          <w:szCs w:val="18"/>
          <w:color w:val="auto"/>
        </w:rPr>
      </w:pPr>
    </w:p>
    <w:p>
      <w:pPr>
        <w:ind w:left="720" w:right="40" w:hanging="361"/>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 fees and amortization of debt issuance costs were $0.6 million in the first six months of 2014 and $1.0 million for the comparable period of 2013.</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insurance recovery gain described above resulted in income of $1.0 million for the first six months of 2014.</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328"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The Company’s effective tax rate for the second quarters of 2014 and 2013 was 41.4% and 24.2%,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discrete items that may occur in any given year but are not consistent from year to year.</w:t>
      </w:r>
    </w:p>
    <w:p>
      <w:pPr>
        <w:spacing w:after="0" w:line="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Significant items that impacted the tax rate in the second quarter of 2014 included the following (percentages reflect the effect of each item as a percentage of income excluding insurance recovery gain and before income taxes):</w:t>
      </w:r>
    </w:p>
    <w:p>
      <w:pPr>
        <w:spacing w:after="0" w:line="89" w:lineRule="exact"/>
        <w:rPr>
          <w:sz w:val="20"/>
          <w:szCs w:val="20"/>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discrete charge of $0.4 million (2.5%) for a change to the beginning of year valuation allowance.</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$0.4 million (2.4%) net tax expense related to other discrete items and the effect of a change in the estimated tax rate for the year.</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$0.3 million (0.7%) tax charge related to other discrete items.</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36.5%.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that impacted the second quarter of 2013 tax rate included the following:</w:t>
      </w:r>
    </w:p>
    <w:p>
      <w:pPr>
        <w:spacing w:after="0" w:line="104" w:lineRule="exact"/>
        <w:rPr>
          <w:sz w:val="20"/>
          <w:szCs w:val="20"/>
          <w:color w:val="auto"/>
        </w:rPr>
      </w:pPr>
    </w:p>
    <w:p>
      <w:pPr>
        <w:ind w:left="720" w:hanging="36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$1.4 million (14.8%) net charge related to discrete items and the effect of a change in the estimated tax rate for the year.</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39.0%.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ind w:right="280" w:firstLine="360"/>
        <w:spacing w:after="0" w:line="239" w:lineRule="auto"/>
        <w:rPr>
          <w:sz w:val="20"/>
          <w:szCs w:val="20"/>
          <w:color w:val="auto"/>
        </w:rPr>
      </w:pPr>
      <w:r>
        <w:rPr>
          <w:rFonts w:ascii="Arial" w:cs="Arial" w:eastAsia="Arial" w:hAnsi="Arial"/>
          <w:sz w:val="18"/>
          <w:szCs w:val="18"/>
          <w:color w:val="auto"/>
        </w:rPr>
        <w:t>The Company’s effective tax rate for the first six-month periods of 2014 and 2013 were 41.2% and 47.2%,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discrete items that may occur in any given year but are not consistent from year to year.</w:t>
      </w:r>
    </w:p>
    <w:p>
      <w:pPr>
        <w:spacing w:after="0" w:line="9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Significant items that impacted the 2014 tax rate included the following (percentages reflect the effect of each item as a percentage of income excluding the insurance recovery gain and before income taxes):</w:t>
      </w:r>
    </w:p>
    <w:p>
      <w:pPr>
        <w:spacing w:after="0" w:line="89" w:lineRule="exact"/>
        <w:rPr>
          <w:sz w:val="20"/>
          <w:szCs w:val="20"/>
          <w:color w:val="auto"/>
        </w:rPr>
      </w:pPr>
    </w:p>
    <w:p>
      <w:pPr>
        <w:ind w:left="720" w:hanging="36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million (2.8%) discrete income tax expense related to provisions for and settlements of income tax audits.</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Discrete tax expense for a change to the beginning of year valuation allowance in the amount of $0.4 million (1.2%).</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36.5%.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that impacted the 2013 tax rate included the following:</w:t>
      </w:r>
    </w:p>
    <w:p>
      <w:pPr>
        <w:spacing w:after="0" w:line="104" w:lineRule="exact"/>
        <w:rPr>
          <w:sz w:val="20"/>
          <w:szCs w:val="20"/>
          <w:color w:val="auto"/>
        </w:rPr>
      </w:pPr>
    </w:p>
    <w:p>
      <w:pPr>
        <w:ind w:left="720" w:hanging="36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$0.7 million (8.2%) net tax expense related to discrete items.</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39.0%.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MC is our primary business segment and accounted for nearly 90% of our consolidated revenues during the first six months of 2014.</w:t>
      </w:r>
    </w:p>
    <w:p>
      <w:pPr>
        <w:spacing w:after="0"/>
        <w:rPr>
          <w:sz w:val="20"/>
          <w:szCs w:val="20"/>
          <w:color w:val="auto"/>
        </w:rPr>
      </w:pPr>
      <w:r>
        <w:rPr>
          <w:rFonts w:ascii="Arial" w:cs="Arial" w:eastAsia="Arial" w:hAnsi="Arial"/>
          <w:sz w:val="18"/>
          <w:szCs w:val="18"/>
          <w:color w:val="auto"/>
        </w:rPr>
        <w:t>Machine clothing is purchased primarily by manufacturers of paper and paperboard.</w:t>
      </w:r>
    </w:p>
    <w:p>
      <w:pPr>
        <w:spacing w:after="0" w:line="104" w:lineRule="exact"/>
        <w:rPr>
          <w:sz w:val="20"/>
          <w:szCs w:val="20"/>
          <w:color w:val="auto"/>
        </w:rPr>
      </w:pPr>
    </w:p>
    <w:p>
      <w:pPr>
        <w:jc w:val="both"/>
        <w:ind w:right="340" w:firstLine="360"/>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95"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 These factors help to explain why Paper Machine Clothing revenue growth grows at a lesser rate than growth in paper production.</w:t>
      </w:r>
    </w:p>
    <w:p>
      <w:pPr>
        <w:spacing w:after="0" w:line="95"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4"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Paper Machine Clothing manufacturing capacity in the United States, Canada, Germany, Finland, France, the Netherlands, Sweden, and Australia.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Three months ended</w:t>
            </w:r>
          </w:p>
        </w:tc>
        <w:tc>
          <w:tcPr>
            <w:tcW w:w="2880" w:type="dxa"/>
            <w:vAlign w:val="bottom"/>
            <w:tcBorders>
              <w:top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181"/>
        </w:trPr>
        <w:tc>
          <w:tcPr>
            <w:tcW w:w="4220" w:type="dxa"/>
            <w:vAlign w:val="bottom"/>
          </w:tcPr>
          <w:p>
            <w:pPr>
              <w:spacing w:after="0"/>
              <w:rPr>
                <w:sz w:val="15"/>
                <w:szCs w:val="15"/>
                <w:color w:val="auto"/>
              </w:rPr>
            </w:pPr>
          </w:p>
        </w:tc>
        <w:tc>
          <w:tcPr>
            <w:tcW w:w="28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June 30,</w:t>
            </w:r>
          </w:p>
        </w:tc>
        <w:tc>
          <w:tcPr>
            <w:tcW w:w="1440" w:type="dxa"/>
            <w:vAlign w:val="bottom"/>
          </w:tcPr>
          <w:p>
            <w:pPr>
              <w:spacing w:after="0"/>
              <w:rPr>
                <w:sz w:val="15"/>
                <w:szCs w:val="15"/>
                <w:color w:val="auto"/>
              </w:rPr>
            </w:pPr>
          </w:p>
        </w:tc>
        <w:tc>
          <w:tcPr>
            <w:tcW w:w="17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28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2014</w:t>
            </w:r>
          </w:p>
        </w:tc>
        <w:tc>
          <w:tcPr>
            <w:tcW w:w="14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2013</w:t>
            </w:r>
          </w:p>
        </w:tc>
        <w:tc>
          <w:tcPr>
            <w:tcW w:w="17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422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88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$172,809</w:t>
            </w:r>
          </w:p>
        </w:tc>
        <w:tc>
          <w:tcPr>
            <w:tcW w:w="144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$177,536</w:t>
            </w:r>
          </w:p>
        </w:tc>
        <w:tc>
          <w:tcPr>
            <w:tcW w:w="176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$336,897</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$344,946</w:t>
            </w:r>
          </w:p>
        </w:tc>
        <w:tc>
          <w:tcPr>
            <w:tcW w:w="20" w:type="dxa"/>
            <w:vAlign w:val="bottom"/>
          </w:tcPr>
          <w:p>
            <w:pPr>
              <w:spacing w:after="0"/>
              <w:rPr>
                <w:sz w:val="15"/>
                <w:szCs w:val="15"/>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73,339</w:t>
            </w:r>
          </w:p>
        </w:tc>
        <w:tc>
          <w:tcPr>
            <w:tcW w:w="14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77,797</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147,209</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151,786</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8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42.4%</w:t>
            </w:r>
          </w:p>
        </w:tc>
        <w:tc>
          <w:tcPr>
            <w:tcW w:w="14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43.8%</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43.7%</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44.0%</w:t>
            </w:r>
          </w:p>
        </w:tc>
      </w:tr>
      <w:tr>
        <w:trPr>
          <w:trHeight w:val="232"/>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33,879</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14,821</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70,022</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52,377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ind w:left="720" w:hanging="36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2014 sales by $1.6 million.</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decreased 3.5% compared to the same period in 2013.</w:t>
      </w:r>
    </w:p>
    <w:p>
      <w:pPr>
        <w:spacing w:after="0" w:line="117" w:lineRule="exact"/>
        <w:rPr>
          <w:rFonts w:ascii="Arial" w:cs="Arial" w:eastAsia="Arial" w:hAnsi="Arial"/>
          <w:sz w:val="18"/>
          <w:szCs w:val="18"/>
          <w:color w:val="auto"/>
        </w:rPr>
      </w:pPr>
    </w:p>
    <w:p>
      <w:pPr>
        <w:jc w:val="both"/>
        <w:ind w:left="720" w:right="440" w:hanging="36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year-over-year decline in second-quarter MC sales was primarily attributable to North America; where sales were particularly strong in the second quarter of 2013. Sales in the rest of the world remained stable and were at levels comparable to the second quarter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ind w:left="720" w:hanging="361"/>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2014 sales by $2.4 million.</w:t>
      </w:r>
    </w:p>
    <w:p>
      <w:pPr>
        <w:spacing w:after="0" w:line="117" w:lineRule="exact"/>
        <w:rPr>
          <w:rFonts w:ascii="Arial" w:cs="Arial" w:eastAsia="Arial" w:hAnsi="Arial"/>
          <w:sz w:val="18"/>
          <w:szCs w:val="18"/>
          <w:color w:val="auto"/>
        </w:rPr>
      </w:pPr>
    </w:p>
    <w:p>
      <w:pPr>
        <w:ind w:left="720" w:right="160" w:hanging="361"/>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year-over-year decline in the first six months MC sales was primarily attributable to North America; where sales were particularly strong for the first six months of 2013. Sales in the rest of the world remained stable. Excluding the effect of changes in currency translation rates, sales decreased 3.0% compared to the same period in 2013.</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was principally due to the net effect of the following:</w:t>
      </w:r>
    </w:p>
    <w:p>
      <w:pPr>
        <w:spacing w:after="0" w:line="104" w:lineRule="exact"/>
        <w:rPr>
          <w:sz w:val="20"/>
          <w:szCs w:val="20"/>
          <w:color w:val="auto"/>
        </w:rPr>
      </w:pPr>
    </w:p>
    <w:p>
      <w:pPr>
        <w:ind w:left="720" w:hanging="36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$2.5 million decrease due to lower gross margin, including a charge of $1.6 million for the inventory valuation error noted above.</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$2.1 million decrease due to lower sales.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was principally due to the net effect of the following:</w:t>
      </w:r>
    </w:p>
    <w:p>
      <w:pPr>
        <w:spacing w:after="0" w:line="104" w:lineRule="exact"/>
        <w:rPr>
          <w:sz w:val="20"/>
          <w:szCs w:val="20"/>
          <w:color w:val="auto"/>
        </w:rPr>
      </w:pPr>
    </w:p>
    <w:p>
      <w:pPr>
        <w:ind w:left="720" w:hanging="361"/>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$3.5 million decrease due to lower sales.</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$1.1 million decrease due to lower gross margin, including the charge for of the inventory valuation error noted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was principally due to the net effect of the following: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26" w:lineRule="exact"/>
        <w:rPr>
          <w:sz w:val="20"/>
          <w:szCs w:val="20"/>
          <w:color w:val="auto"/>
        </w:rPr>
      </w:pPr>
    </w:p>
    <w:p>
      <w:pPr>
        <w:ind w:left="720" w:hanging="361"/>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charges of $1.3 million in the second quarter 2014, compared to $24.2 million in 2013.</w:t>
      </w:r>
    </w:p>
    <w:p>
      <w:pPr>
        <w:spacing w:after="0" w:line="117" w:lineRule="exact"/>
        <w:rPr>
          <w:rFonts w:ascii="Arial" w:cs="Arial" w:eastAsia="Arial" w:hAnsi="Arial"/>
          <w:sz w:val="18"/>
          <w:szCs w:val="18"/>
          <w:color w:val="auto"/>
        </w:rPr>
      </w:pPr>
    </w:p>
    <w:p>
      <w:pPr>
        <w:ind w:left="720" w:right="460" w:hanging="361"/>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second quarter losses of $0.4 million in 2014, compared to gains of $0.5 million in 2013.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26" w:lineRule="exact"/>
        <w:rPr>
          <w:sz w:val="20"/>
          <w:szCs w:val="20"/>
          <w:color w:val="auto"/>
        </w:rPr>
      </w:pPr>
    </w:p>
    <w:p>
      <w:pPr>
        <w:ind w:left="720" w:hanging="361"/>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charges of $2.2 million in the first six months of 2014, compared to $24.4 million in 2013.</w:t>
      </w:r>
    </w:p>
    <w:p>
      <w:pPr>
        <w:spacing w:after="0" w:line="117" w:lineRule="exact"/>
        <w:rPr>
          <w:rFonts w:ascii="Arial" w:cs="Arial" w:eastAsia="Arial" w:hAnsi="Arial"/>
          <w:sz w:val="18"/>
          <w:szCs w:val="18"/>
          <w:color w:val="auto"/>
        </w:rPr>
      </w:pPr>
    </w:p>
    <w:p>
      <w:pPr>
        <w:ind w:left="720" w:right="80" w:hanging="361"/>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$0.5 million for the first six months of 2014, compared to $1.2 million of gains in 2013.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26"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The Albany Engineered Composites segment (AEC), including Albany Safran Composites, LLC (ASC), in which our customer SAFRAN Group owns a 10 percent noncontrolling interest, provides custom-designed advanced composite structures based on proprietary technology to customers in the aerospace and defense industries. AEC’s largest current development program relates to the LEAP engine being developed by CFM International. Under this program, AEC, through ASC, is developing a family of composite parts, including fan blades, to be incorporated into the LEAP engine. In 2013, approximately 10 percent of this segment’s sales were related to U.S. government contracts or programs.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Borders>
              <w:top w:val="single" w:sz="8" w:color="auto"/>
            </w:tcBorders>
          </w:tcPr>
          <w:p>
            <w:pPr>
              <w:spacing w:after="0"/>
              <w:rPr>
                <w:sz w:val="18"/>
                <w:szCs w:val="18"/>
                <w:color w:val="auto"/>
              </w:rPr>
            </w:pPr>
          </w:p>
        </w:tc>
        <w:tc>
          <w:tcPr>
            <w:tcW w:w="4300" w:type="dxa"/>
            <w:vAlign w:val="bottom"/>
            <w:tcBorders>
              <w:top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181"/>
        </w:trPr>
        <w:tc>
          <w:tcPr>
            <w:tcW w:w="4040" w:type="dxa"/>
            <w:vAlign w:val="bottom"/>
          </w:tcPr>
          <w:p>
            <w:pPr>
              <w:spacing w:after="0"/>
              <w:rPr>
                <w:sz w:val="15"/>
                <w:szCs w:val="15"/>
                <w:color w:val="auto"/>
              </w:rPr>
            </w:pPr>
          </w:p>
        </w:tc>
        <w:tc>
          <w:tcPr>
            <w:tcW w:w="2760" w:type="dxa"/>
            <w:vAlign w:val="bottom"/>
          </w:tcPr>
          <w:p>
            <w:pPr>
              <w:jc w:val="right"/>
              <w:ind w:right="70"/>
              <w:spacing w:after="0" w:line="181" w:lineRule="exact"/>
              <w:rPr>
                <w:sz w:val="20"/>
                <w:szCs w:val="20"/>
                <w:color w:val="auto"/>
              </w:rPr>
            </w:pPr>
            <w:r>
              <w:rPr>
                <w:rFonts w:ascii="Arial" w:cs="Arial" w:eastAsia="Arial" w:hAnsi="Arial"/>
                <w:sz w:val="18"/>
                <w:szCs w:val="18"/>
                <w:color w:val="auto"/>
              </w:rPr>
              <w:t>June 30,</w:t>
            </w:r>
          </w:p>
        </w:tc>
        <w:tc>
          <w:tcPr>
            <w:tcW w:w="1540" w:type="dxa"/>
            <w:vAlign w:val="bottom"/>
          </w:tcPr>
          <w:p>
            <w:pPr>
              <w:spacing w:after="0"/>
              <w:rPr>
                <w:sz w:val="15"/>
                <w:szCs w:val="15"/>
                <w:color w:val="auto"/>
              </w:rPr>
            </w:pPr>
          </w:p>
        </w:tc>
        <w:tc>
          <w:tcPr>
            <w:tcW w:w="18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June 30,</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27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2013</w:t>
            </w:r>
          </w:p>
        </w:tc>
        <w:tc>
          <w:tcPr>
            <w:tcW w:w="18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2014</w:t>
            </w: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40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76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$20,709</w:t>
            </w:r>
          </w:p>
        </w:tc>
        <w:tc>
          <w:tcPr>
            <w:tcW w:w="154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$20,438</w:t>
            </w:r>
          </w:p>
        </w:tc>
        <w:tc>
          <w:tcPr>
            <w:tcW w:w="188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$36,928</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$39,682</w:t>
            </w:r>
          </w:p>
        </w:tc>
        <w:tc>
          <w:tcPr>
            <w:tcW w:w="20" w:type="dxa"/>
            <w:vAlign w:val="bottom"/>
          </w:tcPr>
          <w:p>
            <w:pPr>
              <w:spacing w:after="0"/>
              <w:rPr>
                <w:sz w:val="15"/>
                <w:szCs w:val="15"/>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7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2,358</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667</w:t>
            </w:r>
          </w:p>
        </w:tc>
        <w:tc>
          <w:tcPr>
            <w:tcW w:w="188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3,651</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481</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7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11.4%</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3.3%</w:t>
            </w:r>
          </w:p>
        </w:tc>
        <w:tc>
          <w:tcPr>
            <w:tcW w:w="188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9.9%</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r>
      <w:tr>
        <w:trPr>
          <w:trHeight w:val="232"/>
        </w:trPr>
        <w:tc>
          <w:tcPr>
            <w:tcW w:w="4040" w:type="dxa"/>
            <w:vAlign w:val="bottom"/>
          </w:tcPr>
          <w:p>
            <w:pPr>
              <w:spacing w:after="0"/>
              <w:rPr>
                <w:sz w:val="20"/>
                <w:szCs w:val="20"/>
                <w:color w:val="auto"/>
              </w:rPr>
            </w:pPr>
            <w:r>
              <w:rPr>
                <w:rFonts w:ascii="Arial" w:cs="Arial" w:eastAsia="Arial" w:hAnsi="Arial"/>
                <w:sz w:val="18"/>
                <w:szCs w:val="18"/>
                <w:color w:val="auto"/>
              </w:rPr>
              <w:t>Operating income/(loss)</w:t>
            </w:r>
          </w:p>
        </w:tc>
        <w:tc>
          <w:tcPr>
            <w:tcW w:w="2760" w:type="dxa"/>
            <w:vAlign w:val="bottom"/>
          </w:tcPr>
          <w:p>
            <w:pPr>
              <w:jc w:val="right"/>
              <w:ind w:right="410"/>
              <w:spacing w:after="0"/>
              <w:rPr>
                <w:sz w:val="20"/>
                <w:szCs w:val="20"/>
                <w:color w:val="auto"/>
              </w:rPr>
            </w:pPr>
            <w:r>
              <w:rPr>
                <w:rFonts w:ascii="Arial" w:cs="Arial" w:eastAsia="Arial" w:hAnsi="Arial"/>
                <w:sz w:val="18"/>
                <w:szCs w:val="18"/>
                <w:b w:val="1"/>
                <w:bCs w:val="1"/>
                <w:color w:val="auto"/>
              </w:rPr>
              <w:t>(3,545)</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(4,678)</w:t>
            </w: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(7,021)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(9,081)</w:t>
            </w:r>
          </w:p>
        </w:tc>
      </w:tr>
      <w:tr>
        <w:trPr>
          <w:trHeight w:val="756"/>
        </w:trPr>
        <w:tc>
          <w:tcPr>
            <w:tcW w:w="40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32</w:t>
            </w:r>
          </w:p>
        </w:tc>
        <w:tc>
          <w:tcPr>
            <w:tcW w:w="15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0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8"/>
        </w:trPr>
        <w:tc>
          <w:tcPr>
            <w:tcW w:w="4040" w:type="dxa"/>
            <w:vAlign w:val="bottom"/>
            <w:shd w:val="clear" w:color="auto" w:fill="000000"/>
          </w:tcPr>
          <w:p>
            <w:pPr>
              <w:spacing w:after="0"/>
              <w:rPr>
                <w:sz w:val="5"/>
                <w:szCs w:val="5"/>
                <w:color w:val="auto"/>
              </w:rPr>
            </w:pPr>
          </w:p>
        </w:tc>
        <w:tc>
          <w:tcPr>
            <w:tcW w:w="276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20"/>
          </w:cols>
          <w:pgMar w:left="240" w:top="65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comparisons</w:t>
      </w:r>
    </w:p>
    <w:p>
      <w:pPr>
        <w:spacing w:after="0" w:line="126" w:lineRule="exact"/>
        <w:rPr>
          <w:sz w:val="20"/>
          <w:szCs w:val="20"/>
          <w:color w:val="auto"/>
        </w:rPr>
      </w:pPr>
    </w:p>
    <w:p>
      <w:pPr>
        <w:ind w:left="720" w:hanging="361"/>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AEC sales rebounded from the transitional effects of the change in LEAP invoicing terms discussed in the first quarter 2014.</w:t>
      </w:r>
    </w:p>
    <w:p>
      <w:pPr>
        <w:spacing w:after="0" w:line="117" w:lineRule="exact"/>
        <w:rPr>
          <w:rFonts w:ascii="Arial" w:cs="Arial" w:eastAsia="Arial" w:hAnsi="Arial"/>
          <w:sz w:val="18"/>
          <w:szCs w:val="18"/>
          <w:color w:val="auto"/>
        </w:rPr>
      </w:pPr>
    </w:p>
    <w:p>
      <w:pPr>
        <w:ind w:left="720" w:right="120" w:hanging="361"/>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for the first six months of 2014 were lower than 2013 due to the shift during the first quarter to larger scale LEAP part production, together with the related change in invoicing terms, resulting in a build-up of inventory and an associated temporary lag in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included the following:</w:t>
      </w:r>
    </w:p>
    <w:p>
      <w:pPr>
        <w:spacing w:after="0" w:line="104" w:lineRule="exact"/>
        <w:rPr>
          <w:sz w:val="20"/>
          <w:szCs w:val="20"/>
          <w:color w:val="auto"/>
        </w:rPr>
      </w:pPr>
    </w:p>
    <w:p>
      <w:pPr>
        <w:ind w:left="720" w:right="340" w:hanging="361"/>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AEC gross margin was higher in 2014 principally due to improvements in profitability of programs at the Company’s Boerne, Texas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26" w:lineRule="exact"/>
        <w:rPr>
          <w:sz w:val="20"/>
          <w:szCs w:val="20"/>
          <w:color w:val="auto"/>
        </w:rPr>
      </w:pPr>
    </w:p>
    <w:p>
      <w:pPr>
        <w:ind w:right="80" w:firstLine="360"/>
        <w:spacing w:after="0" w:line="238" w:lineRule="auto"/>
        <w:rPr>
          <w:sz w:val="20"/>
          <w:szCs w:val="20"/>
          <w:color w:val="auto"/>
        </w:rPr>
      </w:pPr>
      <w:r>
        <w:rPr>
          <w:rFonts w:ascii="Arial" w:cs="Arial" w:eastAsia="Arial" w:hAnsi="Arial"/>
          <w:sz w:val="18"/>
          <w:szCs w:val="18"/>
          <w:color w:val="auto"/>
        </w:rPr>
        <w:t>In the accounting for long-term fixed price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The table below provides a summary of long-term contracts that were in process at the end of each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color w:val="auto"/>
              </w:rPr>
              <w:t>June 30,</w:t>
            </w:r>
          </w:p>
        </w:tc>
        <w:tc>
          <w:tcPr>
            <w:tcW w:w="1100" w:type="dxa"/>
            <w:vAlign w:val="bottom"/>
            <w:tcBorders>
              <w:top w:val="single" w:sz="8" w:color="auto"/>
            </w:tcBorders>
          </w:tcPr>
          <w:p>
            <w:pPr>
              <w:spacing w:after="0"/>
              <w:rPr>
                <w:sz w:val="16"/>
                <w:szCs w:val="16"/>
                <w:color w:val="auto"/>
              </w:rPr>
            </w:pPr>
          </w:p>
        </w:tc>
      </w:tr>
      <w:tr>
        <w:trPr>
          <w:trHeight w:val="225"/>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2014</w:t>
            </w: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r>
      <w:tr>
        <w:trPr>
          <w:trHeight w:val="173"/>
        </w:trPr>
        <w:tc>
          <w:tcPr>
            <w:tcW w:w="6160" w:type="dxa"/>
            <w:vAlign w:val="bottom"/>
          </w:tcPr>
          <w:p>
            <w:pPr>
              <w:spacing w:after="0" w:line="173" w:lineRule="exact"/>
              <w:rPr>
                <w:sz w:val="20"/>
                <w:szCs w:val="20"/>
                <w:color w:val="auto"/>
              </w:rPr>
            </w:pPr>
            <w:r>
              <w:rPr>
                <w:rFonts w:ascii="Arial" w:cs="Arial" w:eastAsia="Arial" w:hAnsi="Arial"/>
                <w:sz w:val="18"/>
                <w:szCs w:val="18"/>
                <w:color w:val="auto"/>
              </w:rPr>
              <w:t>Total value of contracts in process</w:t>
            </w:r>
          </w:p>
        </w:tc>
        <w:tc>
          <w:tcPr>
            <w:tcW w:w="416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$28,474</w:t>
            </w:r>
          </w:p>
        </w:tc>
        <w:tc>
          <w:tcPr>
            <w:tcW w:w="1100" w:type="dxa"/>
            <w:vAlign w:val="bottom"/>
          </w:tcPr>
          <w:p>
            <w:pPr>
              <w:jc w:val="right"/>
              <w:spacing w:after="0" w:line="173" w:lineRule="exact"/>
              <w:rPr>
                <w:sz w:val="20"/>
                <w:szCs w:val="20"/>
                <w:color w:val="auto"/>
              </w:rPr>
            </w:pPr>
            <w:r>
              <w:rPr>
                <w:rFonts w:ascii="Arial" w:cs="Arial" w:eastAsia="Arial" w:hAnsi="Arial"/>
                <w:sz w:val="18"/>
                <w:szCs w:val="18"/>
                <w:color w:val="auto"/>
              </w:rPr>
              <w:t>$36,893</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Revenue recognized to date</w:t>
            </w:r>
          </w:p>
        </w:tc>
        <w:tc>
          <w:tcPr>
            <w:tcW w:w="41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16,004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28,378</w:t>
            </w:r>
          </w:p>
        </w:tc>
      </w:tr>
      <w:tr>
        <w:trPr>
          <w:trHeight w:val="225"/>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to be recognized in future periods</w:t>
            </w:r>
          </w:p>
        </w:tc>
        <w:tc>
          <w:tcPr>
            <w:tcW w:w="4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12,470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income improved in 2014 principally due to the increase in gross profit as described above.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8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Six months ended</w:t>
            </w:r>
          </w:p>
        </w:tc>
        <w:tc>
          <w:tcPr>
            <w:tcW w:w="40" w:type="dxa"/>
            <w:vAlign w:val="bottom"/>
            <w:gridSpan w:val="2"/>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3260" w:type="dxa"/>
            <w:vAlign w:val="bottom"/>
          </w:tcPr>
          <w:p>
            <w:pPr>
              <w:jc w:val="right"/>
              <w:ind w:right="50"/>
              <w:spacing w:after="0" w:line="181" w:lineRule="exact"/>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32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2014</w:t>
            </w: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710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32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$21,870</w:t>
            </w:r>
          </w:p>
        </w:tc>
        <w:tc>
          <w:tcPr>
            <w:tcW w:w="1060" w:type="dxa"/>
            <w:vAlign w:val="bottom"/>
          </w:tcPr>
          <w:p>
            <w:pPr>
              <w:jc w:val="right"/>
              <w:spacing w:after="0" w:line="173" w:lineRule="exact"/>
              <w:rPr>
                <w:sz w:val="20"/>
                <w:szCs w:val="20"/>
                <w:color w:val="auto"/>
              </w:rPr>
            </w:pPr>
            <w:r>
              <w:rPr>
                <w:rFonts w:ascii="Arial" w:cs="Arial" w:eastAsia="Arial" w:hAnsi="Arial"/>
                <w:sz w:val="18"/>
                <w:szCs w:val="18"/>
                <w:color w:val="auto"/>
              </w:rPr>
              <w:t>$4,132</w:t>
            </w:r>
          </w:p>
        </w:tc>
        <w:tc>
          <w:tcPr>
            <w:tcW w:w="40" w:type="dxa"/>
            <w:vAlign w:val="bottom"/>
            <w:gridSpan w:val="2"/>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2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32,005</w:t>
            </w: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31,955</w:t>
            </w:r>
          </w:p>
        </w:tc>
      </w:tr>
      <w:tr>
        <w:trPr>
          <w:trHeight w:val="203"/>
        </w:trPr>
        <w:tc>
          <w:tcPr>
            <w:tcW w:w="20" w:type="dxa"/>
            <w:vAlign w:val="bottom"/>
          </w:tcPr>
          <w:p>
            <w:pPr>
              <w:spacing w:after="0"/>
              <w:rPr>
                <w:sz w:val="17"/>
                <w:szCs w:val="17"/>
                <w:color w:val="auto"/>
              </w:rPr>
            </w:pPr>
          </w:p>
        </w:tc>
        <w:tc>
          <w:tcPr>
            <w:tcW w:w="7080" w:type="dxa"/>
            <w:vAlign w:val="bottom"/>
          </w:tcPr>
          <w:p>
            <w:pPr>
              <w:ind w:left="140"/>
              <w:spacing w:after="0" w:line="202" w:lineRule="exact"/>
              <w:rPr>
                <w:sz w:val="20"/>
                <w:szCs w:val="20"/>
                <w:color w:val="auto"/>
              </w:rPr>
            </w:pPr>
            <w:r>
              <w:rPr>
                <w:rFonts w:ascii="Arial" w:cs="Arial" w:eastAsia="Arial" w:hAnsi="Arial"/>
                <w:sz w:val="18"/>
                <w:szCs w:val="18"/>
                <w:color w:val="auto"/>
              </w:rPr>
              <w:t>Changes in working capital</w:t>
            </w:r>
          </w:p>
        </w:tc>
        <w:tc>
          <w:tcPr>
            <w:tcW w:w="32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(15,640)</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5,608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40"/>
              <w:spacing w:after="0" w:line="202" w:lineRule="exact"/>
              <w:rPr>
                <w:sz w:val="20"/>
                <w:szCs w:val="20"/>
                <w:color w:val="auto"/>
              </w:rPr>
            </w:pPr>
            <w:r>
              <w:rPr>
                <w:rFonts w:ascii="Arial" w:cs="Arial" w:eastAsia="Arial" w:hAnsi="Arial"/>
                <w:sz w:val="18"/>
                <w:szCs w:val="18"/>
                <w:color w:val="auto"/>
              </w:rPr>
              <w:t>Gain on involuntary conversion or disposition of assets</w:t>
            </w:r>
          </w:p>
        </w:tc>
        <w:tc>
          <w:tcPr>
            <w:tcW w:w="32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(961)</w:t>
            </w: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(3,763)</w:t>
            </w:r>
          </w:p>
        </w:tc>
      </w:tr>
      <w:tr>
        <w:trPr>
          <w:trHeight w:val="203"/>
        </w:trPr>
        <w:tc>
          <w:tcPr>
            <w:tcW w:w="20" w:type="dxa"/>
            <w:vAlign w:val="bottom"/>
          </w:tcPr>
          <w:p>
            <w:pPr>
              <w:spacing w:after="0"/>
              <w:rPr>
                <w:sz w:val="17"/>
                <w:szCs w:val="17"/>
                <w:color w:val="auto"/>
              </w:rPr>
            </w:pPr>
          </w:p>
        </w:tc>
        <w:tc>
          <w:tcPr>
            <w:tcW w:w="7080" w:type="dxa"/>
            <w:vAlign w:val="bottom"/>
          </w:tcPr>
          <w:p>
            <w:pPr>
              <w:ind w:left="14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32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2,732</w:t>
            </w: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(3,991)</w:t>
            </w:r>
          </w:p>
        </w:tc>
      </w:tr>
      <w:tr>
        <w:trPr>
          <w:trHeight w:val="225"/>
        </w:trPr>
        <w:tc>
          <w:tcPr>
            <w:tcW w:w="20" w:type="dxa"/>
            <w:vAlign w:val="bottom"/>
          </w:tcPr>
          <w:p>
            <w:pPr>
              <w:spacing w:after="0"/>
              <w:rPr>
                <w:sz w:val="19"/>
                <w:szCs w:val="19"/>
                <w:color w:val="auto"/>
              </w:rPr>
            </w:pPr>
          </w:p>
        </w:tc>
        <w:tc>
          <w:tcPr>
            <w:tcW w:w="7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items</w:t>
            </w:r>
          </w:p>
        </w:tc>
        <w:tc>
          <w:tcPr>
            <w:tcW w:w="3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1,531</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(1,633)</w:t>
            </w:r>
          </w:p>
        </w:tc>
      </w:tr>
      <w:tr>
        <w:trPr>
          <w:trHeight w:val="173"/>
        </w:trPr>
        <w:tc>
          <w:tcPr>
            <w:tcW w:w="20" w:type="dxa"/>
            <w:vAlign w:val="bottom"/>
          </w:tcPr>
          <w:p>
            <w:pPr>
              <w:spacing w:after="0"/>
              <w:rPr>
                <w:sz w:val="15"/>
                <w:szCs w:val="15"/>
                <w:color w:val="auto"/>
              </w:rPr>
            </w:pPr>
          </w:p>
        </w:tc>
        <w:tc>
          <w:tcPr>
            <w:tcW w:w="7080" w:type="dxa"/>
            <w:vAlign w:val="bottom"/>
          </w:tcPr>
          <w:p>
            <w:pPr>
              <w:spacing w:after="0" w:line="173" w:lineRule="exact"/>
              <w:rPr>
                <w:sz w:val="20"/>
                <w:szCs w:val="20"/>
                <w:color w:val="auto"/>
              </w:rPr>
            </w:pPr>
            <w:r>
              <w:rPr>
                <w:rFonts w:ascii="Arial" w:cs="Arial" w:eastAsia="Arial" w:hAnsi="Arial"/>
                <w:sz w:val="18"/>
                <w:szCs w:val="18"/>
                <w:color w:val="auto"/>
              </w:rPr>
              <w:t>Net cash provided by/(used in) operating activities</w:t>
            </w:r>
          </w:p>
        </w:tc>
        <w:tc>
          <w:tcPr>
            <w:tcW w:w="32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41,537</w:t>
            </w:r>
          </w:p>
        </w:tc>
        <w:tc>
          <w:tcPr>
            <w:tcW w:w="1100" w:type="dxa"/>
            <w:vAlign w:val="bottom"/>
            <w:gridSpan w:val="3"/>
          </w:tcPr>
          <w:p>
            <w:pPr>
              <w:jc w:val="right"/>
              <w:ind w:right="40"/>
              <w:spacing w:after="0" w:line="173" w:lineRule="exact"/>
              <w:rPr>
                <w:sz w:val="20"/>
                <w:szCs w:val="20"/>
                <w:color w:val="auto"/>
              </w:rPr>
            </w:pPr>
            <w:r>
              <w:rPr>
                <w:rFonts w:ascii="Arial" w:cs="Arial" w:eastAsia="Arial" w:hAnsi="Arial"/>
                <w:sz w:val="18"/>
                <w:szCs w:val="18"/>
                <w:color w:val="auto"/>
              </w:rPr>
              <w:t>32,308</w:t>
            </w:r>
          </w:p>
        </w:tc>
      </w:tr>
      <w:tr>
        <w:trPr>
          <w:trHeight w:val="203"/>
        </w:trPr>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32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(26,756)</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(22,188)</w:t>
            </w:r>
          </w:p>
        </w:tc>
        <w:tc>
          <w:tcPr>
            <w:tcW w:w="20" w:type="dxa"/>
            <w:vAlign w:val="bottom"/>
          </w:tcPr>
          <w:p>
            <w:pPr>
              <w:spacing w:after="0"/>
              <w:rPr>
                <w:sz w:val="17"/>
                <w:szCs w:val="17"/>
                <w:color w:val="auto"/>
              </w:rPr>
            </w:pPr>
          </w:p>
        </w:tc>
      </w:tr>
      <w:tr>
        <w:trPr>
          <w:trHeight w:val="203"/>
        </w:trPr>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in)/provided by financing activities</w:t>
            </w:r>
          </w:p>
        </w:tc>
        <w:tc>
          <w:tcPr>
            <w:tcW w:w="32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(28,446)</w:t>
            </w: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(1,324)</w:t>
            </w:r>
          </w:p>
        </w:tc>
      </w:tr>
      <w:tr>
        <w:trPr>
          <w:trHeight w:val="225"/>
        </w:trPr>
        <w:tc>
          <w:tcPr>
            <w:tcW w:w="71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3260" w:type="dxa"/>
            <w:vAlign w:val="bottom"/>
          </w:tcPr>
          <w:p>
            <w:pPr>
              <w:jc w:val="right"/>
              <w:ind w:right="330"/>
              <w:spacing w:after="0"/>
              <w:rPr>
                <w:sz w:val="20"/>
                <w:szCs w:val="20"/>
                <w:color w:val="auto"/>
              </w:rPr>
            </w:pPr>
            <w:r>
              <w:rPr>
                <w:rFonts w:ascii="Arial" w:cs="Arial" w:eastAsia="Arial" w:hAnsi="Arial"/>
                <w:sz w:val="18"/>
                <w:szCs w:val="18"/>
                <w:b w:val="1"/>
                <w:bCs w:val="1"/>
                <w:color w:val="auto"/>
              </w:rPr>
              <w:t>(2,165)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(2,193)</w:t>
            </w:r>
          </w:p>
        </w:tc>
      </w:tr>
      <w:tr>
        <w:trPr>
          <w:trHeight w:val="173"/>
        </w:trPr>
        <w:tc>
          <w:tcPr>
            <w:tcW w:w="710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(Decrease)/increase in cash and cash equivalents</w:t>
            </w:r>
          </w:p>
        </w:tc>
        <w:tc>
          <w:tcPr>
            <w:tcW w:w="3260" w:type="dxa"/>
            <w:vAlign w:val="bottom"/>
            <w:tcBorders>
              <w:top w:val="single" w:sz="8" w:color="auto"/>
            </w:tcBorders>
          </w:tcPr>
          <w:p>
            <w:pPr>
              <w:jc w:val="right"/>
              <w:ind w:right="330"/>
              <w:spacing w:after="0" w:line="173" w:lineRule="exact"/>
              <w:rPr>
                <w:sz w:val="20"/>
                <w:szCs w:val="20"/>
                <w:color w:val="auto"/>
              </w:rPr>
            </w:pPr>
            <w:r>
              <w:rPr>
                <w:rFonts w:ascii="Arial" w:cs="Arial" w:eastAsia="Arial" w:hAnsi="Arial"/>
                <w:sz w:val="18"/>
                <w:szCs w:val="18"/>
                <w:b w:val="1"/>
                <w:bCs w:val="1"/>
                <w:color w:val="auto"/>
              </w:rPr>
              <w:t>(15,830)</w:t>
            </w:r>
          </w:p>
        </w:tc>
        <w:tc>
          <w:tcPr>
            <w:tcW w:w="108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8"/>
                <w:szCs w:val="18"/>
                <w:color w:val="auto"/>
              </w:rPr>
              <w:t>6,603</w:t>
            </w:r>
          </w:p>
        </w:tc>
        <w:tc>
          <w:tcPr>
            <w:tcW w:w="20" w:type="dxa"/>
            <w:vAlign w:val="bottom"/>
          </w:tcPr>
          <w:p>
            <w:pPr>
              <w:spacing w:after="0"/>
              <w:rPr>
                <w:sz w:val="15"/>
                <w:szCs w:val="15"/>
                <w:color w:val="auto"/>
              </w:rPr>
            </w:pPr>
          </w:p>
        </w:tc>
      </w:tr>
      <w:tr>
        <w:trPr>
          <w:trHeight w:val="225"/>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222,666</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190,718</w:t>
            </w:r>
          </w:p>
        </w:tc>
        <w:tc>
          <w:tcPr>
            <w:tcW w:w="20" w:type="dxa"/>
            <w:vAlign w:val="bottom"/>
          </w:tcPr>
          <w:p>
            <w:pPr>
              <w:spacing w:after="0"/>
              <w:rPr>
                <w:sz w:val="19"/>
                <w:szCs w:val="19"/>
                <w:color w:val="auto"/>
              </w:rPr>
            </w:pPr>
          </w:p>
        </w:tc>
      </w:tr>
      <w:tr>
        <w:trPr>
          <w:trHeight w:val="196"/>
        </w:trPr>
        <w:tc>
          <w:tcPr>
            <w:tcW w:w="71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2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$206,836</w:t>
            </w:r>
          </w:p>
        </w:tc>
        <w:tc>
          <w:tcPr>
            <w:tcW w:w="10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$197,321</w:t>
            </w:r>
          </w:p>
        </w:tc>
        <w:tc>
          <w:tcPr>
            <w:tcW w:w="20" w:type="dxa"/>
            <w:vAlign w:val="bottom"/>
            <w:tcBorders>
              <w:bottom w:val="single" w:sz="8" w:color="auto"/>
            </w:tcBorders>
          </w:tcPr>
          <w:p>
            <w:pPr>
              <w:spacing w:after="0"/>
              <w:rPr>
                <w:sz w:val="17"/>
                <w:szCs w:val="17"/>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328" w:lineRule="exact"/>
        <w:rPr>
          <w:sz w:val="20"/>
          <w:szCs w:val="20"/>
          <w:color w:val="auto"/>
        </w:rPr>
      </w:pPr>
    </w:p>
    <w:p>
      <w:pPr>
        <w:ind w:right="200" w:firstLine="360"/>
        <w:spacing w:after="0" w:line="239" w:lineRule="auto"/>
        <w:rPr>
          <w:sz w:val="20"/>
          <w:szCs w:val="20"/>
          <w:color w:val="auto"/>
        </w:rPr>
      </w:pPr>
      <w:r>
        <w:rPr>
          <w:rFonts w:ascii="Arial" w:cs="Arial" w:eastAsia="Arial" w:hAnsi="Arial"/>
          <w:sz w:val="18"/>
          <w:szCs w:val="18"/>
          <w:color w:val="auto"/>
        </w:rPr>
        <w:t>Cash provided by operating activities was $41.5 million for the first six months of 2014, compared to $32.3 million in the same period last year. The 2014 increase in cash flow was principally due to a decrease in Accounts receivable that resulted from strong cash receipts in the Engineered Composites business. Cash paid for income taxes was $9.3 million and $14.6 million for the first six months of 2014 and 2013, respectively. Cash paid for restructuring was $8.7 million and $2.6 million for the first six months of 2014 and 2013, respectively.</w:t>
      </w:r>
    </w:p>
    <w:p>
      <w:pPr>
        <w:spacing w:after="0" w:line="94"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At June 30, 2014, we had $206.8 million of cash and cash equivalents, of which $177.9 million was held by subsidiaries outside of the United States. As disclosed in Note 7 contained in Item 1, “Notes to Consolidated Financial Statements”, we determined that all but $3.6 million of this amount (which represents the amount of prior year cumulative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Capital spending for equipment and software was $27.7 million for the first six months of 2014, including $12.6 million for AEC. The Company expects full-year capital expenditure spending of $60 to $70 million. During the first quarter of 2013, the Company completed the sale of its production facility in Gosford, Australia, resulting in net proceeds of about $6.3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two dividend payments during the fourth quarter of 2012, and no cash payments for dividends during the first quarter of 2013.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6" w:lineRule="exact"/>
        <w:rPr>
          <w:sz w:val="20"/>
          <w:szCs w:val="20"/>
          <w:color w:val="auto"/>
        </w:rPr>
      </w:pPr>
    </w:p>
    <w:p>
      <w:pPr>
        <w:ind w:right="340" w:firstLine="360"/>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June 30, 2014 was held by non-U.S. subsidiaries. Based on cash on hand and credit facilities, we anticipate that the Company has sufficient capital resources to operate for the foreseeable future. We were in compliance with all debt covenants as of June 30, 2014.</w:t>
      </w:r>
    </w:p>
    <w:p>
      <w:pPr>
        <w:spacing w:after="0" w:line="95"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On March 26, 2013, we entered into a $330 million, unsecured Five -Year Revolving Credit Facility Agreement ("Credit Agreement"), under which $183 million of borrowings were outstanding as of June 30, 2014. The applicable interest rate for borrowings under the Credit Agreement is LIBOR plus a spread, based on our leverage ratio at the time of borrowing. At the time of the last borrowing on June 23, 2014, the spread was 1.375%. The spread is based on a pricing grid, which ranges from 1.25% to 1.875%, based on our leverage ratio.</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w:t>
      </w:r>
    </w:p>
    <w:p>
      <w:pPr>
        <w:spacing w:after="0" w:line="234" w:lineRule="auto"/>
        <w:rPr>
          <w:sz w:val="20"/>
          <w:szCs w:val="20"/>
          <w:color w:val="auto"/>
        </w:rPr>
      </w:pPr>
      <w:r>
        <w:rPr>
          <w:rFonts w:ascii="Arial" w:cs="Arial" w:eastAsia="Arial" w:hAnsi="Arial"/>
          <w:sz w:val="18"/>
          <w:szCs w:val="18"/>
          <w:color w:val="auto"/>
        </w:rPr>
        <w:t>rate (before addition of the spread) on $105 million of the indebtedness drawn under the Credit Agreement at the rate of 2.04% until July 16,</w:t>
      </w:r>
    </w:p>
    <w:p>
      <w:pPr>
        <w:spacing w:after="0" w:line="235" w:lineRule="auto"/>
        <w:rPr>
          <w:sz w:val="20"/>
          <w:szCs w:val="20"/>
          <w:color w:val="auto"/>
        </w:rPr>
      </w:pPr>
      <w:r>
        <w:rPr>
          <w:rFonts w:ascii="Arial" w:cs="Arial" w:eastAsia="Arial" w:hAnsi="Arial"/>
          <w:sz w:val="18"/>
          <w:szCs w:val="18"/>
          <w:color w:val="auto"/>
        </w:rPr>
        <w:t>2015. Under the terms of these transactions, we pay the fixed rate of 2.04% and the counterparties pay a floating rate based on the three-</w:t>
      </w:r>
    </w:p>
    <w:p>
      <w:pPr>
        <w:spacing w:after="0" w:line="235" w:lineRule="auto"/>
        <w:rPr>
          <w:sz w:val="20"/>
          <w:szCs w:val="20"/>
          <w:color w:val="auto"/>
        </w:rPr>
      </w:pPr>
      <w:r>
        <w:rPr>
          <w:rFonts w:ascii="Arial" w:cs="Arial" w:eastAsia="Arial" w:hAnsi="Arial"/>
          <w:sz w:val="18"/>
          <w:szCs w:val="18"/>
          <w:color w:val="auto"/>
        </w:rPr>
        <w:t>month LIBOR rate at each quarterly calculation date, which on April 16, 2014 was 0.23%. The net effect is to fix the effective interest rate on</w:t>
      </w:r>
    </w:p>
    <w:p>
      <w:pPr>
        <w:spacing w:after="0" w:line="235" w:lineRule="auto"/>
        <w:rPr>
          <w:sz w:val="20"/>
          <w:szCs w:val="20"/>
          <w:color w:val="auto"/>
        </w:rPr>
      </w:pPr>
      <w:r>
        <w:rPr>
          <w:rFonts w:ascii="Arial" w:cs="Arial" w:eastAsia="Arial" w:hAnsi="Arial"/>
          <w:sz w:val="18"/>
          <w:szCs w:val="18"/>
          <w:color w:val="auto"/>
        </w:rPr>
        <w:t>$105 million of indebtedness at 2.04%, plus the applicable spread, until these swap agreements expire. On June 30, 2014, the all-in rate on the</w:t>
      </w:r>
    </w:p>
    <w:p>
      <w:pPr>
        <w:spacing w:after="0"/>
        <w:rPr>
          <w:sz w:val="20"/>
          <w:szCs w:val="20"/>
          <w:color w:val="auto"/>
        </w:rPr>
      </w:pPr>
      <w:r>
        <w:rPr>
          <w:rFonts w:ascii="Arial" w:cs="Arial" w:eastAsia="Arial" w:hAnsi="Arial"/>
          <w:sz w:val="18"/>
          <w:szCs w:val="18"/>
          <w:color w:val="auto"/>
        </w:rPr>
        <w:t>$105 million of debt was 3.415%.</w:t>
      </w:r>
    </w:p>
    <w:p>
      <w:pPr>
        <w:spacing w:after="0" w:line="104"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June 30, 2014 was 0.1552%. The net effect is to fix the effective interest rate on $110 million of indebtedness at 1.414%, plus the applicable spread, during the swap period.</w:t>
      </w:r>
    </w:p>
    <w:p>
      <w:pPr>
        <w:spacing w:after="0" w:line="97" w:lineRule="exact"/>
        <w:rPr>
          <w:sz w:val="20"/>
          <w:szCs w:val="20"/>
          <w:color w:val="auto"/>
        </w:rPr>
      </w:pPr>
    </w:p>
    <w:p>
      <w:pPr>
        <w:ind w:right="620" w:firstLine="360"/>
        <w:spacing w:after="0"/>
        <w:rPr>
          <w:sz w:val="20"/>
          <w:szCs w:val="20"/>
          <w:color w:val="auto"/>
        </w:rPr>
      </w:pPr>
      <w:r>
        <w:rPr>
          <w:rFonts w:ascii="Arial" w:cs="Arial" w:eastAsia="Arial" w:hAnsi="Arial"/>
          <w:sz w:val="18"/>
          <w:szCs w:val="18"/>
          <w:color w:val="auto"/>
        </w:rPr>
        <w:t>As of June 30, 2014, our leverage ratio was 1.56 to 1.00 and our interest coverage ratio was 10.64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6" w:name="page37"/>
    <w:bookmarkEnd w:id="36"/>
    <w:p>
      <w:pPr>
        <w:ind w:right="80" w:firstLine="360"/>
        <w:spacing w:after="0" w:line="246" w:lineRule="auto"/>
        <w:rPr>
          <w:sz w:val="20"/>
          <w:szCs w:val="20"/>
          <w:color w:val="auto"/>
        </w:rPr>
      </w:pPr>
      <w:r>
        <w:rPr>
          <w:rFonts w:ascii="Arial" w:cs="Arial" w:eastAsia="Arial" w:hAnsi="Arial"/>
          <w:sz w:val="18"/>
          <w:szCs w:val="18"/>
          <w:color w:val="auto"/>
        </w:rPr>
        <w:t>These interest rate swaps are accounted for as hedges of future cash flows. For more information on our interest rate swaps, see Note 13 to the Consolidated Financial Statements in Item 1,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2014, we have no off-balance sheet arrangements required to be disclosed pursuant to Item 303(a)(4) of Regulation S-K.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60" w:firstLine="360"/>
        <w:spacing w:after="0" w:line="246" w:lineRule="auto"/>
        <w:rPr>
          <w:sz w:val="20"/>
          <w:szCs w:val="20"/>
          <w:color w:val="auto"/>
        </w:rPr>
      </w:pPr>
      <w:r>
        <w:rPr>
          <w:rFonts w:ascii="Arial" w:cs="Arial" w:eastAsia="Arial" w:hAnsi="Arial"/>
          <w:sz w:val="18"/>
          <w:szCs w:val="18"/>
          <w:color w:val="auto"/>
        </w:rPr>
        <w:t>The information set forth under Note 17 contained in Item 1, “Notes to Consolidated Financial Statements”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sales excluding currency effects, income tax rate exclusive of income tax adjustments, net debt, net income attributable to the Company, excluding adjustments (on an absolute and per-share basis),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performance, especially when compared to periods in which such items had a greater or lesser effect, or no effect. All non-GAAP financial measures in this report relate to the Company’s continuing operations.</w:t>
      </w:r>
    </w:p>
    <w:p>
      <w:pPr>
        <w:spacing w:after="0" w:line="98" w:lineRule="exact"/>
        <w:rPr>
          <w:sz w:val="20"/>
          <w:szCs w:val="20"/>
          <w:color w:val="auto"/>
        </w:rPr>
      </w:pPr>
    </w:p>
    <w:p>
      <w:pPr>
        <w:ind w:right="80" w:firstLine="360"/>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Depreciation and amortization, and Income or loss from Discontinued Operations. Adjusted EBITDA is calculated by adding EBITDA, costs associated with restructuring and pension settlement charges, adding or subtracting revaluation losses or gains, subtracting building sale and insurance-recovery gains, and subtracting Income attributable to the noncontrolling interest in ASC.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and insurance-recovery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37" w:name="page38"/>
    <w:bookmarkEnd w:id="37"/>
    <w:p>
      <w:pPr>
        <w:ind w:left="3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Three months ended June 30, 2014</w:t>
            </w:r>
          </w:p>
        </w:tc>
        <w:tc>
          <w:tcPr>
            <w:tcW w:w="28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 thousands)</w:t>
            </w:r>
          </w:p>
        </w:tc>
        <w:tc>
          <w:tcPr>
            <w:tcW w:w="2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Machine</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AEC</w:t>
            </w: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Corporate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Clothing</w:t>
            </w:r>
          </w:p>
        </w:tc>
        <w:tc>
          <w:tcPr>
            <w:tcW w:w="1160" w:type="dxa"/>
            <w:vAlign w:val="bottom"/>
          </w:tcPr>
          <w:p>
            <w:pPr>
              <w:spacing w:after="0"/>
              <w:rPr>
                <w:sz w:val="17"/>
                <w:szCs w:val="17"/>
                <w:color w:val="auto"/>
              </w:rPr>
            </w:pP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expenses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Company</w:t>
            </w:r>
          </w:p>
        </w:tc>
      </w:tr>
      <w:tr>
        <w:trPr>
          <w:trHeight w:val="203"/>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and other</w:t>
            </w:r>
          </w:p>
        </w:tc>
        <w:tc>
          <w:tcPr>
            <w:tcW w:w="96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2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$33,879</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($3,545)</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($19,157)</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$11,177</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2,717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2,717</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7,216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7,216</w:t>
            </w:r>
          </w:p>
        </w:tc>
      </w:tr>
      <w:tr>
        <w:trPr>
          <w:trHeight w:val="203"/>
        </w:trPr>
        <w:tc>
          <w:tcPr>
            <w:tcW w:w="51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11,554</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2,453</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2,090</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16,097</w:t>
            </w:r>
          </w:p>
        </w:tc>
      </w:tr>
      <w:tr>
        <w:trPr>
          <w:trHeight w:val="195"/>
        </w:trPr>
        <w:tc>
          <w:tcPr>
            <w:tcW w:w="518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2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45,433</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(1,092)</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(7,134)</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37,207</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1,297</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660</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1,957</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350</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61</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(1,395)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(984)</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(961)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r>
      <w:tr>
        <w:trPr>
          <w:trHeight w:val="203"/>
        </w:trPr>
        <w:tc>
          <w:tcPr>
            <w:tcW w:w="51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Pretax loss attributable to noncontrolling interest in ASC</w:t>
            </w:r>
          </w:p>
        </w:tc>
        <w:tc>
          <w:tcPr>
            <w:tcW w:w="2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45</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r>
      <w:tr>
        <w:trPr>
          <w:trHeight w:val="196"/>
        </w:trPr>
        <w:tc>
          <w:tcPr>
            <w:tcW w:w="5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8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$47,080</w:t>
            </w:r>
          </w:p>
        </w:tc>
        <w:tc>
          <w:tcPr>
            <w:tcW w:w="11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($326)</w:t>
            </w:r>
          </w:p>
        </w:tc>
        <w:tc>
          <w:tcPr>
            <w:tcW w:w="1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($9,490)</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$37,264</w:t>
            </w:r>
          </w:p>
        </w:tc>
      </w:tr>
      <w:tr>
        <w:trPr>
          <w:trHeight w:val="183"/>
        </w:trPr>
        <w:tc>
          <w:tcPr>
            <w:tcW w:w="518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Six months ended June 30, 2014</w:t>
            </w:r>
          </w:p>
        </w:tc>
        <w:tc>
          <w:tcPr>
            <w:tcW w:w="28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 thousands)</w:t>
            </w:r>
          </w:p>
        </w:tc>
        <w:tc>
          <w:tcPr>
            <w:tcW w:w="2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Machine</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AEC</w:t>
            </w: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Corporate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Clothing</w:t>
            </w:r>
          </w:p>
        </w:tc>
        <w:tc>
          <w:tcPr>
            <w:tcW w:w="1160" w:type="dxa"/>
            <w:vAlign w:val="bottom"/>
          </w:tcPr>
          <w:p>
            <w:pPr>
              <w:spacing w:after="0"/>
              <w:rPr>
                <w:sz w:val="17"/>
                <w:szCs w:val="17"/>
                <w:color w:val="auto"/>
              </w:rPr>
            </w:pP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expenses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Company</w:t>
            </w:r>
          </w:p>
        </w:tc>
      </w:tr>
      <w:tr>
        <w:trPr>
          <w:trHeight w:val="203"/>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and other</w:t>
            </w:r>
          </w:p>
        </w:tc>
        <w:tc>
          <w:tcPr>
            <w:tcW w:w="96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2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$70,022</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($7,021)</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($41,131)</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$21,870</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5,635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5,635</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14,673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14,673</w:t>
            </w:r>
          </w:p>
        </w:tc>
      </w:tr>
      <w:tr>
        <w:trPr>
          <w:trHeight w:val="203"/>
        </w:trPr>
        <w:tc>
          <w:tcPr>
            <w:tcW w:w="51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23,009</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4,775</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4,221</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32,005</w:t>
            </w:r>
          </w:p>
        </w:tc>
      </w:tr>
      <w:tr>
        <w:trPr>
          <w:trHeight w:val="195"/>
        </w:trPr>
        <w:tc>
          <w:tcPr>
            <w:tcW w:w="518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2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93,031</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(2,246)</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(16,602)</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74,183</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2,159</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980</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3,139</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502</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99</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(1,901)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(961)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r>
      <w:tr>
        <w:trPr>
          <w:trHeight w:val="203"/>
        </w:trPr>
        <w:tc>
          <w:tcPr>
            <w:tcW w:w="51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2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(13)</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r>
      <w:tr>
        <w:trPr>
          <w:trHeight w:val="196"/>
        </w:trPr>
        <w:tc>
          <w:tcPr>
            <w:tcW w:w="5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8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$95,692</w:t>
            </w:r>
          </w:p>
        </w:tc>
        <w:tc>
          <w:tcPr>
            <w:tcW w:w="11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($1,180)</w:t>
            </w:r>
          </w:p>
        </w:tc>
        <w:tc>
          <w:tcPr>
            <w:tcW w:w="1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($19,464)</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$75,048</w:t>
            </w:r>
          </w:p>
        </w:tc>
      </w:tr>
      <w:tr>
        <w:trPr>
          <w:trHeight w:val="183"/>
        </w:trPr>
        <w:tc>
          <w:tcPr>
            <w:tcW w:w="518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Three months ended June 30, 2013</w:t>
            </w:r>
          </w:p>
        </w:tc>
        <w:tc>
          <w:tcPr>
            <w:tcW w:w="28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 thousands)</w:t>
            </w:r>
          </w:p>
        </w:tc>
        <w:tc>
          <w:tcPr>
            <w:tcW w:w="2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Machine</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AEC</w:t>
            </w: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Corporate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Clothing</w:t>
            </w:r>
          </w:p>
        </w:tc>
        <w:tc>
          <w:tcPr>
            <w:tcW w:w="1160" w:type="dxa"/>
            <w:vAlign w:val="bottom"/>
          </w:tcPr>
          <w:p>
            <w:pPr>
              <w:spacing w:after="0"/>
              <w:rPr>
                <w:sz w:val="17"/>
                <w:szCs w:val="17"/>
                <w:color w:val="auto"/>
              </w:rPr>
            </w:pP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expenses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Company</w:t>
            </w:r>
          </w:p>
        </w:tc>
      </w:tr>
      <w:tr>
        <w:trPr>
          <w:trHeight w:val="203"/>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and other</w:t>
            </w:r>
          </w:p>
        </w:tc>
        <w:tc>
          <w:tcPr>
            <w:tcW w:w="96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Net income/(loss)</w:t>
            </w:r>
          </w:p>
        </w:tc>
        <w:tc>
          <w:tcPr>
            <w:tcW w:w="2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$14,821</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($4,678)</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($17,522)</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($7,379)</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351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3,547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3,547</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(2,243)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(2,243)</w:t>
            </w:r>
          </w:p>
        </w:tc>
      </w:tr>
      <w:tr>
        <w:trPr>
          <w:trHeight w:val="203"/>
        </w:trPr>
        <w:tc>
          <w:tcPr>
            <w:tcW w:w="51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11,809</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2,064</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2,208</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16,081</w:t>
            </w:r>
          </w:p>
        </w:tc>
      </w:tr>
      <w:tr>
        <w:trPr>
          <w:trHeight w:val="195"/>
        </w:trPr>
        <w:tc>
          <w:tcPr>
            <w:tcW w:w="518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2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26,630</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(2,614)</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(13,659)</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10,357</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24,230</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91</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24,321</w:t>
            </w:r>
          </w:p>
        </w:tc>
      </w:tr>
      <w:tr>
        <w:trPr>
          <w:trHeight w:val="203"/>
        </w:trPr>
        <w:tc>
          <w:tcPr>
            <w:tcW w:w="51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Foreign currency revaluation losses/(gains)</w:t>
            </w:r>
          </w:p>
        </w:tc>
        <w:tc>
          <w:tcPr>
            <w:tcW w:w="2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(452)</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1,896</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1,444</w:t>
            </w:r>
          </w:p>
        </w:tc>
      </w:tr>
      <w:tr>
        <w:trPr>
          <w:trHeight w:val="196"/>
        </w:trPr>
        <w:tc>
          <w:tcPr>
            <w:tcW w:w="518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84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$50,408</w:t>
            </w:r>
          </w:p>
        </w:tc>
        <w:tc>
          <w:tcPr>
            <w:tcW w:w="11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($2,523)</w:t>
            </w:r>
          </w:p>
        </w:tc>
        <w:tc>
          <w:tcPr>
            <w:tcW w:w="1280" w:type="dxa"/>
            <w:vAlign w:val="bottom"/>
          </w:tcPr>
          <w:p>
            <w:pPr>
              <w:jc w:val="right"/>
              <w:ind w:right="90"/>
              <w:spacing w:after="0" w:line="196" w:lineRule="exact"/>
              <w:rPr>
                <w:sz w:val="20"/>
                <w:szCs w:val="20"/>
                <w:color w:val="auto"/>
              </w:rPr>
            </w:pPr>
            <w:r>
              <w:rPr>
                <w:rFonts w:ascii="Arial" w:cs="Arial" w:eastAsia="Arial" w:hAnsi="Arial"/>
                <w:sz w:val="18"/>
                <w:szCs w:val="18"/>
                <w:color w:val="auto"/>
              </w:rPr>
              <w:t>($11,763)</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$36,122</w:t>
            </w:r>
          </w:p>
        </w:tc>
      </w:tr>
      <w:tr>
        <w:trPr>
          <w:trHeight w:val="750"/>
        </w:trPr>
        <w:tc>
          <w:tcPr>
            <w:tcW w:w="20" w:type="dxa"/>
            <w:vAlign w:val="bottom"/>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jc w:val="right"/>
              <w:ind w:right="2130"/>
              <w:spacing w:after="0"/>
              <w:rPr>
                <w:sz w:val="20"/>
                <w:szCs w:val="20"/>
                <w:color w:val="auto"/>
              </w:rPr>
            </w:pPr>
            <w:r>
              <w:rPr>
                <w:rFonts w:ascii="Arial" w:cs="Arial" w:eastAsia="Arial" w:hAnsi="Arial"/>
                <w:sz w:val="18"/>
                <w:szCs w:val="18"/>
                <w:color w:val="auto"/>
              </w:rPr>
              <w:t>37</w:t>
            </w:r>
          </w:p>
        </w:tc>
        <w:tc>
          <w:tcPr>
            <w:tcW w:w="1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81"/>
        </w:trPr>
        <w:tc>
          <w:tcPr>
            <w:tcW w:w="20" w:type="dxa"/>
            <w:vAlign w:val="bottom"/>
          </w:tcPr>
          <w:p>
            <w:pPr>
              <w:spacing w:after="0"/>
              <w:rPr>
                <w:sz w:val="7"/>
                <w:szCs w:val="7"/>
                <w:color w:val="auto"/>
              </w:rPr>
            </w:pPr>
          </w:p>
        </w:tc>
        <w:tc>
          <w:tcPr>
            <w:tcW w:w="516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68"/>
        </w:trPr>
        <w:tc>
          <w:tcPr>
            <w:tcW w:w="20" w:type="dxa"/>
            <w:vAlign w:val="bottom"/>
          </w:tcPr>
          <w:p>
            <w:pPr>
              <w:spacing w:after="0"/>
              <w:rPr>
                <w:sz w:val="5"/>
                <w:szCs w:val="5"/>
                <w:color w:val="auto"/>
              </w:rPr>
            </w:pPr>
          </w:p>
        </w:tc>
        <w:tc>
          <w:tcPr>
            <w:tcW w:w="516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Six months ended June 30, 2013</w:t>
            </w:r>
          </w:p>
        </w:tc>
        <w:tc>
          <w:tcPr>
            <w:tcW w:w="2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(in thousands)</w:t>
            </w:r>
          </w:p>
        </w:tc>
        <w:tc>
          <w:tcPr>
            <w:tcW w:w="2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Machine</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AEC</w:t>
            </w: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Corporate</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Clothing</w:t>
            </w:r>
          </w:p>
        </w:tc>
        <w:tc>
          <w:tcPr>
            <w:tcW w:w="1160" w:type="dxa"/>
            <w:vAlign w:val="bottom"/>
          </w:tcPr>
          <w:p>
            <w:pPr>
              <w:spacing w:after="0"/>
              <w:rPr>
                <w:sz w:val="17"/>
                <w:szCs w:val="17"/>
                <w:color w:val="auto"/>
              </w:rPr>
            </w:pP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expenses</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Company</w:t>
            </w:r>
          </w:p>
        </w:tc>
      </w:tr>
      <w:tr>
        <w:trPr>
          <w:trHeight w:val="203"/>
        </w:trPr>
        <w:tc>
          <w:tcPr>
            <w:tcW w:w="20" w:type="dxa"/>
            <w:vAlign w:val="bottom"/>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and other</w:t>
            </w: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27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$52,377</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($9,081)</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($39,164)</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$4,132</w:t>
            </w:r>
          </w:p>
        </w:tc>
        <w:tc>
          <w:tcPr>
            <w:tcW w:w="20" w:type="dxa"/>
            <w:vAlign w:val="bottom"/>
          </w:tcPr>
          <w:p>
            <w:pPr>
              <w:spacing w:after="0"/>
              <w:rPr>
                <w:sz w:val="16"/>
                <w:szCs w:val="16"/>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351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20" w:type="dxa"/>
            <w:vAlign w:val="bottom"/>
          </w:tcPr>
          <w:p>
            <w:pPr>
              <w:spacing w:after="0"/>
              <w:rPr>
                <w:sz w:val="17"/>
                <w:szCs w:val="17"/>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7,572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7,572</w:t>
            </w:r>
          </w:p>
        </w:tc>
        <w:tc>
          <w:tcPr>
            <w:tcW w:w="20" w:type="dxa"/>
            <w:vAlign w:val="bottom"/>
          </w:tcPr>
          <w:p>
            <w:pPr>
              <w:spacing w:after="0"/>
              <w:rPr>
                <w:sz w:val="17"/>
                <w:szCs w:val="17"/>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4,005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4,005</w:t>
            </w:r>
          </w:p>
        </w:tc>
        <w:tc>
          <w:tcPr>
            <w:tcW w:w="20" w:type="dxa"/>
            <w:vAlign w:val="bottom"/>
          </w:tcPr>
          <w:p>
            <w:pPr>
              <w:spacing w:after="0"/>
              <w:rPr>
                <w:sz w:val="17"/>
                <w:szCs w:val="17"/>
                <w:color w:val="auto"/>
              </w:rPr>
            </w:pPr>
          </w:p>
        </w:tc>
      </w:tr>
      <w:tr>
        <w:trPr>
          <w:trHeight w:val="203"/>
        </w:trPr>
        <w:tc>
          <w:tcPr>
            <w:tcW w:w="53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7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23,679</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3,795</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4,481</w:t>
            </w:r>
          </w:p>
        </w:tc>
        <w:tc>
          <w:tcPr>
            <w:tcW w:w="9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31,955</w:t>
            </w:r>
          </w:p>
        </w:tc>
      </w:tr>
      <w:tr>
        <w:trPr>
          <w:trHeight w:val="195"/>
        </w:trPr>
        <w:tc>
          <w:tcPr>
            <w:tcW w:w="530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27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76,056</w:t>
            </w: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(5,286)</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(22,755)</w:t>
            </w:r>
          </w:p>
        </w:tc>
        <w:tc>
          <w:tcPr>
            <w:tcW w:w="9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48,015</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24,423</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534</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24,957</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(1,195)</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1,907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20" w:type="dxa"/>
            <w:vAlign w:val="bottom"/>
          </w:tcPr>
          <w:p>
            <w:pPr>
              <w:spacing w:after="0"/>
              <w:rPr>
                <w:sz w:val="17"/>
                <w:szCs w:val="17"/>
                <w:color w:val="auto"/>
              </w:rPr>
            </w:pPr>
          </w:p>
        </w:tc>
      </w:tr>
      <w:tr>
        <w:trPr>
          <w:trHeight w:val="203"/>
        </w:trPr>
        <w:tc>
          <w:tcPr>
            <w:tcW w:w="53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Gain on sale of former manufacturing facility</w:t>
            </w:r>
          </w:p>
        </w:tc>
        <w:tc>
          <w:tcPr>
            <w:tcW w:w="27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(3,763)</w:t>
            </w:r>
          </w:p>
        </w:tc>
        <w:tc>
          <w:tcPr>
            <w:tcW w:w="9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(3,763)</w:t>
            </w:r>
          </w:p>
        </w:tc>
      </w:tr>
      <w:tr>
        <w:trPr>
          <w:trHeight w:val="196"/>
        </w:trPr>
        <w:tc>
          <w:tcPr>
            <w:tcW w:w="5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$99,284</w:t>
            </w:r>
          </w:p>
        </w:tc>
        <w:tc>
          <w:tcPr>
            <w:tcW w:w="11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($4,752)</w:t>
            </w:r>
          </w:p>
        </w:tc>
        <w:tc>
          <w:tcPr>
            <w:tcW w:w="1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($24,611)</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$69,921</w:t>
            </w:r>
          </w:p>
        </w:tc>
        <w:tc>
          <w:tcPr>
            <w:tcW w:w="20" w:type="dxa"/>
            <w:vAlign w:val="bottom"/>
            <w:tcBorders>
              <w:bottom w:val="single" w:sz="8" w:color="auto"/>
            </w:tcBorders>
          </w:tcPr>
          <w:p>
            <w:pPr>
              <w:spacing w:after="0"/>
              <w:rPr>
                <w:sz w:val="17"/>
                <w:szCs w:val="17"/>
                <w:color w:val="auto"/>
              </w:rPr>
            </w:pPr>
          </w:p>
        </w:tc>
      </w:tr>
    </w:tbl>
    <w:p>
      <w:pPr>
        <w:spacing w:after="0" w:line="188"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We disclose certain income and expense items on a per-share basis. We believe that such disclosures provide important insight into the underlying quarterly earnings and are financial performance metrics commonly used by investors. We calculate the per-share amount for items included in continuing operations by using the effective tax rate utilized in that reporting period, and the weighted average number of shares outstanding for each period.</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Three months ended June 30, 2014</w:t>
            </w:r>
          </w:p>
        </w:tc>
        <w:tc>
          <w:tcPr>
            <w:tcW w:w="266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rPr>
              <w:t>Pre tax</w:t>
            </w:r>
          </w:p>
        </w:tc>
        <w:tc>
          <w:tcPr>
            <w:tcW w:w="132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Tax</w:t>
            </w:r>
          </w:p>
        </w:tc>
        <w:tc>
          <w:tcPr>
            <w:tcW w:w="130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8"/>
              </w:rPr>
              <w:t>After tax</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8"/>
                <w:szCs w:val="18"/>
                <w:color w:val="auto"/>
              </w:rPr>
            </w:pP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660" w:type="dxa"/>
            <w:vAlign w:val="bottom"/>
          </w:tcPr>
          <w:p>
            <w:pPr>
              <w:jc w:val="center"/>
              <w:ind w:left="510"/>
              <w:spacing w:after="0" w:line="203" w:lineRule="exact"/>
              <w:rPr>
                <w:sz w:val="20"/>
                <w:szCs w:val="20"/>
                <w:color w:val="auto"/>
              </w:rPr>
            </w:pPr>
            <w:r>
              <w:rPr>
                <w:rFonts w:ascii="Arial" w:cs="Arial" w:eastAsia="Arial" w:hAnsi="Arial"/>
                <w:sz w:val="18"/>
                <w:szCs w:val="18"/>
                <w:color w:val="auto"/>
                <w:w w:val="98"/>
              </w:rPr>
              <w:t>Amounts</w:t>
            </w:r>
          </w:p>
        </w:tc>
        <w:tc>
          <w:tcPr>
            <w:tcW w:w="1320" w:type="dxa"/>
            <w:vAlign w:val="bottom"/>
          </w:tcPr>
          <w:p>
            <w:pPr>
              <w:jc w:val="center"/>
              <w:ind w:right="410"/>
              <w:spacing w:after="0" w:line="203" w:lineRule="exact"/>
              <w:rPr>
                <w:sz w:val="20"/>
                <w:szCs w:val="20"/>
                <w:color w:val="auto"/>
              </w:rPr>
            </w:pPr>
            <w:r>
              <w:rPr>
                <w:rFonts w:ascii="Arial" w:cs="Arial" w:eastAsia="Arial" w:hAnsi="Arial"/>
                <w:sz w:val="18"/>
                <w:szCs w:val="18"/>
                <w:color w:val="auto"/>
                <w:w w:val="99"/>
              </w:rPr>
              <w:t>Effect</w:t>
            </w:r>
          </w:p>
        </w:tc>
        <w:tc>
          <w:tcPr>
            <w:tcW w:w="130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99"/>
              </w:rPr>
              <w:t>Effect</w:t>
            </w:r>
          </w:p>
        </w:tc>
        <w:tc>
          <w:tcPr>
            <w:tcW w:w="1100" w:type="dxa"/>
            <w:vAlign w:val="bottom"/>
            <w:gridSpan w:val="2"/>
          </w:tcPr>
          <w:p>
            <w:pPr>
              <w:jc w:val="center"/>
              <w:ind w:right="80"/>
              <w:spacing w:after="0" w:line="203" w:lineRule="exact"/>
              <w:rPr>
                <w:sz w:val="20"/>
                <w:szCs w:val="20"/>
                <w:color w:val="auto"/>
              </w:rPr>
            </w:pPr>
            <w:r>
              <w:rPr>
                <w:rFonts w:ascii="Arial" w:cs="Arial" w:eastAsia="Arial" w:hAnsi="Arial"/>
                <w:sz w:val="18"/>
                <w:szCs w:val="18"/>
                <w:color w:val="auto"/>
                <w:w w:val="99"/>
              </w:rPr>
              <w:t>Effect</w:t>
            </w:r>
          </w:p>
        </w:tc>
      </w:tr>
      <w:tr>
        <w:trPr>
          <w:trHeight w:val="195"/>
        </w:trPr>
        <w:tc>
          <w:tcPr>
            <w:tcW w:w="5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6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$1,957</w:t>
            </w:r>
          </w:p>
        </w:tc>
        <w:tc>
          <w:tcPr>
            <w:tcW w:w="1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$714</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$1,243</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$0.04</w:t>
            </w:r>
          </w:p>
        </w:tc>
        <w:tc>
          <w:tcPr>
            <w:tcW w:w="20" w:type="dxa"/>
            <w:vAlign w:val="bottom"/>
          </w:tcPr>
          <w:p>
            <w:pPr>
              <w:spacing w:after="0"/>
              <w:rPr>
                <w:sz w:val="16"/>
                <w:szCs w:val="16"/>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984</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359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961</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Net discrete income tax charges</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569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569</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Unfavorable effect of change in income tax rate</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278</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10"/>
        </w:trPr>
        <w:tc>
          <w:tcPr>
            <w:tcW w:w="50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Adjustment to correct MC inventory value</w:t>
            </w:r>
          </w:p>
        </w:tc>
        <w:tc>
          <w:tcPr>
            <w:tcW w:w="2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1,577</w:t>
            </w:r>
          </w:p>
        </w:tc>
        <w:tc>
          <w:tcPr>
            <w:tcW w:w="1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576</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1,001</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03"/>
        </w:trPr>
        <w:tc>
          <w:tcPr>
            <w:tcW w:w="5060" w:type="dxa"/>
            <w:vAlign w:val="bottom"/>
            <w:gridSpan w:val="2"/>
          </w:tcPr>
          <w:p>
            <w:pPr>
              <w:spacing w:after="0"/>
              <w:rPr>
                <w:sz w:val="17"/>
                <w:szCs w:val="17"/>
                <w:color w:val="auto"/>
              </w:rPr>
            </w:pPr>
          </w:p>
        </w:tc>
        <w:tc>
          <w:tcPr>
            <w:tcW w:w="2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Six months ended June 30, 2014</w:t>
            </w:r>
          </w:p>
        </w:tc>
        <w:tc>
          <w:tcPr>
            <w:tcW w:w="2660" w:type="dxa"/>
            <w:vAlign w:val="bottom"/>
            <w:tcBorders>
              <w:top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rPr>
              <w:t>Pre tax</w:t>
            </w:r>
          </w:p>
        </w:tc>
        <w:tc>
          <w:tcPr>
            <w:tcW w:w="1320" w:type="dxa"/>
            <w:vAlign w:val="bottom"/>
            <w:tcBorders>
              <w:top w:val="single" w:sz="8" w:color="auto"/>
            </w:tcBorders>
          </w:tcPr>
          <w:p>
            <w:pPr>
              <w:jc w:val="center"/>
              <w:ind w:right="430"/>
              <w:spacing w:after="0" w:line="195" w:lineRule="exact"/>
              <w:rPr>
                <w:sz w:val="20"/>
                <w:szCs w:val="20"/>
                <w:color w:val="auto"/>
              </w:rPr>
            </w:pPr>
            <w:r>
              <w:rPr>
                <w:rFonts w:ascii="Arial" w:cs="Arial" w:eastAsia="Arial" w:hAnsi="Arial"/>
                <w:sz w:val="18"/>
                <w:szCs w:val="18"/>
                <w:color w:val="auto"/>
                <w:w w:val="93"/>
              </w:rPr>
              <w:t>Tax</w:t>
            </w:r>
          </w:p>
        </w:tc>
        <w:tc>
          <w:tcPr>
            <w:tcW w:w="1300" w:type="dxa"/>
            <w:vAlign w:val="bottom"/>
            <w:tcBorders>
              <w:top w:val="single" w:sz="8" w:color="auto"/>
            </w:tcBorders>
          </w:tcPr>
          <w:p>
            <w:pPr>
              <w:jc w:val="center"/>
              <w:ind w:right="190"/>
              <w:spacing w:after="0" w:line="195" w:lineRule="exact"/>
              <w:rPr>
                <w:sz w:val="20"/>
                <w:szCs w:val="20"/>
                <w:color w:val="auto"/>
              </w:rPr>
            </w:pPr>
            <w:r>
              <w:rPr>
                <w:rFonts w:ascii="Arial" w:cs="Arial" w:eastAsia="Arial" w:hAnsi="Arial"/>
                <w:sz w:val="18"/>
                <w:szCs w:val="18"/>
                <w:color w:val="auto"/>
                <w:w w:val="98"/>
              </w:rPr>
              <w:t>After tax</w:t>
            </w: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6"/>
                <w:szCs w:val="16"/>
                <w:color w:val="auto"/>
              </w:rPr>
            </w:pP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660" w:type="dxa"/>
            <w:vAlign w:val="bottom"/>
          </w:tcPr>
          <w:p>
            <w:pPr>
              <w:jc w:val="center"/>
              <w:ind w:left="510"/>
              <w:spacing w:after="0" w:line="203" w:lineRule="exact"/>
              <w:rPr>
                <w:sz w:val="20"/>
                <w:szCs w:val="20"/>
                <w:color w:val="auto"/>
              </w:rPr>
            </w:pPr>
            <w:r>
              <w:rPr>
                <w:rFonts w:ascii="Arial" w:cs="Arial" w:eastAsia="Arial" w:hAnsi="Arial"/>
                <w:sz w:val="18"/>
                <w:szCs w:val="18"/>
                <w:color w:val="auto"/>
                <w:w w:val="98"/>
              </w:rPr>
              <w:t>Amounts</w:t>
            </w:r>
          </w:p>
        </w:tc>
        <w:tc>
          <w:tcPr>
            <w:tcW w:w="1320" w:type="dxa"/>
            <w:vAlign w:val="bottom"/>
          </w:tcPr>
          <w:p>
            <w:pPr>
              <w:jc w:val="center"/>
              <w:ind w:right="410"/>
              <w:spacing w:after="0" w:line="203" w:lineRule="exact"/>
              <w:rPr>
                <w:sz w:val="20"/>
                <w:szCs w:val="20"/>
                <w:color w:val="auto"/>
              </w:rPr>
            </w:pPr>
            <w:r>
              <w:rPr>
                <w:rFonts w:ascii="Arial" w:cs="Arial" w:eastAsia="Arial" w:hAnsi="Arial"/>
                <w:sz w:val="18"/>
                <w:szCs w:val="18"/>
                <w:color w:val="auto"/>
                <w:w w:val="99"/>
              </w:rPr>
              <w:t>Effect</w:t>
            </w:r>
          </w:p>
        </w:tc>
        <w:tc>
          <w:tcPr>
            <w:tcW w:w="130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99"/>
              </w:rPr>
              <w:t>Effect</w:t>
            </w:r>
          </w:p>
        </w:tc>
        <w:tc>
          <w:tcPr>
            <w:tcW w:w="1100" w:type="dxa"/>
            <w:vAlign w:val="bottom"/>
            <w:gridSpan w:val="2"/>
          </w:tcPr>
          <w:p>
            <w:pPr>
              <w:jc w:val="center"/>
              <w:ind w:right="80"/>
              <w:spacing w:after="0" w:line="203" w:lineRule="exact"/>
              <w:rPr>
                <w:sz w:val="20"/>
                <w:szCs w:val="20"/>
                <w:color w:val="auto"/>
              </w:rPr>
            </w:pPr>
            <w:r>
              <w:rPr>
                <w:rFonts w:ascii="Arial" w:cs="Arial" w:eastAsia="Arial" w:hAnsi="Arial"/>
                <w:sz w:val="18"/>
                <w:szCs w:val="18"/>
                <w:color w:val="auto"/>
                <w:w w:val="99"/>
              </w:rPr>
              <w:t>Effect</w:t>
            </w:r>
          </w:p>
        </w:tc>
      </w:tr>
      <w:tr>
        <w:trPr>
          <w:trHeight w:val="195"/>
        </w:trPr>
        <w:tc>
          <w:tcPr>
            <w:tcW w:w="5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6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$3,139</w:t>
            </w:r>
          </w:p>
        </w:tc>
        <w:tc>
          <w:tcPr>
            <w:tcW w:w="1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$1,128</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$2,011</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$0.06</w:t>
            </w:r>
          </w:p>
        </w:tc>
        <w:tc>
          <w:tcPr>
            <w:tcW w:w="20" w:type="dxa"/>
            <w:vAlign w:val="bottom"/>
          </w:tcPr>
          <w:p>
            <w:pPr>
              <w:spacing w:after="0"/>
              <w:rPr>
                <w:sz w:val="16"/>
                <w:szCs w:val="16"/>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1,300</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469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831</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961</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Net discrete income tax charges</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1,673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1,673</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0.05</w:t>
            </w:r>
          </w:p>
        </w:tc>
      </w:tr>
      <w:tr>
        <w:trPr>
          <w:trHeight w:val="210"/>
        </w:trPr>
        <w:tc>
          <w:tcPr>
            <w:tcW w:w="50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Adjustment to correct MC inventory value</w:t>
            </w:r>
          </w:p>
        </w:tc>
        <w:tc>
          <w:tcPr>
            <w:tcW w:w="2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1,577</w:t>
            </w:r>
          </w:p>
        </w:tc>
        <w:tc>
          <w:tcPr>
            <w:tcW w:w="1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576</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1,001</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189"/>
        </w:trPr>
        <w:tc>
          <w:tcPr>
            <w:tcW w:w="5060" w:type="dxa"/>
            <w:vAlign w:val="bottom"/>
            <w:gridSpan w:val="2"/>
          </w:tcPr>
          <w:p>
            <w:pPr>
              <w:spacing w:after="0"/>
              <w:rPr>
                <w:sz w:val="16"/>
                <w:szCs w:val="16"/>
                <w:color w:val="auto"/>
              </w:rPr>
            </w:pPr>
          </w:p>
        </w:tc>
        <w:tc>
          <w:tcPr>
            <w:tcW w:w="2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Three months ended June 30, 2013</w:t>
            </w:r>
          </w:p>
        </w:tc>
        <w:tc>
          <w:tcPr>
            <w:tcW w:w="2660" w:type="dxa"/>
            <w:vAlign w:val="bottom"/>
            <w:tcBorders>
              <w:top w:val="single" w:sz="8" w:color="auto"/>
            </w:tcBorders>
          </w:tcPr>
          <w:p>
            <w:pPr>
              <w:jc w:val="right"/>
              <w:ind w:right="550"/>
              <w:spacing w:after="0" w:line="195" w:lineRule="exact"/>
              <w:rPr>
                <w:sz w:val="20"/>
                <w:szCs w:val="20"/>
                <w:color w:val="auto"/>
              </w:rPr>
            </w:pPr>
            <w:r>
              <w:rPr>
                <w:rFonts w:ascii="Arial" w:cs="Arial" w:eastAsia="Arial" w:hAnsi="Arial"/>
                <w:sz w:val="18"/>
                <w:szCs w:val="18"/>
                <w:color w:val="auto"/>
              </w:rPr>
              <w:t>Pre tax</w:t>
            </w:r>
          </w:p>
        </w:tc>
        <w:tc>
          <w:tcPr>
            <w:tcW w:w="1320" w:type="dxa"/>
            <w:vAlign w:val="bottom"/>
            <w:tcBorders>
              <w:top w:val="single" w:sz="8" w:color="auto"/>
            </w:tcBorders>
          </w:tcPr>
          <w:p>
            <w:pPr>
              <w:jc w:val="right"/>
              <w:ind w:right="570"/>
              <w:spacing w:after="0" w:line="195" w:lineRule="exact"/>
              <w:rPr>
                <w:sz w:val="20"/>
                <w:szCs w:val="20"/>
                <w:color w:val="auto"/>
              </w:rPr>
            </w:pPr>
            <w:r>
              <w:rPr>
                <w:rFonts w:ascii="Arial" w:cs="Arial" w:eastAsia="Arial" w:hAnsi="Arial"/>
                <w:sz w:val="18"/>
                <w:szCs w:val="18"/>
                <w:color w:val="auto"/>
              </w:rPr>
              <w:t>Tax</w:t>
            </w:r>
          </w:p>
        </w:tc>
        <w:tc>
          <w:tcPr>
            <w:tcW w:w="1300" w:type="dxa"/>
            <w:vAlign w:val="bottom"/>
            <w:tcBorders>
              <w:top w:val="single" w:sz="8" w:color="auto"/>
            </w:tcBorders>
          </w:tcPr>
          <w:p>
            <w:pPr>
              <w:jc w:val="center"/>
              <w:ind w:right="190"/>
              <w:spacing w:after="0" w:line="195" w:lineRule="exact"/>
              <w:rPr>
                <w:sz w:val="20"/>
                <w:szCs w:val="20"/>
                <w:color w:val="auto"/>
              </w:rPr>
            </w:pPr>
            <w:r>
              <w:rPr>
                <w:rFonts w:ascii="Arial" w:cs="Arial" w:eastAsia="Arial" w:hAnsi="Arial"/>
                <w:sz w:val="18"/>
                <w:szCs w:val="18"/>
                <w:color w:val="auto"/>
                <w:w w:val="98"/>
              </w:rPr>
              <w:t>After tax</w:t>
            </w:r>
          </w:p>
        </w:tc>
        <w:tc>
          <w:tcPr>
            <w:tcW w:w="10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8"/>
              </w:rPr>
              <w:t>Per Share</w:t>
            </w:r>
          </w:p>
        </w:tc>
        <w:tc>
          <w:tcPr>
            <w:tcW w:w="20" w:type="dxa"/>
            <w:vAlign w:val="bottom"/>
          </w:tcPr>
          <w:p>
            <w:pPr>
              <w:spacing w:after="0"/>
              <w:rPr>
                <w:sz w:val="16"/>
                <w:szCs w:val="16"/>
                <w:color w:val="auto"/>
              </w:rPr>
            </w:pP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660" w:type="dxa"/>
            <w:vAlign w:val="bottom"/>
          </w:tcPr>
          <w:p>
            <w:pPr>
              <w:jc w:val="right"/>
              <w:ind w:right="470"/>
              <w:spacing w:after="0" w:line="203" w:lineRule="exact"/>
              <w:rPr>
                <w:sz w:val="20"/>
                <w:szCs w:val="20"/>
                <w:color w:val="auto"/>
              </w:rPr>
            </w:pPr>
            <w:r>
              <w:rPr>
                <w:rFonts w:ascii="Arial" w:cs="Arial" w:eastAsia="Arial" w:hAnsi="Arial"/>
                <w:sz w:val="18"/>
                <w:szCs w:val="18"/>
                <w:color w:val="auto"/>
              </w:rPr>
              <w:t>Amounts</w:t>
            </w:r>
          </w:p>
        </w:tc>
        <w:tc>
          <w:tcPr>
            <w:tcW w:w="132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Effect</w:t>
            </w:r>
          </w:p>
        </w:tc>
        <w:tc>
          <w:tcPr>
            <w:tcW w:w="130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99"/>
              </w:rPr>
              <w:t>Effect</w:t>
            </w:r>
          </w:p>
        </w:tc>
        <w:tc>
          <w:tcPr>
            <w:tcW w:w="1100" w:type="dxa"/>
            <w:vAlign w:val="bottom"/>
            <w:gridSpan w:val="2"/>
          </w:tcPr>
          <w:p>
            <w:pPr>
              <w:jc w:val="center"/>
              <w:ind w:right="180"/>
              <w:spacing w:after="0" w:line="203" w:lineRule="exact"/>
              <w:rPr>
                <w:sz w:val="20"/>
                <w:szCs w:val="20"/>
                <w:color w:val="auto"/>
              </w:rPr>
            </w:pPr>
            <w:r>
              <w:rPr>
                <w:rFonts w:ascii="Arial" w:cs="Arial" w:eastAsia="Arial" w:hAnsi="Arial"/>
                <w:sz w:val="18"/>
                <w:szCs w:val="18"/>
                <w:color w:val="auto"/>
                <w:w w:val="95"/>
              </w:rPr>
              <w:t>Effect</w:t>
            </w:r>
          </w:p>
        </w:tc>
      </w:tr>
      <w:tr>
        <w:trPr>
          <w:trHeight w:val="195"/>
        </w:trPr>
        <w:tc>
          <w:tcPr>
            <w:tcW w:w="5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6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$24,321</w:t>
            </w:r>
          </w:p>
        </w:tc>
        <w:tc>
          <w:tcPr>
            <w:tcW w:w="13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$9,485</w:t>
            </w:r>
          </w:p>
        </w:tc>
        <w:tc>
          <w:tcPr>
            <w:tcW w:w="13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$14,836</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$0.47</w:t>
            </w:r>
          </w:p>
        </w:tc>
        <w:tc>
          <w:tcPr>
            <w:tcW w:w="20" w:type="dxa"/>
            <w:vAlign w:val="bottom"/>
          </w:tcPr>
          <w:p>
            <w:pPr>
              <w:spacing w:after="0"/>
              <w:rPr>
                <w:sz w:val="16"/>
                <w:szCs w:val="16"/>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6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1,444</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563</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881</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Unfavorable effect of change in income tax rate</w:t>
            </w:r>
          </w:p>
        </w:tc>
        <w:tc>
          <w:tcPr>
            <w:tcW w:w="26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888</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888</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0.03</w:t>
            </w:r>
          </w:p>
        </w:tc>
      </w:tr>
      <w:tr>
        <w:trPr>
          <w:trHeight w:val="210"/>
        </w:trPr>
        <w:tc>
          <w:tcPr>
            <w:tcW w:w="50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Net discrete income tax charges</w:t>
            </w:r>
          </w:p>
        </w:tc>
        <w:tc>
          <w:tcPr>
            <w:tcW w:w="26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485</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485</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r>
      <w:tr>
        <w:trPr>
          <w:trHeight w:val="189"/>
        </w:trPr>
        <w:tc>
          <w:tcPr>
            <w:tcW w:w="5060" w:type="dxa"/>
            <w:vAlign w:val="bottom"/>
            <w:gridSpan w:val="2"/>
          </w:tcPr>
          <w:p>
            <w:pPr>
              <w:spacing w:after="0"/>
              <w:rPr>
                <w:sz w:val="16"/>
                <w:szCs w:val="16"/>
                <w:color w:val="auto"/>
              </w:rPr>
            </w:pPr>
          </w:p>
        </w:tc>
        <w:tc>
          <w:tcPr>
            <w:tcW w:w="2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Six months ended June 30, 2013</w:t>
            </w:r>
          </w:p>
        </w:tc>
        <w:tc>
          <w:tcPr>
            <w:tcW w:w="2660" w:type="dxa"/>
            <w:vAlign w:val="bottom"/>
            <w:tcBorders>
              <w:top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rPr>
              <w:t>Pre tax</w:t>
            </w:r>
          </w:p>
        </w:tc>
        <w:tc>
          <w:tcPr>
            <w:tcW w:w="1320" w:type="dxa"/>
            <w:vAlign w:val="bottom"/>
            <w:tcBorders>
              <w:top w:val="single" w:sz="8" w:color="auto"/>
            </w:tcBorders>
          </w:tcPr>
          <w:p>
            <w:pPr>
              <w:jc w:val="center"/>
              <w:ind w:right="430"/>
              <w:spacing w:after="0" w:line="195" w:lineRule="exact"/>
              <w:rPr>
                <w:sz w:val="20"/>
                <w:szCs w:val="20"/>
                <w:color w:val="auto"/>
              </w:rPr>
            </w:pPr>
            <w:r>
              <w:rPr>
                <w:rFonts w:ascii="Arial" w:cs="Arial" w:eastAsia="Arial" w:hAnsi="Arial"/>
                <w:sz w:val="18"/>
                <w:szCs w:val="18"/>
                <w:color w:val="auto"/>
                <w:w w:val="93"/>
              </w:rPr>
              <w:t>Tax</w:t>
            </w:r>
          </w:p>
        </w:tc>
        <w:tc>
          <w:tcPr>
            <w:tcW w:w="130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rPr>
              <w:t>After tax</w:t>
            </w:r>
          </w:p>
        </w:tc>
        <w:tc>
          <w:tcPr>
            <w:tcW w:w="10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8"/>
              </w:rPr>
              <w:t>Per Share</w:t>
            </w:r>
          </w:p>
        </w:tc>
        <w:tc>
          <w:tcPr>
            <w:tcW w:w="20" w:type="dxa"/>
            <w:vAlign w:val="bottom"/>
          </w:tcPr>
          <w:p>
            <w:pPr>
              <w:spacing w:after="0"/>
              <w:rPr>
                <w:sz w:val="16"/>
                <w:szCs w:val="16"/>
                <w:color w:val="auto"/>
              </w:rPr>
            </w:pP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660" w:type="dxa"/>
            <w:vAlign w:val="bottom"/>
          </w:tcPr>
          <w:p>
            <w:pPr>
              <w:jc w:val="center"/>
              <w:ind w:left="510"/>
              <w:spacing w:after="0" w:line="203" w:lineRule="exact"/>
              <w:rPr>
                <w:sz w:val="20"/>
                <w:szCs w:val="20"/>
                <w:color w:val="auto"/>
              </w:rPr>
            </w:pPr>
            <w:r>
              <w:rPr>
                <w:rFonts w:ascii="Arial" w:cs="Arial" w:eastAsia="Arial" w:hAnsi="Arial"/>
                <w:sz w:val="18"/>
                <w:szCs w:val="18"/>
                <w:color w:val="auto"/>
                <w:w w:val="98"/>
              </w:rPr>
              <w:t>Amounts</w:t>
            </w:r>
          </w:p>
        </w:tc>
        <w:tc>
          <w:tcPr>
            <w:tcW w:w="1320" w:type="dxa"/>
            <w:vAlign w:val="bottom"/>
          </w:tcPr>
          <w:p>
            <w:pPr>
              <w:jc w:val="center"/>
              <w:ind w:right="410"/>
              <w:spacing w:after="0" w:line="203" w:lineRule="exact"/>
              <w:rPr>
                <w:sz w:val="20"/>
                <w:szCs w:val="20"/>
                <w:color w:val="auto"/>
              </w:rPr>
            </w:pPr>
            <w:r>
              <w:rPr>
                <w:rFonts w:ascii="Arial" w:cs="Arial" w:eastAsia="Arial" w:hAnsi="Arial"/>
                <w:sz w:val="18"/>
                <w:szCs w:val="18"/>
                <w:color w:val="auto"/>
                <w:w w:val="99"/>
              </w:rPr>
              <w:t>Effect</w:t>
            </w:r>
          </w:p>
        </w:tc>
        <w:tc>
          <w:tcPr>
            <w:tcW w:w="130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Effect</w:t>
            </w:r>
          </w:p>
        </w:tc>
        <w:tc>
          <w:tcPr>
            <w:tcW w:w="1100" w:type="dxa"/>
            <w:vAlign w:val="bottom"/>
            <w:gridSpan w:val="2"/>
          </w:tcPr>
          <w:p>
            <w:pPr>
              <w:jc w:val="center"/>
              <w:ind w:right="180"/>
              <w:spacing w:after="0" w:line="203" w:lineRule="exact"/>
              <w:rPr>
                <w:sz w:val="20"/>
                <w:szCs w:val="20"/>
                <w:color w:val="auto"/>
              </w:rPr>
            </w:pPr>
            <w:r>
              <w:rPr>
                <w:rFonts w:ascii="Arial" w:cs="Arial" w:eastAsia="Arial" w:hAnsi="Arial"/>
                <w:sz w:val="18"/>
                <w:szCs w:val="18"/>
                <w:color w:val="auto"/>
                <w:w w:val="95"/>
              </w:rPr>
              <w:t>Effect</w:t>
            </w:r>
          </w:p>
        </w:tc>
      </w:tr>
      <w:tr>
        <w:trPr>
          <w:trHeight w:val="195"/>
        </w:trPr>
        <w:tc>
          <w:tcPr>
            <w:tcW w:w="5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6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$24,957</w:t>
            </w:r>
          </w:p>
        </w:tc>
        <w:tc>
          <w:tcPr>
            <w:tcW w:w="1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$9,701</w:t>
            </w:r>
          </w:p>
        </w:tc>
        <w:tc>
          <w:tcPr>
            <w:tcW w:w="13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$15,256</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$0.48</w:t>
            </w:r>
          </w:p>
        </w:tc>
        <w:tc>
          <w:tcPr>
            <w:tcW w:w="20" w:type="dxa"/>
            <w:vAlign w:val="bottom"/>
          </w:tcPr>
          <w:p>
            <w:pPr>
              <w:spacing w:after="0"/>
              <w:rPr>
                <w:sz w:val="16"/>
                <w:szCs w:val="16"/>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712</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314</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398</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3,763</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1,279</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2,484</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0.08</w:t>
            </w:r>
          </w:p>
        </w:tc>
      </w:tr>
      <w:tr>
        <w:trPr>
          <w:trHeight w:val="210"/>
        </w:trPr>
        <w:tc>
          <w:tcPr>
            <w:tcW w:w="50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Net discrete income tax charges</w:t>
            </w:r>
          </w:p>
        </w:tc>
        <w:tc>
          <w:tcPr>
            <w:tcW w:w="2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695</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695</w:t>
            </w:r>
          </w:p>
        </w:tc>
        <w:tc>
          <w:tcPr>
            <w:tcW w:w="11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0.03</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62" w:right="239" w:bottom="1440" w:gutter="0" w:footer="0" w:header="0"/>
        </w:sectPr>
      </w:pPr>
    </w:p>
    <w:bookmarkStart w:id="39" w:name="page40"/>
    <w:bookmarkEnd w:id="39"/>
    <w:p>
      <w:pPr>
        <w:ind w:left="3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Three months ended</w:t>
            </w:r>
          </w:p>
        </w:tc>
        <w:tc>
          <w:tcPr>
            <w:tcW w:w="228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92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108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 share amounts (Basic)</w:t>
            </w: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2013</w:t>
            </w:r>
          </w:p>
        </w:tc>
        <w:tc>
          <w:tcPr>
            <w:tcW w:w="14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92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2140" w:type="dxa"/>
            <w:vAlign w:val="bottom"/>
          </w:tcPr>
          <w:p>
            <w:pPr>
              <w:jc w:val="right"/>
              <w:ind w:right="310"/>
              <w:spacing w:after="0" w:line="195" w:lineRule="exact"/>
              <w:rPr>
                <w:sz w:val="20"/>
                <w:szCs w:val="20"/>
                <w:color w:val="auto"/>
              </w:rPr>
            </w:pPr>
            <w:r>
              <w:rPr>
                <w:rFonts w:ascii="Arial" w:cs="Arial" w:eastAsia="Arial" w:hAnsi="Arial"/>
                <w:sz w:val="18"/>
                <w:szCs w:val="18"/>
                <w:b w:val="1"/>
                <w:bCs w:val="1"/>
                <w:color w:val="auto"/>
              </w:rPr>
              <w:t>$0.35</w:t>
            </w:r>
          </w:p>
        </w:tc>
        <w:tc>
          <w:tcPr>
            <w:tcW w:w="10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($0.23)</w:t>
            </w:r>
          </w:p>
        </w:tc>
        <w:tc>
          <w:tcPr>
            <w:tcW w:w="1420" w:type="dxa"/>
            <w:vAlign w:val="bottom"/>
          </w:tcPr>
          <w:p>
            <w:pPr>
              <w:jc w:val="right"/>
              <w:ind w:right="290"/>
              <w:spacing w:after="0" w:line="195" w:lineRule="exact"/>
              <w:rPr>
                <w:sz w:val="20"/>
                <w:szCs w:val="20"/>
                <w:color w:val="auto"/>
              </w:rPr>
            </w:pPr>
            <w:r>
              <w:rPr>
                <w:rFonts w:ascii="Arial" w:cs="Arial" w:eastAsia="Arial" w:hAnsi="Arial"/>
                <w:sz w:val="18"/>
                <w:szCs w:val="18"/>
                <w:b w:val="1"/>
                <w:bCs w:val="1"/>
                <w:color w:val="auto"/>
              </w:rPr>
              <w:t>$0.69</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1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920" w:type="dxa"/>
            <w:vAlign w:val="bottom"/>
          </w:tcPr>
          <w:p>
            <w:pPr>
              <w:spacing w:after="0" w:line="181" w:lineRule="exact"/>
              <w:rPr>
                <w:sz w:val="20"/>
                <w:szCs w:val="20"/>
                <w:color w:val="auto"/>
              </w:rPr>
            </w:pPr>
            <w:r>
              <w:rPr>
                <w:rFonts w:ascii="Arial" w:cs="Arial" w:eastAsia="Arial" w:hAnsi="Arial"/>
                <w:sz w:val="18"/>
                <w:szCs w:val="18"/>
                <w:color w:val="auto"/>
              </w:rPr>
              <w:t>Loss on discontinued operations</w:t>
            </w:r>
          </w:p>
        </w:tc>
        <w:tc>
          <w:tcPr>
            <w:tcW w:w="2140" w:type="dxa"/>
            <w:vAlign w:val="bottom"/>
            <w:vMerge w:val="continue"/>
          </w:tcPr>
          <w:p>
            <w:pPr>
              <w:spacing w:after="0"/>
              <w:rPr>
                <w:sz w:val="15"/>
                <w:szCs w:val="15"/>
                <w:color w:val="auto"/>
              </w:rPr>
            </w:pPr>
          </w:p>
        </w:tc>
        <w:tc>
          <w:tcPr>
            <w:tcW w:w="108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0.01</w:t>
            </w:r>
          </w:p>
        </w:tc>
        <w:tc>
          <w:tcPr>
            <w:tcW w:w="142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1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0.04</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0.47</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0.06</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Discrete tax charges and effect of change in income tax rate</w:t>
            </w:r>
          </w:p>
        </w:tc>
        <w:tc>
          <w:tcPr>
            <w:tcW w:w="21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0.03</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0.05</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0.05</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1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(0.02)</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0.03</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(0.03)</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1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(0.03)</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(0.03)</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former manufacturing facility</w:t>
            </w:r>
          </w:p>
        </w:tc>
        <w:tc>
          <w:tcPr>
            <w:tcW w:w="2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21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$0.37</w:t>
            </w:r>
          </w:p>
        </w:tc>
        <w:tc>
          <w:tcPr>
            <w:tcW w:w="10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$0.33</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$0.74</w:t>
            </w:r>
          </w:p>
        </w:tc>
        <w:tc>
          <w:tcPr>
            <w:tcW w:w="8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6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0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June 30,</w:t>
            </w:r>
          </w:p>
        </w:tc>
        <w:tc>
          <w:tcPr>
            <w:tcW w:w="1720" w:type="dxa"/>
            <w:vAlign w:val="bottom"/>
            <w:tcBorders>
              <w:top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March 31,</w:t>
            </w:r>
          </w:p>
        </w:tc>
        <w:tc>
          <w:tcPr>
            <w:tcW w:w="170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December 31,</w:t>
            </w:r>
          </w:p>
        </w:tc>
        <w:tc>
          <w:tcPr>
            <w:tcW w:w="170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December 31,</w:t>
            </w:r>
          </w:p>
        </w:tc>
      </w:tr>
      <w:tr>
        <w:trPr>
          <w:trHeight w:val="203"/>
        </w:trPr>
        <w:tc>
          <w:tcPr>
            <w:tcW w:w="4600" w:type="dxa"/>
            <w:vAlign w:val="bottom"/>
            <w:tcBorders>
              <w:left w:val="single" w:sz="8" w:color="auto"/>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550"/>
              <w:spacing w:after="0" w:line="203" w:lineRule="exact"/>
              <w:rPr>
                <w:sz w:val="20"/>
                <w:szCs w:val="20"/>
                <w:color w:val="auto"/>
              </w:rPr>
            </w:pPr>
            <w:r>
              <w:rPr>
                <w:rFonts w:ascii="Arial" w:cs="Arial" w:eastAsia="Arial" w:hAnsi="Arial"/>
                <w:sz w:val="18"/>
                <w:szCs w:val="18"/>
                <w:color w:val="auto"/>
              </w:rPr>
              <w:t>2014</w:t>
            </w:r>
          </w:p>
        </w:tc>
        <w:tc>
          <w:tcPr>
            <w:tcW w:w="1720" w:type="dxa"/>
            <w:vAlign w:val="bottom"/>
            <w:tcBorders>
              <w:bottom w:val="single" w:sz="8" w:color="auto"/>
              <w:right w:val="single" w:sz="8" w:color="auto"/>
            </w:tcBorders>
          </w:tcPr>
          <w:p>
            <w:pPr>
              <w:jc w:val="right"/>
              <w:ind w:right="550"/>
              <w:spacing w:after="0" w:line="203" w:lineRule="exact"/>
              <w:rPr>
                <w:sz w:val="20"/>
                <w:szCs w:val="20"/>
                <w:color w:val="auto"/>
              </w:rPr>
            </w:pPr>
            <w:r>
              <w:rPr>
                <w:rFonts w:ascii="Arial" w:cs="Arial" w:eastAsia="Arial" w:hAnsi="Arial"/>
                <w:sz w:val="18"/>
                <w:szCs w:val="18"/>
                <w:color w:val="auto"/>
              </w:rPr>
              <w:t>2014</w:t>
            </w:r>
          </w:p>
        </w:tc>
        <w:tc>
          <w:tcPr>
            <w:tcW w:w="1700" w:type="dxa"/>
            <w:vAlign w:val="bottom"/>
            <w:tcBorders>
              <w:bottom w:val="single" w:sz="8" w:color="auto"/>
              <w:right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2013</w:t>
            </w:r>
          </w:p>
        </w:tc>
        <w:tc>
          <w:tcPr>
            <w:tcW w:w="1700" w:type="dxa"/>
            <w:vAlign w:val="bottom"/>
            <w:tcBorders>
              <w:bottom w:val="single" w:sz="8" w:color="auto"/>
              <w:right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2012</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Notes and loans payable</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$692</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$586</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Current maturities of long-term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1,265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3,764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83,276</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283,104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299,108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300,111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235,877</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285,061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302,419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304,500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319,739</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Cash</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206,836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208,379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222,666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190,718</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$78,225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$94,040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$81,834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$129,021</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right="200" w:firstLine="360"/>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ind w:right="120" w:firstLine="360"/>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04" w:lineRule="exact"/>
        <w:rPr>
          <w:sz w:val="20"/>
          <w:szCs w:val="20"/>
          <w:color w:val="auto"/>
        </w:rPr>
      </w:pPr>
    </w:p>
    <w:p>
      <w:pPr>
        <w:ind w:right="460" w:firstLine="360"/>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above under Note 15 in Item 1, “Notes to Consolidated Financial Statements”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w:t>
      </w:r>
    </w:p>
    <w:p>
      <w:pPr>
        <w:spacing w:after="0" w:line="126" w:lineRule="exact"/>
        <w:rPr>
          <w:sz w:val="20"/>
          <w:szCs w:val="20"/>
          <w:color w:val="auto"/>
        </w:rPr>
      </w:pPr>
    </w:p>
    <w:p>
      <w:pPr>
        <w:ind w:right="440" w:firstLine="360"/>
        <w:spacing w:after="0" w:line="246" w:lineRule="auto"/>
        <w:rPr>
          <w:sz w:val="20"/>
          <w:szCs w:val="20"/>
          <w:color w:val="auto"/>
        </w:rPr>
      </w:pPr>
      <w:r>
        <w:rPr>
          <w:rFonts w:ascii="Arial" w:cs="Arial" w:eastAsia="Arial" w:hAnsi="Arial"/>
          <w:sz w:val="18"/>
          <w:szCs w:val="18"/>
          <w:color w:val="auto"/>
        </w:rPr>
        <w:t>There have been no material changes in risks since December 31, 2013. For discussion of risk factors, refer to Item 1A of our Annual Report on Form 10-K for the year ended December 31, 2013.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right="400" w:firstLine="360"/>
        <w:spacing w:after="0" w:line="246" w:lineRule="auto"/>
        <w:rPr>
          <w:sz w:val="20"/>
          <w:szCs w:val="20"/>
          <w:color w:val="auto"/>
        </w:rPr>
      </w:pPr>
      <w:r>
        <w:rPr>
          <w:rFonts w:ascii="Arial" w:cs="Arial" w:eastAsia="Arial" w:hAnsi="Arial"/>
          <w:sz w:val="18"/>
          <w:szCs w:val="18"/>
          <w:color w:val="auto"/>
        </w:rPr>
        <w:t>We made no share purchases during the second quarter of 2014. We remain authorized by the Board of Directors to purchase up to 2 million shares of our Class A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Exhibit No.</w:t>
            </w:r>
          </w:p>
        </w:tc>
        <w:tc>
          <w:tcPr>
            <w:tcW w:w="8260" w:type="dxa"/>
            <w:vAlign w:val="bottom"/>
          </w:tcPr>
          <w:p>
            <w:pPr>
              <w:ind w:left="180"/>
              <w:spacing w:after="0"/>
              <w:rPr>
                <w:sz w:val="20"/>
                <w:szCs w:val="20"/>
                <w:color w:val="auto"/>
              </w:rPr>
            </w:pPr>
            <w:r>
              <w:rPr>
                <w:rFonts w:ascii="Arial" w:cs="Arial" w:eastAsia="Arial" w:hAnsi="Arial"/>
                <w:sz w:val="18"/>
                <w:szCs w:val="18"/>
                <w:color w:val="auto"/>
              </w:rPr>
              <w:t>Description</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826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pursuant to Rule 13a-14(a)/15d-14(a) of the Exchange Act.</w:t>
            </w:r>
          </w:p>
        </w:tc>
      </w:tr>
      <w:tr>
        <w:trPr>
          <w:trHeight w:val="486"/>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26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7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260" w:type="dxa"/>
            <w:vAlign w:val="bottom"/>
          </w:tcPr>
          <w:p>
            <w:pPr>
              <w:ind w:left="180"/>
              <w:spacing w:after="0"/>
              <w:rPr>
                <w:sz w:val="20"/>
                <w:szCs w:val="20"/>
                <w:color w:val="auto"/>
              </w:rPr>
            </w:pPr>
            <w:r>
              <w:rPr>
                <w:rFonts w:ascii="Arial" w:cs="Arial" w:eastAsia="Arial" w:hAnsi="Arial"/>
                <w:sz w:val="18"/>
                <w:szCs w:val="18"/>
                <w:color w:val="auto"/>
              </w:rPr>
              <w:t>Certification pursuant to Section 906 of the Sarbanes-Oxley Act of 2002 (Subsections (a) and (b) of</w:t>
            </w:r>
          </w:p>
        </w:tc>
      </w:tr>
      <w:tr>
        <w:trPr>
          <w:trHeight w:val="217"/>
        </w:trPr>
        <w:tc>
          <w:tcPr>
            <w:tcW w:w="1080" w:type="dxa"/>
            <w:vAlign w:val="bottom"/>
          </w:tcPr>
          <w:p>
            <w:pPr>
              <w:spacing w:after="0"/>
              <w:rPr>
                <w:sz w:val="18"/>
                <w:szCs w:val="18"/>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Section 1350, Chapter 63 of Title 18, United States Code).</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82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risks as reported at June 30, 2014.</w:t>
            </w:r>
          </w:p>
        </w:tc>
      </w:tr>
    </w:tbl>
    <w:p>
      <w:pPr>
        <w:spacing w:after="0" w:line="269" w:lineRule="exact"/>
        <w:rPr>
          <w:sz w:val="20"/>
          <w:szCs w:val="20"/>
          <w:color w:val="auto"/>
        </w:rPr>
      </w:pPr>
    </w:p>
    <w:p>
      <w:pPr>
        <w:ind w:left="1260" w:right="1980" w:hanging="1252"/>
        <w:spacing w:after="0" w:line="246"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2014, formatted in eXtensible Business Reporting Language (XBRL), filed herewith:</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120" w:hanging="232"/>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six months ended June 30, 2014 and 2013.</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272"/>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three and six months ended June 30, 2014 and 2013.</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12"/>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Balance Sheets at June 30, 2014 and December 31, 2013.</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120" w:hanging="322"/>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six months ended June 30, 2014 and 2013.</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120" w:hanging="282"/>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rFonts w:ascii="Arial" w:cs="Arial" w:eastAsia="Arial" w:hAnsi="Arial"/>
          <w:sz w:val="18"/>
          <w:szCs w:val="18"/>
          <w:color w:val="auto"/>
        </w:rPr>
      </w:pPr>
    </w:p>
    <w:p>
      <w:pPr>
        <w:ind w:left="1120"/>
        <w:spacing w:after="0" w:line="246" w:lineRule="auto"/>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1" w:name="page42"/>
    <w:bookmarkEnd w:id="41"/>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 xml:space="preserve"> .</w:t>
      </w:r>
    </w:p>
    <w:p>
      <w:pPr>
        <w:ind w:left="6260"/>
        <w:spacing w:after="0" w:line="234" w:lineRule="auto"/>
        <w:rPr>
          <w:sz w:val="20"/>
          <w:szCs w:val="20"/>
          <w:color w:val="auto"/>
        </w:rPr>
      </w:pPr>
      <w:r>
        <w:rPr>
          <w:rFonts w:ascii="Arial" w:cs="Arial" w:eastAsia="Arial" w:hAnsi="Arial"/>
          <w:sz w:val="18"/>
          <w:szCs w:val="18"/>
          <w:color w:val="auto"/>
        </w:rPr>
        <w:t>(Registrant)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7, 2014</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19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John B. Cozzolino</w:t>
      </w:r>
    </w:p>
    <w:p>
      <w:pPr>
        <w:ind w:left="474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40"/>
          </w:cols>
          <w:pgMar w:left="240" w:top="657" w:right="4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04" w:lineRule="exact"/>
        <w:rPr>
          <w:sz w:val="20"/>
          <w:szCs w:val="20"/>
          <w:color w:val="auto"/>
        </w:rPr>
      </w:pPr>
    </w:p>
    <w:p>
      <w:pPr>
        <w:ind w:left="72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03" w:lineRule="exact"/>
        <w:rPr>
          <w:rFonts w:ascii="Arial" w:cs="Arial" w:eastAsia="Arial" w:hAnsi="Arial"/>
          <w:sz w:val="18"/>
          <w:szCs w:val="18"/>
          <w:color w:val="auto"/>
        </w:rPr>
      </w:pPr>
    </w:p>
    <w:p>
      <w:pPr>
        <w:ind w:left="720" w:right="4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720" w:right="22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720" w:right="2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1080" w:right="40" w:hanging="356"/>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80" w:right="380" w:hanging="356"/>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80" w:right="320" w:hanging="356"/>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80" w:right="140" w:hanging="356"/>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720" w:right="24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80" w:hanging="356"/>
        <w:spacing w:after="0" w:line="246"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80" w:right="240" w:hanging="356"/>
        <w:spacing w:after="0" w:line="246"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5440"/>
        <w:spacing w:after="0" w:line="234" w:lineRule="auto"/>
        <w:rPr>
          <w:sz w:val="20"/>
          <w:szCs w:val="20"/>
          <w:color w:val="auto"/>
        </w:rPr>
      </w:pPr>
      <w:r>
        <w:rPr>
          <w:rFonts w:ascii="Arial" w:cs="Arial" w:eastAsia="Arial" w:hAnsi="Arial"/>
          <w:sz w:val="18"/>
          <w:szCs w:val="18"/>
          <w:color w:val="auto"/>
        </w:rPr>
        <w:t>Joseph G. Morone</w:t>
      </w:r>
    </w:p>
    <w:p>
      <w:pPr>
        <w:ind w:left="544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04" w:lineRule="exact"/>
        <w:rPr>
          <w:sz w:val="20"/>
          <w:szCs w:val="20"/>
          <w:color w:val="auto"/>
        </w:rPr>
      </w:pPr>
    </w:p>
    <w:p>
      <w:pPr>
        <w:ind w:left="7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03" w:lineRule="exact"/>
        <w:rPr>
          <w:rFonts w:ascii="Arial" w:cs="Arial" w:eastAsia="Arial" w:hAnsi="Arial"/>
          <w:sz w:val="18"/>
          <w:szCs w:val="18"/>
          <w:color w:val="auto"/>
        </w:rPr>
      </w:pPr>
    </w:p>
    <w:p>
      <w:pPr>
        <w:ind w:left="720" w:right="4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720" w:right="2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720" w:right="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1080" w:right="4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80" w:right="38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80" w:right="32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80" w:right="140" w:hanging="356"/>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720" w:right="24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80" w:hanging="356"/>
        <w:spacing w:after="0" w:line="24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80" w:right="240" w:hanging="356"/>
        <w:spacing w:after="0" w:line="24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5440"/>
        <w:spacing w:after="0" w:line="234" w:lineRule="auto"/>
        <w:rPr>
          <w:sz w:val="20"/>
          <w:szCs w:val="20"/>
          <w:color w:val="auto"/>
        </w:rPr>
      </w:pPr>
      <w:r>
        <w:rPr>
          <w:rFonts w:ascii="Arial" w:cs="Arial" w:eastAsia="Arial" w:hAnsi="Arial"/>
          <w:sz w:val="18"/>
          <w:szCs w:val="18"/>
          <w:color w:val="auto"/>
        </w:rPr>
        <w:t>John B. Cozzolino</w:t>
      </w:r>
    </w:p>
    <w:p>
      <w:pPr>
        <w:ind w:left="544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2014,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94"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03" w:lineRule="exact"/>
        <w:rPr>
          <w:rFonts w:ascii="Arial" w:cs="Arial" w:eastAsia="Arial" w:hAnsi="Arial"/>
          <w:sz w:val="18"/>
          <w:szCs w:val="18"/>
          <w:color w:val="auto"/>
        </w:rPr>
      </w:pPr>
    </w:p>
    <w:p>
      <w:pPr>
        <w:ind w:left="360" w:right="480" w:hanging="352"/>
        <w:spacing w:after="0" w:line="246"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2014</w:t>
      </w:r>
    </w:p>
    <w:p>
      <w:pPr>
        <w:spacing w:after="0" w:line="9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Joseph G. Morone</w:t>
      </w:r>
    </w:p>
    <w:p>
      <w:pPr>
        <w:ind w:left="5200"/>
        <w:spacing w:after="0" w:line="234" w:lineRule="auto"/>
        <w:rPr>
          <w:sz w:val="20"/>
          <w:szCs w:val="20"/>
          <w:color w:val="auto"/>
        </w:rPr>
      </w:pPr>
      <w:r>
        <w:rPr>
          <w:rFonts w:ascii="Arial" w:cs="Arial" w:eastAsia="Arial" w:hAnsi="Arial"/>
          <w:sz w:val="18"/>
          <w:szCs w:val="18"/>
          <w:color w:val="auto"/>
        </w:rPr>
        <w:t>Joseph G. Morone</w:t>
      </w:r>
    </w:p>
    <w:p>
      <w:pPr>
        <w:ind w:left="52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John B. Cozzolino</w:t>
      </w:r>
    </w:p>
    <w:p>
      <w:pPr>
        <w:ind w:left="5200"/>
        <w:spacing w:after="0" w:line="234" w:lineRule="auto"/>
        <w:rPr>
          <w:sz w:val="20"/>
          <w:szCs w:val="20"/>
          <w:color w:val="auto"/>
        </w:rPr>
      </w:pPr>
      <w:r>
        <w:rPr>
          <w:rFonts w:ascii="Arial" w:cs="Arial" w:eastAsia="Arial" w:hAnsi="Arial"/>
          <w:sz w:val="18"/>
          <w:szCs w:val="18"/>
          <w:color w:val="auto"/>
        </w:rPr>
        <w:t>John B. Cozzolino</w:t>
      </w:r>
    </w:p>
    <w:p>
      <w:pPr>
        <w:ind w:left="52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June 30, 2014</w:t>
      </w:r>
    </w:p>
    <w:p>
      <w:pPr>
        <w:spacing w:after="0" w:line="104" w:lineRule="exact"/>
        <w:rPr>
          <w:sz w:val="20"/>
          <w:szCs w:val="20"/>
          <w:color w:val="auto"/>
        </w:rPr>
      </w:pPr>
    </w:p>
    <w:p>
      <w:pPr>
        <w:ind w:right="240" w:firstLine="360"/>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ind w:right="20" w:firstLine="360"/>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$611.8 million. The potential loss in fair value resulting from a hypothetical 10% adverse change in quoted foreign currency exchange rates amounts to $61.2 million. Furthermore, related to foreign currency transactions, we have exposure to various nonfunctional currency balances totaling $138.9 million. This amount includes, on an absolute basis, exposures to assets and liabilities held in currencies other than our local entity’s functional currency. On a net basis, we had $58.7 million of foreign currency liabilities as of June 30, 2014. As currency rates change, these nonfunctional currency balances are revalued, and the corresponding adjustment is recorded in the income statement. A hypothetical change of 10% in currency rates could result in an adjustment to the income statement of approximately $5.9 million. Actual results may differ.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30, 2014,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1400" w:type="dxa"/>
            <w:vAlign w:val="bottom"/>
            <w:tcBorders>
              <w:top w:val="single" w:sz="8" w:color="auto"/>
            </w:tcBorders>
          </w:tcPr>
          <w:p>
            <w:pPr>
              <w:spacing w:after="0"/>
              <w:rPr>
                <w:sz w:val="16"/>
                <w:szCs w:val="16"/>
                <w:color w:val="auto"/>
              </w:rPr>
            </w:pPr>
          </w:p>
        </w:tc>
      </w:tr>
      <w:tr>
        <w:trPr>
          <w:trHeight w:val="181"/>
        </w:trPr>
        <w:tc>
          <w:tcPr>
            <w:tcW w:w="1002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1.22%</w:t>
            </w:r>
          </w:p>
        </w:tc>
        <w:tc>
          <w:tcPr>
            <w:tcW w:w="1400" w:type="dxa"/>
            <w:vAlign w:val="bottom"/>
          </w:tcPr>
          <w:p>
            <w:pPr>
              <w:jc w:val="right"/>
              <w:spacing w:after="0" w:line="181" w:lineRule="exact"/>
              <w:rPr>
                <w:sz w:val="20"/>
                <w:szCs w:val="20"/>
                <w:color w:val="auto"/>
              </w:rPr>
            </w:pPr>
            <w:r>
              <w:rPr>
                <w:rFonts w:ascii="Arial" w:cs="Arial" w:eastAsia="Arial" w:hAnsi="Arial"/>
                <w:sz w:val="18"/>
                <w:szCs w:val="18"/>
                <w:color w:val="auto"/>
              </w:rPr>
              <w:t>$692</w:t>
            </w:r>
          </w:p>
        </w:tc>
      </w:tr>
      <w:tr>
        <w:trPr>
          <w:trHeight w:val="225"/>
        </w:trPr>
        <w:tc>
          <w:tcPr>
            <w:tcW w:w="1002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400" w:type="dxa"/>
            <w:vAlign w:val="bottom"/>
          </w:tcPr>
          <w:p>
            <w:pPr>
              <w:spacing w:after="0"/>
              <w:rPr>
                <w:sz w:val="19"/>
                <w:szCs w:val="19"/>
                <w:color w:val="auto"/>
              </w:rPr>
            </w:pPr>
          </w:p>
        </w:tc>
      </w:tr>
      <w:tr>
        <w:trPr>
          <w:trHeight w:val="203"/>
        </w:trPr>
        <w:tc>
          <w:tcPr>
            <w:tcW w:w="1002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 1.54% in</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78,000</w:t>
            </w:r>
          </w:p>
        </w:tc>
      </w:tr>
      <w:tr>
        <w:trPr>
          <w:trHeight w:val="217"/>
        </w:trPr>
        <w:tc>
          <w:tcPr>
            <w:tcW w:w="10020" w:type="dxa"/>
            <w:vAlign w:val="bottom"/>
          </w:tcPr>
          <w:p>
            <w:pPr>
              <w:spacing w:after="0"/>
              <w:rPr>
                <w:sz w:val="20"/>
                <w:szCs w:val="20"/>
                <w:color w:val="auto"/>
              </w:rPr>
            </w:pPr>
            <w:r>
              <w:rPr>
                <w:rFonts w:ascii="Arial" w:cs="Arial" w:eastAsia="Arial" w:hAnsi="Arial"/>
                <w:sz w:val="18"/>
                <w:szCs w:val="18"/>
                <w:color w:val="auto"/>
              </w:rPr>
              <w:t>2014, due in 2018</w:t>
            </w:r>
          </w:p>
        </w:tc>
        <w:tc>
          <w:tcPr>
            <w:tcW w:w="1400" w:type="dxa"/>
            <w:vAlign w:val="bottom"/>
          </w:tcPr>
          <w:p>
            <w:pPr>
              <w:spacing w:after="0"/>
              <w:rPr>
                <w:sz w:val="18"/>
                <w:szCs w:val="18"/>
                <w:color w:val="auto"/>
              </w:rPr>
            </w:pPr>
          </w:p>
        </w:tc>
      </w:tr>
      <w:tr>
        <w:trPr>
          <w:trHeight w:val="391"/>
        </w:trPr>
        <w:tc>
          <w:tcPr>
            <w:tcW w:w="1002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 period</w:t>
            </w:r>
          </w:p>
        </w:tc>
        <w:tc>
          <w:tcPr>
            <w:tcW w:w="14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03"/>
        </w:trPr>
        <w:tc>
          <w:tcPr>
            <w:tcW w:w="100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rate of 2.9% in 2014, due in varying amounts through 2014</w:t>
            </w:r>
          </w:p>
        </w:tc>
        <w:tc>
          <w:tcPr>
            <w:tcW w:w="1400" w:type="dxa"/>
            <w:vAlign w:val="bottom"/>
            <w:tcBorders>
              <w:bottom w:val="single" w:sz="8" w:color="auto"/>
            </w:tcBorders>
          </w:tcPr>
          <w:p>
            <w:pPr>
              <w:spacing w:after="0"/>
              <w:rPr>
                <w:sz w:val="17"/>
                <w:szCs w:val="17"/>
                <w:color w:val="auto"/>
              </w:rPr>
            </w:pPr>
          </w:p>
        </w:tc>
      </w:tr>
      <w:tr>
        <w:trPr>
          <w:trHeight w:val="399"/>
        </w:trPr>
        <w:tc>
          <w:tcPr>
            <w:tcW w:w="10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$79,942</w:t>
            </w:r>
          </w:p>
        </w:tc>
      </w:tr>
    </w:tbl>
    <w:p>
      <w:pPr>
        <w:spacing w:after="0" w:line="242" w:lineRule="exact"/>
        <w:rPr>
          <w:sz w:val="20"/>
          <w:szCs w:val="20"/>
          <w:color w:val="auto"/>
        </w:rPr>
      </w:pPr>
    </w:p>
    <w:p>
      <w:pPr>
        <w:ind w:right="260" w:firstLine="360"/>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$ 0.8 million. To manage interest rate risk, we may periodically enter into interest rate swap agreements to effectively fix the interest rates on variable debt to a specific rate for a period of time.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4"/>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decimal"/>
      <w:start w:val="15"/>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
      <w:numFmt w:val="bullet"/>
      <w:start w:val="1"/>
    </w:lvl>
  </w:abstractNum>
  <w:abstractNum w:abstractNumId="8">
    <w:nsid w:val="628C895D"/>
    <w:multiLevelType w:val="hybridMultilevel"/>
    <w:lvl w:ilvl="0">
      <w:lvlJc w:val="left"/>
      <w:lvlText w:val="·"/>
      <w:numFmt w:val="bullet"/>
      <w:start w:val="1"/>
    </w:lvl>
    <w:lvl w:ilvl="1">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01"/>
    </w:lvl>
    <w:lvl w:ilvl="1">
      <w:lvlJc w:val="left"/>
      <w:lvlText w:val="(%2)"/>
      <w:numFmt w:val="lowerRoman"/>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2019-12-06T00:06:29Z</dcterms:created>
  <dcterms:modified xsi:type="dcterms:W3CDTF">2019-12-06T00:06:29Z</dcterms:modified>
</cp:coreProperties>
</file>