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UNITED STATES SECURITIES AND EXCHANGE COMMISSION</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Washington, D.C. 20549</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 xml:space="preserve">Form 10-Q </w:t>
      </w:r>
    </w:p>
    <w:tbl>
      <w:tblPr>
        <w:tblW w:w="8996" w:type="dxa"/>
        <w:jc w:val="left"/>
        <w:tblInd w:w="0" w:type="dxa"/>
        <w:tblLayout w:type="fixed"/>
        <w:tblCellMar>
          <w:top w:w="28" w:type="dxa"/>
          <w:left w:w="28" w:type="dxa"/>
          <w:bottom w:w="28" w:type="dxa"/>
          <w:right w:w="28" w:type="dxa"/>
        </w:tblCellMar>
      </w:tblPr>
      <w:tblGrid>
        <w:gridCol w:w="124"/>
        <w:gridCol w:w="109"/>
        <w:gridCol w:w="109"/>
        <w:gridCol w:w="1347"/>
        <w:gridCol w:w="1347"/>
        <w:gridCol w:w="1347"/>
        <w:gridCol w:w="1347"/>
        <w:gridCol w:w="1347"/>
        <w:gridCol w:w="1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5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quarterly period ended:</w:t>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31, 2024</w:t>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OR</w:t>
      </w:r>
    </w:p>
    <w:tbl>
      <w:tblPr>
        <w:tblW w:w="8982" w:type="dxa"/>
        <w:jc w:val="left"/>
        <w:tblInd w:w="0" w:type="dxa"/>
        <w:tblLayout w:type="fixed"/>
        <w:tblCellMar>
          <w:top w:w="28" w:type="dxa"/>
          <w:left w:w="28" w:type="dxa"/>
          <w:bottom w:w="28" w:type="dxa"/>
          <w:right w:w="28" w:type="dxa"/>
        </w:tblCellMar>
      </w:tblPr>
      <w:tblGrid>
        <w:gridCol w:w="124"/>
        <w:gridCol w:w="109"/>
        <w:gridCol w:w="109"/>
        <w:gridCol w:w="2529"/>
        <w:gridCol w:w="2529"/>
        <w:gridCol w:w="35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transition period from __________ to __________</w:t>
            </w:r>
          </w:p>
        </w:tc>
      </w:tr>
    </w:tbl>
    <w:p>
      <w:pPr>
        <w:pStyle w:val="TextBody"/>
        <w:bidi w:val="0"/>
        <w:spacing w:lineRule="auto" w:line="288" w:before="0" w:after="0"/>
        <w:jc w:val="center"/>
        <w:rPr/>
      </w:pPr>
      <w:r>
        <w:rPr>
          <w:rFonts w:ascii="Arial;sans-serif" w:hAnsi="Arial;sans-serif"/>
          <w:b/>
          <w:color w:val="000000"/>
          <w:sz w:val="20"/>
        </w:rPr>
        <w:t>Commission file number: </w:t>
      </w:r>
      <w:r>
        <w:rPr>
          <w:rFonts w:ascii="Arial;sans-serif" w:hAnsi="Arial;sans-serif"/>
          <w:b/>
          <w:color w:val="000000"/>
          <w:sz w:val="20"/>
          <w:u w:val="single"/>
        </w:rPr>
        <w:t>1-10026</w:t>
      </w:r>
      <w:r>
        <w:rPr>
          <w:color w:val="000000"/>
        </w:rPr>
        <w:t xml:space="preserve"> </w:t>
      </w:r>
    </w:p>
    <w:tbl>
      <w:tblPr>
        <w:tblW w:w="6584" w:type="dxa"/>
        <w:jc w:val="center"/>
        <w:tblInd w:w="0" w:type="dxa"/>
        <w:tblLayout w:type="fixed"/>
        <w:tblCellMar>
          <w:top w:w="28" w:type="dxa"/>
          <w:left w:w="28" w:type="dxa"/>
          <w:bottom w:w="28" w:type="dxa"/>
          <w:right w:w="28" w:type="dxa"/>
        </w:tblCellMar>
      </w:tblPr>
      <w:tblGrid>
        <w:gridCol w:w="2109"/>
        <w:gridCol w:w="1853"/>
        <w:gridCol w:w="2622"/>
      </w:tblGrid>
      <w:tr>
        <w:trPr/>
        <w:tc>
          <w:tcPr>
            <w:tcW w:w="21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lineRule="auto" w:line="240" w:before="300" w:after="283"/>
              <w:jc w:val="center"/>
              <w:rPr>
                <w:rFonts w:ascii="Arial;sans-serif" w:hAnsi="Arial;sans-serif"/>
                <w:b/>
                <w:color w:val="000000"/>
                <w:sz w:val="40"/>
              </w:rPr>
            </w:pPr>
            <w:r>
              <w:rPr>
                <w:rFonts w:ascii="Arial;sans-serif" w:hAnsi="Arial;sans-serif"/>
                <w:b/>
                <w:color w:val="000000"/>
                <w:sz w:val="40"/>
              </w:rPr>
              <w:t>ALBANY INTERNATIONAL CORP.</w:t>
            </w:r>
          </w:p>
        </w:tc>
      </w:tr>
      <w:tr>
        <w:trPr/>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Delaware </w:t>
      </w:r>
    </w:p>
    <w:tbl>
      <w:tblPr>
        <w:tblW w:w="5189" w:type="dxa"/>
        <w:jc w:val="center"/>
        <w:tblInd w:w="0" w:type="dxa"/>
        <w:tblLayout w:type="fixed"/>
        <w:tblCellMar>
          <w:top w:w="28" w:type="dxa"/>
          <w:left w:w="28" w:type="dxa"/>
          <w:bottom w:w="28" w:type="dxa"/>
          <w:right w:w="28" w:type="dxa"/>
        </w:tblCellMar>
      </w:tblPr>
      <w:tblGrid>
        <w:gridCol w:w="1659"/>
        <w:gridCol w:w="1460"/>
        <w:gridCol w:w="2070"/>
      </w:tblGrid>
      <w:tr>
        <w:trPr/>
        <w:tc>
          <w:tcPr>
            <w:tcW w:w="165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216 Airport Drive, Rochester, New Hampshire </w:t>
      </w:r>
    </w:p>
    <w:tbl>
      <w:tblPr>
        <w:tblW w:w="3555" w:type="dxa"/>
        <w:jc w:val="center"/>
        <w:tblInd w:w="0" w:type="dxa"/>
        <w:tblLayout w:type="fixed"/>
        <w:tblCellMar>
          <w:top w:w="28" w:type="dxa"/>
          <w:left w:w="28" w:type="dxa"/>
          <w:bottom w:w="28" w:type="dxa"/>
          <w:right w:w="28" w:type="dxa"/>
        </w:tblCellMar>
      </w:tblPr>
      <w:tblGrid>
        <w:gridCol w:w="1138"/>
        <w:gridCol w:w="1000"/>
        <w:gridCol w:w="1417"/>
      </w:tblGrid>
      <w:tr>
        <w:trPr/>
        <w:tc>
          <w:tcPr>
            <w:tcW w:w="113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14-0462060 </w:t>
      </w:r>
    </w:p>
    <w:tbl>
      <w:tblPr>
        <w:tblW w:w="3030" w:type="dxa"/>
        <w:jc w:val="center"/>
        <w:tblInd w:w="0" w:type="dxa"/>
        <w:tblLayout w:type="fixed"/>
        <w:tblCellMar>
          <w:top w:w="28" w:type="dxa"/>
          <w:left w:w="28" w:type="dxa"/>
          <w:bottom w:w="28" w:type="dxa"/>
          <w:right w:w="28" w:type="dxa"/>
        </w:tblCellMar>
      </w:tblPr>
      <w:tblGrid>
        <w:gridCol w:w="969"/>
        <w:gridCol w:w="852"/>
        <w:gridCol w:w="1209"/>
      </w:tblGrid>
      <w:tr>
        <w:trPr/>
        <w:tc>
          <w:tcPr>
            <w:tcW w:w="96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03867 </w:t>
      </w:r>
    </w:p>
    <w:tbl>
      <w:tblPr>
        <w:tblW w:w="1064" w:type="dxa"/>
        <w:jc w:val="center"/>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603-330-5800 </w:t>
      </w:r>
    </w:p>
    <w:tbl>
      <w:tblPr>
        <w:tblW w:w="4725" w:type="dxa"/>
        <w:jc w:val="center"/>
        <w:tblInd w:w="0" w:type="dxa"/>
        <w:tblLayout w:type="fixed"/>
        <w:tblCellMar>
          <w:top w:w="28" w:type="dxa"/>
          <w:left w:w="28" w:type="dxa"/>
          <w:bottom w:w="28" w:type="dxa"/>
          <w:right w:w="28" w:type="dxa"/>
        </w:tblCellMar>
      </w:tblPr>
      <w:tblGrid>
        <w:gridCol w:w="1514"/>
        <w:gridCol w:w="1330"/>
        <w:gridCol w:w="1881"/>
      </w:tblGrid>
      <w:tr>
        <w:trPr/>
        <w:tc>
          <w:tcPr>
            <w:tcW w:w="151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r>
    </w:tbl>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Securities registered pursuant to Section 12(b) of the Act:</w:t>
      </w:r>
    </w:p>
    <w:tbl>
      <w:tblPr>
        <w:tblW w:w="9734" w:type="dxa"/>
        <w:jc w:val="left"/>
        <w:tblInd w:w="0" w:type="dxa"/>
        <w:tblLayout w:type="fixed"/>
        <w:tblCellMar>
          <w:top w:w="28" w:type="dxa"/>
          <w:left w:w="28" w:type="dxa"/>
          <w:bottom w:w="28" w:type="dxa"/>
          <w:right w:w="28" w:type="dxa"/>
        </w:tblCellMar>
      </w:tblPr>
      <w:tblGrid>
        <w:gridCol w:w="1570"/>
        <w:gridCol w:w="1380"/>
        <w:gridCol w:w="1385"/>
        <w:gridCol w:w="534"/>
        <w:gridCol w:w="534"/>
        <w:gridCol w:w="536"/>
        <w:gridCol w:w="1108"/>
        <w:gridCol w:w="1108"/>
        <w:gridCol w:w="1579"/>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3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$0.001 par value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AIN</w:t>
            </w:r>
          </w:p>
        </w:tc>
        <w:tc>
          <w:tcPr>
            <w:tcW w:w="37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New York Stock Exchange (NYSE)</w:t>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75" w:type="dxa"/>
        <w:jc w:val="left"/>
        <w:tblInd w:w="0" w:type="dxa"/>
        <w:tblLayout w:type="fixed"/>
        <w:tblCellMar>
          <w:top w:w="28" w:type="dxa"/>
          <w:left w:w="28" w:type="dxa"/>
          <w:bottom w:w="28" w:type="dxa"/>
          <w:right w:w="28" w:type="dxa"/>
        </w:tblCellMar>
      </w:tblPr>
      <w:tblGrid>
        <w:gridCol w:w="721"/>
        <w:gridCol w:w="635"/>
        <w:gridCol w:w="638"/>
        <w:gridCol w:w="109"/>
        <w:gridCol w:w="109"/>
        <w:gridCol w:w="109"/>
        <w:gridCol w:w="109"/>
        <w:gridCol w:w="109"/>
        <w:gridCol w:w="109"/>
        <w:gridCol w:w="784"/>
        <w:gridCol w:w="784"/>
        <w:gridCol w:w="787"/>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bl>
    <w:p>
      <w:pPr>
        <w:pStyle w:val="TextBody"/>
        <w:bidi w:val="0"/>
        <w:spacing w:lineRule="auto" w:line="288" w:before="20" w:after="283"/>
        <w:jc w:val="both"/>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sans-serif" w:hAnsi="Arial;sans-serif"/>
          <w:b w:val="false"/>
          <w:color w:val="000000"/>
          <w:sz w:val="20"/>
        </w:rPr>
        <w:t xml:space="preserve">. </w:t>
      </w:r>
      <w:r>
        <w:rPr>
          <w:color w:val="000000"/>
        </w:rPr>
        <w:t>☐</w:t>
      </w:r>
    </w:p>
    <w:p>
      <w:pPr>
        <w:pStyle w:val="TextBody"/>
        <w:bidi w:val="0"/>
        <w:spacing w:lineRule="auto" w:line="288" w:before="60" w:after="283"/>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The registrant had 31.2 million shares of Class A Common Stock outstanding as of April 15,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23"/>
        <w:gridCol w:w="371"/>
        <w:gridCol w:w="371"/>
        <w:gridCol w:w="2729"/>
        <w:gridCol w:w="2693"/>
        <w:gridCol w:w="2729"/>
        <w:gridCol w:w="258"/>
        <w:gridCol w:w="258"/>
        <w:gridCol w:w="373"/>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Page No.</w:t>
            </w:r>
          </w:p>
        </w:tc>
      </w:tr>
      <w:tr>
        <w:trPr/>
        <w:tc>
          <w:tcPr>
            <w:tcW w:w="9316" w:type="dxa"/>
            <w:gridSpan w:val="6"/>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0">
              <w:r>
                <w:rPr>
                  <w:rStyle w:val="InternetLink"/>
                  <w:rFonts w:ascii="Arial;sans-serif" w:hAnsi="Arial;sans-serif"/>
                  <w:b/>
                  <w:strike w:val="false"/>
                  <w:dstrike w:val="false"/>
                  <w:color w:val="0000FF"/>
                  <w:sz w:val="18"/>
                  <w:u w:val="none"/>
                  <w:effect w:val="none"/>
                </w:rPr>
                <w:t>Part I Financial information</w:t>
              </w:r>
            </w:hyperlink>
          </w:p>
        </w:tc>
        <w:tc>
          <w:tcPr>
            <w:tcW w:w="889" w:type="dxa"/>
            <w:gridSpan w:val="3"/>
            <w:tcBorders>
              <w:top w:val="single" w:sz="8" w:space="0" w:color="000000"/>
            </w:tcBorders>
            <w:shd w:fill="B2B2B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3">
              <w:r>
                <w:rPr>
                  <w:rStyle w:val="InternetLink"/>
                  <w:rFonts w:ascii="Arial;sans-serif" w:hAnsi="Arial;sans-serif"/>
                  <w:b w:val="false"/>
                  <w:color w:val="0000FF"/>
                  <w:sz w:val="18"/>
                  <w:u w:val="single"/>
                </w:rPr>
                <w:t>Item 1.</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3">
              <w:r>
                <w:rPr>
                  <w:rStyle w:val="InternetLink"/>
                  <w:rFonts w:ascii="Arial;sans-serif" w:hAnsi="Arial;sans-serif"/>
                  <w:b w:val="false"/>
                  <w:color w:val="0000FF"/>
                  <w:sz w:val="18"/>
                  <w:u w:val="single"/>
                </w:rPr>
                <w:t>Financial Statements</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6">
              <w:r>
                <w:rPr>
                  <w:rStyle w:val="InternetLink"/>
                  <w:rFonts w:ascii="Arial;sans-serif" w:hAnsi="Arial;sans-serif"/>
                  <w:b w:val="false"/>
                  <w:color w:val="000080"/>
                  <w:sz w:val="18"/>
                  <w:u w:val="single"/>
                </w:rPr>
                <w:t>Consolidated statements of income – three</w:t>
              </w:r>
            </w:hyperlink>
            <w:hyperlink w:anchor="i7f75ab054056475b9edd48424390d5b5_16">
              <w:r>
                <w:rPr>
                  <w:rStyle w:val="InternetLink"/>
                  <w:rFonts w:ascii="Arial;sans-serif" w:hAnsi="Arial;sans-serif"/>
                  <w:b w:val="false"/>
                  <w:color w:val="000080"/>
                  <w:sz w:val="18"/>
                  <w:u w:val="single"/>
                </w:rPr>
                <w:t xml:space="preserve"> months ended </w:t>
              </w:r>
            </w:hyperlink>
            <w:r>
              <w:rPr>
                <w:rFonts w:ascii="Arial;sans-serif" w:hAnsi="Arial;sans-serif"/>
                <w:b w:val="false"/>
                <w:color w:val="000000"/>
                <w:sz w:val="18"/>
              </w:rPr>
              <w:t>March 31, 2024</w:t>
            </w:r>
            <w:hyperlink w:anchor="i7f75ab054056475b9edd48424390d5b5_16">
              <w:r>
                <w:rPr>
                  <w:rStyle w:val="InternetLink"/>
                  <w:color w:val="0000FF"/>
                  <w:u w:val="single"/>
                </w:rPr>
                <w:t xml:space="preserve"> </w:t>
              </w:r>
            </w:hyperlink>
            <w:hyperlink w:anchor="i7f75ab054056475b9edd48424390d5b5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2023</w:t>
            </w:r>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16">
              <w:r>
                <w:rPr>
                  <w:rStyle w:val="InternetLink"/>
                  <w:rFonts w:ascii="Arial;sans-serif" w:hAnsi="Arial;sans-serif"/>
                  <w:b w:val="false"/>
                  <w:color w:val="0000FF"/>
                  <w:sz w:val="18"/>
                  <w:u w:val="single"/>
                </w:rPr>
                <w:t>1</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9">
              <w:r>
                <w:rPr>
                  <w:rStyle w:val="InternetLink"/>
                  <w:rFonts w:ascii="Arial;sans-serif" w:hAnsi="Arial;sans-serif"/>
                  <w:b w:val="false"/>
                  <w:color w:val="0000FF"/>
                  <w:sz w:val="18"/>
                  <w:u w:val="single"/>
                </w:rPr>
                <w:t xml:space="preserve">Consolidated statements of comprehensive income/(loss) – </w:t>
              </w:r>
            </w:hyperlink>
            <w:r>
              <w:rPr>
                <w:rFonts w:ascii="Arial;sans-serif" w:hAnsi="Arial;sans-serif"/>
                <w:b w:val="false"/>
                <w:color w:val="000000"/>
                <w:sz w:val="18"/>
              </w:rPr>
              <w:t>three</w:t>
            </w:r>
            <w:hyperlink w:anchor="i7f75ab054056475b9edd48424390d5b5_19">
              <w:r>
                <w:rPr>
                  <w:rStyle w:val="InternetLink"/>
                  <w:color w:val="0000FF"/>
                  <w:u w:val="single"/>
                </w:rPr>
                <w:t xml:space="preserve"> </w:t>
              </w:r>
            </w:hyperlink>
            <w:hyperlink w:anchor="i7f75ab054056475b9edd48424390d5b5_19">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March 31, 2024</w:t>
            </w:r>
            <w:hyperlink w:anchor="i7f75ab054056475b9edd48424390d5b5_16">
              <w:r>
                <w:rPr>
                  <w:rStyle w:val="InternetLink"/>
                  <w:color w:val="0000FF"/>
                  <w:u w:val="single"/>
                </w:rPr>
                <w:t xml:space="preserve"> </w:t>
              </w:r>
            </w:hyperlink>
            <w:hyperlink w:anchor="i7f75ab054056475b9edd48424390d5b5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2023</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19">
              <w:r>
                <w:rPr>
                  <w:rStyle w:val="InternetLink"/>
                  <w:rFonts w:ascii="Arial;sans-serif" w:hAnsi="Arial;sans-serif"/>
                  <w:b w:val="false"/>
                  <w:color w:val="0000FF"/>
                  <w:sz w:val="18"/>
                  <w:u w:val="single"/>
                </w:rPr>
                <w:t>2</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22">
              <w:r>
                <w:rPr>
                  <w:rStyle w:val="InternetLink"/>
                  <w:rFonts w:ascii="Arial;sans-serif" w:hAnsi="Arial;sans-serif"/>
                  <w:b w:val="false"/>
                  <w:color w:val="0000FF"/>
                  <w:sz w:val="18"/>
                  <w:u w:val="single"/>
                </w:rPr>
                <w:t xml:space="preserve">Consolidated balance sheets as of </w:t>
              </w:r>
            </w:hyperlink>
            <w:r>
              <w:rPr>
                <w:rFonts w:ascii="Arial;sans-serif" w:hAnsi="Arial;sans-serif"/>
                <w:b w:val="false"/>
                <w:color w:val="000000"/>
                <w:sz w:val="18"/>
              </w:rPr>
              <w:t>March 31, 2024</w:t>
            </w:r>
            <w:hyperlink w:anchor="i7f75ab054056475b9edd48424390d5b5_22">
              <w:r>
                <w:rPr>
                  <w:rStyle w:val="InternetLink"/>
                  <w:color w:val="0000FF"/>
                  <w:u w:val="single"/>
                </w:rPr>
                <w:t xml:space="preserve"> </w:t>
              </w:r>
            </w:hyperlink>
            <w:hyperlink w:anchor="i7f75ab054056475b9edd48424390d5b5_22">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December 31, 2023</w:t>
            </w:r>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22">
              <w:r>
                <w:rPr>
                  <w:rStyle w:val="InternetLink"/>
                  <w:rFonts w:ascii="Arial;sans-serif" w:hAnsi="Arial;sans-serif"/>
                  <w:b w:val="false"/>
                  <w:color w:val="0000FF"/>
                  <w:sz w:val="18"/>
                  <w:u w:val="single"/>
                </w:rPr>
                <w:t>3</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25">
              <w:r>
                <w:rPr>
                  <w:rStyle w:val="InternetLink"/>
                  <w:rFonts w:ascii="Arial;sans-serif" w:hAnsi="Arial;sans-serif"/>
                  <w:b w:val="false"/>
                  <w:color w:val="0000FF"/>
                  <w:sz w:val="18"/>
                  <w:u w:val="single"/>
                </w:rPr>
                <w:t xml:space="preserve">Consolidated statements of cash flows – </w:t>
              </w:r>
            </w:hyperlink>
            <w:r>
              <w:rPr>
                <w:rFonts w:ascii="Arial;sans-serif" w:hAnsi="Arial;sans-serif"/>
                <w:b w:val="false"/>
                <w:color w:val="000000"/>
                <w:sz w:val="18"/>
              </w:rPr>
              <w:t>three</w:t>
            </w:r>
            <w:hyperlink w:anchor="i7f75ab054056475b9edd48424390d5b5_25">
              <w:r>
                <w:rPr>
                  <w:rStyle w:val="InternetLink"/>
                  <w:color w:val="0000FF"/>
                  <w:u w:val="single"/>
                </w:rPr>
                <w:t xml:space="preserve"> </w:t>
              </w:r>
            </w:hyperlink>
            <w:hyperlink w:anchor="i7f75ab054056475b9edd48424390d5b5_25">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March 31, 2024</w:t>
            </w:r>
            <w:hyperlink w:anchor="i7f75ab054056475b9edd48424390d5b5_16">
              <w:r>
                <w:rPr>
                  <w:rStyle w:val="InternetLink"/>
                  <w:color w:val="0000FF"/>
                  <w:u w:val="single"/>
                </w:rPr>
                <w:t xml:space="preserve"> </w:t>
              </w:r>
            </w:hyperlink>
            <w:hyperlink w:anchor="i7f75ab054056475b9edd48424390d5b5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2023</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25">
              <w:r>
                <w:rPr>
                  <w:rStyle w:val="InternetLink"/>
                  <w:rFonts w:ascii="Arial;sans-serif" w:hAnsi="Arial;sans-serif"/>
                  <w:b w:val="false"/>
                  <w:color w:val="0000FF"/>
                  <w:sz w:val="18"/>
                  <w:u w:val="single"/>
                </w:rPr>
                <w:t>4</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28">
              <w:r>
                <w:rPr>
                  <w:rStyle w:val="InternetLink"/>
                  <w:rFonts w:ascii="Arial;sans-serif" w:hAnsi="Arial;sans-serif"/>
                  <w:b w:val="false"/>
                  <w:color w:val="0000FF"/>
                  <w:sz w:val="18"/>
                  <w:u w:val="single"/>
                </w:rPr>
                <w:t>Notes to consolidated financial statements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28">
              <w:r>
                <w:rPr>
                  <w:rStyle w:val="InternetLink"/>
                  <w:rFonts w:ascii="Arial;sans-serif" w:hAnsi="Arial;sans-serif"/>
                  <w:b w:val="false"/>
                  <w:color w:val="0000FF"/>
                  <w:sz w:val="18"/>
                  <w:u w:val="single"/>
                </w:rPr>
                <w:t>5</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88">
              <w:r>
                <w:rPr>
                  <w:rStyle w:val="InternetLink"/>
                  <w:rFonts w:ascii="Arial;sans-serif" w:hAnsi="Arial;sans-serif"/>
                  <w:b w:val="false"/>
                  <w:color w:val="0000FF"/>
                  <w:sz w:val="18"/>
                  <w:u w:val="single"/>
                </w:rPr>
                <w:t>Item 2.</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88">
              <w:r>
                <w:rPr>
                  <w:rStyle w:val="InternetLink"/>
                  <w:rFonts w:ascii="Arial;sans-serif" w:hAnsi="Arial;sans-serif"/>
                  <w:b w:val="false"/>
                  <w:color w:val="0000FF"/>
                  <w:sz w:val="18"/>
                  <w:u w:val="single"/>
                </w:rPr>
                <w:t>Management’s Discussion and Analysis of Financial Condition and Results of Operations</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88">
              <w:r>
                <w:rPr>
                  <w:rStyle w:val="InternetLink"/>
                  <w:rFonts w:ascii="Arial;sans-serif" w:hAnsi="Arial;sans-serif"/>
                  <w:b w:val="false"/>
                  <w:color w:val="0000FF"/>
                  <w:sz w:val="18"/>
                  <w:u w:val="single"/>
                </w:rPr>
                <w:t>20</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91">
              <w:r>
                <w:rPr>
                  <w:rStyle w:val="InternetLink"/>
                  <w:rFonts w:ascii="Arial;sans-serif" w:hAnsi="Arial;sans-serif"/>
                  <w:b w:val="false"/>
                  <w:color w:val="0000FF"/>
                  <w:sz w:val="18"/>
                  <w:u w:val="single"/>
                </w:rPr>
                <w:t>Forward-looking statements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91">
              <w:r>
                <w:rPr>
                  <w:rStyle w:val="InternetLink"/>
                  <w:rFonts w:ascii="Arial;sans-serif" w:hAnsi="Arial;sans-serif"/>
                  <w:b w:val="false"/>
                  <w:color w:val="0000FF"/>
                  <w:sz w:val="18"/>
                  <w:u w:val="single"/>
                </w:rPr>
                <w:t>20</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09">
              <w:r>
                <w:rPr>
                  <w:rStyle w:val="InternetLink"/>
                  <w:rFonts w:ascii="Arial;sans-serif" w:hAnsi="Arial;sans-serif"/>
                  <w:b w:val="false"/>
                  <w:color w:val="0000FF"/>
                  <w:sz w:val="18"/>
                  <w:u w:val="single"/>
                </w:rPr>
                <w:t>Item 3.</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09">
              <w:r>
                <w:rPr>
                  <w:rStyle w:val="InternetLink"/>
                  <w:rFonts w:ascii="Arial;sans-serif" w:hAnsi="Arial;sans-serif"/>
                  <w:b w:val="false"/>
                  <w:color w:val="0000FF"/>
                  <w:sz w:val="18"/>
                  <w:u w:val="single"/>
                </w:rPr>
                <w:t>Quantitative and Qualitative Disclosures about Market Risk</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109">
              <w:r>
                <w:rPr>
                  <w:rStyle w:val="InternetLink"/>
                  <w:rFonts w:ascii="Arial;sans-serif" w:hAnsi="Arial;sans-serif"/>
                  <w:b w:val="false"/>
                  <w:color w:val="0000FF"/>
                  <w:sz w:val="18"/>
                  <w:u w:val="single"/>
                </w:rPr>
                <w:t>29</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12">
              <w:r>
                <w:rPr>
                  <w:rStyle w:val="InternetLink"/>
                  <w:rFonts w:ascii="Arial;sans-serif" w:hAnsi="Arial;sans-serif"/>
                  <w:b w:val="false"/>
                  <w:color w:val="0000FF"/>
                  <w:sz w:val="18"/>
                  <w:u w:val="single"/>
                </w:rPr>
                <w:t>Item 4.</w:t>
              </w:r>
            </w:hyperlink>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12">
              <w:r>
                <w:rPr>
                  <w:rStyle w:val="InternetLink"/>
                  <w:rFonts w:ascii="Arial;sans-serif" w:hAnsi="Arial;sans-serif"/>
                  <w:b w:val="false"/>
                  <w:color w:val="0000FF"/>
                  <w:sz w:val="18"/>
                  <w:u w:val="single"/>
                </w:rPr>
                <w:t>Controls and Procedures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112">
              <w:r>
                <w:rPr>
                  <w:rStyle w:val="InternetLink"/>
                  <w:rFonts w:ascii="Arial;sans-serif" w:hAnsi="Arial;sans-serif"/>
                  <w:b w:val="false"/>
                  <w:color w:val="0000FF"/>
                  <w:sz w:val="18"/>
                  <w:u w:val="single"/>
                </w:rPr>
                <w:t>29</w:t>
              </w:r>
            </w:hyperlink>
          </w:p>
        </w:tc>
      </w:tr>
      <w:tr>
        <w:trPr/>
        <w:tc>
          <w:tcPr>
            <w:tcW w:w="931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15">
              <w:r>
                <w:rPr>
                  <w:rStyle w:val="InternetLink"/>
                  <w:rFonts w:ascii="Arial;sans-serif" w:hAnsi="Arial;sans-serif"/>
                  <w:b/>
                  <w:strike w:val="false"/>
                  <w:dstrike w:val="false"/>
                  <w:color w:val="0000FF"/>
                  <w:sz w:val="18"/>
                  <w:u w:val="none"/>
                  <w:effect w:val="none"/>
                </w:rPr>
                <w:t>Part II Other Information</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18">
              <w:r>
                <w:rPr>
                  <w:rStyle w:val="InternetLink"/>
                  <w:rFonts w:ascii="Arial;sans-serif" w:hAnsi="Arial;sans-serif"/>
                  <w:b w:val="false"/>
                  <w:color w:val="0000FF"/>
                  <w:sz w:val="18"/>
                  <w:u w:val="single"/>
                </w:rPr>
                <w:t>Item 1.</w:t>
              </w:r>
            </w:hyperlink>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18">
              <w:r>
                <w:rPr>
                  <w:rStyle w:val="InternetLink"/>
                  <w:rFonts w:ascii="Arial;sans-serif" w:hAnsi="Arial;sans-serif"/>
                  <w:b w:val="false"/>
                  <w:color w:val="0000FF"/>
                  <w:sz w:val="18"/>
                  <w:u w:val="single"/>
                </w:rPr>
                <w:t>Legal Proceedings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118">
              <w:r>
                <w:rPr>
                  <w:rStyle w:val="InternetLink"/>
                  <w:rFonts w:ascii="Arial;sans-serif" w:hAnsi="Arial;sans-serif"/>
                  <w:b w:val="false"/>
                  <w:color w:val="0000FF"/>
                  <w:sz w:val="18"/>
                  <w:u w:val="single"/>
                </w:rPr>
                <w:t>30</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21">
              <w:r>
                <w:rPr>
                  <w:rStyle w:val="InternetLink"/>
                  <w:rFonts w:ascii="Arial;sans-serif" w:hAnsi="Arial;sans-serif"/>
                  <w:b w:val="false"/>
                  <w:color w:val="0000FF"/>
                  <w:sz w:val="18"/>
                  <w:u w:val="single"/>
                </w:rPr>
                <w:t>Item 1A.</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21">
              <w:r>
                <w:rPr>
                  <w:rStyle w:val="InternetLink"/>
                  <w:rFonts w:ascii="Arial;sans-serif" w:hAnsi="Arial;sans-serif"/>
                  <w:b w:val="false"/>
                  <w:color w:val="0000FF"/>
                  <w:sz w:val="18"/>
                  <w:u w:val="single"/>
                </w:rPr>
                <w:t>Risk Factors</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121">
              <w:r>
                <w:rPr>
                  <w:rStyle w:val="InternetLink"/>
                  <w:rFonts w:ascii="Arial;sans-serif" w:hAnsi="Arial;sans-serif"/>
                  <w:b w:val="false"/>
                  <w:color w:val="0000FF"/>
                  <w:sz w:val="18"/>
                  <w:u w:val="single"/>
                </w:rPr>
                <w:t>30</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24">
              <w:r>
                <w:rPr>
                  <w:rStyle w:val="InternetLink"/>
                  <w:rFonts w:ascii="Arial;sans-serif" w:hAnsi="Arial;sans-serif"/>
                  <w:b w:val="false"/>
                  <w:color w:val="0000FF"/>
                  <w:sz w:val="18"/>
                  <w:u w:val="single"/>
                </w:rPr>
                <w:t>Item 2.</w:t>
              </w:r>
            </w:hyperlink>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24">
              <w:r>
                <w:rPr>
                  <w:rStyle w:val="InternetLink"/>
                  <w:rFonts w:ascii="Arial;sans-serif" w:hAnsi="Arial;sans-serif"/>
                  <w:b w:val="false"/>
                  <w:color w:val="0000FF"/>
                  <w:sz w:val="18"/>
                  <w:u w:val="single"/>
                </w:rPr>
                <w:t>Unregistered Sales of Equity Securities and Use of Proceeds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124">
              <w:r>
                <w:rPr>
                  <w:rStyle w:val="InternetLink"/>
                  <w:rFonts w:ascii="Arial;sans-serif" w:hAnsi="Arial;sans-serif"/>
                  <w:b w:val="false"/>
                  <w:color w:val="0000FF"/>
                  <w:sz w:val="18"/>
                  <w:u w:val="single"/>
                </w:rPr>
                <w:t>30</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27">
              <w:r>
                <w:rPr>
                  <w:rStyle w:val="InternetLink"/>
                  <w:rFonts w:ascii="Arial;sans-serif" w:hAnsi="Arial;sans-serif"/>
                  <w:b w:val="false"/>
                  <w:color w:val="0000FF"/>
                  <w:sz w:val="18"/>
                  <w:u w:val="single"/>
                </w:rPr>
                <w:t>Item 3.</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27">
              <w:r>
                <w:rPr>
                  <w:rStyle w:val="InternetLink"/>
                  <w:rFonts w:ascii="Arial;sans-serif" w:hAnsi="Arial;sans-serif"/>
                  <w:b w:val="false"/>
                  <w:color w:val="0000FF"/>
                  <w:sz w:val="18"/>
                  <w:u w:val="single"/>
                </w:rPr>
                <w:t>Defaults upon Senior Securities</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127">
              <w:r>
                <w:rPr>
                  <w:rStyle w:val="InternetLink"/>
                  <w:rFonts w:ascii="Arial;sans-serif" w:hAnsi="Arial;sans-serif"/>
                  <w:b w:val="false"/>
                  <w:color w:val="0000FF"/>
                  <w:sz w:val="18"/>
                  <w:u w:val="single"/>
                </w:rPr>
                <w:t>30</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30">
              <w:r>
                <w:rPr>
                  <w:rStyle w:val="InternetLink"/>
                  <w:rFonts w:ascii="Arial;sans-serif" w:hAnsi="Arial;sans-serif"/>
                  <w:b w:val="false"/>
                  <w:color w:val="0000FF"/>
                  <w:sz w:val="18"/>
                  <w:u w:val="single"/>
                </w:rPr>
                <w:t>Item 4.</w:t>
              </w:r>
            </w:hyperlink>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30">
              <w:r>
                <w:rPr>
                  <w:rStyle w:val="InternetLink"/>
                  <w:rFonts w:ascii="Arial;sans-serif" w:hAnsi="Arial;sans-serif"/>
                  <w:b w:val="false"/>
                  <w:color w:val="0000FF"/>
                  <w:sz w:val="18"/>
                  <w:u w:val="single"/>
                </w:rPr>
                <w:t>Mine Safety Disclosures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130">
              <w:r>
                <w:rPr>
                  <w:rStyle w:val="InternetLink"/>
                  <w:rFonts w:ascii="Arial;sans-serif" w:hAnsi="Arial;sans-serif"/>
                  <w:b w:val="false"/>
                  <w:color w:val="0000FF"/>
                  <w:sz w:val="18"/>
                  <w:u w:val="single"/>
                </w:rPr>
                <w:t>30</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33">
              <w:r>
                <w:rPr>
                  <w:rStyle w:val="InternetLink"/>
                  <w:rFonts w:ascii="Arial;sans-serif" w:hAnsi="Arial;sans-serif"/>
                  <w:b w:val="false"/>
                  <w:color w:val="0000FF"/>
                  <w:sz w:val="18"/>
                  <w:u w:val="single"/>
                </w:rPr>
                <w:t>Item 5.</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33">
              <w:r>
                <w:rPr>
                  <w:rStyle w:val="InternetLink"/>
                  <w:rFonts w:ascii="Arial;sans-serif" w:hAnsi="Arial;sans-serif"/>
                  <w:b w:val="false"/>
                  <w:color w:val="0000FF"/>
                  <w:sz w:val="18"/>
                  <w:u w:val="single"/>
                </w:rPr>
                <w:t>Other Information</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133">
              <w:r>
                <w:rPr>
                  <w:rStyle w:val="InternetLink"/>
                  <w:rFonts w:ascii="Arial;sans-serif" w:hAnsi="Arial;sans-serif"/>
                  <w:b w:val="false"/>
                  <w:color w:val="0000FF"/>
                  <w:sz w:val="18"/>
                  <w:u w:val="single"/>
                </w:rPr>
                <w:t>30</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36">
              <w:r>
                <w:rPr>
                  <w:rStyle w:val="InternetLink"/>
                  <w:rFonts w:ascii="Arial;sans-serif" w:hAnsi="Arial;sans-serif"/>
                  <w:b w:val="false"/>
                  <w:color w:val="0000FF"/>
                  <w:sz w:val="18"/>
                  <w:u w:val="single"/>
                </w:rPr>
                <w:t>Item 6.</w:t>
              </w:r>
            </w:hyperlink>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7f75ab054056475b9edd48424390d5b5_136">
              <w:r>
                <w:rPr>
                  <w:rStyle w:val="InternetLink"/>
                  <w:rFonts w:ascii="Arial;sans-serif" w:hAnsi="Arial;sans-serif"/>
                  <w:b w:val="false"/>
                  <w:color w:val="0000FF"/>
                  <w:sz w:val="18"/>
                  <w:u w:val="single"/>
                </w:rPr>
                <w:t>Exhibits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7f75ab054056475b9edd48424390d5b5_136">
              <w:r>
                <w:rPr>
                  <w:rStyle w:val="InternetLink"/>
                  <w:rFonts w:ascii="Arial;sans-serif" w:hAnsi="Arial;sans-serif"/>
                  <w:b w:val="false"/>
                  <w:color w:val="0000FF"/>
                  <w:sz w:val="18"/>
                  <w:u w:val="singl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8635" w:type="dxa"/>
        <w:jc w:val="left"/>
        <w:tblInd w:w="0" w:type="dxa"/>
        <w:tblLayout w:type="fixed"/>
        <w:tblCellMar>
          <w:top w:w="28" w:type="dxa"/>
          <w:left w:w="28" w:type="dxa"/>
          <w:bottom w:w="28" w:type="dxa"/>
          <w:right w:w="28" w:type="dxa"/>
        </w:tblCellMar>
      </w:tblPr>
      <w:tblGrid>
        <w:gridCol w:w="2004"/>
        <w:gridCol w:w="1763"/>
        <w:gridCol w:w="1768"/>
        <w:gridCol w:w="211"/>
        <w:gridCol w:w="826"/>
        <w:gridCol w:w="109"/>
        <w:gridCol w:w="109"/>
        <w:gridCol w:w="109"/>
        <w:gridCol w:w="109"/>
        <w:gridCol w:w="211"/>
        <w:gridCol w:w="826"/>
        <w:gridCol w:w="109"/>
        <w:gridCol w:w="109"/>
        <w:gridCol w:w="109"/>
        <w:gridCol w:w="109"/>
        <w:gridCol w:w="154"/>
      </w:tblGrid>
      <w:tr>
        <w:trPr/>
        <w:tc>
          <w:tcPr>
            <w:tcW w:w="2004"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of the Company used in computing earnings per share: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 per Class A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324" w:type="dxa"/>
        <w:jc w:val="left"/>
        <w:tblInd w:w="0" w:type="dxa"/>
        <w:tblLayout w:type="fixed"/>
        <w:tblCellMar>
          <w:top w:w="28" w:type="dxa"/>
          <w:left w:w="28" w:type="dxa"/>
          <w:bottom w:w="28" w:type="dxa"/>
          <w:right w:w="28" w:type="dxa"/>
        </w:tblCellMar>
      </w:tblPr>
      <w:tblGrid>
        <w:gridCol w:w="2325"/>
        <w:gridCol w:w="2041"/>
        <w:gridCol w:w="2068"/>
        <w:gridCol w:w="211"/>
        <w:gridCol w:w="721"/>
        <w:gridCol w:w="109"/>
        <w:gridCol w:w="109"/>
        <w:gridCol w:w="109"/>
        <w:gridCol w:w="109"/>
        <w:gridCol w:w="211"/>
        <w:gridCol w:w="721"/>
        <w:gridCol w:w="109"/>
        <w:gridCol w:w="109"/>
        <w:gridCol w:w="109"/>
        <w:gridCol w:w="109"/>
        <w:gridCol w:w="154"/>
      </w:tblGrid>
      <w:tr>
        <w:trPr/>
        <w:tc>
          <w:tcPr>
            <w:tcW w:w="2325"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 before tax: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pension liability 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credit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actuarial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and amortization related to interest rate swaps included in earnings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valuation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related to items of other comprehensive income/(loss):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and amortization related to interest rate swaps included in earnings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valuation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the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the Company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91"/>
        <w:gridCol w:w="2263"/>
        <w:gridCol w:w="2038"/>
        <w:gridCol w:w="204"/>
        <w:gridCol w:w="907"/>
        <w:gridCol w:w="113"/>
        <w:gridCol w:w="109"/>
        <w:gridCol w:w="109"/>
        <w:gridCol w:w="109"/>
        <w:gridCol w:w="234"/>
        <w:gridCol w:w="1040"/>
        <w:gridCol w:w="188"/>
      </w:tblGrid>
      <w:tr>
        <w:trPr/>
        <w:tc>
          <w:tcPr>
            <w:tcW w:w="289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125,412 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173,420 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305,495 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287,781 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net</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179,223 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182,281 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845,172 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877,964 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589,970 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601,989 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Intangibles, net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44,646 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178,704 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180,181 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receivables, net</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102,901 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1,798,180 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1,835,014 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Shareholders' Equity</w:t>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87,104 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118,181 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142,988 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14,369 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211,990 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248,679 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434,689 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452,667 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151,121 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139,385 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 and other liabilities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824,615 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867,694 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16)</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Shareholders' Equity:</w:t>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par value $5.00 per share; authorized 2,000,000 shares; none issued</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par value $0.001 per share; authorized 100,000,000 shares; 40,898,219 issued in 2024 and 40,856,910 in 2023</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449,028 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448,218 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1,030,111 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1,010,942 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items of other comprehensive income:</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Translation adjustments</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(137,017)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(124,901)</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postretirement liability adjustments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(16,964)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valuation adjustment</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(Class A), at cost; 9,661,845 shares in 2024 and 2023</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(364,665)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(364,665)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967,489 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961,368 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973,565 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967,320 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1,798,180 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1,835,014 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016" w:type="dxa"/>
        <w:jc w:val="left"/>
        <w:tblInd w:w="0" w:type="dxa"/>
        <w:tblLayout w:type="fixed"/>
        <w:tblCellMar>
          <w:top w:w="28" w:type="dxa"/>
          <w:left w:w="28" w:type="dxa"/>
          <w:bottom w:w="28" w:type="dxa"/>
          <w:right w:w="28" w:type="dxa"/>
        </w:tblCellMar>
      </w:tblPr>
      <w:tblGrid>
        <w:gridCol w:w="2399"/>
        <w:gridCol w:w="2107"/>
        <w:gridCol w:w="2124"/>
        <w:gridCol w:w="109"/>
        <w:gridCol w:w="109"/>
        <w:gridCol w:w="152"/>
        <w:gridCol w:w="152"/>
        <w:gridCol w:w="273"/>
        <w:gridCol w:w="1026"/>
        <w:gridCol w:w="152"/>
        <w:gridCol w:w="109"/>
        <w:gridCol w:w="109"/>
        <w:gridCol w:w="109"/>
        <w:gridCol w:w="196"/>
        <w:gridCol w:w="736"/>
        <w:gridCol w:w="154"/>
      </w:tblGrid>
      <w:tr>
        <w:trPr/>
        <w:tc>
          <w:tcPr>
            <w:tcW w:w="2399"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27,369 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1,748 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taxes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paid or payable in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from uncollected receivables and 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remeasurement (gain) on intercompany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on foreign currency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that provided/(used)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(17,061)</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(22,739)</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(26,859)</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(26,880)</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(16,275)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43,237 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(60,750)</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in lieu of share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(8,110)</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(28,069)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(Decrease)/increase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(48,008)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173,420 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125,412 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1. Significant Accounting Policies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the opinion of management, the accompanying consolidated financial information reflects all adjustments necessary for a fair presentation of Albany International Corp.'s ("Albany", the "Registrant", the "Company", "we", "us", or "our") financial position, results of operations and cash flows for the interim periods presented, but do not require all disclosures required by the accounting principles generally accepted in the United States ("GAAP"). All such adjustments are of a normal recurring nature, unless otherwise disclosed in this report. Certain amounts in prior year financial statements and notes thereto have been reclassified to conform to current year presentation. The information included in this Quarterly Report on Form 10-Q should be read in conjunction with the Company’s Annual Report on Form 10-K for the year ended December 31, 2023.</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Estimates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preparation of the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November 2023, the FASB issued Accounting Standards Update No. 2023-07, “Segment Reporting (Topic 280): Improvements to Reportable Segment Disclosures” (“ASU 2023-07”),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Early adoption is permitted. The guidance is to be applied retrospectively to all prior periods presented in the financial statements. Upon transition, the segment expense categories and amounts disclosed in the prior periods should be based on the significant segment expense categories identified and disclosed in the period of adoption. We are currently evaluating the potential impact of adopting this new guidance on our consolidated financial statements and related disclosures.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December 2023, the FASB issued Accounting Standards Update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We are currently evaluating the potential impact of adopting this new guidance on our consolidated financial statements and related disclosures.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2. Reportable Segments and Revenue Recognition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is organized based on the nature of its products and is composed of two reportable segments, Machine Clothing ("MC") and Albany Engineered Composites ("AEC"), each overseen by a Segment President. These segments are reflective of how the Company's Chief Executive Officer, who is its Chief Operating Decisions Maker ("CODM"), reviews operating results for the purpose of allocating resources and assessing performance. The Company has not aggregated operating segments for purposes of identifying reportable segments. </w:t>
      </w:r>
    </w:p>
    <w:p>
      <w:pPr>
        <w:pStyle w:val="TextBody"/>
        <w:bidi w:val="0"/>
        <w:spacing w:before="120" w:after="283"/>
        <w:ind w:left="0" w:right="0" w:firstLine="360"/>
        <w:jc w:val="both"/>
        <w:rPr/>
      </w:pPr>
      <w:r>
        <w:rPr/>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Machine Clothing: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Machine Clothing (“MC”) segment supplies permeable and impermeable belts used in the manufacture of paper, paperboard, tissue and towel products, nonwovens, fiber cement and for several other industrial applications. Paper machine clothing products are customized, consumable products of technologically sophisticated design that utilize polymeric materials in a complex structure. We manufacture belts for each section of the paper machine and for every grade of paper. We sell our MC products directly to customer end-users in countries across the globe. MC's products, manufacturing processes, and distribution channels are substantially the same in each region of the world in which we operate.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August 31, 2023, the Company completed the acquisition of Heimbach GmbH (“Heimbach”), a privately-held manufacturer of paper machine clothing and technical textiles. The financial results of the acquired company are included in the Machine Clothing reportable segment.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Albany Engineered Composites: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Albany Engineered Composites (“AEC”) segment provides highly engineered, advanced composite structures to customers in the commercial and defense aerospace industries. The segment includes Albany Safran Composites, LLC (“ASC”), in which our customer, the SAFRAN Group (“SAFRAN”) owns a 10 percent noncontrolling interest. AEC, through ASC, is the exclusive supplier to the LEAP program of advanced composite fan blades and fan cases under a long-term supply contract, where revenue is determined by a cost-plus-fee agreement. The LEAP engine is used on the Airbus A320neo, Boeing 737 MAX, and COMAC 919 aircraft. AEC's largest aerospace customer is the SAFRAN Group and sales to SAFRAN (consisting primarily of fan blades and cases for CFM International's LEAP engine) accounted for approximately 16 percent of the Company's consolidated Net revenues in 2023.</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AEC net sales to SAFRAN were $50.1 million and $45.3 million in the first three months of 2024 and 2023, respectively. The total of Accounts receivable, Contract assets and Noncurrent receivables due from SAFRAN amounted to $89.6 million and $93.8 million as of March 31, 2024 and December 31, 2023, respectively.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Other significant programs for AEC include the Sikorsky CH-53K, F-35, JASSM, and Boeing 787 programs. AEC also supplies vacuum waste tanks for the Boeing commercial programs, and specialty components for the Rolls Royce lift fan on the F-35, as well as the fan case for the GE9X engine. For the year ended December 31, 2023, approximately 39 percent of AEC revenues were related to U.S. government contracts or programs.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show data by reportable segment, reconciled to consolidated totals included in the financial statements:</w:t>
      </w:r>
    </w:p>
    <w:tbl>
      <w:tblPr>
        <w:tblW w:w="5525" w:type="dxa"/>
        <w:jc w:val="left"/>
        <w:tblInd w:w="0" w:type="dxa"/>
        <w:tblLayout w:type="fixed"/>
        <w:tblCellMar>
          <w:top w:w="28" w:type="dxa"/>
          <w:left w:w="28" w:type="dxa"/>
          <w:bottom w:w="28" w:type="dxa"/>
          <w:right w:w="28" w:type="dxa"/>
        </w:tblCellMar>
      </w:tblPr>
      <w:tblGrid>
        <w:gridCol w:w="982"/>
        <w:gridCol w:w="865"/>
        <w:gridCol w:w="867"/>
        <w:gridCol w:w="233"/>
        <w:gridCol w:w="929"/>
        <w:gridCol w:w="120"/>
        <w:gridCol w:w="233"/>
        <w:gridCol w:w="913"/>
        <w:gridCol w:w="120"/>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Machine Clothing</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185,217</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153,222 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128,113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Consolidated revenues</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313,330</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269,096 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income/(loss)</w:t>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Machine Clothing</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48,110</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48,964 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9,188</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(18,321)</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(17,840)</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Operating income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38,977</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Reconciling items:</w:t>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(1,123)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4,442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(2,982)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38,640</w:t>
            </w:r>
            <w:r>
              <w:rPr>
                <w:color w:val="000000"/>
              </w:rPr>
              <w:t> </w:t>
            </w:r>
          </w:p>
        </w:tc>
        <w:tc>
          <w:tcPr>
            <w:tcW w:w="1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37,707 </w:t>
            </w:r>
          </w:p>
        </w:tc>
        <w:tc>
          <w:tcPr>
            <w:tcW w:w="1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First quarter results include Heimbach, which was acquired August 31, 2023. Heimbach contributed $37.9 million of net revenues and $(2.9) million of operating loss for the three months ended March 31, 2024.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Corporate expenses include global information system costs of $8.3 million and $6.2 million for the three months ended March 31, 2024 and 2023, respectively.</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pPr>
      <w:r>
        <w:rPr>
          <w:rFonts w:ascii="Arial;sans-serif" w:hAnsi="Arial;sans-serif"/>
          <w:b w:val="false"/>
          <w:color w:val="000000"/>
          <w:sz w:val="20"/>
        </w:rPr>
        <w:t>Products and services provided under long-term contracts represent a significant portion of revenues in the Albany Engineered Composites segment and we account for these contracts over time, primarily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factors affecting the supply chain, changes in the evaluation of contract risks and opportunities, or other factors</w:t>
      </w:r>
      <w:r>
        <w:rPr>
          <w:rFonts w:ascii="Arial;sans-serif" w:hAnsi="Arial;sans-serif"/>
          <w:b w:val="false"/>
          <w:color w:val="000000"/>
          <w:sz w:val="20"/>
          <w:shd w:fill="FFFFFF" w:val="clear"/>
        </w:rPr>
        <w:t xml:space="preserve">. Changes in the estimated profitability of long-term contracts decreased operating income by </w:t>
      </w:r>
      <w:r>
        <w:rPr>
          <w:rFonts w:ascii="Arial;sans-serif" w:hAnsi="Arial;sans-serif"/>
          <w:b w:val="false"/>
          <w:color w:val="000000"/>
          <w:sz w:val="20"/>
        </w:rPr>
        <w:t>$0.9 million</w:t>
      </w:r>
      <w:r>
        <w:rPr>
          <w:color w:val="000000"/>
          <w:shd w:fill="FFFFFF" w:val="clear"/>
        </w:rPr>
        <w:t xml:space="preserve"> </w:t>
      </w:r>
      <w:r>
        <w:rPr>
          <w:rFonts w:ascii="Arial;sans-serif" w:hAnsi="Arial;sans-serif"/>
          <w:b w:val="false"/>
          <w:color w:val="000000"/>
          <w:sz w:val="20"/>
          <w:shd w:fill="FFFFFF" w:val="clear"/>
        </w:rPr>
        <w:t xml:space="preserve">during the first </w:t>
      </w:r>
      <w:r>
        <w:rPr>
          <w:rFonts w:ascii="Arial;sans-serif" w:hAnsi="Arial;sans-serif"/>
          <w:b w:val="false"/>
          <w:color w:val="000000"/>
          <w:sz w:val="20"/>
        </w:rPr>
        <w:t>three months</w:t>
      </w:r>
      <w:r>
        <w:rPr>
          <w:color w:val="000000"/>
          <w:shd w:fill="FFFFFF" w:val="clear"/>
        </w:rPr>
        <w:t xml:space="preserve"> </w:t>
      </w:r>
      <w:r>
        <w:rPr>
          <w:rFonts w:ascii="Arial;sans-serif" w:hAnsi="Arial;sans-serif"/>
          <w:b w:val="false"/>
          <w:color w:val="000000"/>
          <w:sz w:val="20"/>
          <w:shd w:fill="FFFFFF" w:val="clear"/>
        </w:rPr>
        <w:t xml:space="preserve">of 2024, compared to a decrease of $0.7 million in the same period last year.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disaggregate revenue earned from contracts with customers for each of our business segments and product groups based on the timing of revenue recognition, and groupings used for internal review purposes.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three months ended March 31, 2024:</w:t>
      </w:r>
    </w:p>
    <w:tbl>
      <w:tblPr>
        <w:tblW w:w="7909" w:type="dxa"/>
        <w:jc w:val="left"/>
        <w:tblInd w:w="0" w:type="dxa"/>
        <w:tblLayout w:type="fixed"/>
        <w:tblCellMar>
          <w:top w:w="28" w:type="dxa"/>
          <w:left w:w="28" w:type="dxa"/>
          <w:bottom w:w="28" w:type="dxa"/>
          <w:right w:w="28" w:type="dxa"/>
        </w:tblCellMar>
      </w:tblPr>
      <w:tblGrid>
        <w:gridCol w:w="1145"/>
        <w:gridCol w:w="1009"/>
        <w:gridCol w:w="1010"/>
        <w:gridCol w:w="342"/>
        <w:gridCol w:w="1368"/>
        <w:gridCol w:w="179"/>
        <w:gridCol w:w="300"/>
        <w:gridCol w:w="1195"/>
        <w:gridCol w:w="155"/>
        <w:gridCol w:w="211"/>
        <w:gridCol w:w="84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2024</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Point in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Over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184,235</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185,217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ASC</w:t>
            </w:r>
          </w:p>
        </w:tc>
        <w:tc>
          <w:tcPr>
            <w:tcW w:w="17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cMar>
              <w:top w:w="0" w:type="dxa"/>
              <w:left w:w="0" w:type="dxa"/>
              <w:bottom w:w="0" w:type="dxa"/>
              <w:right w:w="0" w:type="dxa"/>
            </w:tcMar>
            <w:vAlign w:val="center"/>
          </w:tcPr>
          <w:p>
            <w:pPr>
              <w:pStyle w:val="TableContents"/>
              <w:bidi w:val="0"/>
              <w:spacing w:lineRule="auto" w:line="240" w:before="0" w:after="283"/>
              <w:jc w:val="right"/>
              <w:rPr/>
            </w:pPr>
            <w:bookmarkStart w:id="0" w:name="i50265144a9b74c28bbf90bdc39025fb2_5-2-1-"/>
            <w:bookmarkEnd w:id="0"/>
            <w:r>
              <w:rPr>
                <w:rFonts w:ascii="Arial;sans-serif" w:hAnsi="Arial;sans-serif"/>
                <w:b/>
                <w:color w:val="000000"/>
                <w:sz w:val="18"/>
              </w:rPr>
              <w:t>49,739</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49,739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AEC</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5,757</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72,617</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78,374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5,757</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122,356</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128,113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189,992</w:t>
            </w:r>
            <w:r>
              <w:rPr>
                <w:color w:val="000000"/>
              </w:rPr>
              <w:t> </w:t>
            </w:r>
          </w:p>
        </w:tc>
        <w:tc>
          <w:tcPr>
            <w:tcW w:w="1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123,338</w:t>
            </w:r>
            <w:r>
              <w:rPr>
                <w:color w:val="000000"/>
              </w:rPr>
              <w:t>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313,330</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three months ended March 31, 2023:</w:t>
      </w:r>
    </w:p>
    <w:tbl>
      <w:tblPr>
        <w:tblW w:w="7894" w:type="dxa"/>
        <w:jc w:val="left"/>
        <w:tblInd w:w="0" w:type="dxa"/>
        <w:tblLayout w:type="fixed"/>
        <w:tblCellMar>
          <w:top w:w="28" w:type="dxa"/>
          <w:left w:w="28" w:type="dxa"/>
          <w:bottom w:w="28" w:type="dxa"/>
          <w:right w:w="28" w:type="dxa"/>
        </w:tblCellMar>
      </w:tblPr>
      <w:tblGrid>
        <w:gridCol w:w="1145"/>
        <w:gridCol w:w="1009"/>
        <w:gridCol w:w="1010"/>
        <w:gridCol w:w="347"/>
        <w:gridCol w:w="1362"/>
        <w:gridCol w:w="181"/>
        <w:gridCol w:w="303"/>
        <w:gridCol w:w="1189"/>
        <w:gridCol w:w="157"/>
        <w:gridCol w:w="211"/>
        <w:gridCol w:w="82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Point in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Over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152,278 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ASC</w:t>
            </w:r>
          </w:p>
        </w:tc>
        <w:tc>
          <w:tcPr>
            <w:tcW w:w="17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44,532 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AEC</w:t>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5,793 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110,081 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115,874 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158,071 </w:t>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111,025 </w:t>
            </w:r>
          </w:p>
        </w:tc>
        <w:tc>
          <w:tcPr>
            <w:tcW w:w="1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269,096 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disaggregates MC segment revenue by significant product groupings (paper machine clothing ("PMC") and engineered fabrics); and for PMC, the geographical region to which the paper machine clothing was sold:</w:t>
      </w:r>
    </w:p>
    <w:tbl>
      <w:tblPr>
        <w:tblW w:w="5960" w:type="dxa"/>
        <w:jc w:val="left"/>
        <w:tblInd w:w="0" w:type="dxa"/>
        <w:tblLayout w:type="fixed"/>
        <w:tblCellMar>
          <w:top w:w="28" w:type="dxa"/>
          <w:left w:w="28" w:type="dxa"/>
          <w:bottom w:w="28" w:type="dxa"/>
          <w:right w:w="28" w:type="dxa"/>
        </w:tblCellMar>
      </w:tblPr>
      <w:tblGrid>
        <w:gridCol w:w="1138"/>
        <w:gridCol w:w="1003"/>
        <w:gridCol w:w="1008"/>
        <w:gridCol w:w="233"/>
        <w:gridCol w:w="929"/>
        <w:gridCol w:w="120"/>
        <w:gridCol w:w="233"/>
        <w:gridCol w:w="913"/>
        <w:gridCol w:w="120"/>
        <w:gridCol w:w="109"/>
        <w:gridCol w:w="154"/>
      </w:tblGrid>
      <w:tr>
        <w:trPr/>
        <w:tc>
          <w:tcPr>
            <w:tcW w:w="113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 PMC</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83,501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Eurasia PMC</w:t>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76,190</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51,737 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Engineered Fabrics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25,526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Machine Clothing Net revenues</w:t>
            </w:r>
          </w:p>
        </w:tc>
        <w:tc>
          <w:tcPr>
            <w:tcW w:w="2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185,217</w:t>
            </w:r>
            <w:r>
              <w:rPr>
                <w:color w:val="000000"/>
              </w:rPr>
              <w:t> </w:t>
            </w:r>
          </w:p>
        </w:tc>
        <w:tc>
          <w:tcPr>
            <w:tcW w:w="1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153,222 </w:t>
            </w:r>
          </w:p>
        </w:tc>
        <w:tc>
          <w:tcPr>
            <w:tcW w:w="1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do not disclose the value of unsatisfied performance obligations for contracts with an original expected duration of one year or less. Contracts in the MC segment are generally for periods of less than a year and certain contracts in the AEC segment are relatively short duration firm-fixed-price orders. Remaining performance obligations on contracts that had an original duration of greater than one year totaled $752 million and $821 million as of March 31, 2024 and 2023, respectively, and related primarily to firm fixed price contracts in the AEC segment. Of the remaining performance obligations as of March 31, 2024, we expect to recognize as revenue approximately $127 million during 2024, $168 million during 2025, $143 million during 2026, and the remainder thereafter.</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3</w:t>
      </w:r>
      <w:bookmarkStart w:id="1" w:name="ifd098174f642409198c2c038160e3fcc_1607"/>
      <w:bookmarkEnd w:id="1"/>
      <w:r>
        <w:rPr>
          <w:rFonts w:ascii="Arial;sans-serif" w:hAnsi="Arial;sans-serif"/>
          <w:b/>
          <w:i/>
          <w:color w:val="000000"/>
          <w:sz w:val="20"/>
        </w:rPr>
        <w:t>. Pensions and Other Postretirement Benefit Plans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composition of the net periodic benefit cost/(income) for the three months ended March 31, 2024 and 2023, was as follows:</w:t>
      </w:r>
    </w:p>
    <w:tbl>
      <w:tblPr>
        <w:tblW w:w="8246" w:type="dxa"/>
        <w:jc w:val="left"/>
        <w:tblInd w:w="0" w:type="dxa"/>
        <w:tblLayout w:type="fixed"/>
        <w:tblCellMar>
          <w:top w:w="28" w:type="dxa"/>
          <w:left w:w="28" w:type="dxa"/>
          <w:bottom w:w="28" w:type="dxa"/>
          <w:right w:w="28" w:type="dxa"/>
        </w:tblCellMar>
      </w:tblPr>
      <w:tblGrid>
        <w:gridCol w:w="1502"/>
        <w:gridCol w:w="1325"/>
        <w:gridCol w:w="1328"/>
        <w:gridCol w:w="211"/>
        <w:gridCol w:w="481"/>
        <w:gridCol w:w="109"/>
        <w:gridCol w:w="211"/>
        <w:gridCol w:w="466"/>
        <w:gridCol w:w="109"/>
        <w:gridCol w:w="309"/>
        <w:gridCol w:w="706"/>
        <w:gridCol w:w="160"/>
        <w:gridCol w:w="309"/>
        <w:gridCol w:w="794"/>
        <w:gridCol w:w="226"/>
      </w:tblGrid>
      <w:tr>
        <w:trPr/>
        <w:tc>
          <w:tcPr>
            <w:tcW w:w="150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plans</w:t>
            </w:r>
          </w:p>
        </w:tc>
        <w:tc>
          <w:tcPr>
            <w:tcW w:w="250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 postretirement benefits</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periodic benefit cost/(income):</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w:t>
            </w: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cost/(income)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periodic benefit cost/(credit)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326</w:t>
            </w:r>
            <w:r>
              <w:rPr>
                <w:color w:val="000000"/>
              </w:rPr>
              <w:t>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amount of net benefit cost/(credit) is determined at the beginning of each year and generally only varies from quarter to quarter when a significant event occurs, such as a curtailment or a settlement. There were no such events in the first three months of 2024 or 2023.</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4. Restructuring</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Restructuring costs in the first quarter of 2024 were related to reductions in workforce at various AEC locations, while restructuring charges for the first quarter of 2023 were not significant. There were no charges related to the impairment of assets for the periods presented.</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charges reported in the Consolidated Statements of Income under "Restructuring expenses, net":</w:t>
      </w:r>
    </w:p>
    <w:tbl>
      <w:tblPr>
        <w:tblW w:w="5661" w:type="dxa"/>
        <w:jc w:val="left"/>
        <w:tblInd w:w="0" w:type="dxa"/>
        <w:tblLayout w:type="fixed"/>
        <w:tblCellMar>
          <w:top w:w="28" w:type="dxa"/>
          <w:left w:w="28" w:type="dxa"/>
          <w:bottom w:w="28" w:type="dxa"/>
          <w:right w:w="28" w:type="dxa"/>
        </w:tblCellMar>
      </w:tblPr>
      <w:tblGrid>
        <w:gridCol w:w="1031"/>
        <w:gridCol w:w="908"/>
        <w:gridCol w:w="911"/>
        <w:gridCol w:w="329"/>
        <w:gridCol w:w="986"/>
        <w:gridCol w:w="170"/>
        <w:gridCol w:w="329"/>
        <w:gridCol w:w="564"/>
        <w:gridCol w:w="170"/>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 Clothing</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Albany Engineered Composites</w:t>
            </w:r>
          </w:p>
        </w:tc>
        <w:tc>
          <w:tcPr>
            <w:tcW w:w="13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2,188</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2,209</w:t>
            </w:r>
            <w:r>
              <w:rPr>
                <w:color w:val="000000"/>
              </w:rPr>
              <w:t> </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table below presents the year-to-date changes in restructuring liabilities for 2024 and 2023, all of which are related to termination and other costs:</w:t>
      </w:r>
    </w:p>
    <w:tbl>
      <w:tblPr>
        <w:tblW w:w="9640" w:type="dxa"/>
        <w:jc w:val="left"/>
        <w:tblInd w:w="0" w:type="dxa"/>
        <w:tblLayout w:type="fixed"/>
        <w:tblCellMar>
          <w:top w:w="28" w:type="dxa"/>
          <w:left w:w="28" w:type="dxa"/>
          <w:bottom w:w="28" w:type="dxa"/>
          <w:right w:w="28" w:type="dxa"/>
        </w:tblCellMar>
      </w:tblPr>
      <w:tblGrid>
        <w:gridCol w:w="1079"/>
        <w:gridCol w:w="952"/>
        <w:gridCol w:w="954"/>
        <w:gridCol w:w="456"/>
        <w:gridCol w:w="879"/>
        <w:gridCol w:w="239"/>
        <w:gridCol w:w="313"/>
        <w:gridCol w:w="936"/>
        <w:gridCol w:w="162"/>
        <w:gridCol w:w="233"/>
        <w:gridCol w:w="541"/>
        <w:gridCol w:w="121"/>
        <w:gridCol w:w="525"/>
        <w:gridCol w:w="674"/>
        <w:gridCol w:w="272"/>
        <w:gridCol w:w="276"/>
        <w:gridCol w:w="827"/>
        <w:gridCol w:w="201"/>
      </w:tblGrid>
      <w:tr>
        <w:trPr/>
        <w:tc>
          <w:tcPr>
            <w:tcW w:w="107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w:t>
              <w:br/>
              <w:t>charges accrued</w:t>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 /other</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r>
      <w:tr>
        <w:trPr/>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termination and other costs</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2,209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1,987</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31" w:type="dxa"/>
        <w:jc w:val="left"/>
        <w:tblInd w:w="0" w:type="dxa"/>
        <w:tblLayout w:type="fixed"/>
        <w:tblCellMar>
          <w:top w:w="28" w:type="dxa"/>
          <w:left w:w="28" w:type="dxa"/>
          <w:bottom w:w="28" w:type="dxa"/>
          <w:right w:w="28" w:type="dxa"/>
        </w:tblCellMar>
      </w:tblPr>
      <w:tblGrid>
        <w:gridCol w:w="1079"/>
        <w:gridCol w:w="952"/>
        <w:gridCol w:w="954"/>
        <w:gridCol w:w="456"/>
        <w:gridCol w:w="879"/>
        <w:gridCol w:w="239"/>
        <w:gridCol w:w="427"/>
        <w:gridCol w:w="762"/>
        <w:gridCol w:w="222"/>
        <w:gridCol w:w="268"/>
        <w:gridCol w:w="478"/>
        <w:gridCol w:w="140"/>
        <w:gridCol w:w="427"/>
        <w:gridCol w:w="822"/>
        <w:gridCol w:w="222"/>
        <w:gridCol w:w="357"/>
        <w:gridCol w:w="687"/>
        <w:gridCol w:w="260"/>
      </w:tblGrid>
      <w:tr>
        <w:trPr/>
        <w:tc>
          <w:tcPr>
            <w:tcW w:w="107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w:t>
              <w:br/>
              <w:t>charges accrued</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 /other</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2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termination and other costs</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5. Other (Income)/Expense, net</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components of Other (income)/expense, net are:</w:t>
      </w:r>
    </w:p>
    <w:tbl>
      <w:tblPr>
        <w:tblW w:w="9710" w:type="dxa"/>
        <w:jc w:val="left"/>
        <w:tblInd w:w="0" w:type="dxa"/>
        <w:tblLayout w:type="fixed"/>
        <w:tblCellMar>
          <w:top w:w="28" w:type="dxa"/>
          <w:left w:w="28" w:type="dxa"/>
          <w:bottom w:w="28" w:type="dxa"/>
          <w:right w:w="28" w:type="dxa"/>
        </w:tblCellMar>
      </w:tblPr>
      <w:tblGrid>
        <w:gridCol w:w="2494"/>
        <w:gridCol w:w="2199"/>
        <w:gridCol w:w="2206"/>
        <w:gridCol w:w="287"/>
        <w:gridCol w:w="941"/>
        <w:gridCol w:w="148"/>
        <w:gridCol w:w="287"/>
        <w:gridCol w:w="737"/>
        <w:gridCol w:w="148"/>
        <w:gridCol w:w="109"/>
        <w:gridCol w:w="154"/>
      </w:tblGrid>
      <w:tr>
        <w:trPr/>
        <w:tc>
          <w:tcPr>
            <w:tcW w:w="249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transaction (gains)/losses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(1,292)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Bank fees and amortization of debt issuance costs</w:t>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periodic pension and postretirement cost other than service cost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668</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(2,401)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(income)/expense, net</w:t>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(2,982)</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w:t>
            </w:r>
          </w:p>
        </w:tc>
        <w:tc>
          <w:tcPr>
            <w:tcW w:w="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Other (income)/expense, net, included foreign currency related transactions which resulted in gains of $1.3 million in the first three months of 2024, as compared to losses of $0.1 million in the same period last year. The stronger Mexican Peso and weaker Euro during the three months ended March 31, 2024 led to a net gain on foreign currency related transactions, as compared to the same period last year. Other (income)/expense, net, also included gains on changes in fair value of derivative instruments, gains on sales of fixed assets, and rental income.</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6. Income Taxes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Company's effective income tax rate for the three months ended March 31, 2024 and 2023, is as follows:</w:t>
      </w:r>
    </w:p>
    <w:tbl>
      <w:tblPr>
        <w:tblW w:w="4691" w:type="dxa"/>
        <w:jc w:val="left"/>
        <w:tblInd w:w="0" w:type="dxa"/>
        <w:tblLayout w:type="fixed"/>
        <w:tblCellMar>
          <w:top w:w="28" w:type="dxa"/>
          <w:left w:w="28" w:type="dxa"/>
          <w:bottom w:w="28" w:type="dxa"/>
          <w:right w:w="28" w:type="dxa"/>
        </w:tblCellMar>
      </w:tblPr>
      <w:tblGrid>
        <w:gridCol w:w="761"/>
        <w:gridCol w:w="668"/>
        <w:gridCol w:w="670"/>
        <w:gridCol w:w="276"/>
        <w:gridCol w:w="276"/>
        <w:gridCol w:w="687"/>
        <w:gridCol w:w="276"/>
        <w:gridCol w:w="276"/>
        <w:gridCol w:w="801"/>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0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5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29.2</w:t>
            </w:r>
            <w:r>
              <w:rPr>
                <w:color w:val="000000"/>
              </w:rPr>
              <w:t> </w:t>
            </w:r>
          </w:p>
        </w:tc>
        <w:tc>
          <w:tcPr>
            <w:tcW w:w="6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8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Income tax expense for the quarter was computed in accordance with ASC 740-270, Income Taxes – Interim Reporting. Under this method, loss jurisdictions which cannot recognize a tax benefit with regard to their generated losses are excluded from the annual effective tax rate calculation and their taxes will be recorded discretely in each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Our 2024 estimated annual effective tax rate primarily reflects the 21% federal tax rate, the impact of taxation upon foreign operations, and forecasted permanent differences. Our actual effective tax rates were 29.2% and 28.2% for the three months ended March 31, 2024 and 2023, respectively. The effective tax rate for the three months ended March 31, 2024 included a $2.4 million benefit related to the true-up for prior year estimated taxes treated as a discrete tax benefit and an additional increase of $1.2 million in the valuation allowance treated as a discrete tax expense. The rate for the first quarter of 2024 was higher than the first quarter of 2023 mainly due to an unfavorable change in the jurisdictional mix of pre-tax earnings forecasted for 2024.</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is subject to audit in the U.S. and various foreign jurisdictions. Our open tax years for major jurisdictions generally range from 2013-2024. We believe appropriate provisions for all outstanding tax issues have been made for all jurisdictions and all open years. Audit outcomes and the timing of audit settlements are subject to significant uncertainty. It is reasonably possible that within the next 12 months, unrecognized tax benefits related to federal tax matters under audit may decrease by up to $0.8 million based on current estimates.</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7. Earnings Per Share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amounts used in computing earnings per share and the weighted average number of shares of potentially dilutive securities are as follows:</w:t>
      </w:r>
    </w:p>
    <w:tbl>
      <w:tblPr>
        <w:tblW w:w="9845" w:type="dxa"/>
        <w:jc w:val="left"/>
        <w:tblInd w:w="0" w:type="dxa"/>
        <w:tblLayout w:type="fixed"/>
        <w:tblCellMar>
          <w:top w:w="28" w:type="dxa"/>
          <w:left w:w="28" w:type="dxa"/>
          <w:bottom w:w="28" w:type="dxa"/>
          <w:right w:w="28" w:type="dxa"/>
        </w:tblCellMar>
      </w:tblPr>
      <w:tblGrid>
        <w:gridCol w:w="2549"/>
        <w:gridCol w:w="2239"/>
        <w:gridCol w:w="2246"/>
        <w:gridCol w:w="256"/>
        <w:gridCol w:w="895"/>
        <w:gridCol w:w="132"/>
        <w:gridCol w:w="256"/>
        <w:gridCol w:w="877"/>
        <w:gridCol w:w="132"/>
        <w:gridCol w:w="109"/>
        <w:gridCol w:w="154"/>
      </w:tblGrid>
      <w:tr>
        <w:trPr/>
        <w:tc>
          <w:tcPr>
            <w:tcW w:w="2549"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market price and earnings per share)</w:t>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27,291</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number of shares:</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Weighted average number of shares used in calculating basic net income per share</w:t>
            </w:r>
          </w:p>
        </w:tc>
        <w:tc>
          <w:tcPr>
            <w:tcW w:w="11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31,209</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 of dilutive stock-based compensation plans:</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stock units and multi-year awards</w:t>
            </w:r>
          </w:p>
        </w:tc>
        <w:tc>
          <w:tcPr>
            <w:tcW w:w="11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 used in calculating diluted net income per share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31,291</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the Company per share:</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0.87</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0.87</w:t>
            </w:r>
            <w:r>
              <w:rPr>
                <w:color w:val="000000"/>
              </w:rPr>
              <w:t> </w:t>
            </w:r>
          </w:p>
        </w:tc>
        <w:tc>
          <w:tcPr>
            <w:tcW w:w="13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3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8. Accumulated Other Comprehensive Income ("AOCI")</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changes in the components of AOCI for the period from December 31, 2023 to March 31, 2024:</w:t>
      </w:r>
    </w:p>
    <w:tbl>
      <w:tblPr>
        <w:tblW w:w="10205" w:type="dxa"/>
        <w:jc w:val="left"/>
        <w:tblInd w:w="0" w:type="dxa"/>
        <w:tblLayout w:type="fixed"/>
        <w:tblCellMar>
          <w:top w:w="28" w:type="dxa"/>
          <w:left w:w="28" w:type="dxa"/>
          <w:bottom w:w="28" w:type="dxa"/>
          <w:right w:w="28" w:type="dxa"/>
        </w:tblCellMar>
      </w:tblPr>
      <w:tblGrid>
        <w:gridCol w:w="1983"/>
        <w:gridCol w:w="1723"/>
        <w:gridCol w:w="1628"/>
        <w:gridCol w:w="211"/>
        <w:gridCol w:w="871"/>
        <w:gridCol w:w="109"/>
        <w:gridCol w:w="254"/>
        <w:gridCol w:w="889"/>
        <w:gridCol w:w="133"/>
        <w:gridCol w:w="223"/>
        <w:gridCol w:w="667"/>
        <w:gridCol w:w="116"/>
        <w:gridCol w:w="244"/>
        <w:gridCol w:w="973"/>
        <w:gridCol w:w="181"/>
      </w:tblGrid>
      <w:tr>
        <w:trPr/>
        <w:tc>
          <w:tcPr>
            <w:tcW w:w="198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Translation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and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Derivative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w:t>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 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Income</w:t>
            </w:r>
          </w:p>
        </w:tc>
      </w:tr>
      <w:tr>
        <w:trPr/>
        <w:tc>
          <w:tcPr>
            <w:tcW w:w="5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(124,901)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(17,346)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9,079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(133,168)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comprehensive income/(loss) before reclassifications, net of tax</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(10,939)</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related to swaps reclassified to the Consolidated Statements of Income, net of tax</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Pension and postretirement liability adjustments reclassified to Consolidated Statements of Income, net of tax</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March 31, 2024</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(137,017)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(16,964)</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6,955</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(147,026)</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changes in the components of AOCI for the period from December 31, 2022 to March 31, 2023:</w:t>
      </w:r>
    </w:p>
    <w:tbl>
      <w:tblPr>
        <w:tblW w:w="10205" w:type="dxa"/>
        <w:jc w:val="left"/>
        <w:tblInd w:w="0" w:type="dxa"/>
        <w:tblLayout w:type="fixed"/>
        <w:tblCellMar>
          <w:top w:w="28" w:type="dxa"/>
          <w:left w:w="28" w:type="dxa"/>
          <w:bottom w:w="28" w:type="dxa"/>
          <w:right w:w="28" w:type="dxa"/>
        </w:tblCellMar>
      </w:tblPr>
      <w:tblGrid>
        <w:gridCol w:w="1966"/>
        <w:gridCol w:w="1708"/>
        <w:gridCol w:w="1611"/>
        <w:gridCol w:w="211"/>
        <w:gridCol w:w="871"/>
        <w:gridCol w:w="109"/>
        <w:gridCol w:w="254"/>
        <w:gridCol w:w="889"/>
        <w:gridCol w:w="133"/>
        <w:gridCol w:w="211"/>
        <w:gridCol w:w="736"/>
        <w:gridCol w:w="109"/>
        <w:gridCol w:w="244"/>
        <w:gridCol w:w="973"/>
        <w:gridCol w:w="180"/>
      </w:tblGrid>
      <w:tr>
        <w:trPr/>
        <w:tc>
          <w:tcPr>
            <w:tcW w:w="196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2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Translation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and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Derivative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w:t>
            </w:r>
          </w:p>
        </w:tc>
        <w:tc>
          <w:tcPr>
            <w:tcW w:w="13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 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Income</w:t>
            </w:r>
          </w:p>
        </w:tc>
      </w:tr>
      <w:tr>
        <w:trPr/>
        <w:tc>
          <w:tcPr>
            <w:tcW w:w="5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(146,851)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(15,783)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(144,927)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 before reclassifications, net of tax</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12,946 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5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related to swaps reclassified to the Consolidated Statements of Income, net of tax</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postretirement liability adjustments reclassified to Consolidated Statements of Income, net of tax</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March 31, 2023</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(132,970)</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(16,699)</w:t>
            </w:r>
          </w:p>
        </w:tc>
        <w:tc>
          <w:tcPr>
            <w:tcW w:w="1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14,805</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(134,864)</w:t>
            </w:r>
          </w:p>
        </w:tc>
        <w:tc>
          <w:tcPr>
            <w:tcW w:w="1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components of AOCI that are reclassified to the Consolidated Statements of Income relate to our pension and postretirement plans and interest rate swaps.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the expense/(income) amounts reclassified from AOCI, and the line items of the Consolidated Statements of Income that were affected for the three months ended March 31, 2024 and 2023:</w:t>
      </w:r>
    </w:p>
    <w:tbl>
      <w:tblPr>
        <w:tblW w:w="10205" w:type="dxa"/>
        <w:jc w:val="left"/>
        <w:tblInd w:w="0" w:type="dxa"/>
        <w:tblLayout w:type="fixed"/>
        <w:tblCellMar>
          <w:top w:w="28" w:type="dxa"/>
          <w:left w:w="28" w:type="dxa"/>
          <w:bottom w:w="28" w:type="dxa"/>
          <w:right w:w="28" w:type="dxa"/>
        </w:tblCellMar>
      </w:tblPr>
      <w:tblGrid>
        <w:gridCol w:w="2729"/>
        <w:gridCol w:w="2402"/>
        <w:gridCol w:w="2417"/>
        <w:gridCol w:w="252"/>
        <w:gridCol w:w="813"/>
        <w:gridCol w:w="130"/>
        <w:gridCol w:w="252"/>
        <w:gridCol w:w="813"/>
        <w:gridCol w:w="130"/>
        <w:gridCol w:w="109"/>
        <w:gridCol w:w="158"/>
      </w:tblGrid>
      <w:tr>
        <w:trPr/>
        <w:tc>
          <w:tcPr>
            <w:tcW w:w="272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Pre-tax Derivative valuation reclassified from Accumulated Other Comprehensive Income:</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(income)/expense, net related to interest rate swaps included in Income before taxes</w:t>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(4,038)</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(3,223)</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effect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1,022</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Effect on net income due to items reclassified from Accumulated Other Comprehensive Income</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(3,016)</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Pre-tax pension and postretirement liabilities reclassified from Accumulated Other Comprehensive Income:</w:t>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178</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pre-tax amount reclassified (a)</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effect</w:t>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(43)</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on net income due to items reclassified from Accumulated Other Comprehensive Income</w:t>
            </w:r>
          </w:p>
        </w:tc>
        <w:tc>
          <w:tcPr>
            <w:tcW w:w="2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w:t>
            </w:r>
            <w:r>
              <w:rPr>
                <w:color w:val="000000"/>
              </w:rPr>
              <w:t>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0"/>
        <w:ind w:left="0" w:right="0" w:hanging="720"/>
        <w:jc w:val="both"/>
        <w:rPr/>
      </w:pPr>
      <w:r>
        <w:rPr>
          <w:rFonts w:ascii="Arial;sans-serif" w:hAnsi="Arial;sans-serif"/>
          <w:b w:val="false"/>
          <w:color w:val="000000"/>
          <w:sz w:val="18"/>
        </w:rPr>
        <w:t xml:space="preserve">(a)These accumulated other comprehensive income components are included in the computation of net periodic pension cost (see </w:t>
      </w:r>
      <w:r>
        <w:rPr>
          <w:rFonts w:ascii="Arial;sans-serif" w:hAnsi="Arial;sans-serif"/>
          <w:b w:val="false"/>
          <w:i/>
          <w:color w:val="000000"/>
          <w:sz w:val="18"/>
        </w:rPr>
        <w:t>Note 3. Pensions and Other Postretirement Benefit Plans</w:t>
      </w:r>
      <w:r>
        <w:rPr>
          <w:rFonts w:ascii="Arial;sans-serif" w:hAnsi="Arial;sans-serif"/>
          <w:b w:val="false"/>
          <w:color w:val="000000"/>
          <w:sz w:val="18"/>
        </w:rPr>
        <w:t>).</w:t>
      </w:r>
    </w:p>
    <w:p>
      <w:pPr>
        <w:pStyle w:val="TextBody"/>
        <w:bidi w:val="0"/>
        <w:spacing w:before="20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9. Noncontrolling Interests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Effective October 31, 2013, Safran S.A. (Safran) acquired a 10 percent equity interest in Albany Safran Composites, LLC ("ASC").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August 31, 2023, the Company acquired all the outstanding shares of Heimbach, a privately held manufacturer of paper machine clothing with headquarters in Düren, Germany. In July 2021, Heimbach acquired 85% of Arcari, SRL (“Arcari”). Arcari is a manufacturer of textile and plastic industrial technical products and conveyor belts. On the date of the acquisition, the fair value of the noncontrolling interest in Arcari was $0.5 million. For the three months ended March 31, 2024, the net income/(loss) attributable to Arcari’s noncontrolling interest was less than $0.1 million and the noncontrolling interest balance at March 31, 2024 was $0.5 million.</w:t>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a reconciliation of income attributable to the noncontrolling interest and noncontrolling equity in the Company’s subsidiaries:</w:t>
      </w:r>
    </w:p>
    <w:tbl>
      <w:tblPr>
        <w:tblW w:w="9387" w:type="dxa"/>
        <w:jc w:val="left"/>
        <w:tblInd w:w="0" w:type="dxa"/>
        <w:tblLayout w:type="fixed"/>
        <w:tblCellMar>
          <w:top w:w="28" w:type="dxa"/>
          <w:left w:w="28" w:type="dxa"/>
          <w:bottom w:w="28" w:type="dxa"/>
          <w:right w:w="28" w:type="dxa"/>
        </w:tblCellMar>
      </w:tblPr>
      <w:tblGrid>
        <w:gridCol w:w="2463"/>
        <w:gridCol w:w="2165"/>
        <w:gridCol w:w="2167"/>
        <w:gridCol w:w="242"/>
        <w:gridCol w:w="726"/>
        <w:gridCol w:w="311"/>
        <w:gridCol w:w="242"/>
        <w:gridCol w:w="708"/>
        <w:gridCol w:w="363"/>
      </w:tblGrid>
      <w:tr>
        <w:trPr/>
        <w:tc>
          <w:tcPr>
            <w:tcW w:w="2463"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ASC Noncontrolling Interest</w:t>
            </w:r>
          </w:p>
        </w:tc>
        <w:tc>
          <w:tcPr>
            <w:tcW w:w="259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of Albany Safran Composites (ASC)</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1,014</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2,282 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Return attributable to the Company's preferred holding</w:t>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308</w:t>
            </w: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of ASC available for common ownership</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706</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1,974 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Ownership percentage of noncontrolling shareholder</w:t>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 beginning of year</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5,423</w:t>
            </w: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4,494 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w:t>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w:t>
            </w: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comprehensive income attributable to the noncontrolling interest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w:t>
            </w: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ASC Noncontrolling interest, end of interim period</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5,551</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4,929 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Arcari Noncontrolling interest, end of interim period</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525</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Noncontrolling interest, end of interim period</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6,076</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4,929 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10. Accounts Receivable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Accounts receivable, net includes Trade and other accounts receivable and Bank promissory notes, net of Allowance for expected credit losses. In connection with certain revenues in Asia, the Company accepts a bank promissory note as customer payment. The notes may be presented for payment at maturity, which is less than one year. As of March 31, 2024 and December 31, 2023, Accounts receivable consisted of the following:</w:t>
      </w:r>
    </w:p>
    <w:tbl>
      <w:tblPr>
        <w:tblW w:w="5984" w:type="dxa"/>
        <w:jc w:val="left"/>
        <w:tblInd w:w="0" w:type="dxa"/>
        <w:tblLayout w:type="fixed"/>
        <w:tblCellMar>
          <w:top w:w="28" w:type="dxa"/>
          <w:left w:w="28" w:type="dxa"/>
          <w:bottom w:w="28" w:type="dxa"/>
          <w:right w:w="28" w:type="dxa"/>
        </w:tblCellMar>
      </w:tblPr>
      <w:tblGrid>
        <w:gridCol w:w="1122"/>
        <w:gridCol w:w="990"/>
        <w:gridCol w:w="992"/>
        <w:gridCol w:w="229"/>
        <w:gridCol w:w="913"/>
        <w:gridCol w:w="118"/>
        <w:gridCol w:w="287"/>
        <w:gridCol w:w="1124"/>
        <w:gridCol w:w="209"/>
      </w:tblGrid>
      <w:tr>
        <w:trPr/>
        <w:tc>
          <w:tcPr>
            <w:tcW w:w="112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and other accounts receivable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287,862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272,351 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promissory notes</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22,699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2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305,495</w:t>
            </w:r>
            <w:r>
              <w:rPr>
                <w:color w:val="000000"/>
              </w:rPr>
              <w:t> </w:t>
            </w:r>
          </w:p>
        </w:tc>
        <w:tc>
          <w:tcPr>
            <w:tcW w:w="1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287,781 </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had Noncurrent receivables in the AEC segment that represent revenue earned, which had extended payment terms. In 2023, the payment terms were amended and the Noncurrent receivables are now included in Trade and other accounts receivable. As of March 31, 2024 and December 31, 2023, Noncurrent receivables consisted of the following:</w:t>
      </w:r>
    </w:p>
    <w:tbl>
      <w:tblPr>
        <w:tblW w:w="5969" w:type="dxa"/>
        <w:jc w:val="left"/>
        <w:tblInd w:w="0" w:type="dxa"/>
        <w:tblLayout w:type="fixed"/>
        <w:tblCellMar>
          <w:top w:w="28" w:type="dxa"/>
          <w:left w:w="28" w:type="dxa"/>
          <w:bottom w:w="28" w:type="dxa"/>
          <w:right w:w="28" w:type="dxa"/>
        </w:tblCellMar>
      </w:tblPr>
      <w:tblGrid>
        <w:gridCol w:w="1117"/>
        <w:gridCol w:w="985"/>
        <w:gridCol w:w="988"/>
        <w:gridCol w:w="366"/>
        <w:gridCol w:w="705"/>
        <w:gridCol w:w="189"/>
        <w:gridCol w:w="348"/>
        <w:gridCol w:w="1017"/>
        <w:gridCol w:w="254"/>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receivables</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4,414 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0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receivables, net</w:t>
            </w:r>
          </w:p>
        </w:tc>
        <w:tc>
          <w:tcPr>
            <w:tcW w:w="3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4,392 </w:t>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11. Contract Assets and Liabilities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include unbilled amounts typically resulting from revenues under contracts when the over time method of revenue recognition is utilized, and revenue recognized exceeds the amount billed to the customer. Contract assets are transferred to Accounts receivable, net when the entitlement to pay becomes unconditional and the customer is invoiced. Contract liabilities include advance payments and billings in excess of revenue recognized. Contract liabilities are included in Accrued liabilities in the Consolidated Balance Sheets.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and Contract liabilities are reported on the Consolidated Balance Sheets in a net position on a contract-by-contract basis at the end of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2024 and December 31, 2023, Contract assets and Contract liabilities consisted of the following:</w:t>
      </w:r>
    </w:p>
    <w:tbl>
      <w:tblPr>
        <w:tblW w:w="5969" w:type="dxa"/>
        <w:jc w:val="left"/>
        <w:tblInd w:w="0" w:type="dxa"/>
        <w:tblLayout w:type="fixed"/>
        <w:tblCellMar>
          <w:top w:w="28" w:type="dxa"/>
          <w:left w:w="28" w:type="dxa"/>
          <w:bottom w:w="28" w:type="dxa"/>
          <w:right w:w="28" w:type="dxa"/>
        </w:tblCellMar>
      </w:tblPr>
      <w:tblGrid>
        <w:gridCol w:w="1117"/>
        <w:gridCol w:w="985"/>
        <w:gridCol w:w="987"/>
        <w:gridCol w:w="229"/>
        <w:gridCol w:w="913"/>
        <w:gridCol w:w="118"/>
        <w:gridCol w:w="287"/>
        <w:gridCol w:w="1124"/>
        <w:gridCol w:w="209"/>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180,122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183,189 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(899)</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net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179,223</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182,281 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6,034</w:t>
            </w:r>
            <w:r>
              <w:rPr>
                <w:color w:val="000000"/>
              </w:rPr>
              <w:t>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7,127 </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Contract assets, net decreased $3.1 million during the three months ended March 31, 2024. The decrease was primarily due to a decrease in unbilled revenue primarily related to commercial and defense programs, partially offset by an increase in unbilled revenue on space programs. There were no impairment losses related to our Contract assets during the three months ended March 31, 2024 and March 31, 2023.</w:t>
      </w:r>
    </w:p>
    <w:p>
      <w:pPr>
        <w:pStyle w:val="TextBody"/>
        <w:bidi w:val="0"/>
        <w:spacing w:lineRule="auto" w:line="288" w:before="120" w:after="283"/>
        <w:ind w:left="0" w:right="0" w:firstLine="360"/>
        <w:jc w:val="both"/>
        <w:rPr/>
      </w:pPr>
      <w:r>
        <w:rPr>
          <w:rFonts w:ascii="Arial;sans-serif" w:hAnsi="Arial;sans-serif"/>
          <w:b w:val="false"/>
          <w:color w:val="000000"/>
          <w:sz w:val="20"/>
        </w:rPr>
        <w:t>Contract liabilities decreased $1.1 million during the three months ended March 31, 2024, primarily due to revenue recognized from satisfied performance obligations exceeding customer advance payments for commercial and defense programs. Revenue recognized for the three months ended March 31, 2024 and 2023 that was included in the Contract liability balance at the beginning of the year was</w:t>
      </w:r>
      <w:r>
        <w:rPr>
          <w:color w:val="000000"/>
          <w:shd w:fill="FFFFFF" w:val="clear"/>
        </w:rPr>
        <w:t xml:space="preserve"> </w:t>
      </w:r>
      <w:r>
        <w:rPr>
          <w:rFonts w:ascii="Arial;sans-serif" w:hAnsi="Arial;sans-serif"/>
          <w:b w:val="false"/>
          <w:color w:val="000000"/>
          <w:sz w:val="20"/>
          <w:shd w:fill="FFFFFF" w:val="clear"/>
        </w:rPr>
        <w:t>$3.5 million an</w:t>
      </w:r>
      <w:r>
        <w:rPr>
          <w:rFonts w:ascii="Arial;sans-serif" w:hAnsi="Arial;sans-serif"/>
          <w:b w:val="false"/>
          <w:color w:val="000000"/>
          <w:sz w:val="20"/>
        </w:rPr>
        <w:t>d $6.7 million, respectively.</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12. Inventories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As of March 31, 2024 and December 31, 2023, Inventories consisted of the following:</w:t>
      </w:r>
    </w:p>
    <w:tbl>
      <w:tblPr>
        <w:tblW w:w="4349" w:type="dxa"/>
        <w:jc w:val="left"/>
        <w:tblInd w:w="0" w:type="dxa"/>
        <w:tblLayout w:type="fixed"/>
        <w:tblCellMar>
          <w:top w:w="28" w:type="dxa"/>
          <w:left w:w="28" w:type="dxa"/>
          <w:bottom w:w="28" w:type="dxa"/>
          <w:right w:w="28" w:type="dxa"/>
        </w:tblCellMar>
      </w:tblPr>
      <w:tblGrid>
        <w:gridCol w:w="531"/>
        <w:gridCol w:w="468"/>
        <w:gridCol w:w="470"/>
        <w:gridCol w:w="229"/>
        <w:gridCol w:w="913"/>
        <w:gridCol w:w="118"/>
        <w:gridCol w:w="287"/>
        <w:gridCol w:w="1124"/>
        <w:gridCol w:w="209"/>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77,391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79,611 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Work in process</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63,764</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67,743 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24,870</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inventories</w:t>
            </w:r>
          </w:p>
        </w:tc>
        <w:tc>
          <w:tcPr>
            <w:tcW w:w="2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166,025</w:t>
            </w:r>
            <w:r>
              <w:rPr>
                <w:color w:val="000000"/>
              </w:rPr>
              <w:t> </w:t>
            </w:r>
          </w:p>
        </w:tc>
        <w:tc>
          <w:tcPr>
            <w:tcW w:w="1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169,567 </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before="200" w:after="283"/>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13. Goodwill and Other Intangible Assets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the gross carrying value, accumulated amortization and net values of intangible assets and goodwill as of March 31, 2024 and December 31, 2023:</w:t>
      </w:r>
    </w:p>
    <w:tbl>
      <w:tblPr>
        <w:tblW w:w="10205" w:type="dxa"/>
        <w:jc w:val="left"/>
        <w:tblInd w:w="0" w:type="dxa"/>
        <w:tblLayout w:type="fixed"/>
        <w:tblCellMar>
          <w:top w:w="28" w:type="dxa"/>
          <w:left w:w="28" w:type="dxa"/>
          <w:bottom w:w="28" w:type="dxa"/>
          <w:right w:w="28" w:type="dxa"/>
        </w:tblCellMar>
      </w:tblPr>
      <w:tblGrid>
        <w:gridCol w:w="1150"/>
        <w:gridCol w:w="999"/>
        <w:gridCol w:w="1000"/>
        <w:gridCol w:w="395"/>
        <w:gridCol w:w="395"/>
        <w:gridCol w:w="396"/>
        <w:gridCol w:w="346"/>
        <w:gridCol w:w="1383"/>
        <w:gridCol w:w="179"/>
        <w:gridCol w:w="440"/>
        <w:gridCol w:w="1537"/>
        <w:gridCol w:w="229"/>
        <w:gridCol w:w="305"/>
        <w:gridCol w:w="1223"/>
        <w:gridCol w:w="228"/>
      </w:tblGrid>
      <w:tr>
        <w:trPr/>
        <w:tc>
          <w:tcPr>
            <w:tcW w:w="115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w:t>
              <w:br/>
              <w:t>life in years</w:t>
            </w:r>
          </w:p>
        </w:tc>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2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1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6-15</w:t>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(189)</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10-15</w:t>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6,033</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(2,824)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3,209</w:t>
            </w: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1,250</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(360)</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890</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8-15</w:t>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69,290</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(44,721)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24,569</w:t>
            </w: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8,789</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(572)</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8,217</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85,570</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(48,666)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36,904</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5,935</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5,935</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65,785</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65,785</w:t>
            </w: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112,919</w:t>
            </w: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112,919</w:t>
            </w: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184,639</w:t>
            </w:r>
            <w:r>
              <w:rPr>
                <w:color w:val="000000"/>
              </w:rPr>
              <w:t>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184,639</w:t>
            </w:r>
            <w:r>
              <w:rPr>
                <w:color w:val="000000"/>
              </w:rPr>
              <w:t> </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0"/>
        <w:gridCol w:w="998"/>
        <w:gridCol w:w="999"/>
        <w:gridCol w:w="395"/>
        <w:gridCol w:w="395"/>
        <w:gridCol w:w="396"/>
        <w:gridCol w:w="350"/>
        <w:gridCol w:w="1376"/>
        <w:gridCol w:w="182"/>
        <w:gridCol w:w="440"/>
        <w:gridCol w:w="1537"/>
        <w:gridCol w:w="229"/>
        <w:gridCol w:w="309"/>
        <w:gridCol w:w="1216"/>
        <w:gridCol w:w="233"/>
      </w:tblGrid>
      <w:tr>
        <w:trPr/>
        <w:tc>
          <w:tcPr>
            <w:tcW w:w="115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w:t>
              <w:br/>
              <w:t>life in years</w:t>
            </w:r>
          </w:p>
        </w:tc>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2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1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6-15</w:t>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10-15</w:t>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w:t>
            </w:r>
          </w:p>
        </w:tc>
        <w:tc>
          <w:tcPr>
            <w:tcW w:w="17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8-15</w:t>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69,360 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(43,875)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25,485 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p>
        </w:tc>
        <w:tc>
          <w:tcPr>
            <w:tcW w:w="17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86,021 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(47,445)</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38,576 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66,873 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113,308 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113,308 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186,251 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186,251 </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changes in intangible assets, net and goodwill from December 31, 2023 to March 31, 2024, were as follows:</w:t>
      </w:r>
    </w:p>
    <w:tbl>
      <w:tblPr>
        <w:tblW w:w="8780" w:type="dxa"/>
        <w:jc w:val="left"/>
        <w:tblInd w:w="0" w:type="dxa"/>
        <w:tblLayout w:type="fixed"/>
        <w:tblCellMar>
          <w:top w:w="28" w:type="dxa"/>
          <w:left w:w="28" w:type="dxa"/>
          <w:bottom w:w="28" w:type="dxa"/>
          <w:right w:w="28" w:type="dxa"/>
        </w:tblCellMar>
      </w:tblPr>
      <w:tblGrid>
        <w:gridCol w:w="1062"/>
        <w:gridCol w:w="937"/>
        <w:gridCol w:w="940"/>
        <w:gridCol w:w="286"/>
        <w:gridCol w:w="1141"/>
        <w:gridCol w:w="147"/>
        <w:gridCol w:w="235"/>
        <w:gridCol w:w="453"/>
        <w:gridCol w:w="123"/>
        <w:gridCol w:w="253"/>
        <w:gridCol w:w="757"/>
        <w:gridCol w:w="131"/>
        <w:gridCol w:w="211"/>
        <w:gridCol w:w="691"/>
        <w:gridCol w:w="109"/>
        <w:gridCol w:w="228"/>
        <w:gridCol w:w="910"/>
        <w:gridCol w:w="166"/>
      </w:tblGrid>
      <w:tr>
        <w:trPr/>
        <w:tc>
          <w:tcPr>
            <w:tcW w:w="106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Changes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intangible assets:</w:t>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3,426</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3,209</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911</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890</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25,485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(870)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24,569</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8,732</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8,217</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intangible assets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38,576</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(1,298)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36,904</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6,070</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5,935</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66,873</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65,785</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113,308</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112,919</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assets:</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186,251</w:t>
            </w:r>
            <w:r>
              <w:rPr>
                <w:color w:val="000000"/>
              </w:rPr>
              <w:t>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(1,612)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184,639</w:t>
            </w:r>
            <w:r>
              <w:rPr>
                <w:color w:val="000000"/>
              </w:rPr>
              <w:t>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14. Financial Instruments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Debt principally consists of a revolving credit agreement and foreign bank debt assumed in the acquisition of Heimbach.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represents the Company's outstanding debt:</w:t>
      </w:r>
    </w:p>
    <w:tbl>
      <w:tblPr>
        <w:tblW w:w="10205" w:type="dxa"/>
        <w:jc w:val="left"/>
        <w:tblInd w:w="0" w:type="dxa"/>
        <w:tblLayout w:type="fixed"/>
        <w:tblCellMar>
          <w:top w:w="28" w:type="dxa"/>
          <w:left w:w="28" w:type="dxa"/>
          <w:bottom w:w="28" w:type="dxa"/>
          <w:right w:w="28" w:type="dxa"/>
        </w:tblCellMar>
      </w:tblPr>
      <w:tblGrid>
        <w:gridCol w:w="124"/>
        <w:gridCol w:w="1892"/>
        <w:gridCol w:w="1827"/>
        <w:gridCol w:w="1833"/>
        <w:gridCol w:w="369"/>
        <w:gridCol w:w="1499"/>
        <w:gridCol w:w="190"/>
        <w:gridCol w:w="426"/>
        <w:gridCol w:w="1730"/>
        <w:gridCol w:w="315"/>
      </w:tblGrid>
      <w:tr>
        <w:trPr/>
        <w:tc>
          <w:tcPr>
            <w:tcW w:w="12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interest rates)</w:t>
            </w:r>
          </w:p>
        </w:tc>
        <w:tc>
          <w:tcPr>
            <w:tcW w:w="2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2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under the Amended Credit Agreement(1)</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429,000</w:t>
            </w: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446,000 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bank debt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10,134</w:t>
            </w: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10,885 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bank debt</w:t>
            </w:r>
          </w:p>
        </w:tc>
        <w:tc>
          <w:tcPr>
            <w:tcW w:w="1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439,134</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456,885 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 of long-term debt</w:t>
            </w:r>
          </w:p>
        </w:tc>
        <w:tc>
          <w:tcPr>
            <w:tcW w:w="18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4,445</w:t>
            </w:r>
            <w:r>
              <w:rPr>
                <w:color w:val="000000"/>
              </w:rPr>
              <w:t>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4,218 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434,689</w:t>
            </w:r>
            <w:r>
              <w:rPr>
                <w:color w:val="000000"/>
              </w:rPr>
              <w:t> </w:t>
            </w:r>
          </w:p>
        </w:tc>
        <w:tc>
          <w:tcPr>
            <w:tcW w:w="1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452,667 </w:t>
            </w:r>
          </w:p>
        </w:tc>
        <w:tc>
          <w:tcPr>
            <w:tcW w:w="3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(1) the credit facility matures in August 2028. At the end of March 31, 2024 and December 31, 2023, the interest rate in effect was 3.34% and 3.49%, respectively, including the effect of interest rate hedging transactions, as described below. </w:t>
            </w:r>
          </w:p>
        </w:tc>
      </w:tr>
    </w:tbl>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Amended Credit Agreement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August 16, 2023, we entered into a $800 million unsecured committed Five-Year Revolving Credit Facility Agreement (the “Amended Credit Agreement”). The applicable interest rate for borrowings under the Amended Credit Agreement is based on Term SOFR plus a spread, which is based on our leverage ratio (as defined in the Amended Credit Agreement) at the time of a borrowing as follows:</w:t>
      </w:r>
    </w:p>
    <w:tbl>
      <w:tblPr>
        <w:tblW w:w="7063" w:type="dxa"/>
        <w:jc w:val="left"/>
        <w:tblInd w:w="0" w:type="dxa"/>
        <w:tblLayout w:type="fixed"/>
        <w:tblCellMar>
          <w:top w:w="28" w:type="dxa"/>
          <w:left w:w="28" w:type="dxa"/>
          <w:bottom w:w="28" w:type="dxa"/>
          <w:right w:w="28" w:type="dxa"/>
        </w:tblCellMar>
      </w:tblPr>
      <w:tblGrid>
        <w:gridCol w:w="922"/>
        <w:gridCol w:w="813"/>
        <w:gridCol w:w="815"/>
        <w:gridCol w:w="489"/>
        <w:gridCol w:w="489"/>
        <w:gridCol w:w="491"/>
        <w:gridCol w:w="354"/>
        <w:gridCol w:w="354"/>
        <w:gridCol w:w="356"/>
        <w:gridCol w:w="580"/>
        <w:gridCol w:w="580"/>
        <w:gridCol w:w="820"/>
      </w:tblGrid>
      <w:tr>
        <w:trPr/>
        <w:tc>
          <w:tcPr>
            <w:tcW w:w="9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Leverage Ratio</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Commitment Fee</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ABR Spread</w:t>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Benchmark/ Daily</w:t>
              <w:br/>
              <w:t>Simple SOFR Spread</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&lt;1.00:1.00</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0.275%</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0.500%</w:t>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1.500%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20"/>
              </w:rPr>
              <w:t>1.00:1.00 and &lt; 2.00:1.00</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0.300%</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0.625%</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20"/>
              </w:rPr>
              <w:t>2.00:1.00 and &lt; 3.00:1.00</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0.325%</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0.750%</w:t>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1.750%</w:t>
            </w:r>
          </w:p>
        </w:tc>
      </w:tr>
      <w:tr>
        <w:trPr/>
        <w:tc>
          <w:tcPr>
            <w:tcW w:w="2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20"/>
              </w:rPr>
              <w:t>3.00:1.00</w:t>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0.350%</w:t>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w:t>
            </w:r>
          </w:p>
        </w:tc>
        <w:tc>
          <w:tcPr>
            <w:tcW w:w="1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2.000%</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March 31, 2024, the applicable interest rate for borrowings under the Amended Credit Agreement was based on one-month term SOFR plus the spread, which was 1.625%.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2024, there was $429 million of borrowings outstanding under the Amended Credit Agreement and we had borrowings available of $371 million, based on our maximum leverage ratio and our Consolidated EBITDA (as defined in the Amended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Amended Credit Agreement contains customary terms including affirmative covenants, negative covenants and events of default. Under the Amended Credit Agreement, we are required to maintain a leverage ratio (as defined in the Credit Agreement) of not greater than 3.75 to 1.00, or 4.25 to 1.00 after a significant acquisition. We are also required to maintain a minimum interest coverage ratio (as defined in the Credit Agreement) of greater than 3.00 to 1.00.</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As of March 31, 2024, our leverage ratio was </w:t>
      </w:r>
      <w:r>
        <w:rPr>
          <w:rFonts w:ascii="Arial;sans-serif" w:hAnsi="Arial;sans-serif"/>
          <w:b w:val="false"/>
          <w:color w:val="000000"/>
          <w:sz w:val="20"/>
          <w:shd w:fill="FFFFFF" w:val="clear"/>
        </w:rPr>
        <w:t>1.17</w:t>
      </w:r>
      <w:r>
        <w:rPr>
          <w:color w:val="000000"/>
        </w:rPr>
        <w:t xml:space="preserve"> </w:t>
      </w:r>
      <w:r>
        <w:rPr>
          <w:rFonts w:ascii="Arial;sans-serif" w:hAnsi="Arial;sans-serif"/>
          <w:b w:val="false"/>
          <w:color w:val="000000"/>
          <w:sz w:val="20"/>
        </w:rPr>
        <w:t xml:space="preserve">to 1.00 (as defined in the Amended Credit Agreement) and our interest coverage ratio was </w:t>
      </w:r>
      <w:r>
        <w:rPr>
          <w:rFonts w:ascii="Arial;sans-serif" w:hAnsi="Arial;sans-serif"/>
          <w:b w:val="false"/>
          <w:color w:val="000000"/>
          <w:sz w:val="20"/>
          <w:shd w:fill="FFFFFF" w:val="clear"/>
        </w:rPr>
        <w:t>14.38</w:t>
      </w:r>
      <w:r>
        <w:rPr>
          <w:color w:val="000000"/>
        </w:rPr>
        <w:t xml:space="preserve"> </w:t>
      </w:r>
      <w:r>
        <w:rPr>
          <w:rFonts w:ascii="Arial;sans-serif" w:hAnsi="Arial;sans-serif"/>
          <w:b w:val="false"/>
          <w:color w:val="000000"/>
          <w:sz w:val="20"/>
        </w:rPr>
        <w:t>to 1.00. If our leverage ratio exceeds 3.50 to 1.00, then we are restricted in paying dividends to a maximum amount of $40 million in a calendar year. As of March 31, 2024, we were in compliance with all applicable covenants. We anticipate continued compliance in each of the next four quarters while continuing to monitor future compliance based on current and future economic conditions.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borrowings are guaranteed by certain of the Company’s subsidiaries, including all significant U.S. subsidiaries (subject to certain exceptions), as defined in the Amended Credit Agreement. Our ability to borrow additional amounts under the Amended Credit Agreement is conditional upon the absence of any defaults, as well as the absence of any material adverse change (as defined in the Amended Credit Agreement).</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Interest Rate Swaps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2021, we entered into interest rate swap agreements for the period of October 17, 2022 through October 27, 2024. These transactions had the effect of fixing the LIBOR portion of the effective interest rate (before addition of the spread) on $350 million of indebtedness. We amended the swap agreements on June 29, 2023 replacing the LIBOR (in preparation for the cessation of LIBOR) with SOFR and adjusting the spread.</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We pay a fixed blended rate of 0.8828% through October 27, 2024 on $350 million and the counterparties pay a floating rate based on the one-month term SOFR at each monthly calculation date, which on </w:t>
      </w:r>
      <w:r>
        <w:rPr>
          <w:rFonts w:ascii="Arial;sans-serif" w:hAnsi="Arial;sans-serif"/>
          <w:b w:val="false"/>
          <w:color w:val="000000"/>
          <w:sz w:val="20"/>
          <w:shd w:fill="FFFFFF" w:val="clear"/>
        </w:rPr>
        <w:t>March 18, 2024</w:t>
      </w:r>
      <w:r>
        <w:rPr>
          <w:color w:val="000000"/>
        </w:rPr>
        <w:t xml:space="preserve"> </w:t>
      </w:r>
      <w:r>
        <w:rPr>
          <w:rFonts w:ascii="Arial;sans-serif" w:hAnsi="Arial;sans-serif"/>
          <w:b w:val="false"/>
          <w:color w:val="000000"/>
          <w:sz w:val="20"/>
        </w:rPr>
        <w:t xml:space="preserve">was 5.33%. As of </w:t>
      </w:r>
      <w:r>
        <w:rPr>
          <w:rFonts w:ascii="Arial;sans-serif" w:hAnsi="Arial;sans-serif"/>
          <w:b w:val="false"/>
          <w:color w:val="000000"/>
          <w:sz w:val="20"/>
          <w:shd w:fill="FFFFFF" w:val="clear"/>
        </w:rPr>
        <w:t>March 31, 2024</w:t>
      </w:r>
      <w:r>
        <w:rPr>
          <w:rFonts w:ascii="Arial;sans-serif" w:hAnsi="Arial;sans-serif"/>
          <w:b w:val="false"/>
          <w:color w:val="000000"/>
          <w:sz w:val="20"/>
        </w:rPr>
        <w:t>, the all-in rate on the $350M of debt was 2.51%. Upon the expiration of the interest rate swap on October 27, 2024, our interest cost will increase significantly. Beginning in October 2024, our interest cost will be calculated using a floating rate based on the one-month term SOFR.</w:t>
      </w:r>
    </w:p>
    <w:p>
      <w:pPr>
        <w:pStyle w:val="TextBody"/>
        <w:bidi w:val="0"/>
        <w:spacing w:lineRule="auto" w:line="288" w:before="120" w:after="283"/>
        <w:ind w:left="0" w:right="0" w:firstLine="360"/>
        <w:jc w:val="both"/>
        <w:rPr/>
      </w:pPr>
      <w:r>
        <w:rPr>
          <w:rFonts w:ascii="Arial;sans-serif" w:hAnsi="Arial;sans-serif"/>
          <w:b w:val="false"/>
          <w:color w:val="000000"/>
          <w:sz w:val="20"/>
        </w:rPr>
        <w:t>The interest rate swaps are accounted for as a hedge of future cash flows, as further described in Note 15,</w:t>
      </w:r>
      <w:r>
        <w:rPr>
          <w:color w:val="000000"/>
        </w:rPr>
        <w:t xml:space="preserve"> </w:t>
      </w:r>
      <w:r>
        <w:rPr>
          <w:rFonts w:ascii="Arial;sans-serif" w:hAnsi="Arial;sans-serif"/>
          <w:b w:val="false"/>
          <w:i/>
          <w:color w:val="000000"/>
          <w:sz w:val="20"/>
        </w:rPr>
        <w:t>Fair-Value Measurements</w:t>
      </w:r>
      <w:r>
        <w:rPr>
          <w:rFonts w:ascii="Arial;sans-serif" w:hAnsi="Arial;sans-serif"/>
          <w:b w:val="false"/>
          <w:color w:val="000000"/>
          <w:sz w:val="20"/>
        </w:rPr>
        <w:t>. No cash collateral was received or pledged in relation to the swap agreements.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Foreign Bank Debt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August 31, 2023, the Company acquired Heimbach. The Company assumed Heimbach’s bank debt in the amount of $32.7 million. The bank debt is held by several European financial institutions, with maturity dates ranging from June 30, 2024 to June 30, 2031. At March 31, 2024 and December 31, 2023, the foreign debt was $10.1 million and $10.9 million, respectively, of which $4.4 million and $4.2 million, respectively, was classified as Current maturities on long-term debt.</w:t>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15. Fair-Value Measurements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1 -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2 - Observable inputs other than quoted prices included in Level 1, such as quoted prices in markets that are not active or other inputs that are observable or can be corroborated by observable market data.</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Level 3 - Unobservable inputs that are supported by little or no market activity and are significant to the fair value of the assets or liabilities. This includes certain pricing models, discounted cash flow methodologies and similar techniques that use significant unobservable inputs.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had no Level 3 financial assets or liabilities at March 31, 2024 or at December 31, 2023, other than certain pension assets as indicated in our December 31, 2023 Annual Report on Form 10-K.</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fair-value hierarchy for our Level 1 and Level 2 financial and non-financial assets and liabilities, which are measured at fair value on a recurring basis:</w:t>
      </w:r>
    </w:p>
    <w:tbl>
      <w:tblPr>
        <w:tblW w:w="9769" w:type="dxa"/>
        <w:jc w:val="left"/>
        <w:tblInd w:w="0" w:type="dxa"/>
        <w:tblLayout w:type="fixed"/>
        <w:tblCellMar>
          <w:top w:w="28" w:type="dxa"/>
          <w:left w:w="28" w:type="dxa"/>
          <w:bottom w:w="28" w:type="dxa"/>
          <w:right w:w="28" w:type="dxa"/>
        </w:tblCellMar>
      </w:tblPr>
      <w:tblGrid>
        <w:gridCol w:w="1697"/>
        <w:gridCol w:w="1496"/>
        <w:gridCol w:w="1501"/>
        <w:gridCol w:w="211"/>
        <w:gridCol w:w="736"/>
        <w:gridCol w:w="109"/>
        <w:gridCol w:w="109"/>
        <w:gridCol w:w="109"/>
        <w:gridCol w:w="109"/>
        <w:gridCol w:w="283"/>
        <w:gridCol w:w="545"/>
        <w:gridCol w:w="148"/>
        <w:gridCol w:w="109"/>
        <w:gridCol w:w="109"/>
        <w:gridCol w:w="109"/>
        <w:gridCol w:w="211"/>
        <w:gridCol w:w="721"/>
        <w:gridCol w:w="109"/>
        <w:gridCol w:w="109"/>
        <w:gridCol w:w="109"/>
        <w:gridCol w:w="109"/>
        <w:gridCol w:w="279"/>
        <w:gridCol w:w="537"/>
        <w:gridCol w:w="205"/>
      </w:tblGrid>
      <w:tr>
        <w:trPr/>
        <w:tc>
          <w:tcPr>
            <w:tcW w:w="169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Quoted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prices in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Quoted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prices in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inputs</w:t>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r>
      <w:tr>
        <w:trPr/>
        <w:tc>
          <w:tcPr>
            <w:tcW w:w="4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19,892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Foreign currency option contracts </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1,533</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269</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Other 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of unaffiliated foreign public company (a)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9,404</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(160)</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(a)Original cost basis $0.5 million.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Cash equivalents include short-term securities that are considered to be highly liquid and easily tradable. These securities are valued using inputs observable in active markets for identical securities.</w:t>
      </w:r>
    </w:p>
    <w:p>
      <w:pPr>
        <w:pStyle w:val="TextBody"/>
        <w:bidi w:val="0"/>
        <w:spacing w:lineRule="auto" w:line="288" w:before="120" w:after="283"/>
        <w:ind w:left="0" w:right="0" w:firstLine="360"/>
        <w:jc w:val="both"/>
        <w:rPr/>
      </w:pPr>
      <w:r>
        <w:rPr>
          <w:rFonts w:ascii="Arial;sans-serif" w:hAnsi="Arial;sans-serif"/>
          <w:b w:val="false"/>
          <w:color w:val="000000"/>
          <w:sz w:val="20"/>
        </w:rPr>
        <w:t>The interest rate swaps are accounted for as hedges of future cash flows. The fair value of our interest rate swaps is derived from a discounted cash flow analysis based on the terms of the contract and the interest rate curve, and is included in Other assets and/or Other noncurrent liabilities in the Consolidated Balance Sheets. Amounts determined to be due within one year are reclassified to Other current assets and/or Accrued liabilities in the Consolidated Balance Sheets. Unrealized gains and losses on the interest rate swaps flow through the caption Derivative valuation adjustment in the Shareholders’ equity section of the Consolidated Balance Sheets. Amounts accumulated in Other comprehensive income are reclassified as interest expense/(income), net when the related interest payments (that is, the hedged forecasted transactions), affect earnings. Interest expense/(income) related to payments under the active swap agreements totaled $(4.0) million</w:t>
      </w:r>
      <w:r>
        <w:rPr>
          <w:color w:val="000000"/>
          <w:shd w:fill="FFFFFF" w:val="clear"/>
        </w:rPr>
        <w:t xml:space="preserve"> </w:t>
      </w:r>
      <w:r>
        <w:rPr>
          <w:rFonts w:ascii="Arial;sans-serif" w:hAnsi="Arial;sans-serif"/>
          <w:b w:val="false"/>
          <w:color w:val="000000"/>
          <w:sz w:val="20"/>
          <w:shd w:fill="FFFFFF" w:val="clear"/>
        </w:rPr>
        <w:t>for</w:t>
      </w:r>
      <w:r>
        <w:rPr>
          <w:color w:val="000000"/>
        </w:rPr>
        <w:t xml:space="preserve"> </w:t>
      </w:r>
      <w:r>
        <w:rPr>
          <w:rFonts w:ascii="Arial;sans-serif" w:hAnsi="Arial;sans-serif"/>
          <w:b w:val="false"/>
          <w:color w:val="000000"/>
          <w:sz w:val="20"/>
        </w:rPr>
        <w:t xml:space="preserve">the three months ended March 31, 2024, and $(3.2) million for the three months ended March 31, 2023.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When exercised, the foreign currency instruments are net-settled with the same financial institution that bought or sold them. For all positions, whether options or forward contracts, there is a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(Gains)/losses related to changes in fair value of derivative instruments that were recognized in Other (income)/expense, net in the Consolidated Statements of Income were as follows: </w:t>
      </w:r>
    </w:p>
    <w:tbl>
      <w:tblPr>
        <w:tblW w:w="7103" w:type="dxa"/>
        <w:jc w:val="left"/>
        <w:tblInd w:w="0" w:type="dxa"/>
        <w:tblLayout w:type="fixed"/>
        <w:tblCellMar>
          <w:top w:w="28" w:type="dxa"/>
          <w:left w:w="28" w:type="dxa"/>
          <w:bottom w:w="28" w:type="dxa"/>
          <w:right w:w="28" w:type="dxa"/>
        </w:tblCellMar>
      </w:tblPr>
      <w:tblGrid>
        <w:gridCol w:w="1551"/>
        <w:gridCol w:w="1368"/>
        <w:gridCol w:w="1371"/>
        <w:gridCol w:w="349"/>
        <w:gridCol w:w="895"/>
        <w:gridCol w:w="180"/>
        <w:gridCol w:w="349"/>
        <w:gridCol w:w="597"/>
        <w:gridCol w:w="180"/>
        <w:gridCol w:w="109"/>
        <w:gridCol w:w="154"/>
      </w:tblGrid>
      <w:tr>
        <w:trPr/>
        <w:tc>
          <w:tcPr>
            <w:tcW w:w="155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designated as hedging instruments: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options (gains)/losses</w:t>
            </w:r>
          </w:p>
        </w:tc>
        <w:tc>
          <w:tcPr>
            <w:tcW w:w="34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(118)</w:t>
            </w:r>
          </w:p>
        </w:tc>
        <w:tc>
          <w:tcPr>
            <w:tcW w:w="18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8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f75ab054056475b9edd48424390d5b5_7">
        <w:r>
          <w:rPr>
            <w:rStyle w:val="InternetLink"/>
            <w:rFonts w:ascii="Book Antiqua;sans-serif" w:hAnsi="Book Antiqua;sans-serif"/>
            <w:b w:val="false"/>
            <w:i/>
            <w:color w:val="0000FF"/>
            <w:sz w:val="20"/>
            <w:u w:val="single"/>
          </w:rPr>
          <w:t>Index</w:t>
        </w:r>
      </w:hyperlink>
    </w:p>
    <w:p>
      <w:pPr>
        <w:pStyle w:val="TextBody"/>
        <w:bidi w:val="0"/>
        <w:spacing w:before="2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16. Commitments and Contingencies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Asbestos Litigation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 We were defending 3,613 claims as of March 31, 2024.</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the number of claims filed, the number of claims settled, dismissed or otherwise resolved, and the aggregate settlement amount during the periods presented:</w:t>
      </w:r>
    </w:p>
    <w:tbl>
      <w:tblPr>
        <w:tblW w:w="8888" w:type="dxa"/>
        <w:jc w:val="left"/>
        <w:tblInd w:w="0" w:type="dxa"/>
        <w:tblLayout w:type="fixed"/>
        <w:tblCellMar>
          <w:top w:w="28" w:type="dxa"/>
          <w:left w:w="28" w:type="dxa"/>
          <w:bottom w:w="28" w:type="dxa"/>
          <w:right w:w="28" w:type="dxa"/>
        </w:tblCellMar>
      </w:tblPr>
      <w:tblGrid>
        <w:gridCol w:w="1267"/>
        <w:gridCol w:w="1112"/>
        <w:gridCol w:w="1115"/>
        <w:gridCol w:w="321"/>
        <w:gridCol w:w="314"/>
        <w:gridCol w:w="316"/>
        <w:gridCol w:w="324"/>
        <w:gridCol w:w="324"/>
        <w:gridCol w:w="326"/>
        <w:gridCol w:w="344"/>
        <w:gridCol w:w="344"/>
        <w:gridCol w:w="346"/>
        <w:gridCol w:w="321"/>
        <w:gridCol w:w="314"/>
        <w:gridCol w:w="316"/>
        <w:gridCol w:w="431"/>
        <w:gridCol w:w="737"/>
        <w:gridCol w:w="316"/>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number of claims)</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Opening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Dismissed,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Settled, or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Resolved</w:t>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New Claims</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Closing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Paid to</w:t>
              <w:br/>
              <w:t>Settle or</w:t>
              <w:br/>
              <w:t>Resolve</w:t>
            </w:r>
          </w:p>
        </w:tc>
      </w:tr>
      <w:tr>
        <w:trPr/>
        <w:tc>
          <w:tcPr>
            <w:tcW w:w="3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period ended December 31, 2023</w:t>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period ended March 31, 2024</w:t>
            </w:r>
          </w:p>
        </w:tc>
        <w:tc>
          <w:tcPr>
            <w:tcW w:w="63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3,606</w:t>
            </w:r>
            <w:r>
              <w:rPr>
                <w:color w:val="000000"/>
              </w:rPr>
              <w:t>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32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w:t>
            </w:r>
            <w:r>
              <w:rPr>
                <w:color w:val="000000"/>
              </w:rPr>
              <w:t> </w:t>
            </w:r>
          </w:p>
        </w:tc>
        <w:tc>
          <w:tcPr>
            <w:tcW w:w="34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3,613</w:t>
            </w:r>
            <w:r>
              <w:rPr>
                <w:color w:val="000000"/>
              </w:rPr>
              <w:t>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March 31, 2024, we had resolved, by means of settlement or dismissal, 38,045 claims at a total cost of $10.7 million. Of this amount, almost 100% was paid by our insurance carrier, who has confirmed that we have approximately $140 million of remaining coverage under primary and excess policies that should be available with respect to current and future asbestos claims.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Company’s subsidiary, Brandon Drying Fabrics, Inc. (“Brandon”), is also a separate defendant in many of the asbestos cases in which Albany is named as a defendant, despite never having manufactured any fabrics containing asbestos. While Brandon was defending against 7,676 claims as of March 31, 2024,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pStyle w:val="TextBody"/>
        <w:bidi w:val="0"/>
        <w:spacing w:before="120" w:after="283"/>
        <w:ind w:left="0" w:right="0" w:firstLine="360"/>
        <w:jc w:val="both"/>
        <w:rPr/>
      </w:pPr>
      <w:r>
        <w:rPr/>
      </w:r>
    </w:p>
    <w:p>
      <w:pPr>
        <w:pStyle w:val="TextBody"/>
        <w:bidi w:val="0"/>
        <w:spacing w:before="200" w:after="283"/>
        <w:ind w:left="0" w:right="0" w:firstLine="360"/>
        <w:jc w:val="both"/>
        <w:rPr/>
      </w:pPr>
      <w:r>
        <w:rPr/>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17. Changes in Shareholders’ Equity</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changes in Shareholders’ Equity for the period December 31, 2023 to March 31, 2024:</w:t>
      </w:r>
    </w:p>
    <w:tbl>
      <w:tblPr>
        <w:tblW w:w="10762" w:type="dxa"/>
        <w:jc w:val="left"/>
        <w:tblInd w:w="0" w:type="dxa"/>
        <w:tblLayout w:type="fixed"/>
        <w:tblCellMar>
          <w:top w:w="28" w:type="dxa"/>
          <w:left w:w="28" w:type="dxa"/>
          <w:bottom w:w="28" w:type="dxa"/>
          <w:right w:w="28" w:type="dxa"/>
        </w:tblCellMar>
      </w:tblPr>
      <w:tblGrid>
        <w:gridCol w:w="396"/>
        <w:gridCol w:w="229"/>
        <w:gridCol w:w="231"/>
        <w:gridCol w:w="248"/>
        <w:gridCol w:w="248"/>
        <w:gridCol w:w="161"/>
        <w:gridCol w:w="176"/>
        <w:gridCol w:w="286"/>
        <w:gridCol w:w="109"/>
        <w:gridCol w:w="109"/>
        <w:gridCol w:w="1501"/>
        <w:gridCol w:w="166"/>
        <w:gridCol w:w="556"/>
        <w:gridCol w:w="109"/>
        <w:gridCol w:w="229"/>
        <w:gridCol w:w="895"/>
        <w:gridCol w:w="152"/>
        <w:gridCol w:w="166"/>
        <w:gridCol w:w="541"/>
        <w:gridCol w:w="109"/>
        <w:gridCol w:w="218"/>
        <w:gridCol w:w="218"/>
        <w:gridCol w:w="161"/>
        <w:gridCol w:w="287"/>
        <w:gridCol w:w="935"/>
        <w:gridCol w:w="189"/>
        <w:gridCol w:w="294"/>
        <w:gridCol w:w="773"/>
        <w:gridCol w:w="194"/>
        <w:gridCol w:w="166"/>
        <w:gridCol w:w="55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Additional paid-in capital</w:t>
            </w:r>
          </w:p>
        </w:tc>
        <w:tc>
          <w:tcPr>
            <w:tcW w:w="8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Retained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earnings</w:t>
            </w:r>
          </w:p>
        </w:tc>
        <w:tc>
          <w:tcPr>
            <w:tcW w:w="12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41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Treasury Stock</w:t>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Noncontrolling Interest</w:t>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 Shareholders' Equity</w:t>
            </w:r>
          </w:p>
        </w:tc>
        <w:tc>
          <w:tcPr>
            <w:tcW w:w="876" w:type="dxa"/>
            <w:gridSpan w:val="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(in thousands)</w:t>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2023</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40,856</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448,218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1,010,942</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(133,168)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5,952</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967,320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27,291 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$0.26 per share</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(8,122)</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March 31, 2024</w:t>
            </w:r>
          </w:p>
        </w:tc>
        <w:tc>
          <w:tcPr>
            <w:tcW w:w="49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40,898</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449,028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1,030,111</w:t>
            </w:r>
            <w:r>
              <w:rPr>
                <w:color w:val="000000"/>
              </w:rPr>
              <w:t> </w:t>
            </w:r>
          </w:p>
        </w:tc>
        <w:tc>
          <w:tcPr>
            <w:tcW w:w="1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(147,026)</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9,662</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6,076</w:t>
            </w:r>
            <w:r>
              <w:rPr>
                <w:color w:val="000000"/>
              </w:rPr>
              <w:t> </w:t>
            </w:r>
          </w:p>
        </w:tc>
        <w:tc>
          <w:tcPr>
            <w:tcW w:w="1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973,565</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changes in Shareholders’ Equity for the period December 31, 2022 to March 31, 2023:</w:t>
      </w:r>
    </w:p>
    <w:tbl>
      <w:tblPr>
        <w:tblW w:w="10807" w:type="dxa"/>
        <w:jc w:val="left"/>
        <w:tblInd w:w="0" w:type="dxa"/>
        <w:tblLayout w:type="fixed"/>
        <w:tblCellMar>
          <w:top w:w="28" w:type="dxa"/>
          <w:left w:w="28" w:type="dxa"/>
          <w:bottom w:w="28" w:type="dxa"/>
          <w:right w:w="28" w:type="dxa"/>
        </w:tblCellMar>
      </w:tblPr>
      <w:tblGrid>
        <w:gridCol w:w="396"/>
        <w:gridCol w:w="229"/>
        <w:gridCol w:w="231"/>
        <w:gridCol w:w="248"/>
        <w:gridCol w:w="248"/>
        <w:gridCol w:w="161"/>
        <w:gridCol w:w="176"/>
        <w:gridCol w:w="286"/>
        <w:gridCol w:w="109"/>
        <w:gridCol w:w="109"/>
        <w:gridCol w:w="1501"/>
        <w:gridCol w:w="166"/>
        <w:gridCol w:w="556"/>
        <w:gridCol w:w="109"/>
        <w:gridCol w:w="341"/>
        <w:gridCol w:w="1144"/>
        <w:gridCol w:w="226"/>
        <w:gridCol w:w="166"/>
        <w:gridCol w:w="541"/>
        <w:gridCol w:w="109"/>
        <w:gridCol w:w="218"/>
        <w:gridCol w:w="218"/>
        <w:gridCol w:w="161"/>
        <w:gridCol w:w="287"/>
        <w:gridCol w:w="935"/>
        <w:gridCol w:w="189"/>
        <w:gridCol w:w="203"/>
        <w:gridCol w:w="534"/>
        <w:gridCol w:w="134"/>
        <w:gridCol w:w="166"/>
        <w:gridCol w:w="55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Additional paid-in capital</w:t>
            </w:r>
          </w:p>
        </w:tc>
        <w:tc>
          <w:tcPr>
            <w:tcW w:w="8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Retained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earnings</w:t>
            </w:r>
          </w:p>
        </w:tc>
        <w:tc>
          <w:tcPr>
            <w:tcW w:w="17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41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Treasury Stock</w:t>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Noncontrolling Interest</w:t>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 </w:t>
              <w:br/>
              <w:t>Shareholders' Equity</w:t>
            </w:r>
          </w:p>
        </w:tc>
        <w:tc>
          <w:tcPr>
            <w:tcW w:w="876" w:type="dxa"/>
            <w:gridSpan w:val="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2"/>
              </w:rPr>
            </w:pPr>
            <w:r>
              <w:rPr>
                <w:rFonts w:ascii="Arial;sans-serif" w:hAnsi="Arial;sans-serif"/>
                <w:b/>
                <w:color w:val="000000"/>
                <w:sz w:val="12"/>
              </w:rPr>
              <w:t>(in thousands)</w:t>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2022</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40,785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441,540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931,318</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(144,927)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9,675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(364,923)</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4,494</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867,543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26,889 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27,086 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$0.25 per share</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March 31, 2023</w:t>
            </w:r>
          </w:p>
        </w:tc>
        <w:tc>
          <w:tcPr>
            <w:tcW w:w="49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40,842</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441,917</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1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950,415</w:t>
            </w:r>
            <w:r>
              <w:rPr>
                <w:color w:val="000000"/>
              </w:rPr>
              <w:t> </w:t>
            </w:r>
          </w:p>
        </w:tc>
        <w:tc>
          <w:tcPr>
            <w:tcW w:w="2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(134,864)</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9,675</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(364,923)</w:t>
            </w:r>
          </w:p>
        </w:tc>
        <w:tc>
          <w:tcPr>
            <w:tcW w:w="1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4,929</w:t>
            </w:r>
            <w:r>
              <w:rPr>
                <w:color w:val="000000"/>
              </w:rPr>
              <w:t> </w:t>
            </w:r>
          </w:p>
        </w:tc>
        <w:tc>
          <w:tcPr>
            <w:tcW w:w="1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897,515</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18. Business Combination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August 31, 2023, the Company acquired all the outstanding shares of Heimbach, a privately-held manufacturer of paper machine clothing with headquarters in Düren, Germany. For the three months ended March 31, 2024, there were no material adjustments to the assets acquired and liabilities assumed.</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19. Subsequent Events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April 19, 2024, we announced a plan to discontinue manufacturing at our Chungju, South Korea operation, and to transfer production to other international manufacturing facilities owned by the Company. This action will enable the Company to align forming fabric capacity with the local market demand and the needs of customers. The company remains committed to the local papermaking industry and will continue to provide customers with strong expertise in Product Application, Sales and Marketing Service through the current Sales, Service &amp; Application teams located in South Korea. The Company estimates the cash outflows associated with this restructuring to be approximately $6 million, which will include employee-related costs, asset write-offs, and equipment transfer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"forecast,"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There are a number of risks, uncertainties, and other important factors that could cause actual results to differ materially from the forward-looking statements, including, but not limited to:</w:t>
      </w:r>
    </w:p>
    <w:p>
      <w:pPr>
        <w:pStyle w:val="TextBody"/>
        <w:bidi w:val="0"/>
        <w:spacing w:lineRule="auto" w:line="288" w:before="140" w:after="283"/>
        <w:ind w:left="0" w:right="0" w:hanging="360"/>
        <w:jc w:val="both"/>
        <w:rPr/>
      </w:pPr>
      <w:r>
        <w:rPr>
          <w:color w:val="000000"/>
        </w:rPr>
        <w:t>•</w:t>
      </w:r>
      <w:r>
        <w:rPr>
          <w:rFonts w:ascii="Arial;sans-serif" w:hAnsi="Arial;sans-serif"/>
          <w:b w:val="false"/>
          <w:color w:val="000000"/>
          <w:sz w:val="20"/>
        </w:rPr>
        <w:t>Conditions in the industries in which our Machine Clothing and Albany Engineered Composites segments compete, along with the general risks associated with macroeconomic conditions, including higher interest rates, inflationary pressures, or the effects of another pandemic, for an extended period of time;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Across the entire Company, increasing labor, raw material, energy, and logistics costs due to supply chain constraints and inflationary pressures. These challenges have only increased as a result of the ongoing Russia-Ukraine war and the conflict in the Middle East;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Harm caused by changes in our relationships or contracts with suppliers and customers;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the Machine Clothing segment, greater than anticipated declines in the demand for publication grades of paper, or lower than anticipated growth in other paper grades;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the Albany Engineered Composites segment, longer-than-expected timeframe for the aerospace industry to utilize existing inventories, unanticipated reductions in demand, delays, technical difficulties, and cancellations in aerospace programs that are expected to generate revenue and drive long-term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Inability of our Machine Clothing or Albany Engineered Composite segments to create additional production capacity in a timely manner or the occurrence of other manufacturing or supply difficulties (including as a result of geopolitical crises, natural disaster, public health crises and epidemics/pandemics, regulatory or otherwise);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geopolitical conditions impacting countries where the Company does or intends to do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achieve or maintain anticipated profitable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achieve our strategic initiatives and other goals, including, but not limited to, our sustainability goals;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the Albany Engineered Composites segment, the estimates and expectations based on aircraft production rates provided by Airbus, Boeing and others;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the Albany Engineered Composites segment, risks and uncertainties associated with the successful implementation and ramp up of significant new programs, including the ability to manufacture the products to the detailed specifications required and recover start-up costs and other investments in the programs;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Adverse impacts from inflation, an economic slowdown or recession and by disruption in capital and credit markets that might impede our access to credit, increase our borrowing costs and impair the financial soundness of our customers and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and uncertainties associated with the successful integration of our Heimbach Group acquisition;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Expectations regarding our ability to attract, motivate, and retain the workforce necessary to execute our business strategy;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Adverse impacts from fluctuations in foreign currency exchange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Harm caused by large customer purchase reductions, payment defaults or contract non-renewal;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the Albany Engineered Composites segment, our contracts with government entities involve future funding and compliance risks;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Costly and disruptive legal disputes and settlements;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Future levels of indebtedness and capital expenditures;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Adverse impacts from changes in tax legislation or challenges to our tax positions;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Cybersecurity incidents or significant computer system compromises or data breaches;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Significant problems with information systems or networks;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Failure to adequately integrate Heimbach into our business systems and processes within the expected timeframe or, failure to or delayed realization of anticipated benefits of the acquisition could adversely impact the Company’s business, financial condition and results of operations;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Other risks and uncertainties detailed in this report and other periodic reports.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pStyle w:val="TextBody"/>
        <w:bidi w:val="0"/>
        <w:spacing w:lineRule="auto" w:line="288" w:before="160" w:after="283"/>
        <w:jc w:val="both"/>
        <w:rPr>
          <w:rFonts w:ascii="Arial;sans-serif" w:hAnsi="Arial;sans-serif"/>
          <w:b/>
          <w:i/>
          <w:color w:val="000000"/>
          <w:sz w:val="20"/>
        </w:rPr>
      </w:pPr>
      <w:r>
        <w:rPr>
          <w:rFonts w:ascii="Arial;sans-serif" w:hAnsi="Arial;sans-serif"/>
          <w:b/>
          <w:i/>
          <w:color w:val="000000"/>
          <w:sz w:val="20"/>
        </w:rPr>
        <w:t>Business Environment Overview and Trends</w:t>
      </w:r>
    </w:p>
    <w:p>
      <w:pPr>
        <w:pStyle w:val="TextBody"/>
        <w:bidi w:val="0"/>
        <w:spacing w:lineRule="auto" w:line="288" w:before="120" w:after="283"/>
        <w:ind w:left="0" w:right="0" w:firstLine="360"/>
        <w:jc w:val="left"/>
        <w:rPr/>
      </w:pPr>
      <w:r>
        <w:rPr>
          <w:rFonts w:ascii="Arial;sans-serif" w:hAnsi="Arial;sans-serif"/>
          <w:b w:val="false"/>
          <w:color w:val="000000"/>
          <w:sz w:val="20"/>
        </w:rPr>
        <w:t>Please</w:t>
      </w:r>
      <w:r>
        <w:rPr>
          <w:color w:val="000000"/>
        </w:rPr>
        <w:t xml:space="preserve"> </w:t>
      </w:r>
      <w:r>
        <w:rPr>
          <w:rFonts w:ascii="Arial;sans-serif" w:hAnsi="Arial;sans-serif"/>
          <w:b w:val="false"/>
          <w:color w:val="000000"/>
          <w:sz w:val="20"/>
        </w:rPr>
        <w:t>refer to the Business Environment Overview and Trends in the Management's Discussion and Analysis of Financial Condition and Results of Operations in our Annual Report on Form 10-K for the year ended December 31, 2023. The Annual Report on Form 10-K, along with the Company's other filings, can be found on the Securities and Exchange Commission's website, www.sec.gov, as well as on the Company's website: www.albint.com.</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our Net revenues by business segment:</w:t>
      </w:r>
    </w:p>
    <w:tbl>
      <w:tblPr>
        <w:tblW w:w="6622" w:type="dxa"/>
        <w:jc w:val="left"/>
        <w:tblInd w:w="0" w:type="dxa"/>
        <w:tblLayout w:type="fixed"/>
        <w:tblCellMar>
          <w:top w:w="28" w:type="dxa"/>
          <w:left w:w="28" w:type="dxa"/>
          <w:bottom w:w="28" w:type="dxa"/>
          <w:right w:w="28" w:type="dxa"/>
        </w:tblCellMar>
      </w:tblPr>
      <w:tblGrid>
        <w:gridCol w:w="1059"/>
        <w:gridCol w:w="931"/>
        <w:gridCol w:w="934"/>
        <w:gridCol w:w="211"/>
        <w:gridCol w:w="841"/>
        <w:gridCol w:w="109"/>
        <w:gridCol w:w="211"/>
        <w:gridCol w:w="826"/>
        <w:gridCol w:w="109"/>
        <w:gridCol w:w="255"/>
        <w:gridCol w:w="256"/>
        <w:gridCol w:w="508"/>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185,217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128,113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313,330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269,096 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5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provide a comparison of 2024 Net revenues, excluding currency translation effects, to 2023 Net revenues:</w:t>
      </w:r>
    </w:p>
    <w:tbl>
      <w:tblPr>
        <w:tblW w:w="10205" w:type="dxa"/>
        <w:jc w:val="left"/>
        <w:tblInd w:w="0" w:type="dxa"/>
        <w:tblLayout w:type="fixed"/>
        <w:tblCellMar>
          <w:top w:w="28" w:type="dxa"/>
          <w:left w:w="28" w:type="dxa"/>
          <w:bottom w:w="28" w:type="dxa"/>
          <w:right w:w="28" w:type="dxa"/>
        </w:tblCellMar>
      </w:tblPr>
      <w:tblGrid>
        <w:gridCol w:w="529"/>
        <w:gridCol w:w="465"/>
        <w:gridCol w:w="466"/>
        <w:gridCol w:w="270"/>
        <w:gridCol w:w="1079"/>
        <w:gridCol w:w="139"/>
        <w:gridCol w:w="478"/>
        <w:gridCol w:w="1090"/>
        <w:gridCol w:w="247"/>
        <w:gridCol w:w="377"/>
        <w:gridCol w:w="1476"/>
        <w:gridCol w:w="194"/>
        <w:gridCol w:w="272"/>
        <w:gridCol w:w="1065"/>
        <w:gridCol w:w="140"/>
        <w:gridCol w:w="465"/>
        <w:gridCol w:w="369"/>
        <w:gridCol w:w="1084"/>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4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Q1 2024</w:t>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(Decrease)/ increase due to changes in currency translation rates</w:t>
            </w:r>
          </w:p>
        </w:tc>
        <w:tc>
          <w:tcPr>
            <w:tcW w:w="20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 2024 revenues on same basis as Q1 2023 currency translation rates</w:t>
            </w:r>
          </w:p>
        </w:tc>
        <w:tc>
          <w:tcPr>
            <w:tcW w:w="14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Q1 2023</w:t>
            </w:r>
          </w:p>
        </w:tc>
        <w:tc>
          <w:tcPr>
            <w:tcW w:w="1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 compared to Q1 2023, excluding currency rate effects</w:t>
            </w:r>
          </w:p>
        </w:tc>
      </w:tr>
      <w:tr>
        <w:trPr/>
        <w:tc>
          <w:tcPr>
            <w:tcW w:w="1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185,217</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185,815 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153,222 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128,113</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127,892 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115,874 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313,330</w:t>
            </w:r>
            <w:r>
              <w:rPr>
                <w:color w:val="000000"/>
              </w:rPr>
              <w:t>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313,707 </w:t>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269,096 </w:t>
            </w:r>
          </w:p>
        </w:tc>
        <w:tc>
          <w:tcPr>
            <w:tcW w:w="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0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Net revenues increased 16.4% compared to the same period in 2023, driven by $37.9 million of Net revenues from the Heimbach acquisition and higher Net revenues in AEC, partially offset by lower organic Net revenues at MC.</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MC's Net revenues increased 20.9% compared to the first quarter of 2023, driven by Heimbach Net revenues of $37.9 million. This was partially offset by $5.3 million of lower Net revenues in the rest of the segment, driven primarily by weakness in publication globally, and in all grades in Europe. This decrease was partially offset with increases in revenues in North America. Changes in currency translation rates had the effect of decreasing Net revenues $0.6 million.</w:t>
      </w:r>
    </w:p>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AEC's Net revenues increased 10.6%, primarily driven by growth on commercial and space programs, partially offset by lower revenues on defense programs. Changes in currency translation rates had the effect of increasing Net revenues $0.2 million. </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Gross profit by business segment:</w:t>
      </w:r>
    </w:p>
    <w:tbl>
      <w:tblPr>
        <w:tblW w:w="5736" w:type="dxa"/>
        <w:jc w:val="left"/>
        <w:tblInd w:w="0" w:type="dxa"/>
        <w:tblLayout w:type="fixed"/>
        <w:tblCellMar>
          <w:top w:w="28" w:type="dxa"/>
          <w:left w:w="28" w:type="dxa"/>
          <w:bottom w:w="28" w:type="dxa"/>
          <w:right w:w="28" w:type="dxa"/>
        </w:tblCellMar>
      </w:tblPr>
      <w:tblGrid>
        <w:gridCol w:w="1059"/>
        <w:gridCol w:w="931"/>
        <w:gridCol w:w="934"/>
        <w:gridCol w:w="213"/>
        <w:gridCol w:w="849"/>
        <w:gridCol w:w="273"/>
        <w:gridCol w:w="213"/>
        <w:gridCol w:w="728"/>
        <w:gridCol w:w="273"/>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84,655</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77,855 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24,031</w:t>
            </w:r>
            <w:r>
              <w:rPr>
                <w:color w:val="000000"/>
              </w:rPr>
              <w:t>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21,463 </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108,686</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99,318 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6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34.7</w:t>
            </w:r>
            <w:r>
              <w:rPr>
                <w:color w:val="000000"/>
              </w:rPr>
              <w:t> </w:t>
            </w:r>
          </w:p>
        </w:tc>
        <w:tc>
          <w:tcPr>
            <w:tcW w:w="2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4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2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both"/>
        <w:rPr>
          <w:rFonts w:ascii="Arial;sans-serif" w:hAnsi="Arial;sans-serif"/>
          <w:b w:val="false"/>
          <w:color w:val="000000"/>
          <w:sz w:val="20"/>
        </w:rPr>
      </w:pPr>
      <w:r>
        <w:rPr>
          <w:rFonts w:ascii="Arial;sans-serif" w:hAnsi="Arial;sans-serif"/>
          <w:b w:val="false"/>
          <w:color w:val="000000"/>
          <w:sz w:val="20"/>
        </w:rPr>
        <w:t>The increase in 2024 Gross profit, as compared to the same period last year, was driven by higher sales in both segments. Gross profit as a percentage of revenues was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MC's gross profit margin decreased from 50.8% in 2023 to 45.7% in 2024. This margin decrease was primarily attributable to lower gross margin at Heimbach. Excluding Heimbach, MC's gross profit margin increased to 52.1% in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AEC's gross profit margin remained largely in line with the prior year, increasing from 18.5% in 2023 to 18.8% in 2024, driven by a favorable shift in program revenue mix. Changes in the estimated profitability of long-term contracts decreased operating income by $0.9 million in 2024, as compared to a decrease of $0.7 million during the same period last year.</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Selling, General, and Administrative ("SG&amp;A")</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SG&amp;A expenses by business segment:</w:t>
      </w:r>
    </w:p>
    <w:tbl>
      <w:tblPr>
        <w:tblW w:w="5735" w:type="dxa"/>
        <w:jc w:val="left"/>
        <w:tblInd w:w="0" w:type="dxa"/>
        <w:tblLayout w:type="fixed"/>
        <w:tblCellMar>
          <w:top w:w="28" w:type="dxa"/>
          <w:left w:w="28" w:type="dxa"/>
          <w:bottom w:w="28" w:type="dxa"/>
          <w:right w:w="28" w:type="dxa"/>
        </w:tblCellMar>
      </w:tblPr>
      <w:tblGrid>
        <w:gridCol w:w="1059"/>
        <w:gridCol w:w="931"/>
        <w:gridCol w:w="934"/>
        <w:gridCol w:w="222"/>
        <w:gridCol w:w="775"/>
        <w:gridCol w:w="285"/>
        <w:gridCol w:w="222"/>
        <w:gridCol w:w="759"/>
        <w:gridCol w:w="285"/>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29,004</w:t>
            </w: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23,073 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7,510</w:t>
            </w:r>
            <w:r>
              <w:rPr>
                <w:color w:val="000000"/>
              </w:rPr>
              <w:t>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18,321</w:t>
            </w: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54,835</w:t>
            </w:r>
            <w:r>
              <w:rPr>
                <w:color w:val="000000"/>
              </w:rPr>
              <w:t>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48,479 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99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w:t>
            </w:r>
            <w:r>
              <w:rPr>
                <w:color w:val="000000"/>
              </w:rPr>
              <w:t> </w:t>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Consolidated SG&amp;A expenses increased 13.1% as compared to 2023, however, as a percentage of Net revenues it decreased from 18.0% in 2023 to 17.5% in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MC SG&amp;A expenses increased $5.9 million as compared to 2023, of which $9.2 million of the increase related to Heimbach. Excluding Heimbach, MC's SG&amp;A decreased $3.3 million, driven primarily by changes in currency translation rates, which reduced expenses by $2.8 million, as well as lower consulting fees and incentive compensation costs.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AEC, SG&amp;A expenses remained largely in line with the prior year.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Corporate SG&amp;A expenses increased $0.5 million, principally due to acquisition and integration related expenses.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Technical and Research</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technical and research expenses by business segment:</w:t>
      </w:r>
    </w:p>
    <w:tbl>
      <w:tblPr>
        <w:tblW w:w="5735" w:type="dxa"/>
        <w:jc w:val="left"/>
        <w:tblInd w:w="0" w:type="dxa"/>
        <w:tblLayout w:type="fixed"/>
        <w:tblCellMar>
          <w:top w:w="28" w:type="dxa"/>
          <w:left w:w="28" w:type="dxa"/>
          <w:bottom w:w="28" w:type="dxa"/>
          <w:right w:w="28" w:type="dxa"/>
        </w:tblCellMar>
      </w:tblPr>
      <w:tblGrid>
        <w:gridCol w:w="1059"/>
        <w:gridCol w:w="931"/>
        <w:gridCol w:w="934"/>
        <w:gridCol w:w="222"/>
        <w:gridCol w:w="775"/>
        <w:gridCol w:w="285"/>
        <w:gridCol w:w="222"/>
        <w:gridCol w:w="759"/>
        <w:gridCol w:w="285"/>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7,520</w:t>
            </w: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5,145</w:t>
            </w:r>
            <w:r>
              <w:rPr>
                <w:color w:val="000000"/>
              </w:rPr>
              <w:t>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4,479 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12,665</w:t>
            </w: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99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w:t>
            </w:r>
            <w:r>
              <w:rPr>
                <w:color w:val="000000"/>
              </w:rPr>
              <w:t> </w:t>
            </w:r>
          </w:p>
        </w:tc>
        <w:tc>
          <w:tcPr>
            <w:tcW w:w="2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both"/>
        <w:rPr>
          <w:rFonts w:ascii="Arial;sans-serif" w:hAnsi="Arial;sans-serif"/>
          <w:b w:val="false"/>
          <w:color w:val="000000"/>
          <w:sz w:val="20"/>
        </w:rPr>
      </w:pPr>
      <w:r>
        <w:rPr>
          <w:rFonts w:ascii="Arial;sans-serif" w:hAnsi="Arial;sans-serif"/>
          <w:b w:val="false"/>
          <w:color w:val="000000"/>
          <w:sz w:val="20"/>
        </w:rPr>
        <w:t>Consolidated Technical and research expenses increased 23.2% as compared to 2023, and as a percentage of Net revenues increased from 3.8% in 2023 to 4.0% in 2024.</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MC Technical and research expenses increased $1.7 million as compared to 2023, of which $1.6 million was due to the addition of Heimbach.</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AEC Technical and research expenses increased $0.7 million as compared to 2023, due to increases in research material and labor costs.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Restructuring 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to the items discussed above affecting Gross profit, SG&amp;A and Technical and research expenses, Operating income was affected by restructuring expense, net, of $2.2 million in the three months ended March 31, 2024, compared to an insignificant amount in in the same period of 2023.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restructuring expenses by business segment:</w:t>
      </w:r>
    </w:p>
    <w:tbl>
      <w:tblPr>
        <w:tblW w:w="5525" w:type="dxa"/>
        <w:jc w:val="left"/>
        <w:tblInd w:w="0" w:type="dxa"/>
        <w:tblLayout w:type="fixed"/>
        <w:tblCellMar>
          <w:top w:w="28" w:type="dxa"/>
          <w:left w:w="28" w:type="dxa"/>
          <w:bottom w:w="28" w:type="dxa"/>
          <w:right w:w="28" w:type="dxa"/>
        </w:tblCellMar>
      </w:tblPr>
      <w:tblGrid>
        <w:gridCol w:w="982"/>
        <w:gridCol w:w="865"/>
        <w:gridCol w:w="867"/>
        <w:gridCol w:w="275"/>
        <w:gridCol w:w="822"/>
        <w:gridCol w:w="353"/>
        <w:gridCol w:w="275"/>
        <w:gridCol w:w="470"/>
        <w:gridCol w:w="353"/>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w:t>
            </w: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2,188</w:t>
            </w:r>
            <w:r>
              <w:rPr>
                <w:color w:val="000000"/>
              </w:rPr>
              <w:t>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total</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2,209</w:t>
            </w: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9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w:t>
            </w:r>
            <w:r>
              <w:rPr>
                <w:color w:val="000000"/>
              </w:rPr>
              <w:t> </w:t>
            </w:r>
          </w:p>
        </w:tc>
        <w:tc>
          <w:tcPr>
            <w:tcW w:w="3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74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3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Restructuring costs in the first quarter of 2024 were primarily related to reductions in workforce at various AEC locations, while restructuring charges for the first quarter of 2023 were not significant. There were no charges related to the impairment of assets for the periods presented.</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operating income/(loss) by business segment:</w:t>
      </w:r>
    </w:p>
    <w:tbl>
      <w:tblPr>
        <w:tblW w:w="5525" w:type="dxa"/>
        <w:jc w:val="left"/>
        <w:tblInd w:w="0" w:type="dxa"/>
        <w:tblLayout w:type="fixed"/>
        <w:tblCellMar>
          <w:top w:w="28" w:type="dxa"/>
          <w:left w:w="28" w:type="dxa"/>
          <w:bottom w:w="28" w:type="dxa"/>
          <w:right w:w="28" w:type="dxa"/>
        </w:tblCellMar>
      </w:tblPr>
      <w:tblGrid>
        <w:gridCol w:w="982"/>
        <w:gridCol w:w="865"/>
        <w:gridCol w:w="867"/>
        <w:gridCol w:w="222"/>
        <w:gridCol w:w="775"/>
        <w:gridCol w:w="285"/>
        <w:gridCol w:w="222"/>
        <w:gridCol w:w="759"/>
        <w:gridCol w:w="285"/>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48,110</w:t>
            </w: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48,964 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9,188</w:t>
            </w:r>
            <w:r>
              <w:rPr>
                <w:color w:val="000000"/>
              </w:rPr>
              <w:t>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(18,321)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(17,840)</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38,977</w:t>
            </w:r>
            <w:r>
              <w:rPr>
                <w:color w:val="000000"/>
              </w:rPr>
              <w:t>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40,542 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w:t>
            </w: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Changes in operating income were primarily attributable to the drivers noted above.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Other Earnings Items</w:t>
      </w:r>
    </w:p>
    <w:tbl>
      <w:tblPr>
        <w:tblW w:w="7177" w:type="dxa"/>
        <w:jc w:val="left"/>
        <w:tblInd w:w="0" w:type="dxa"/>
        <w:tblLayout w:type="fixed"/>
        <w:tblCellMar>
          <w:top w:w="28" w:type="dxa"/>
          <w:left w:w="28" w:type="dxa"/>
          <w:bottom w:w="28" w:type="dxa"/>
          <w:right w:w="28" w:type="dxa"/>
        </w:tblCellMar>
      </w:tblPr>
      <w:tblGrid>
        <w:gridCol w:w="1578"/>
        <w:gridCol w:w="1393"/>
        <w:gridCol w:w="1394"/>
        <w:gridCol w:w="285"/>
        <w:gridCol w:w="853"/>
        <w:gridCol w:w="147"/>
        <w:gridCol w:w="285"/>
        <w:gridCol w:w="832"/>
        <w:gridCol w:w="147"/>
        <w:gridCol w:w="109"/>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3,319</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(2,982)</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11,271</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113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w:t>
            </w:r>
            <w:r>
              <w:rPr>
                <w:color w:val="000000"/>
              </w:rPr>
              <w:t> </w:t>
            </w:r>
          </w:p>
        </w:tc>
        <w:tc>
          <w:tcPr>
            <w:tcW w:w="14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4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Interest Expense/(Income),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Interest expense/(income), net, was largely in line with the prior year. See the Working Capital, Liquidity and Capital Structure section for further discussion of borrowings and interest rates.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Other (Income)/Expense, net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Other (income)/expense, net, included foreign currency related transactions which resulted in income of $1.3 million in the three months ended March 31, 2024, as compared to losses of $0.1 million in the same period last year. Other (income)/expense, net, also included gains on changes in fair value of derivative instruments, gains on sales of fixed assets, and rental income.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Effective Income Tax Rate</w:t>
      </w:r>
    </w:p>
    <w:tbl>
      <w:tblPr>
        <w:tblW w:w="4902" w:type="dxa"/>
        <w:jc w:val="left"/>
        <w:tblInd w:w="0" w:type="dxa"/>
        <w:tblLayout w:type="fixed"/>
        <w:tblCellMar>
          <w:top w:w="28" w:type="dxa"/>
          <w:left w:w="28" w:type="dxa"/>
          <w:bottom w:w="28" w:type="dxa"/>
          <w:right w:w="28" w:type="dxa"/>
        </w:tblCellMar>
      </w:tblPr>
      <w:tblGrid>
        <w:gridCol w:w="836"/>
        <w:gridCol w:w="736"/>
        <w:gridCol w:w="738"/>
        <w:gridCol w:w="276"/>
        <w:gridCol w:w="276"/>
        <w:gridCol w:w="687"/>
        <w:gridCol w:w="276"/>
        <w:gridCol w:w="276"/>
        <w:gridCol w:w="801"/>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29.2</w:t>
            </w:r>
            <w:r>
              <w:rPr>
                <w:color w:val="000000"/>
              </w:rPr>
              <w:t> </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has operations that constitute a taxable presence in 22 countries outside of the United States. The majority of these countries had income tax rates that were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pStyle w:val="TextBody"/>
        <w:bidi w:val="0"/>
        <w:spacing w:lineRule="auto" w:line="288" w:before="120" w:after="283"/>
        <w:ind w:left="0" w:right="0" w:firstLine="360"/>
        <w:jc w:val="both"/>
        <w:rPr/>
      </w:pPr>
      <w:r>
        <w:rPr>
          <w:rFonts w:ascii="Arial;sans-serif" w:hAnsi="Arial;sans-serif"/>
          <w:b w:val="false"/>
          <w:color w:val="000000"/>
          <w:sz w:val="20"/>
        </w:rPr>
        <w:t>The tax rate is affected by recurring items, such as the income tax rate in the U.S. and non-U.S. jurisdictions and the mix of pre-tax income earned in those jurisdictions. The tax rate is also affected by U.S. tax costs on foreign pre-tax earnings, and by discrete items that may occur in any given year but are not consistent from year to year. The Company’s effective tax rate for the first quarter of 2024 was 29.2%, higher compared to 28.2% for the same period in 2023, mainly due to an unfavorable change in the jurisdictional mix of earnings forecasted for 2024. For more information, see Note 6</w:t>
      </w:r>
      <w:r>
        <w:rPr>
          <w:rFonts w:ascii="Arial;sans-serif" w:hAnsi="Arial;sans-serif"/>
          <w:b w:val="false"/>
          <w:i/>
          <w:color w:val="000000"/>
          <w:sz w:val="20"/>
        </w:rPr>
        <w:t>, Income Taxes,</w:t>
      </w:r>
      <w:r>
        <w:rPr>
          <w:color w:val="000000"/>
        </w:rPr>
        <w:t xml:space="preserve"> </w:t>
      </w:r>
      <w:r>
        <w:rPr>
          <w:rFonts w:ascii="Arial;sans-serif" w:hAnsi="Arial;sans-serif"/>
          <w:b w:val="false"/>
          <w:color w:val="000000"/>
          <w:sz w:val="20"/>
        </w:rPr>
        <w:t>in the Notes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The Organization for Economic Co-operation and Development has issued Pillar Two model rules introducing a new global minimum tax of 15 percent intended to be effective on January 1, 2024. While the U.S. has not yet adopted the Pillar Two rules, various other governments around the world are enacting legislation. As currently designed, Pillar Two will ultimately apply to our worldwide operations. Although we do not expect these rules to materially increase our global tax costs in 2024, there remains uncertainty as to the final Pillar Two model rules. We will continue to monitor U.S. and global legislative action related to Pillar Two for potential impacts.</w:t>
      </w:r>
    </w:p>
    <w:p>
      <w:pPr>
        <w:pStyle w:val="TextBody"/>
        <w:bidi w:val="0"/>
        <w:spacing w:lineRule="auto" w:line="288" w:before="200" w:after="283"/>
        <w:ind w:left="0" w:right="0" w:firstLine="450"/>
        <w:jc w:val="both"/>
        <w:rPr>
          <w:rFonts w:ascii="Arial;sans-serif" w:hAnsi="Arial;sans-serif"/>
          <w:b w:val="false"/>
          <w:color w:val="000000"/>
          <w:sz w:val="20"/>
        </w:rPr>
      </w:pPr>
      <w:r>
        <w:rPr>
          <w:rFonts w:ascii="Arial;sans-serif" w:hAnsi="Arial;sans-serif"/>
          <w:b w:val="false"/>
          <w:color w:val="000000"/>
          <w:sz w:val="20"/>
        </w:rPr>
        <w:t>On January 17, 2024, the House Ways and Means Committee announced a draft legislation called "The Tax Relief for American Families and Workers Act of 2024". This act would restore 100% bonus depreciation for property placed in service after December 31, 2022 and before January 1, 2026; and retroactively restore the ability to deduct domestic research and experimentation costs that were required to be capitalized beginning in 2022 under Section 174. On January 31, 2024, the United States House of Representatives voted to approve this bill, which is now with the United States Senate. We will continue to monitor the status of this legislation and assess the potential impact, if passed.</w:t>
      </w:r>
    </w:p>
    <w:p>
      <w:pPr>
        <w:pStyle w:val="TextBody"/>
        <w:bidi w:val="0"/>
        <w:spacing w:before="2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Segment Results of Operations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Machine Clothing Segment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MC segment accounted for 59% of our consolidated revenues during the first three months of 2024. A summary of selected financial results for MC is as follows: </w:t>
      </w:r>
    </w:p>
    <w:p>
      <w:pPr>
        <w:pStyle w:val="TextBody"/>
        <w:bidi w:val="0"/>
        <w:spacing w:lineRule="auto" w:line="288" w:before="140" w:after="283"/>
        <w:jc w:val="both"/>
        <w:rPr>
          <w:rFonts w:ascii="Arial;sans-serif" w:hAnsi="Arial;sans-serif"/>
          <w:b/>
          <w:color w:val="000000"/>
          <w:sz w:val="20"/>
        </w:rPr>
      </w:pPr>
      <w:r>
        <w:rPr>
          <w:rFonts w:ascii="Arial;sans-serif" w:hAnsi="Arial;sans-serif"/>
          <w:b/>
          <w:color w:val="000000"/>
          <w:sz w:val="20"/>
        </w:rPr>
        <w:t>Review of Operations</w:t>
      </w:r>
    </w:p>
    <w:tbl>
      <w:tblPr>
        <w:tblW w:w="5818" w:type="dxa"/>
        <w:jc w:val="left"/>
        <w:tblInd w:w="0" w:type="dxa"/>
        <w:tblLayout w:type="fixed"/>
        <w:tblCellMar>
          <w:top w:w="28" w:type="dxa"/>
          <w:left w:w="28" w:type="dxa"/>
          <w:bottom w:w="28" w:type="dxa"/>
          <w:right w:w="28" w:type="dxa"/>
        </w:tblCellMar>
      </w:tblPr>
      <w:tblGrid>
        <w:gridCol w:w="1059"/>
        <w:gridCol w:w="931"/>
        <w:gridCol w:w="934"/>
        <w:gridCol w:w="211"/>
        <w:gridCol w:w="841"/>
        <w:gridCol w:w="271"/>
        <w:gridCol w:w="211"/>
        <w:gridCol w:w="826"/>
        <w:gridCol w:w="271"/>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185,217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84,655</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77,855 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SG&amp;A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29,004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7,520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48,110</w:t>
            </w:r>
            <w:r>
              <w:rPr>
                <w:color w:val="000000"/>
              </w:rPr>
              <w:t>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48,964 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revenues increased by 20.9%, driven by Heimbach Net revenues of $37.9 million. This was partially offset by $5.3 million of lower Net revenues in the rest of the segment, driven primarily by weakness in publication globally, and in all grades in Europe. This decrease was partially offset with increases in North America. Changes in currency translation rates had the effect of decreasing Net revenues $0.6 million.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Gross profit increased by $6.8 million as compared to the prior year, driven by the higher sales noted above; however, gross profit margin decreased from 50.8% in 2023 to 45.7% in 2024. This margin decrease was primarily driven by lower gross margins at Heimbach. Excluding Heimbach, MC's gross profit margins increased to 52.1% in 2024 as a result of higher revenues in North America.</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Operating income decreased year-over-year, due to higher SG&amp;A and Technical and research expenses from the Heimbach acquisition in addition to Heimbach's lower gross profit margins. The addition of Heimbach increased SG&amp;A expenses by $9.2 million and increased Technical and research expenses by $1.6 million. Excluding Heimbach, SG&amp;A decreased $3.3 million, driven primarily by changes in currency translation rates, which reduced expenses $2.8 million, as well as lower consulting fees and incentive compensation costs.</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Albany Engineered Composites ("AEC") Segment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AEC segment accounted for 41% of our consolidated revenues during the first three months of 2024. A summary of selected financial results for AEC is as follows: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Review of Operations</w:t>
      </w:r>
    </w:p>
    <w:tbl>
      <w:tblPr>
        <w:tblW w:w="5818" w:type="dxa"/>
        <w:jc w:val="left"/>
        <w:tblInd w:w="0" w:type="dxa"/>
        <w:tblLayout w:type="fixed"/>
        <w:tblCellMar>
          <w:top w:w="28" w:type="dxa"/>
          <w:left w:w="28" w:type="dxa"/>
          <w:bottom w:w="28" w:type="dxa"/>
          <w:right w:w="28" w:type="dxa"/>
        </w:tblCellMar>
      </w:tblPr>
      <w:tblGrid>
        <w:gridCol w:w="1059"/>
        <w:gridCol w:w="931"/>
        <w:gridCol w:w="934"/>
        <w:gridCol w:w="211"/>
        <w:gridCol w:w="841"/>
        <w:gridCol w:w="271"/>
        <w:gridCol w:w="211"/>
        <w:gridCol w:w="826"/>
        <w:gridCol w:w="271"/>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128,113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24,031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SG&amp;A expenses</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7,510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5,145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9,188</w:t>
            </w:r>
            <w:r>
              <w:rPr>
                <w:color w:val="000000"/>
              </w:rPr>
              <w:t>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9,418 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March 31, 2024, Net revenues increased 10.6% as compared to the prior year, driven by growth on commercial and space programs of approximately $17.0 million, partially offset by lower revenues on defense programs. Changes in currency translation rates had the effect of increasing Net revenues $0.2 million.</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AEC has contracts with certain customers, including its contract for the LEAP program, where revenue is determined by a cost-plus-fee agreement. Revenue earned under these arrangements accounted for approximately 40 percent of segment revenue for the first three months of 2024 and 2023. </w:t>
      </w:r>
    </w:p>
    <w:p>
      <w:pPr>
        <w:pStyle w:val="TextBody"/>
        <w:bidi w:val="0"/>
        <w:spacing w:lineRule="auto" w:line="288" w:before="120" w:after="283"/>
        <w:ind w:left="0" w:right="0" w:firstLine="360"/>
        <w:jc w:val="both"/>
        <w:rPr/>
      </w:pPr>
      <w:r>
        <w:rPr>
          <w:rFonts w:ascii="Arial;sans-serif" w:hAnsi="Arial;sans-serif"/>
          <w:b w:val="false"/>
          <w:color w:val="000000"/>
          <w:sz w:val="20"/>
        </w:rPr>
        <w:t>In addition, AEC has long-term contracts in which the selling price is fixed.</w:t>
      </w:r>
      <w:r>
        <w:rPr>
          <w:color w:val="000000"/>
        </w:rPr>
        <w:t xml:space="preserve"> </w:t>
      </w:r>
      <w:r>
        <w:rPr>
          <w:rFonts w:ascii="Arial;sans-serif" w:hAnsi="Arial;sans-serif"/>
          <w:b w:val="false"/>
          <w:color w:val="000000"/>
          <w:sz w:val="20"/>
        </w:rPr>
        <w:t>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March 31, 2024, Gross profit increased $2.6 million as compared to the same period last year, and gross profit margin remained largely in line with the prior year, increasing from 18.5% in 2023 to 18.8% in 2024. The increase in profit margin was driven primarily by a favorable shift in program revenue mix to commercial programs.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the three months ended March 31, 2024, Operating income decreased $0.2 million, principally due to a $0.7 million increase in Technical and research expenses, as well as restructuring expenses of $2.2 million, as described above.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Changes in the estimated profitability of long-term contracts decreased operating income by $0.9 million in 2024, as compared to a decrease of $0.7 million during the same period last year.</w:t>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Working Capital, Liquidity and Capital Structure</w:t>
      </w:r>
    </w:p>
    <w:p>
      <w:pPr>
        <w:pStyle w:val="TextBody"/>
        <w:bidi w:val="0"/>
        <w:spacing w:lineRule="auto" w:line="268" w:before="120" w:after="283"/>
        <w:jc w:val="left"/>
        <w:rPr>
          <w:rFonts w:ascii="Arial;sans-serif" w:hAnsi="Arial;sans-serif"/>
          <w:b/>
          <w:i/>
          <w:color w:val="000000"/>
          <w:sz w:val="20"/>
        </w:rPr>
      </w:pPr>
      <w:r>
        <w:rPr>
          <w:rFonts w:ascii="Arial;sans-serif" w:hAnsi="Arial;sans-serif"/>
          <w:b/>
          <w:i/>
          <w:color w:val="000000"/>
          <w:sz w:val="20"/>
        </w:rPr>
        <w:t>Cash Flow Summary</w:t>
      </w:r>
    </w:p>
    <w:tbl>
      <w:tblPr>
        <w:tblW w:w="7796" w:type="dxa"/>
        <w:jc w:val="left"/>
        <w:tblInd w:w="0" w:type="dxa"/>
        <w:tblLayout w:type="fixed"/>
        <w:tblCellMar>
          <w:top w:w="28" w:type="dxa"/>
          <w:left w:w="28" w:type="dxa"/>
          <w:bottom w:w="28" w:type="dxa"/>
          <w:right w:w="28" w:type="dxa"/>
        </w:tblCellMar>
      </w:tblPr>
      <w:tblGrid>
        <w:gridCol w:w="1882"/>
        <w:gridCol w:w="1659"/>
        <w:gridCol w:w="1663"/>
        <w:gridCol w:w="232"/>
        <w:gridCol w:w="928"/>
        <w:gridCol w:w="120"/>
        <w:gridCol w:w="232"/>
        <w:gridCol w:w="911"/>
        <w:gridCol w:w="169"/>
      </w:tblGrid>
      <w:tr>
        <w:trPr/>
        <w:tc>
          <w:tcPr>
            <w:tcW w:w="188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27,369</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27,086 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22,304</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working capital (a)</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(27,171)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(48,388)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noncurrent liabilities and deferred taxes</w:t>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items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(12,736)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9,597</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(16,393)</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(26,880)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(28,069)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41,086 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(2,656)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Decrease in cash and cash equivalents</w:t>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(48,008)</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173,420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291,776 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125,412</w:t>
            </w:r>
            <w:r>
              <w:rPr>
                <w:color w:val="000000"/>
              </w:rPr>
              <w:t> </w:t>
            </w:r>
          </w:p>
        </w:tc>
        <w:tc>
          <w:tcPr>
            <w:tcW w:w="1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304,258 </w:t>
            </w:r>
          </w:p>
        </w:tc>
        <w:tc>
          <w:tcPr>
            <w:tcW w:w="1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(a)Includes Accounts receivable, Contract assets, Inventories, Accounts payable, and Accrued liabilities.</w:t>
      </w:r>
    </w:p>
    <w:p>
      <w:pPr>
        <w:pStyle w:val="TextBody"/>
        <w:bidi w:val="0"/>
        <w:spacing w:lineRule="auto" w:line="288" w:before="160" w:after="283"/>
        <w:ind w:left="0" w:right="0" w:firstLine="360"/>
        <w:jc w:val="both"/>
        <w:rPr>
          <w:rFonts w:ascii="Arial;sans-serif" w:hAnsi="Arial;sans-serif"/>
          <w:b w:val="false"/>
          <w:color w:val="000000"/>
          <w:sz w:val="20"/>
        </w:rPr>
      </w:pPr>
      <w:r>
        <w:rPr>
          <w:rFonts w:ascii="Arial;sans-serif" w:hAnsi="Arial;sans-serif"/>
          <w:b w:val="false"/>
          <w:color w:val="000000"/>
          <w:sz w:val="20"/>
        </w:rPr>
        <w:t>Net cash provided by operating activities was $9.6 million in 2024, compared to net cash used in activities of $16.4 million in the same period last year. The increase was driven by improved levels of working capital at both segments and lower tax payments during the current period.</w:t>
      </w:r>
    </w:p>
    <w:p>
      <w:pPr>
        <w:pStyle w:val="TextBody"/>
        <w:bidi w:val="0"/>
        <w:spacing w:lineRule="auto" w:line="288" w:before="160" w:after="283"/>
        <w:ind w:left="0" w:right="0" w:firstLine="360"/>
        <w:jc w:val="both"/>
        <w:rPr>
          <w:rFonts w:ascii="Arial;sans-serif" w:hAnsi="Arial;sans-serif"/>
          <w:b w:val="false"/>
          <w:color w:val="000000"/>
          <w:sz w:val="20"/>
        </w:rPr>
      </w:pPr>
      <w:r>
        <w:rPr>
          <w:rFonts w:ascii="Arial;sans-serif" w:hAnsi="Arial;sans-serif"/>
          <w:b w:val="false"/>
          <w:color w:val="000000"/>
          <w:sz w:val="20"/>
        </w:rPr>
        <w:t>Net cash used in investing activities primarily include capital expenditures totaling $26.9 million and $16.3 million for the first three months of 2024 and 2023, respectively, including investments in new aerospace programs and to improve productivity in our MC segment.</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Net cash used in financing activities during 2024 was $28.1 million as compared to net cash provided by financing activities of $41.1 million in 2023. The change was primarily due to lower borrowings that were more than offset by a significant increase in principal payments on debt during the current period.</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Liquidity and Capital Structure</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finance our business activities principally with cash generated from operations and borrowings, largely through our revolving credit agreement as discussed below. Our subsidiaries outside of the United States may also maintain working capital lines with local banks.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Under our $800 million unsecured committed Amended Credit Agreement, $429.0 million of borrowings were outstanding as of March 31, 2024. In addition, we have borrowings outstanding at our newly acquired Heimbach subsidiary of $10.1 million, of which $4.4 million was considered current.</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As of March 31, 2024, we had cash and cash equivalents of $125.4 million and available borrowings under our Amended Credit Agreement of $371.0 million, for a total liquidity of approximately $496.4 million. We believe cash flows from operations and the availability of funds under our Amended Credit Agreement will be adequate to fund our operations and business needs over the next twelve months. For more information on credit agreements, see </w:t>
      </w:r>
      <w:r>
        <w:rPr>
          <w:rFonts w:ascii="Arial;sans-serif" w:hAnsi="Arial;sans-serif"/>
          <w:b w:val="false"/>
          <w:i/>
          <w:color w:val="000000"/>
          <w:sz w:val="20"/>
        </w:rPr>
        <w:t>Note 14. Financial Instruments</w:t>
      </w:r>
      <w:r>
        <w:rPr>
          <w:color w:val="000000"/>
        </w:rPr>
        <w:t xml:space="preserve"> </w:t>
      </w:r>
      <w:r>
        <w:rPr>
          <w:rFonts w:ascii="Arial;sans-serif" w:hAnsi="Arial;sans-serif"/>
          <w:b w:val="false"/>
          <w:color w:val="000000"/>
          <w:sz w:val="20"/>
        </w:rPr>
        <w:t xml:space="preserve">in the Notes to Consolidated Financial Statements.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2024, $109.0 million of our total cash and cash equivalents were held by non-U.S. subsidiaries. The accumulated undistributed earnings of the Company’s foreign operations not targeted for repatriation to the U.S. were in excess of $155.0 million, as of March 31, 2024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which is currently considered to be indefinitely reinvested in foreign operations, may also result in additional taxes.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also returned cash to shareholders through dividends and share repurchases. During the first three months of 2024, we paid $8.1 million in dividends and had no share repurchases.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40" w:after="283"/>
        <w:ind w:left="0" w:right="0" w:firstLine="360"/>
        <w:jc w:val="both"/>
        <w:rPr>
          <w:rFonts w:ascii="Arial;sans-serif" w:hAnsi="Arial;sans-serif"/>
          <w:b w:val="false"/>
          <w:color w:val="000000"/>
          <w:sz w:val="20"/>
        </w:rPr>
      </w:pPr>
      <w:r>
        <w:rPr>
          <w:rFonts w:ascii="Arial;sans-serif" w:hAnsi="Arial;sans-serif"/>
          <w:b w:val="false"/>
          <w:color w:val="000000"/>
          <w:sz w:val="20"/>
        </w:rPr>
        <w:t>The Company is party to certain off-balance sheet arrangements, including certain guarantees. The Company provides financial assurance, such as payment guarantee and letters of credit and surety bonds, primarily to support workers’ compensation programs and customs clearance, of less than $12 million. There were no material changes in the Company’s off-balance sheet arrangements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80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80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both"/>
        <w:rPr/>
      </w:pPr>
      <w:r>
        <w:rPr/>
      </w:r>
    </w:p>
    <w:tbl>
      <w:tblPr>
        <w:tblW w:w="14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ind w:left="0" w:right="0" w:firstLine="36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Item 3.</w:t>
      </w:r>
      <w:r>
        <w:rPr>
          <w:color w:val="000000"/>
          <w:shd w:fill="FFFFFF" w:val="clear"/>
        </w:rPr>
        <w:t xml:space="preserve"> </w:t>
      </w:r>
      <w:r>
        <w:rPr>
          <w:rFonts w:ascii="Arial;sans-serif" w:hAnsi="Arial;sans-serif"/>
          <w:b/>
          <w:color w:val="000000"/>
          <w:sz w:val="20"/>
          <w:shd w:fill="FFFFFF" w:val="clear"/>
        </w:rPr>
        <w:t>Quantitative and Qualitative Disclosures about Market Risk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market risk with respect to foreign currency exchange rates and interest rates. The market risk is the potential loss arising from adverse changes in these rates as discussed below.</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Foreign Currency Exchange Rate Risk</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$718.9 million. The potential loss in fair value resulting from a hypothetical 10% adverse change in quoted foreign currency exchange rates amounts to $71.9 million. Furthermore, related to foreign currency transactions, we have exposure to various nonfunctional currency balances totaling $154.9 million. This amount includes, on an absolute basis, exposures to assets and liabilities held in currencies other than our local entities’ functional currencies. On a net basis, we had $55.6 million of foreign currency assets as of March 31, 2024. As currency rates change, these nonfunctional currency balances are revalued, and the corresponding adjustment is recorded in the income statement. A hypothetical change of 10% in currency rates could result in an adjustment to the income statement of approximately $5.6 million. Actual results may differ from these estimates.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are exposed to interest rate fluctuations with respect to our variable rate debt, depending on general economic conditions.</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On March 31, 2024, we had the following variable rate debt: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09"/>
        <w:gridCol w:w="2880"/>
        <w:gridCol w:w="2898"/>
        <w:gridCol w:w="211"/>
        <w:gridCol w:w="751"/>
        <w:gridCol w:w="156"/>
      </w:tblGrid>
      <w:tr>
        <w:trPr/>
        <w:tc>
          <w:tcPr>
            <w:tcW w:w="33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 except interest rates)</w:t>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Current Maturities of Long-Term Debt</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Bank Debt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debt</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Credit agreement with borrowings outstanding, net of fixed rate portion, at an end of period interest rate of 7.05% in 2024, due in 2028</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79,000</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Bank Debt</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r>
      <w:tr>
        <w:trPr/>
        <w:tc>
          <w:tcPr>
            <w:tcW w:w="9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79,079</w:t>
            </w:r>
            <w:r>
              <w:rPr>
                <w:color w:val="000000"/>
              </w:rPr>
              <w:t> </w:t>
            </w:r>
          </w:p>
        </w:tc>
        <w:tc>
          <w:tcPr>
            <w:tcW w:w="1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Arial;sans-serif" w:hAnsi="Arial;sans-serif"/>
          <w:b w:val="false"/>
          <w:color w:val="000000"/>
          <w:sz w:val="20"/>
        </w:rPr>
        <w:t xml:space="preserve">Assuming borrowings were outstanding for an entire year, an increase of one percentage point in weighted average interest rates would increase interest expense by $0.8 million. To manage interest rate risk, we may periodically enter into interest rate swap agreements to effectively fix the interest rates on variable debt to a specific rate for a period of time. Our current interest rate swap agreements expire in October 2024, which will result in a significant increase in our interest cost, which will be calculated using a floating rate based on the one-month term SOFR at that time, which was 5.33% as of March 31, 2024. (See </w:t>
      </w:r>
      <w:r>
        <w:rPr>
          <w:rFonts w:ascii="Arial;sans-serif" w:hAnsi="Arial;sans-serif"/>
          <w:b w:val="false"/>
          <w:i/>
          <w:color w:val="000000"/>
          <w:sz w:val="20"/>
        </w:rPr>
        <w:t>Note</w:t>
      </w:r>
      <w:r>
        <w:rPr>
          <w:color w:val="000000"/>
        </w:rPr>
        <w:t xml:space="preserve"> </w:t>
      </w:r>
      <w:r>
        <w:rPr>
          <w:rFonts w:ascii="Arial;sans-serif" w:hAnsi="Arial;sans-serif"/>
          <w:b w:val="false"/>
          <w:i/>
          <w:color w:val="000000"/>
          <w:sz w:val="20"/>
        </w:rPr>
        <w:t>14. Financial Instruments</w:t>
      </w:r>
      <w:r>
        <w:rPr>
          <w:color w:val="000000"/>
        </w:rPr>
        <w:t xml:space="preserve"> </w:t>
      </w:r>
      <w:r>
        <w:rPr>
          <w:rFonts w:ascii="Arial;sans-serif" w:hAnsi="Arial;sans-serif"/>
          <w:b w:val="false"/>
          <w:color w:val="000000"/>
          <w:sz w:val="20"/>
        </w:rPr>
        <w:t>in the Notes to the Consolidated Financial Statements in Item 1, which is incorporated herein by reference).</w:t>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Disclosure controls and procedures.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and communicated to the Company’s management, including its principal executive officer and principal financial officer as appropriate, to allow timely decisions regarding required disclosure.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Changes in internal control over financial reporting.</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ind w:left="0" w:right="0" w:firstLine="360"/>
        <w:jc w:val="both"/>
        <w:rPr/>
      </w:pPr>
      <w:r>
        <w:rPr>
          <w:rFonts w:ascii="Arial;sans-serif" w:hAnsi="Arial;sans-serif"/>
          <w:b w:val="false"/>
          <w:color w:val="000000"/>
          <w:sz w:val="20"/>
        </w:rPr>
        <w:t xml:space="preserve">The information set forth above under </w:t>
      </w:r>
      <w:r>
        <w:rPr>
          <w:rFonts w:ascii="Arial;sans-serif" w:hAnsi="Arial;sans-serif"/>
          <w:b w:val="false"/>
          <w:i/>
          <w:color w:val="000000"/>
          <w:sz w:val="20"/>
        </w:rPr>
        <w:t>Note 16.</w:t>
      </w:r>
      <w:r>
        <w:rPr>
          <w:color w:val="000000"/>
        </w:rPr>
        <w:t xml:space="preserve">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in Item 1, Notes to Consolidated Financial Statements is incorporated herein by reference.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There have been no material changes from the risk factors previously disclosed in our Annual Report on Form 10-K for the year ended December 31, 2023. </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00" w:after="283"/>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made no share purchases during the first quarter of 2024. </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On October 25,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In total, the Company has repurchased 1,308,003 shares for a total cost of $109.4M, of which 1,022,717 shares were repurchased in 2022 for $85.1 million and 285,286 shares were repurchased in 2021 for $24.3 million. We currently remain authorized to repurchase shares of up to $90.6 million.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40" w:after="283"/>
        <w:jc w:val="left"/>
        <w:rPr>
          <w:rFonts w:ascii="Arial;sans-serif" w:hAnsi="Arial;sans-serif"/>
          <w:b w:val="false"/>
          <w:i/>
          <w:color w:val="000000"/>
          <w:sz w:val="20"/>
        </w:rPr>
      </w:pPr>
      <w:r>
        <w:rPr>
          <w:rFonts w:ascii="Arial;sans-serif" w:hAnsi="Arial;sans-serif"/>
          <w:b w:val="false"/>
          <w:i/>
          <w:color w:val="000000"/>
          <w:sz w:val="20"/>
        </w:rPr>
        <w:t>Securities Trading Plans of Directors and Executive Officers</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During the three months ended March 31, 2024, none of our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w:t>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1"/>
        <w:gridCol w:w="282"/>
        <w:gridCol w:w="283"/>
        <w:gridCol w:w="2790"/>
        <w:gridCol w:w="2694"/>
        <w:gridCol w:w="3835"/>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35"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 No.</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Description</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10(n)(viii)</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Form of 2024 Annual Performance Bonus Award Agreement</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10(m)(xxi)</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Form of 2024 Multi-Year Performance Bonus Agreement</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10(l)(xvi)</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Form of 2024 Restricted Stock Unit Award Agreement</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10(l)(xvii)</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Form of 2024 Non-Employee Director Restricted Stock Unit Award Agreement</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in-20240331xex311.htm">
              <w:r>
                <w:rPr>
                  <w:rStyle w:val="InternetLink"/>
                  <w:rFonts w:ascii="Arial;sans-serif" w:hAnsi="Arial;sans-serif"/>
                  <w:b w:val="false"/>
                  <w:color w:val="0000FF"/>
                  <w:sz w:val="18"/>
                  <w:u w:val="single"/>
                </w:rPr>
                <w:t>Certification of the Chief Executive Officer pursuant to Rule 13a-14(a)/15d-14(a) of the Exchange Act.</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in-20240331xex312.htm">
              <w:r>
                <w:rPr>
                  <w:rStyle w:val="InternetLink"/>
                  <w:rFonts w:ascii="Arial;sans-serif" w:hAnsi="Arial;sans-serif"/>
                  <w:b w:val="false"/>
                  <w:color w:val="0000FF"/>
                  <w:sz w:val="18"/>
                  <w:u w:val="single"/>
                </w:rPr>
                <w:t>Certification of the Chief Financial Officer pursuant to Rule 13a-14(a)/15d-14(a) of the Exchange Act.</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in-20240331xex321.htm">
              <w:r>
                <w:rPr>
                  <w:rStyle w:val="InternetLink"/>
                  <w:rFonts w:ascii="Arial;sans-serif" w:hAnsi="Arial;sans-serif"/>
                  <w:b w:val="false"/>
                  <w:color w:val="0000FF"/>
                  <w:sz w:val="18"/>
                  <w:u w:val="single"/>
                </w:rPr>
                <w:t>Certification pursuant to Section 906 of the Sarbanes-Oxley Act of 2002 (Subsections (a) and (b) of Section 1350, Chapter 63 of Title 18, United States Code).</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the instance document does not appear in the Interactive Data File because its XBRL tags are embedded within the Inline XBRL document.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 Document.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 Document.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 Document.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 Document.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 Document.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446"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280"/>
        <w:gridCol w:w="1280"/>
        <w:gridCol w:w="181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ALBANY INTERNATIONAL CORP.</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(Registrant)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April 29,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Robert D. Starr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Robert D. Starr</w:t>
              <w:b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Gunnar Kleveland, certify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report on Form 10-Q of Albany International Corp.;</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624" w:type="dxa"/>
        <w:jc w:val="left"/>
        <w:tblInd w:w="0" w:type="dxa"/>
        <w:tblLayout w:type="fixed"/>
        <w:tblCellMar>
          <w:top w:w="28" w:type="dxa"/>
          <w:left w:w="28" w:type="dxa"/>
          <w:bottom w:w="28" w:type="dxa"/>
          <w:right w:w="28" w:type="dxa"/>
        </w:tblCellMar>
      </w:tblPr>
      <w:tblGrid>
        <w:gridCol w:w="667"/>
        <w:gridCol w:w="585"/>
        <w:gridCol w:w="592"/>
        <w:gridCol w:w="115"/>
        <w:gridCol w:w="115"/>
        <w:gridCol w:w="116"/>
        <w:gridCol w:w="1003"/>
        <w:gridCol w:w="1003"/>
        <w:gridCol w:w="1428"/>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29, 2024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Gunnar Kleveland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Gunnar Kleveland</w:t>
              <w:b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Robert D. Starr, certify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report on Form 10-Q of Albany International Corp.;</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915" w:type="dxa"/>
        <w:jc w:val="left"/>
        <w:tblInd w:w="0" w:type="dxa"/>
        <w:tblLayout w:type="fixed"/>
        <w:tblCellMar>
          <w:top w:w="28" w:type="dxa"/>
          <w:left w:w="28" w:type="dxa"/>
          <w:bottom w:w="28" w:type="dxa"/>
          <w:right w:w="28" w:type="dxa"/>
        </w:tblCellMar>
      </w:tblPr>
      <w:tblGrid>
        <w:gridCol w:w="667"/>
        <w:gridCol w:w="585"/>
        <w:gridCol w:w="592"/>
        <w:gridCol w:w="115"/>
        <w:gridCol w:w="115"/>
        <w:gridCol w:w="116"/>
        <w:gridCol w:w="1382"/>
        <w:gridCol w:w="1382"/>
        <w:gridCol w:w="1961"/>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29, 2024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Starr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D. Starr</w:t>
              <w:b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20" w:after="283"/>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the Quarterly Report of Albany International Corp. (the Company) on Form 10-Q for the period ending March 31, 2024, as filed with the Securities and Exchange Commission on the date hereof (the Report), Gunnar Kleveland, President and Chief Executive Officer, and Robert D. Starr, Executive Vice President and Chief Financial Officer of the Company, certify, pursuant to 18 U.S.C. § 1350, as adopted pursuant to § 906 of the Sarbanes-Oxley Act of 2002,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and Exchange Act of 1934;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896" w:type="dxa"/>
        <w:jc w:val="center"/>
        <w:tblInd w:w="0" w:type="dxa"/>
        <w:tblLayout w:type="fixed"/>
        <w:tblCellMar>
          <w:top w:w="28" w:type="dxa"/>
          <w:left w:w="28" w:type="dxa"/>
          <w:bottom w:w="28" w:type="dxa"/>
          <w:right w:w="28" w:type="dxa"/>
        </w:tblCellMar>
      </w:tblPr>
      <w:tblGrid>
        <w:gridCol w:w="667"/>
        <w:gridCol w:w="585"/>
        <w:gridCol w:w="592"/>
        <w:gridCol w:w="109"/>
        <w:gridCol w:w="109"/>
        <w:gridCol w:w="109"/>
        <w:gridCol w:w="1380"/>
        <w:gridCol w:w="1380"/>
        <w:gridCol w:w="1965"/>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Gunnar Kleveland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Gunnar Kleveland</w:t>
              <w:br/>
              <w:t>President and Chief Executive Officer</w:t>
              <w:b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Starr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D. Starr</w:t>
              <w:br/>
              <w:t>Executive Vice President and 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Book Antiqu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9793/000081979324000018/exhibit10nviiiannualperfor.htm" TargetMode="External"/><Relationship Id="rId3" Type="http://schemas.openxmlformats.org/officeDocument/2006/relationships/hyperlink" Target="https://www.sec.gov/Archives/edgar/data/819793/000081979324000018/exhibit10mxximulti-yearper.htm" TargetMode="External"/><Relationship Id="rId4" Type="http://schemas.openxmlformats.org/officeDocument/2006/relationships/hyperlink" Target="https://www.sec.gov/Archives/edgar/data/819793/000081979324000018/exhibit10lxvirestrictedsto.htm" TargetMode="External"/><Relationship Id="rId5" Type="http://schemas.openxmlformats.org/officeDocument/2006/relationships/hyperlink" Target="https://www.sec.gov/Archives/edgar/data/819793/000081979324000018/exhibit10lxviinon-employee.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14916</Words>
  <Characters>83760</Characters>
  <CharactersWithSpaces>97277</CharactersWithSpaces>
  <Paragraphs>2325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