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6858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256540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272415</wp:posOffset>
            </wp:positionV>
            <wp:extent cx="1998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193" w:lineRule="exact"/>
        <w:rPr>
          <w:sz w:val="24"/>
          <w:szCs w:val="24"/>
          <w:color w:val="auto"/>
        </w:rPr>
      </w:pPr>
    </w:p>
    <w:p>
      <w:pPr>
        <w:ind w:left="700" w:hanging="39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20"/>
          <w:szCs w:val="20"/>
          <w:b w:val="1"/>
          <w:bCs w:val="1"/>
          <w:color w:val="auto"/>
        </w:rPr>
        <w:t xml:space="preserve">For the fiscal year ended: </w:t>
      </w:r>
      <w:r>
        <w:rPr>
          <w:rFonts w:ascii="Arial" w:cs="Arial" w:eastAsia="Arial" w:hAnsi="Arial"/>
          <w:sz w:val="20"/>
          <w:szCs w:val="20"/>
          <w:b w:val="1"/>
          <w:bCs w:val="1"/>
          <w:u w:val="single" w:color="auto"/>
          <w:color w:val="auto"/>
        </w:rPr>
        <w:t>December 31, 2019</w:t>
      </w:r>
    </w:p>
    <w:p>
      <w:pPr>
        <w:jc w:val="center"/>
        <w:ind w:right="20"/>
        <w:spacing w:after="0" w:line="230" w:lineRule="auto"/>
        <w:rPr>
          <w:sz w:val="20"/>
          <w:szCs w:val="20"/>
          <w:color w:val="auto"/>
        </w:rPr>
      </w:pPr>
      <w:r>
        <w:rPr>
          <w:rFonts w:ascii="Arial" w:cs="Arial" w:eastAsia="Arial" w:hAnsi="Arial"/>
          <w:sz w:val="18"/>
          <w:szCs w:val="18"/>
          <w:b w:val="1"/>
          <w:bCs w:val="1"/>
          <w:color w:val="auto"/>
        </w:rPr>
        <w:t>OR</w:t>
      </w:r>
    </w:p>
    <w:p>
      <w:pPr>
        <w:ind w:left="700" w:hanging="395"/>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rFonts w:ascii="MS PGothic" w:cs="MS PGothic" w:eastAsia="MS PGothic" w:hAnsi="MS PGothic"/>
          <w:sz w:val="18"/>
          <w:szCs w:val="18"/>
          <w:color w:val="auto"/>
        </w:rPr>
      </w:pPr>
    </w:p>
    <w:p>
      <w:pPr>
        <w:ind w:left="3360"/>
        <w:spacing w:after="0"/>
        <w:rPr>
          <w:rFonts w:ascii="MS PGothic" w:cs="MS PGothic" w:eastAsia="MS PGothic" w:hAnsi="MS PGothic"/>
          <w:sz w:val="18"/>
          <w:szCs w:val="18"/>
          <w:color w:val="auto"/>
        </w:rPr>
      </w:pPr>
      <w:r>
        <w:rPr>
          <w:rFonts w:ascii="Arial" w:cs="Arial" w:eastAsia="Arial" w:hAnsi="Arial"/>
          <w:sz w:val="20"/>
          <w:szCs w:val="20"/>
          <w:b w:val="1"/>
          <w:bCs w:val="1"/>
          <w:color w:val="auto"/>
        </w:rPr>
        <w:t>For the transition period from __________ to __________.</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 xml:space="preserve">Commission file number: </w:t>
      </w:r>
      <w:r>
        <w:rPr>
          <w:rFonts w:ascii="Arial" w:cs="Arial" w:eastAsia="Arial" w:hAnsi="Arial"/>
          <w:sz w:val="20"/>
          <w:szCs w:val="20"/>
          <w:b w:val="1"/>
          <w:bCs w:val="1"/>
          <w:u w:val="single" w:color="auto"/>
          <w:color w:val="auto"/>
        </w:rPr>
        <w:t>1-10026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283210</wp:posOffset>
            </wp:positionV>
            <wp:extent cx="1998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u w:val="single" w:color="auto"/>
          <w:color w:val="auto"/>
        </w:rPr>
        <w:t>ALBANY INTERNATIONAL CORP.</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08" w:lineRule="exact"/>
        <w:rPr>
          <w:sz w:val="24"/>
          <w:szCs w:val="24"/>
          <w:color w:val="auto"/>
        </w:rPr>
      </w:pPr>
    </w:p>
    <w:tbl>
      <w:tblPr>
        <w:tblLayout w:type="fixed"/>
        <w:tblInd w:w="1320" w:type="dxa"/>
        <w:tblCellMar>
          <w:top w:w="0" w:type="dxa"/>
          <w:left w:w="0" w:type="dxa"/>
          <w:bottom w:w="0" w:type="dxa"/>
          <w:right w:w="0" w:type="dxa"/>
        </w:tblCellMar>
      </w:tblPr>
      <w:tr>
        <w:trPr>
          <w:trHeight w:val="239"/>
        </w:trPr>
        <w:tc>
          <w:tcPr>
            <w:tcW w:w="17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2420" w:type="dxa"/>
            <w:vAlign w:val="bottom"/>
            <w:gridSpan w:val="2"/>
          </w:tcPr>
          <w:p>
            <w:pPr>
              <w:spacing w:after="0"/>
              <w:rPr>
                <w:sz w:val="20"/>
                <w:szCs w:val="20"/>
                <w:color w:val="auto"/>
              </w:rPr>
            </w:pPr>
          </w:p>
        </w:tc>
        <w:tc>
          <w:tcPr>
            <w:tcW w:w="22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99"/>
              </w:rPr>
              <w:t>14-0462060</w:t>
            </w:r>
          </w:p>
        </w:tc>
        <w:tc>
          <w:tcPr>
            <w:tcW w:w="220" w:type="dxa"/>
            <w:vAlign w:val="bottom"/>
          </w:tcPr>
          <w:p>
            <w:pPr>
              <w:spacing w:after="0"/>
              <w:rPr>
                <w:sz w:val="20"/>
                <w:szCs w:val="20"/>
                <w:color w:val="auto"/>
              </w:rPr>
            </w:pPr>
          </w:p>
        </w:tc>
      </w:tr>
      <w:tr>
        <w:trPr>
          <w:trHeight w:val="20"/>
        </w:trPr>
        <w:tc>
          <w:tcPr>
            <w:tcW w:w="1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4980" w:type="dxa"/>
            <w:vAlign w:val="bottom"/>
            <w:gridSpan w:val="4"/>
          </w:tcPr>
          <w:p>
            <w:pPr>
              <w:jc w:val="center"/>
              <w:ind w:right="660"/>
              <w:spacing w:after="0"/>
              <w:rPr>
                <w:sz w:val="20"/>
                <w:szCs w:val="20"/>
                <w:color w:val="auto"/>
              </w:rPr>
            </w:pPr>
            <w:r>
              <w:rPr>
                <w:rFonts w:ascii="Arial" w:cs="Arial" w:eastAsia="Arial" w:hAnsi="Arial"/>
                <w:sz w:val="18"/>
                <w:szCs w:val="18"/>
                <w:color w:val="auto"/>
                <w:w w:val="99"/>
              </w:rPr>
              <w:t>(State or other jurisdiction of</w:t>
            </w:r>
          </w:p>
        </w:tc>
        <w:tc>
          <w:tcPr>
            <w:tcW w:w="2500" w:type="dxa"/>
            <w:vAlign w:val="bottom"/>
            <w:gridSpan w:val="5"/>
          </w:tcPr>
          <w:p>
            <w:pPr>
              <w:jc w:val="center"/>
              <w:ind w:left="1010"/>
              <w:spacing w:after="0"/>
              <w:rPr>
                <w:sz w:val="20"/>
                <w:szCs w:val="20"/>
                <w:color w:val="auto"/>
              </w:rPr>
            </w:pPr>
            <w:r>
              <w:rPr>
                <w:rFonts w:ascii="Arial" w:cs="Arial" w:eastAsia="Arial" w:hAnsi="Arial"/>
                <w:sz w:val="18"/>
                <w:szCs w:val="18"/>
                <w:color w:val="auto"/>
                <w:w w:val="99"/>
              </w:rPr>
              <w:t>(IRS Employer</w:t>
            </w:r>
          </w:p>
        </w:tc>
      </w:tr>
      <w:tr>
        <w:trPr>
          <w:trHeight w:val="217"/>
        </w:trPr>
        <w:tc>
          <w:tcPr>
            <w:tcW w:w="4980" w:type="dxa"/>
            <w:vAlign w:val="bottom"/>
            <w:gridSpan w:val="4"/>
          </w:tcPr>
          <w:p>
            <w:pPr>
              <w:jc w:val="center"/>
              <w:ind w:right="680"/>
              <w:spacing w:after="0"/>
              <w:rPr>
                <w:sz w:val="20"/>
                <w:szCs w:val="20"/>
                <w:color w:val="auto"/>
              </w:rPr>
            </w:pPr>
            <w:r>
              <w:rPr>
                <w:rFonts w:ascii="Arial" w:cs="Arial" w:eastAsia="Arial" w:hAnsi="Arial"/>
                <w:sz w:val="18"/>
                <w:szCs w:val="18"/>
                <w:color w:val="auto"/>
                <w:w w:val="99"/>
              </w:rPr>
              <w:t>incorporation or organization)</w:t>
            </w:r>
          </w:p>
        </w:tc>
        <w:tc>
          <w:tcPr>
            <w:tcW w:w="2500" w:type="dxa"/>
            <w:vAlign w:val="bottom"/>
            <w:gridSpan w:val="5"/>
          </w:tcPr>
          <w:p>
            <w:pPr>
              <w:jc w:val="center"/>
              <w:ind w:left="1010"/>
              <w:spacing w:after="0"/>
              <w:rPr>
                <w:sz w:val="20"/>
                <w:szCs w:val="20"/>
                <w:color w:val="auto"/>
              </w:rPr>
            </w:pPr>
            <w:r>
              <w:rPr>
                <w:rFonts w:ascii="Arial" w:cs="Arial" w:eastAsia="Arial" w:hAnsi="Arial"/>
                <w:sz w:val="18"/>
                <w:szCs w:val="18"/>
                <w:color w:val="auto"/>
                <w:w w:val="99"/>
              </w:rPr>
              <w:t>Identification No.)</w:t>
            </w:r>
          </w:p>
        </w:tc>
      </w:tr>
      <w:tr>
        <w:trPr>
          <w:trHeight w:val="446"/>
        </w:trPr>
        <w:tc>
          <w:tcPr>
            <w:tcW w:w="3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216 Airport Drive, Rochester, New Hampshire</w:t>
            </w:r>
          </w:p>
        </w:tc>
        <w:tc>
          <w:tcPr>
            <w:tcW w:w="1100" w:type="dxa"/>
            <w:vAlign w:val="bottom"/>
          </w:tcPr>
          <w:p>
            <w:pPr>
              <w:spacing w:after="0"/>
              <w:rPr>
                <w:sz w:val="24"/>
                <w:szCs w:val="24"/>
                <w:color w:val="auto"/>
              </w:rPr>
            </w:pPr>
          </w:p>
        </w:tc>
        <w:tc>
          <w:tcPr>
            <w:tcW w:w="1620" w:type="dxa"/>
            <w:vAlign w:val="bottom"/>
            <w:gridSpan w:val="2"/>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03867</w:t>
            </w:r>
          </w:p>
        </w:tc>
        <w:tc>
          <w:tcPr>
            <w:tcW w:w="220" w:type="dxa"/>
            <w:vAlign w:val="bottom"/>
          </w:tcPr>
          <w:p>
            <w:pPr>
              <w:spacing w:after="0"/>
              <w:rPr>
                <w:sz w:val="24"/>
                <w:szCs w:val="24"/>
                <w:color w:val="auto"/>
              </w:rPr>
            </w:pPr>
          </w:p>
        </w:tc>
      </w:tr>
      <w:tr>
        <w:trPr>
          <w:trHeight w:val="20"/>
        </w:trPr>
        <w:tc>
          <w:tcPr>
            <w:tcW w:w="3880" w:type="dxa"/>
            <w:vAlign w:val="bottom"/>
            <w:gridSpan w:val="3"/>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38"/>
        </w:trPr>
        <w:tc>
          <w:tcPr>
            <w:tcW w:w="3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(Address of principal executive offices)</w:t>
            </w: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603-330-5850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1200" w:type="dxa"/>
        <w:tblCellMar>
          <w:top w:w="0" w:type="dxa"/>
          <w:left w:w="0" w:type="dxa"/>
          <w:bottom w:w="0" w:type="dxa"/>
          <w:right w:w="0" w:type="dxa"/>
        </w:tblCellMar>
      </w:tblPr>
      <w:tr>
        <w:trPr>
          <w:trHeight w:val="225"/>
        </w:trPr>
        <w:tc>
          <w:tcPr>
            <w:tcW w:w="300" w:type="dxa"/>
            <w:vAlign w:val="bottom"/>
          </w:tcPr>
          <w:p>
            <w:pPr>
              <w:spacing w:after="0"/>
              <w:rPr>
                <w:sz w:val="19"/>
                <w:szCs w:val="19"/>
                <w:color w:val="auto"/>
              </w:rPr>
            </w:pPr>
          </w:p>
        </w:tc>
        <w:tc>
          <w:tcPr>
            <w:tcW w:w="29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9"/>
              </w:rPr>
              <w:t>Title of each class</w:t>
            </w:r>
          </w:p>
        </w:tc>
        <w:tc>
          <w:tcPr>
            <w:tcW w:w="22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9"/>
              </w:rPr>
              <w:t>Trading Symbol(s)</w:t>
            </w:r>
          </w:p>
        </w:tc>
        <w:tc>
          <w:tcPr>
            <w:tcW w:w="3600" w:type="dxa"/>
            <w:vAlign w:val="bottom"/>
            <w:gridSpan w:val="5"/>
          </w:tcPr>
          <w:p>
            <w:pPr>
              <w:jc w:val="center"/>
              <w:ind w:left="39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183"/>
        </w:trPr>
        <w:tc>
          <w:tcPr>
            <w:tcW w:w="3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rPr>
              <w:t>registered</w:t>
            </w: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49"/>
        </w:trPr>
        <w:tc>
          <w:tcPr>
            <w:tcW w:w="3220" w:type="dxa"/>
            <w:vAlign w:val="bottom"/>
            <w:gridSpan w:val="3"/>
          </w:tcPr>
          <w:p>
            <w:pPr>
              <w:jc w:val="center"/>
              <w:ind w:right="1080"/>
              <w:spacing w:after="0"/>
              <w:rPr>
                <w:sz w:val="20"/>
                <w:szCs w:val="20"/>
                <w:color w:val="auto"/>
              </w:rPr>
            </w:pPr>
            <w:r>
              <w:rPr>
                <w:rFonts w:ascii="Arial" w:cs="Arial" w:eastAsia="Arial" w:hAnsi="Arial"/>
                <w:sz w:val="18"/>
                <w:szCs w:val="18"/>
                <w:color w:val="auto"/>
                <w:w w:val="99"/>
              </w:rPr>
              <w:t>Class A Common Stock,</w:t>
            </w:r>
          </w:p>
        </w:tc>
        <w:tc>
          <w:tcPr>
            <w:tcW w:w="2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AIN</w:t>
            </w:r>
          </w:p>
        </w:tc>
        <w:tc>
          <w:tcPr>
            <w:tcW w:w="3600" w:type="dxa"/>
            <w:vAlign w:val="bottom"/>
            <w:gridSpan w:val="5"/>
          </w:tcPr>
          <w:p>
            <w:pPr>
              <w:jc w:val="center"/>
              <w:ind w:left="390"/>
              <w:spacing w:after="0"/>
              <w:rPr>
                <w:sz w:val="20"/>
                <w:szCs w:val="20"/>
                <w:color w:val="auto"/>
              </w:rPr>
            </w:pPr>
            <w:r>
              <w:rPr>
                <w:rFonts w:ascii="Arial" w:cs="Arial" w:eastAsia="Arial" w:hAnsi="Arial"/>
                <w:sz w:val="18"/>
                <w:szCs w:val="18"/>
                <w:color w:val="auto"/>
                <w:w w:val="98"/>
              </w:rPr>
              <w:t>The New York Stock Exchange (NYSE)</w:t>
            </w:r>
          </w:p>
        </w:tc>
      </w:tr>
      <w:tr>
        <w:trPr>
          <w:trHeight w:val="217"/>
        </w:trPr>
        <w:tc>
          <w:tcPr>
            <w:tcW w:w="3220" w:type="dxa"/>
            <w:vAlign w:val="bottom"/>
            <w:gridSpan w:val="3"/>
          </w:tcPr>
          <w:p>
            <w:pPr>
              <w:jc w:val="center"/>
              <w:ind w:right="1080"/>
              <w:spacing w:after="0"/>
              <w:rPr>
                <w:sz w:val="20"/>
                <w:szCs w:val="20"/>
                <w:color w:val="auto"/>
              </w:rPr>
            </w:pPr>
            <w:r>
              <w:rPr>
                <w:rFonts w:ascii="Arial" w:cs="Arial" w:eastAsia="Arial" w:hAnsi="Arial"/>
                <w:sz w:val="18"/>
                <w:szCs w:val="18"/>
                <w:color w:val="auto"/>
                <w:w w:val="99"/>
              </w:rPr>
              <w:t>$0.001 par value per share</w:t>
            </w: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3220" w:type="dxa"/>
            <w:vAlign w:val="bottom"/>
            <w:gridSpan w:val="3"/>
          </w:tcPr>
          <w:p>
            <w:pPr>
              <w:jc w:val="center"/>
              <w:ind w:right="1080"/>
              <w:spacing w:after="0"/>
              <w:rPr>
                <w:sz w:val="20"/>
                <w:szCs w:val="20"/>
                <w:color w:val="auto"/>
              </w:rPr>
            </w:pPr>
            <w:r>
              <w:rPr>
                <w:rFonts w:ascii="Arial" w:cs="Arial" w:eastAsia="Arial" w:hAnsi="Arial"/>
                <w:sz w:val="18"/>
                <w:szCs w:val="18"/>
                <w:color w:val="auto"/>
                <w:w w:val="99"/>
              </w:rPr>
              <w:t>Class B Common Stock,</w:t>
            </w:r>
          </w:p>
        </w:tc>
        <w:tc>
          <w:tcPr>
            <w:tcW w:w="2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AIN</w:t>
            </w:r>
          </w:p>
        </w:tc>
        <w:tc>
          <w:tcPr>
            <w:tcW w:w="3600" w:type="dxa"/>
            <w:vAlign w:val="bottom"/>
            <w:gridSpan w:val="5"/>
          </w:tcPr>
          <w:p>
            <w:pPr>
              <w:jc w:val="center"/>
              <w:ind w:left="390"/>
              <w:spacing w:after="0"/>
              <w:rPr>
                <w:sz w:val="20"/>
                <w:szCs w:val="20"/>
                <w:color w:val="auto"/>
              </w:rPr>
            </w:pPr>
            <w:r>
              <w:rPr>
                <w:rFonts w:ascii="Arial" w:cs="Arial" w:eastAsia="Arial" w:hAnsi="Arial"/>
                <w:sz w:val="18"/>
                <w:szCs w:val="18"/>
                <w:color w:val="auto"/>
                <w:w w:val="98"/>
              </w:rPr>
              <w:t>The New York Stock Exchange (NYSE)</w:t>
            </w:r>
          </w:p>
        </w:tc>
      </w:tr>
      <w:tr>
        <w:trPr>
          <w:trHeight w:val="217"/>
        </w:trPr>
        <w:tc>
          <w:tcPr>
            <w:tcW w:w="3220" w:type="dxa"/>
            <w:vAlign w:val="bottom"/>
            <w:gridSpan w:val="3"/>
          </w:tcPr>
          <w:p>
            <w:pPr>
              <w:jc w:val="center"/>
              <w:ind w:right="1080"/>
              <w:spacing w:after="0"/>
              <w:rPr>
                <w:sz w:val="20"/>
                <w:szCs w:val="20"/>
                <w:color w:val="auto"/>
              </w:rPr>
            </w:pPr>
            <w:r>
              <w:rPr>
                <w:rFonts w:ascii="Arial" w:cs="Arial" w:eastAsia="Arial" w:hAnsi="Arial"/>
                <w:sz w:val="18"/>
                <w:szCs w:val="18"/>
                <w:color w:val="auto"/>
                <w:w w:val="99"/>
              </w:rPr>
              <w:t>$0.001 par value per share</w:t>
            </w: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8"/>
        </w:trPr>
        <w:tc>
          <w:tcPr>
            <w:tcW w:w="300" w:type="dxa"/>
            <w:vAlign w:val="bottom"/>
          </w:tcPr>
          <w:p>
            <w:pPr>
              <w:spacing w:after="0"/>
              <w:rPr>
                <w:sz w:val="24"/>
                <w:szCs w:val="24"/>
                <w:color w:val="auto"/>
              </w:rPr>
            </w:pPr>
          </w:p>
        </w:tc>
        <w:tc>
          <w:tcPr>
            <w:tcW w:w="5120" w:type="dxa"/>
            <w:vAlign w:val="bottom"/>
            <w:gridSpan w:val="4"/>
          </w:tcPr>
          <w:p>
            <w:pPr>
              <w:ind w:left="80"/>
              <w:spacing w:after="0"/>
              <w:rPr>
                <w:sz w:val="20"/>
                <w:szCs w:val="20"/>
                <w:color w:val="auto"/>
              </w:rPr>
            </w:pPr>
            <w:r>
              <w:rPr>
                <w:rFonts w:ascii="Arial" w:cs="Arial" w:eastAsia="Arial" w:hAnsi="Arial"/>
                <w:sz w:val="18"/>
                <w:szCs w:val="18"/>
                <w:color w:val="auto"/>
              </w:rPr>
              <w:t>Securities registered pursuant to Section 12(g) of the Act:</w:t>
            </w:r>
          </w:p>
        </w:tc>
        <w:tc>
          <w:tcPr>
            <w:tcW w:w="3600" w:type="dxa"/>
            <w:vAlign w:val="bottom"/>
            <w:gridSpan w:val="5"/>
          </w:tcPr>
          <w:p>
            <w:pPr>
              <w:ind w:left="600"/>
              <w:spacing w:after="0"/>
              <w:rPr>
                <w:sz w:val="20"/>
                <w:szCs w:val="20"/>
                <w:color w:val="auto"/>
              </w:rPr>
            </w:pPr>
            <w:r>
              <w:rPr>
                <w:rFonts w:ascii="Arial" w:cs="Arial" w:eastAsia="Arial" w:hAnsi="Arial"/>
                <w:sz w:val="18"/>
                <w:szCs w:val="18"/>
                <w:b w:val="1"/>
                <w:bCs w:val="1"/>
                <w:u w:val="single" w:color="auto"/>
                <w:color w:val="auto"/>
              </w:rPr>
              <w:t>None</w:t>
            </w:r>
          </w:p>
        </w:tc>
      </w:tr>
    </w:tbl>
    <w:p>
      <w:pPr>
        <w:ind w:left="380" w:right="1640"/>
        <w:spacing w:after="0" w:line="21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 w:lineRule="exact"/>
        <w:rPr>
          <w:sz w:val="24"/>
          <w:szCs w:val="24"/>
          <w:color w:val="auto"/>
        </w:rPr>
      </w:pPr>
    </w:p>
    <w:p>
      <w:pPr>
        <w:ind w:right="280" w:firstLine="378"/>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78"/>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20" w:firstLine="37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p>
      <w:pPr>
        <w:ind w:left="1640"/>
        <w:spacing w:after="0" w:line="184" w:lineRule="exact"/>
        <w:tabs>
          <w:tab w:leader="none" w:pos="62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43" w:lineRule="exact"/>
        <w:rPr>
          <w:sz w:val="24"/>
          <w:szCs w:val="24"/>
          <w:color w:val="auto"/>
        </w:rPr>
      </w:pPr>
    </w:p>
    <w:p>
      <w:pPr>
        <w:ind w:left="1640"/>
        <w:spacing w:after="0" w:line="184" w:lineRule="exact"/>
        <w:tabs>
          <w:tab w:leader="none" w:pos="624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ind w:left="62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6" w:lineRule="exact"/>
        <w:rPr>
          <w:sz w:val="24"/>
          <w:szCs w:val="24"/>
          <w:color w:val="auto"/>
        </w:rPr>
      </w:pPr>
    </w:p>
    <w:p>
      <w:pPr>
        <w:ind w:right="140" w:firstLine="378"/>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40" w:firstLine="378"/>
        <w:spacing w:after="0" w:line="260" w:lineRule="auto"/>
        <w:rPr>
          <w:sz w:val="20"/>
          <w:szCs w:val="20"/>
          <w:color w:val="auto"/>
        </w:rPr>
      </w:pPr>
      <w:r>
        <w:rPr>
          <w:rFonts w:ascii="Arial" w:cs="Arial" w:eastAsia="Arial" w:hAnsi="Arial"/>
          <w:sz w:val="16"/>
          <w:szCs w:val="16"/>
          <w:color w:val="auto"/>
        </w:rPr>
        <w:t>The aggregate market value of the Common Stock held by non-affiliates of the registrant on June 30, 2019, the last business day of the registrant’s most recently completed second quarter, computed by reference to the price at which Common Stock was last sold on such a date, was $2.5 billion.</w:t>
      </w:r>
    </w:p>
    <w:p>
      <w:pPr>
        <w:spacing w:after="0" w:line="7" w:lineRule="exact"/>
        <w:rPr>
          <w:sz w:val="24"/>
          <w:szCs w:val="24"/>
          <w:color w:val="auto"/>
        </w:rPr>
      </w:pPr>
    </w:p>
    <w:p>
      <w:pPr>
        <w:ind w:left="380"/>
        <w:spacing w:after="0"/>
        <w:rPr>
          <w:sz w:val="20"/>
          <w:szCs w:val="20"/>
          <w:color w:val="auto"/>
        </w:rPr>
      </w:pPr>
      <w:r>
        <w:rPr>
          <w:rFonts w:ascii="Arial" w:cs="Arial" w:eastAsia="Arial" w:hAnsi="Arial"/>
          <w:sz w:val="16"/>
          <w:szCs w:val="16"/>
          <w:color w:val="auto"/>
        </w:rPr>
        <w:t>The registrant had 30.7 million shares of Class A Common Stock and 1.6 million shares of Class B Common Stock outstanding as of February 19, 2020.</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gridSpan w:val="2"/>
          </w:tcPr>
          <w:p>
            <w:pPr>
              <w:spacing w:after="0"/>
              <w:rPr>
                <w:sz w:val="20"/>
                <w:szCs w:val="20"/>
                <w:color w:val="auto"/>
              </w:rPr>
            </w:pPr>
            <w:r>
              <w:rPr>
                <w:rFonts w:ascii="Arial" w:cs="Arial" w:eastAsia="Arial" w:hAnsi="Arial"/>
                <w:sz w:val="16"/>
                <w:szCs w:val="16"/>
                <w:b w:val="1"/>
                <w:bCs w:val="1"/>
                <w:color w:val="auto"/>
              </w:rPr>
              <w:t>DOCUMENTS INCORPORATED BY REFERENCE</w:t>
            </w:r>
          </w:p>
        </w:tc>
        <w:tc>
          <w:tcPr>
            <w:tcW w:w="8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PART</w:t>
            </w:r>
          </w:p>
        </w:tc>
        <w:tc>
          <w:tcPr>
            <w:tcW w:w="20" w:type="dxa"/>
            <w:vAlign w:val="bottom"/>
          </w:tcPr>
          <w:p>
            <w:pPr>
              <w:spacing w:after="0"/>
              <w:rPr>
                <w:sz w:val="18"/>
                <w:szCs w:val="18"/>
                <w:color w:val="auto"/>
              </w:rPr>
            </w:pPr>
          </w:p>
        </w:tc>
      </w:tr>
      <w:tr>
        <w:trPr>
          <w:trHeight w:val="188"/>
        </w:trPr>
        <w:tc>
          <w:tcPr>
            <w:tcW w:w="3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Portions of the Registrant’s Proxy Statement for the</w:t>
            </w:r>
          </w:p>
        </w:tc>
        <w:tc>
          <w:tcPr>
            <w:tcW w:w="6940" w:type="dxa"/>
            <w:vAlign w:val="bottom"/>
          </w:tcPr>
          <w:p>
            <w:pPr>
              <w:ind w:left="40"/>
              <w:spacing w:after="0" w:line="177" w:lineRule="exact"/>
              <w:rPr>
                <w:sz w:val="20"/>
                <w:szCs w:val="20"/>
                <w:color w:val="auto"/>
              </w:rPr>
            </w:pPr>
            <w:r>
              <w:rPr>
                <w:rFonts w:ascii="Arial" w:cs="Arial" w:eastAsia="Arial" w:hAnsi="Arial"/>
                <w:sz w:val="16"/>
                <w:szCs w:val="16"/>
                <w:color w:val="auto"/>
              </w:rPr>
              <w:t>Annual Meeting of Shareholders to be held on May 14, 2020.</w:t>
            </w: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III</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2"/>
        </w:trPr>
        <w:tc>
          <w:tcPr>
            <w:tcW w:w="3700" w:type="dxa"/>
            <w:vAlign w:val="bottom"/>
            <w:tcBorders>
              <w:bottom w:val="single" w:sz="8" w:color="EEEEEE"/>
            </w:tcBorders>
          </w:tcPr>
          <w:p>
            <w:pPr>
              <w:spacing w:after="0"/>
              <w:rPr>
                <w:sz w:val="8"/>
                <w:szCs w:val="8"/>
                <w:color w:val="auto"/>
              </w:rPr>
            </w:pPr>
          </w:p>
        </w:tc>
        <w:tc>
          <w:tcPr>
            <w:tcW w:w="694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380" w:type="dxa"/>
            <w:vAlign w:val="bottom"/>
            <w:tcBorders>
              <w:bottom w:val="single" w:sz="8" w:color="EEEEEE"/>
            </w:tcBorders>
          </w:tcPr>
          <w:p>
            <w:pPr>
              <w:spacing w:after="0"/>
              <w:rPr>
                <w:sz w:val="8"/>
                <w:szCs w:val="8"/>
                <w:color w:val="auto"/>
              </w:rPr>
            </w:pPr>
          </w:p>
        </w:tc>
        <w:tc>
          <w:tcPr>
            <w:tcW w:w="20" w:type="dxa"/>
            <w:vAlign w:val="bottom"/>
          </w:tcPr>
          <w:p>
            <w:pPr>
              <w:spacing w:after="0"/>
              <w:rPr>
                <w:sz w:val="8"/>
                <w:szCs w:val="8"/>
                <w:color w:val="auto"/>
              </w:rPr>
            </w:pPr>
          </w:p>
        </w:tc>
      </w:tr>
      <w:tr>
        <w:trPr>
          <w:trHeight w:val="156"/>
        </w:trPr>
        <w:tc>
          <w:tcPr>
            <w:tcW w:w="3700" w:type="dxa"/>
            <w:vAlign w:val="bottom"/>
            <w:tcBorders>
              <w:bottom w:val="single" w:sz="8" w:color="EEEEEE"/>
            </w:tcBorders>
          </w:tcPr>
          <w:p>
            <w:pPr>
              <w:spacing w:after="0"/>
              <w:rPr>
                <w:sz w:val="13"/>
                <w:szCs w:val="13"/>
                <w:color w:val="auto"/>
              </w:rPr>
            </w:pPr>
          </w:p>
        </w:tc>
        <w:tc>
          <w:tcPr>
            <w:tcW w:w="6940" w:type="dxa"/>
            <w:vAlign w:val="bottom"/>
            <w:tcBorders>
              <w:bottom w:val="single" w:sz="8" w:color="EEEEEE"/>
            </w:tcBorders>
          </w:tcPr>
          <w:p>
            <w:pPr>
              <w:spacing w:after="0"/>
              <w:rPr>
                <w:sz w:val="13"/>
                <w:szCs w:val="13"/>
                <w:color w:val="auto"/>
              </w:rPr>
            </w:pPr>
          </w:p>
        </w:tc>
        <w:tc>
          <w:tcPr>
            <w:tcW w:w="420" w:type="dxa"/>
            <w:vAlign w:val="bottom"/>
            <w:tcBorders>
              <w:bottom w:val="single" w:sz="8" w:color="EEEEEE"/>
            </w:tcBorders>
          </w:tcPr>
          <w:p>
            <w:pPr>
              <w:spacing w:after="0"/>
              <w:rPr>
                <w:sz w:val="13"/>
                <w:szCs w:val="13"/>
                <w:color w:val="auto"/>
              </w:rPr>
            </w:pPr>
          </w:p>
        </w:tc>
        <w:tc>
          <w:tcPr>
            <w:tcW w:w="38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7289165"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p>
    <w:p>
      <w:pPr>
        <w:sectPr>
          <w:pgSz w:w="11900" w:h="16838" w:orient="portrait"/>
          <w:cols w:equalWidth="0" w:num="1">
            <w:col w:w="11440"/>
          </w:cols>
          <w:pgMar w:left="240" w:top="649" w:right="219" w:bottom="1440" w:gutter="0" w:footer="0" w:header="0"/>
        </w:sectPr>
      </w:pPr>
    </w:p>
    <w:p>
      <w:pPr>
        <w:spacing w:after="0" w:line="229" w:lineRule="exact"/>
        <w:rPr>
          <w:sz w:val="24"/>
          <w:szCs w:val="24"/>
          <w:color w:val="auto"/>
        </w:rPr>
      </w:pPr>
    </w:p>
    <w:p>
      <w:pPr>
        <w:ind w:left="1132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2720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40"/>
          </w:cols>
          <w:pgMar w:left="240" w:top="649"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80" w:type="dxa"/>
            <w:vAlign w:val="bottom"/>
            <w:gridSpan w:val="15"/>
          </w:tcPr>
          <w:p>
            <w:pPr>
              <w:ind w:left="20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5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b w:val="1"/>
                <w:bCs w:val="1"/>
                <w:color w:val="0000EE"/>
                <w:w w:val="98"/>
              </w:rPr>
              <w:t>PART I</w:t>
            </w:r>
          </w:p>
        </w:tc>
        <w:tc>
          <w:tcPr>
            <w:tcW w:w="52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Item 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Business</w:t>
              </w:r>
            </w:hyperlink>
          </w:p>
        </w:tc>
        <w:tc>
          <w:tcPr>
            <w:tcW w:w="9460" w:type="dxa"/>
            <w:vAlign w:val="bottom"/>
            <w:gridSpan w:val="27"/>
          </w:tcPr>
          <w:p>
            <w:pPr>
              <w:spacing w:after="0"/>
              <w:rPr>
                <w:sz w:val="24"/>
                <w:szCs w:val="24"/>
                <w:color w:val="auto"/>
              </w:rPr>
            </w:pPr>
          </w:p>
        </w:tc>
        <w:tc>
          <w:tcPr>
            <w:tcW w:w="140" w:type="dxa"/>
            <w:vAlign w:val="bottom"/>
            <w:gridSpan w:val="2"/>
          </w:tcPr>
          <w:p>
            <w:pPr>
              <w:spacing w:after="0"/>
              <w:rPr>
                <w:sz w:val="24"/>
                <w:szCs w:val="24"/>
                <w:color w:val="auto"/>
              </w:rPr>
            </w:pPr>
          </w:p>
        </w:tc>
        <w:tc>
          <w:tcPr>
            <w:tcW w:w="120" w:type="dxa"/>
            <w:vAlign w:val="bottom"/>
            <w:gridSpan w:val="2"/>
          </w:tcPr>
          <w:p>
            <w:pPr>
              <w:jc w:val="right"/>
              <w:ind w:right="2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60" w:type="dxa"/>
            <w:vAlign w:val="bottom"/>
            <w:gridSpan w:val="2"/>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Item 1A.</w:t>
              </w:r>
            </w:hyperlink>
          </w:p>
        </w:tc>
        <w:tc>
          <w:tcPr>
            <w:tcW w:w="200" w:type="dxa"/>
            <w:vAlign w:val="bottom"/>
          </w:tcPr>
          <w:p>
            <w:pPr>
              <w:spacing w:after="0"/>
              <w:rPr>
                <w:sz w:val="24"/>
                <w:szCs w:val="24"/>
                <w:color w:val="auto"/>
              </w:rPr>
            </w:pPr>
          </w:p>
        </w:tc>
        <w:tc>
          <w:tcPr>
            <w:tcW w:w="10180" w:type="dxa"/>
            <w:vAlign w:val="bottom"/>
            <w:gridSpan w:val="2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26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1B.  Unresolved Staff Comments</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19</w:t>
              </w:r>
            </w:hyperlink>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60" w:type="dxa"/>
            <w:vAlign w:val="bottom"/>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2.</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7960" w:type="dxa"/>
            <w:vAlign w:val="bottom"/>
            <w:gridSpan w:val="18"/>
          </w:tcPr>
          <w:p>
            <w:pPr>
              <w:spacing w:after="0"/>
              <w:rPr>
                <w:sz w:val="24"/>
                <w:szCs w:val="24"/>
                <w:color w:val="auto"/>
              </w:rPr>
            </w:pPr>
          </w:p>
        </w:tc>
        <w:tc>
          <w:tcPr>
            <w:tcW w:w="300" w:type="dxa"/>
            <w:vAlign w:val="bottom"/>
            <w:gridSpan w:val="5"/>
          </w:tcPr>
          <w:p>
            <w:pPr>
              <w:jc w:val="cente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19</w:t>
              </w:r>
            </w:hyperlink>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60" w:type="dxa"/>
            <w:vAlign w:val="bottom"/>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3.</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Legal Proceedings</w:t>
              </w:r>
            </w:hyperlink>
          </w:p>
        </w:tc>
        <w:tc>
          <w:tcPr>
            <w:tcW w:w="8700" w:type="dxa"/>
            <w:vAlign w:val="bottom"/>
            <w:gridSpan w:val="23"/>
          </w:tcPr>
          <w:p>
            <w:pPr>
              <w:spacing w:after="0"/>
              <w:rPr>
                <w:sz w:val="24"/>
                <w:szCs w:val="24"/>
                <w:color w:val="auto"/>
              </w:rPr>
            </w:pPr>
          </w:p>
        </w:tc>
        <w:tc>
          <w:tcPr>
            <w:tcW w:w="300" w:type="dxa"/>
            <w:vAlign w:val="bottom"/>
            <w:gridSpan w:val="5"/>
          </w:tcPr>
          <w:p>
            <w:pPr>
              <w:jc w:val="cente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19</w:t>
              </w:r>
            </w:hyperlink>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   Mine Safety Disclosures</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19</w:t>
              </w:r>
            </w:hyperlink>
          </w:p>
        </w:tc>
        <w:tc>
          <w:tcPr>
            <w:tcW w:w="60" w:type="dxa"/>
            <w:vAlign w:val="bottom"/>
          </w:tcPr>
          <w:p>
            <w:pPr>
              <w:spacing w:after="0"/>
              <w:rPr>
                <w:sz w:val="24"/>
                <w:szCs w:val="24"/>
                <w:color w:val="auto"/>
              </w:rPr>
            </w:pPr>
          </w:p>
        </w:tc>
      </w:tr>
      <w:tr>
        <w:trPr>
          <w:trHeight w:val="439"/>
        </w:trPr>
        <w:tc>
          <w:tcPr>
            <w:tcW w:w="5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6"/>
              </w:rPr>
              <w:t>PART II</w:t>
            </w:r>
          </w:p>
        </w:tc>
        <w:tc>
          <w:tcPr>
            <w:tcW w:w="5240" w:type="dxa"/>
            <w:vAlign w:val="bottom"/>
            <w:gridSpan w:val="8"/>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5.   Market for the Registrant’s Common Equity, Related Stockholder Matters, and Issuer Purchases of Equity Securities</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20</w:t>
              </w:r>
            </w:hyperlink>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Selected Financial Data</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22</w:t>
              </w:r>
            </w:hyperlink>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7.   Management’s Discussion and Analysis of Financial Condition and Results of Operations</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23</w:t>
              </w:r>
            </w:hyperlink>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7A.  Quantitative and Qualitative Disclosures about Market Risk</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c>
          <w:tcPr>
            <w:tcW w:w="6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8.   Financial Statements and Supplementary Data</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9.   Changes in and Disagreements with Accountants on Accounting and Financial Disclosure</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06">
              <w:r>
                <w:rPr>
                  <w:rFonts w:ascii="Arial" w:cs="Arial" w:eastAsia="Arial" w:hAnsi="Arial"/>
                  <w:sz w:val="18"/>
                  <w:szCs w:val="18"/>
                  <w:color w:val="0000EE"/>
                  <w:w w:val="99"/>
                </w:rPr>
                <w:t>106</w:t>
              </w:r>
            </w:hyperlink>
          </w:p>
        </w:tc>
        <w:tc>
          <w:tcPr>
            <w:tcW w:w="6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9A.  Controls and Procedures</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06">
              <w:r>
                <w:rPr>
                  <w:rFonts w:ascii="Arial" w:cs="Arial" w:eastAsia="Arial" w:hAnsi="Arial"/>
                  <w:sz w:val="18"/>
                  <w:szCs w:val="18"/>
                  <w:color w:val="0000EE"/>
                  <w:w w:val="99"/>
                </w:rPr>
                <w:t>106</w:t>
              </w:r>
            </w:hyperlink>
          </w:p>
        </w:tc>
        <w:tc>
          <w:tcPr>
            <w:tcW w:w="60" w:type="dxa"/>
            <w:vAlign w:val="bottom"/>
          </w:tcPr>
          <w:p>
            <w:pPr>
              <w:spacing w:after="0"/>
              <w:rPr>
                <w:sz w:val="24"/>
                <w:szCs w:val="24"/>
                <w:color w:val="auto"/>
              </w:rPr>
            </w:pPr>
          </w:p>
        </w:tc>
      </w:tr>
      <w:tr>
        <w:trPr>
          <w:trHeight w:val="304"/>
        </w:trPr>
        <w:tc>
          <w:tcPr>
            <w:tcW w:w="660" w:type="dxa"/>
            <w:vAlign w:val="bottom"/>
            <w:tcBorders>
              <w:top w:val="single" w:sz="8" w:color="0000EE"/>
            </w:tcBorders>
            <w:gridSpan w:val="2"/>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Item 9B.</w:t>
              </w:r>
            </w:hyperlink>
          </w:p>
        </w:tc>
        <w:tc>
          <w:tcPr>
            <w:tcW w:w="200" w:type="dxa"/>
            <w:vAlign w:val="bottom"/>
          </w:tcPr>
          <w:p>
            <w:pPr>
              <w:spacing w:after="0"/>
              <w:rPr>
                <w:sz w:val="24"/>
                <w:szCs w:val="24"/>
                <w:color w:val="auto"/>
              </w:rPr>
            </w:pPr>
          </w:p>
        </w:tc>
        <w:tc>
          <w:tcPr>
            <w:tcW w:w="1960" w:type="dxa"/>
            <w:vAlign w:val="bottom"/>
            <w:tcBorders>
              <w:top w:val="single" w:sz="8" w:color="0000EE"/>
            </w:tcBorders>
            <w:gridSpan w:val="8"/>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8220" w:type="dxa"/>
            <w:vAlign w:val="bottom"/>
            <w:gridSpan w:val="20"/>
          </w:tcPr>
          <w:p>
            <w:pPr>
              <w:spacing w:after="0"/>
              <w:rPr>
                <w:sz w:val="24"/>
                <w:szCs w:val="24"/>
                <w:color w:val="auto"/>
              </w:rPr>
            </w:pPr>
          </w:p>
        </w:tc>
        <w:tc>
          <w:tcPr>
            <w:tcW w:w="300" w:type="dxa"/>
            <w:vAlign w:val="bottom"/>
            <w:tcBorders>
              <w:top w:val="single" w:sz="8" w:color="0000EE"/>
            </w:tcBorders>
            <w:gridSpan w:val="5"/>
          </w:tcPr>
          <w:p>
            <w:pPr>
              <w:jc w:val="cente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108</w:t>
              </w:r>
            </w:hyperlink>
          </w:p>
        </w:tc>
        <w:tc>
          <w:tcPr>
            <w:tcW w:w="60" w:type="dxa"/>
            <w:vAlign w:val="bottom"/>
          </w:tcPr>
          <w:p>
            <w:pPr>
              <w:spacing w:after="0"/>
              <w:rPr>
                <w:sz w:val="24"/>
                <w:szCs w:val="24"/>
                <w:color w:val="auto"/>
              </w:rPr>
            </w:pPr>
          </w:p>
        </w:tc>
      </w:tr>
      <w:tr>
        <w:trPr>
          <w:trHeight w:val="439"/>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00" w:type="dxa"/>
            <w:vAlign w:val="bottom"/>
            <w:gridSpan w:val="14"/>
          </w:tcPr>
          <w:p>
            <w:pPr>
              <w:jc w:val="center"/>
              <w:ind w:right="5220"/>
              <w:spacing w:after="0"/>
              <w:rPr>
                <w:sz w:val="20"/>
                <w:szCs w:val="20"/>
                <w:color w:val="auto"/>
              </w:rPr>
            </w:pPr>
            <w:r>
              <w:rPr>
                <w:rFonts w:ascii="Arial" w:cs="Arial" w:eastAsia="Arial" w:hAnsi="Arial"/>
                <w:sz w:val="18"/>
                <w:szCs w:val="18"/>
                <w:b w:val="1"/>
                <w:bCs w:val="1"/>
                <w:color w:val="0000EE"/>
                <w:w w:val="98"/>
              </w:rPr>
              <w:t>PART III</w:t>
            </w: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10.  Directors, Executive Officers and Corporate Governance</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c>
          <w:tcPr>
            <w:tcW w:w="6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9"/>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60" w:type="dxa"/>
            <w:vAlign w:val="bottom"/>
            <w:gridSpan w:val="2"/>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Item 11.</w:t>
              </w:r>
            </w:hyperlink>
          </w:p>
        </w:tc>
        <w:tc>
          <w:tcPr>
            <w:tcW w:w="200" w:type="dxa"/>
            <w:vAlign w:val="bottom"/>
          </w:tcPr>
          <w:p>
            <w:pPr>
              <w:spacing w:after="0"/>
              <w:rPr>
                <w:sz w:val="24"/>
                <w:szCs w:val="24"/>
                <w:color w:val="auto"/>
              </w:rPr>
            </w:pPr>
          </w:p>
        </w:tc>
        <w:tc>
          <w:tcPr>
            <w:tcW w:w="10180" w:type="dxa"/>
            <w:vAlign w:val="bottom"/>
            <w:gridSpan w:val="28"/>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c>
          <w:tcPr>
            <w:tcW w:w="6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9"/>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12.  Security Ownership of Certain Beneficial Owners and Management and Related Stockholder Matters</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110</w:t>
              </w:r>
            </w:hyperlink>
          </w:p>
        </w:tc>
        <w:tc>
          <w:tcPr>
            <w:tcW w:w="6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gridSpan w:val="11"/>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13.  Certain Relationships, Related Transactions and Director Independence</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111</w:t>
              </w:r>
            </w:hyperlink>
          </w:p>
        </w:tc>
        <w:tc>
          <w:tcPr>
            <w:tcW w:w="6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gridSpan w:val="11"/>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40" w:type="dxa"/>
            <w:vAlign w:val="bottom"/>
            <w:gridSpan w:val="3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14.  Principal Accountant Fees and Services</w:t>
              </w:r>
            </w:hyperlink>
          </w:p>
        </w:tc>
        <w:tc>
          <w:tcPr>
            <w:tcW w:w="300" w:type="dxa"/>
            <w:vAlign w:val="bottom"/>
            <w:gridSpan w:val="5"/>
          </w:tcPr>
          <w:p>
            <w:pPr>
              <w:jc w:val="cente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111</w:t>
              </w:r>
            </w:hyperlink>
          </w:p>
        </w:tc>
        <w:tc>
          <w:tcPr>
            <w:tcW w:w="60" w:type="dxa"/>
            <w:vAlign w:val="bottom"/>
          </w:tcPr>
          <w:p>
            <w:pPr>
              <w:spacing w:after="0"/>
              <w:rPr>
                <w:sz w:val="24"/>
                <w:szCs w:val="24"/>
                <w:color w:val="auto"/>
              </w:rPr>
            </w:pPr>
          </w:p>
        </w:tc>
      </w:tr>
      <w:tr>
        <w:trPr>
          <w:trHeight w:val="439"/>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80" w:type="dxa"/>
            <w:vAlign w:val="bottom"/>
            <w:gridSpan w:val="15"/>
          </w:tcPr>
          <w:p>
            <w:pPr>
              <w:jc w:val="center"/>
              <w:ind w:right="4620"/>
              <w:spacing w:after="0"/>
              <w:rPr>
                <w:sz w:val="20"/>
                <w:szCs w:val="20"/>
                <w:color w:val="auto"/>
              </w:rPr>
            </w:pPr>
            <w:r>
              <w:rPr>
                <w:rFonts w:ascii="Arial" w:cs="Arial" w:eastAsia="Arial" w:hAnsi="Arial"/>
                <w:sz w:val="18"/>
                <w:szCs w:val="18"/>
                <w:b w:val="1"/>
                <w:bCs w:val="1"/>
                <w:color w:val="0000EE"/>
                <w:w w:val="98"/>
              </w:rPr>
              <w:t>PART IV</w:t>
            </w: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140" w:type="dxa"/>
            <w:vAlign w:val="bottom"/>
            <w:gridSpan w:val="17"/>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15.  Exhibits and Financial Statement Schedules</w:t>
              </w:r>
            </w:hyperlink>
          </w:p>
        </w:tc>
        <w:tc>
          <w:tcPr>
            <w:tcW w:w="700" w:type="dxa"/>
            <w:vAlign w:val="bottom"/>
            <w:tcBorders>
              <w:top w:val="single" w:sz="8" w:color="0000EE"/>
            </w:tcBorders>
            <w:gridSpan w:val="8"/>
          </w:tcPr>
          <w:p>
            <w:pPr>
              <w:spacing w:after="0"/>
              <w:rPr>
                <w:sz w:val="24"/>
                <w:szCs w:val="24"/>
                <w:color w:val="auto"/>
              </w:rPr>
            </w:pPr>
          </w:p>
        </w:tc>
        <w:tc>
          <w:tcPr>
            <w:tcW w:w="5200" w:type="dxa"/>
            <w:vAlign w:val="bottom"/>
            <w:gridSpan w:val="6"/>
          </w:tcPr>
          <w:p>
            <w:pPr>
              <w:spacing w:after="0"/>
              <w:rPr>
                <w:sz w:val="24"/>
                <w:szCs w:val="24"/>
                <w:color w:val="auto"/>
              </w:rPr>
            </w:pPr>
          </w:p>
        </w:tc>
        <w:tc>
          <w:tcPr>
            <w:tcW w:w="300" w:type="dxa"/>
            <w:vAlign w:val="bottom"/>
            <w:gridSpan w:val="5"/>
          </w:tcPr>
          <w:p>
            <w:pPr>
              <w:jc w:val="cente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112</w:t>
              </w:r>
            </w:hyperlink>
          </w:p>
        </w:tc>
        <w:tc>
          <w:tcPr>
            <w:tcW w:w="60" w:type="dxa"/>
            <w:vAlign w:val="bottom"/>
          </w:tcPr>
          <w:p>
            <w:pPr>
              <w:spacing w:after="0"/>
              <w:rPr>
                <w:sz w:val="24"/>
                <w:szCs w:val="24"/>
                <w:color w:val="auto"/>
              </w:rPr>
            </w:pPr>
          </w:p>
        </w:tc>
      </w:tr>
      <w:tr>
        <w:trPr>
          <w:trHeight w:val="439"/>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6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72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160" w:type="dxa"/>
            <w:vAlign w:val="bottom"/>
            <w:tcBorders>
              <w:bottom w:val="single" w:sz="8" w:color="EEEEEE"/>
            </w:tcBorders>
          </w:tcPr>
          <w:p>
            <w:pPr>
              <w:spacing w:after="0"/>
              <w:rPr>
                <w:sz w:val="16"/>
                <w:szCs w:val="16"/>
                <w:color w:val="auto"/>
              </w:rPr>
            </w:pPr>
          </w:p>
        </w:tc>
        <w:tc>
          <w:tcPr>
            <w:tcW w:w="42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40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94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58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140" w:type="dxa"/>
            <w:vAlign w:val="bottom"/>
            <w:tcBorders>
              <w:bottom w:val="single" w:sz="8" w:color="EEEEEE"/>
            </w:tcBorders>
          </w:tcPr>
          <w:p>
            <w:pPr>
              <w:spacing w:after="0"/>
              <w:rPr>
                <w:sz w:val="16"/>
                <w:szCs w:val="16"/>
                <w:color w:val="auto"/>
              </w:rPr>
            </w:pPr>
          </w:p>
        </w:tc>
        <w:tc>
          <w:tcPr>
            <w:tcW w:w="180" w:type="dxa"/>
            <w:vAlign w:val="bottom"/>
            <w:tcBorders>
              <w:bottom w:val="single" w:sz="8" w:color="EEEEEE"/>
            </w:tcBorders>
          </w:tcPr>
          <w:p>
            <w:pPr>
              <w:spacing w:after="0"/>
              <w:rPr>
                <w:sz w:val="16"/>
                <w:szCs w:val="16"/>
                <w:color w:val="auto"/>
              </w:rPr>
            </w:pPr>
          </w:p>
        </w:tc>
        <w:tc>
          <w:tcPr>
            <w:tcW w:w="26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740" w:type="dxa"/>
            <w:vAlign w:val="bottom"/>
            <w:tcBorders>
              <w:bottom w:val="single" w:sz="8" w:color="EEEEEE"/>
            </w:tcBorders>
          </w:tcPr>
          <w:p>
            <w:pPr>
              <w:spacing w:after="0"/>
              <w:rPr>
                <w:sz w:val="16"/>
                <w:szCs w:val="16"/>
                <w:color w:val="auto"/>
              </w:rPr>
            </w:pPr>
          </w:p>
        </w:tc>
        <w:tc>
          <w:tcPr>
            <w:tcW w:w="134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880" w:type="dxa"/>
            <w:vAlign w:val="bottom"/>
            <w:tcBorders>
              <w:bottom w:val="single" w:sz="8" w:color="EEEEEE"/>
            </w:tcBorders>
          </w:tcPr>
          <w:p>
            <w:pPr>
              <w:spacing w:after="0"/>
              <w:rPr>
                <w:sz w:val="16"/>
                <w:szCs w:val="16"/>
                <w:color w:val="auto"/>
              </w:rPr>
            </w:pPr>
          </w:p>
        </w:tc>
        <w:tc>
          <w:tcPr>
            <w:tcW w:w="1200" w:type="dxa"/>
            <w:vAlign w:val="bottom"/>
            <w:tcBorders>
              <w:bottom w:val="single" w:sz="8" w:color="EEEEEE"/>
            </w:tcBorders>
          </w:tcPr>
          <w:p>
            <w:pPr>
              <w:spacing w:after="0"/>
              <w:rPr>
                <w:sz w:val="16"/>
                <w:szCs w:val="16"/>
                <w:color w:val="auto"/>
              </w:rPr>
            </w:pPr>
          </w:p>
        </w:tc>
        <w:tc>
          <w:tcPr>
            <w:tcW w:w="98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right="160" w:firstLine="378"/>
        <w:spacing w:after="0" w:line="237" w:lineRule="auto"/>
        <w:rPr>
          <w:sz w:val="20"/>
          <w:szCs w:val="20"/>
          <w:color w:val="auto"/>
        </w:rPr>
      </w:pPr>
      <w:r>
        <w:rPr>
          <w:rFonts w:ascii="Arial" w:cs="Arial" w:eastAsia="Arial" w:hAnsi="Arial"/>
          <w:sz w:val="18"/>
          <w:szCs w:val="18"/>
          <w:color w:val="auto"/>
        </w:rPr>
        <w:t>This annual report and the documents incorporated or deemed to be incorporated by reference in this annual report contain statements concerning our future results and performance and other matters that are “forward-looking” statements within the meaning of Section 27A of the Securities Act of 1933, as amended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95" w:lineRule="exact"/>
        <w:rPr>
          <w:sz w:val="20"/>
          <w:szCs w:val="20"/>
          <w:color w:val="auto"/>
        </w:rPr>
      </w:pPr>
    </w:p>
    <w:p>
      <w:pPr>
        <w:ind w:right="100" w:firstLine="37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29" w:lineRule="exact"/>
        <w:rPr>
          <w:sz w:val="20"/>
          <w:szCs w:val="20"/>
          <w:color w:val="auto"/>
        </w:rPr>
      </w:pPr>
    </w:p>
    <w:p>
      <w:pPr>
        <w:ind w:left="600" w:right="500" w:hanging="214"/>
        <w:spacing w:after="0" w:line="213" w:lineRule="auto"/>
        <w:tabs>
          <w:tab w:leader="none" w:pos="600" w:val="left"/>
        </w:tabs>
        <w:numPr>
          <w:ilvl w:val="0"/>
          <w:numId w:val="4"/>
        </w:numPr>
        <w:rPr>
          <w:rFonts w:ascii="Arial" w:cs="Arial" w:eastAsia="Arial" w:hAnsi="Arial"/>
          <w:sz w:val="23"/>
          <w:szCs w:val="23"/>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121" w:lineRule="exact"/>
        <w:rPr>
          <w:rFonts w:ascii="Arial" w:cs="Arial" w:eastAsia="Arial" w:hAnsi="Arial"/>
          <w:sz w:val="23"/>
          <w:szCs w:val="23"/>
          <w:color w:val="auto"/>
        </w:rPr>
      </w:pPr>
    </w:p>
    <w:p>
      <w:pPr>
        <w:ind w:left="600" w:right="680" w:hanging="214"/>
        <w:spacing w:after="0" w:line="213" w:lineRule="auto"/>
        <w:tabs>
          <w:tab w:leader="none" w:pos="600" w:val="left"/>
        </w:tabs>
        <w:numPr>
          <w:ilvl w:val="0"/>
          <w:numId w:val="4"/>
        </w:numPr>
        <w:rPr>
          <w:rFonts w:ascii="Arial" w:cs="Arial" w:eastAsia="Arial" w:hAnsi="Arial"/>
          <w:sz w:val="23"/>
          <w:szCs w:val="23"/>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 and continuation of coronavirus effects for an extended period;</w:t>
      </w:r>
    </w:p>
    <w:p>
      <w:pPr>
        <w:spacing w:after="0" w:line="121" w:lineRule="exact"/>
        <w:rPr>
          <w:rFonts w:ascii="Arial" w:cs="Arial" w:eastAsia="Arial" w:hAnsi="Arial"/>
          <w:sz w:val="23"/>
          <w:szCs w:val="23"/>
          <w:color w:val="auto"/>
        </w:rPr>
      </w:pPr>
    </w:p>
    <w:p>
      <w:pPr>
        <w:ind w:left="600" w:right="180" w:hanging="214"/>
        <w:spacing w:after="0" w:line="213" w:lineRule="auto"/>
        <w:tabs>
          <w:tab w:leader="none" w:pos="600" w:val="left"/>
        </w:tabs>
        <w:numPr>
          <w:ilvl w:val="0"/>
          <w:numId w:val="4"/>
        </w:numPr>
        <w:rPr>
          <w:rFonts w:ascii="Arial" w:cs="Arial" w:eastAsia="Arial" w:hAnsi="Arial"/>
          <w:sz w:val="23"/>
          <w:szCs w:val="23"/>
          <w:color w:val="auto"/>
        </w:rPr>
      </w:pPr>
      <w:r>
        <w:rPr>
          <w:rFonts w:ascii="Arial" w:cs="Arial" w:eastAsia="Arial" w:hAnsi="Arial"/>
          <w:sz w:val="18"/>
          <w:szCs w:val="18"/>
          <w:color w:val="auto"/>
        </w:rPr>
        <w:t>In the Albany Engineered Composites segment, further delays in the Boeing 737 MAX return to service, or unanticipated reductions in demand, delays, technical difficulties or cancellations in other aerospace programs that are expected to drive growth;</w:t>
      </w:r>
    </w:p>
    <w:p>
      <w:pPr>
        <w:spacing w:after="0" w:line="87" w:lineRule="exact"/>
        <w:rPr>
          <w:rFonts w:ascii="Arial" w:cs="Arial" w:eastAsia="Arial" w:hAnsi="Arial"/>
          <w:sz w:val="23"/>
          <w:szCs w:val="23"/>
          <w:color w:val="auto"/>
        </w:rPr>
      </w:pPr>
    </w:p>
    <w:p>
      <w:pPr>
        <w:ind w:left="600" w:hanging="214"/>
        <w:spacing w:after="0"/>
        <w:tabs>
          <w:tab w:leader="none" w:pos="600" w:val="left"/>
        </w:tabs>
        <w:numPr>
          <w:ilvl w:val="0"/>
          <w:numId w:val="4"/>
        </w:numPr>
        <w:rPr>
          <w:rFonts w:ascii="Arial" w:cs="Arial" w:eastAsia="Arial" w:hAnsi="Arial"/>
          <w:sz w:val="23"/>
          <w:szCs w:val="23"/>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4"/>
        </w:numPr>
        <w:rPr>
          <w:rFonts w:ascii="Arial" w:cs="Arial" w:eastAsia="Arial" w:hAnsi="Arial"/>
          <w:sz w:val="23"/>
          <w:szCs w:val="23"/>
          <w:color w:val="auto"/>
        </w:rPr>
      </w:pPr>
      <w:r>
        <w:rPr>
          <w:rFonts w:ascii="Arial" w:cs="Arial" w:eastAsia="Arial" w:hAnsi="Arial"/>
          <w:sz w:val="18"/>
          <w:szCs w:val="18"/>
          <w:color w:val="auto"/>
        </w:rPr>
        <w:t>Other risks and uncertainties detailed in this report and other periodic reports.</w:t>
      </w:r>
    </w:p>
    <w:p>
      <w:pPr>
        <w:spacing w:after="0" w:line="94" w:lineRule="exact"/>
        <w:rPr>
          <w:sz w:val="20"/>
          <w:szCs w:val="20"/>
          <w:color w:val="auto"/>
        </w:rPr>
      </w:pPr>
    </w:p>
    <w:p>
      <w:pPr>
        <w:ind w:right="20" w:firstLine="378"/>
        <w:spacing w:after="0" w:line="23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as well as in Item 1A - “Risk Factors”, in Item 7 of this annual report.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95" w:lineRule="exact"/>
        <w:rPr>
          <w:sz w:val="20"/>
          <w:szCs w:val="20"/>
          <w:color w:val="auto"/>
        </w:rPr>
      </w:pPr>
    </w:p>
    <w:p>
      <w:pPr>
        <w:ind w:right="140" w:firstLine="37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Albany International Corp. (the Registrant, the Company, we, us, or our) and its subsidiaries are engaged in two business segments.</w:t>
      </w:r>
    </w:p>
    <w:p>
      <w:pPr>
        <w:spacing w:after="0" w:line="104" w:lineRule="exact"/>
        <w:rPr>
          <w:sz w:val="20"/>
          <w:szCs w:val="20"/>
          <w:color w:val="auto"/>
        </w:rPr>
      </w:pPr>
    </w:p>
    <w:p>
      <w:pPr>
        <w:ind w:right="200" w:firstLine="378"/>
        <w:spacing w:after="0" w:line="246"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pulp, nonwovens, fiber cement and several other industrial applications.</w:t>
      </w:r>
    </w:p>
    <w:p>
      <w:pPr>
        <w:spacing w:after="0" w:line="89" w:lineRule="exact"/>
        <w:rPr>
          <w:sz w:val="20"/>
          <w:szCs w:val="20"/>
          <w:color w:val="auto"/>
        </w:rPr>
      </w:pPr>
    </w:p>
    <w:p>
      <w:pPr>
        <w:ind w:right="60" w:firstLine="378"/>
        <w:spacing w:after="0" w:line="251" w:lineRule="auto"/>
        <w:rPr>
          <w:sz w:val="20"/>
          <w:szCs w:val="20"/>
          <w:color w:val="auto"/>
        </w:rPr>
      </w:pPr>
      <w:r>
        <w:rPr>
          <w:rFonts w:ascii="Arial" w:cs="Arial" w:eastAsia="Arial" w:hAnsi="Arial"/>
          <w:sz w:val="17"/>
          <w:szCs w:val="17"/>
          <w:color w:val="auto"/>
        </w:rPr>
        <w:t>We design, manufacture, and market paper machine clothing (used in the manufacturing of paper, paperboard, tissue, and towel)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the efficiency of the paper machines on which it is used. Principal paper machine clothing products include forming, pressing, and drying fabrics, and process belts. A forming fabric assists in paper sheet formation and conveys the very wet sheet (more than 75 percent water) through the forming section. Pressing fabrics are designed to carry the sheet through the press section, where water is pressed from the sheet as it passes through the press nip. In the drying section, drying fabrics manage air movement and hold the sheet against heated cylinders to enhance drying. Process belts are used in the press section to increase dryness and enhance sheet properties, as well as in other sections of the machine to improve runnability and enhance sheet qualities.</w:t>
      </w:r>
    </w:p>
    <w:p>
      <w:pPr>
        <w:spacing w:after="0" w:line="89" w:lineRule="exact"/>
        <w:rPr>
          <w:sz w:val="20"/>
          <w:szCs w:val="20"/>
          <w:color w:val="auto"/>
        </w:rPr>
      </w:pPr>
    </w:p>
    <w:p>
      <w:pPr>
        <w:ind w:right="280" w:firstLine="378"/>
        <w:spacing w:after="0" w:line="246" w:lineRule="auto"/>
        <w:rPr>
          <w:sz w:val="20"/>
          <w:szCs w:val="20"/>
          <w:color w:val="auto"/>
        </w:rPr>
      </w:pPr>
      <w:r>
        <w:rPr>
          <w:rFonts w:ascii="Arial" w:cs="Arial" w:eastAsia="Arial" w:hAnsi="Arial"/>
          <w:sz w:val="18"/>
          <w:szCs w:val="18"/>
          <w:color w:val="auto"/>
        </w:rPr>
        <w:t>The MC segment also supplies customized, consumable fabrics used in the manufacturing process in the pulp, corrugator, nonwovens, fiber cement, building products, and tannery and textile industries.</w:t>
      </w:r>
    </w:p>
    <w:p>
      <w:pPr>
        <w:spacing w:after="0" w:line="89" w:lineRule="exact"/>
        <w:rPr>
          <w:sz w:val="20"/>
          <w:szCs w:val="20"/>
          <w:color w:val="auto"/>
        </w:rPr>
      </w:pPr>
    </w:p>
    <w:p>
      <w:pPr>
        <w:ind w:right="80" w:firstLine="378"/>
        <w:spacing w:after="0" w:line="237" w:lineRule="auto"/>
        <w:rPr>
          <w:sz w:val="20"/>
          <w:szCs w:val="20"/>
          <w:color w:val="auto"/>
        </w:rPr>
      </w:pPr>
      <w:r>
        <w:rPr>
          <w:rFonts w:ascii="Arial" w:cs="Arial" w:eastAsia="Arial" w:hAnsi="Arial"/>
          <w:sz w:val="18"/>
          <w:szCs w:val="18"/>
          <w:color w:val="auto"/>
        </w:rPr>
        <w:t>The MC segment sells its products directly to customer end-users in countries across the globe. MC products, manufacturing processes, and distribution channels are substantially the same in each region of the world in which we operate. The sales of paper machine clothing forming, pressing, and drying fabrics, individually and in the aggregate, accounted for more than 10 percent of our consolidated net sales during one or more of the last three years. No individual customer accounted for as much as 10 percent of MC segment net sales in any of the periods presented. A majority of our MC segment’s net sales in the year ended December 31, 2019 were for use in the production of the growing tissue, containerboard and other paper categories, while less than 25% of our MC segment’s net sales were for the production of the declining newsprint and printing and writing papers categories.</w:t>
      </w:r>
    </w:p>
    <w:p>
      <w:pPr>
        <w:spacing w:after="0" w:line="95"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in the commercial and defense aerospace industries. AEC’s largest aerospace customer is the SAFRAN Group and sales to SAFRAN (consisting primarily of fan blades and cases for CFM’s LEAP engine) accounted for approximately 22 percent of the Company’s consolidated net sales in 2019. AEC, through ASC, is the exclusive supplier to this program of advanced composite fan blades and cases under a long-term supply contract. The LEAP engine is used on the Airbus A320neo and Boeing 737 MAX family of jets, the latter of which is currently under a grounding order. Other significant programs served by AEC include the F-35, Boeing 787, Sikorsky CH-53K, and JASSM programs. AEC also supplies vacuum waste tanks for the Boeing 7-Series programs, and specialty components for the Rolls Royce lift fan on the F-35, as well as the fan case for the GE9X engine. In 2019, approximately 25 percent of the AEC segment’s sales were related to U.S. government contracts or programs.</w:t>
      </w:r>
    </w:p>
    <w:p>
      <w:pPr>
        <w:spacing w:after="0" w:line="99" w:lineRule="exact"/>
        <w:rPr>
          <w:sz w:val="20"/>
          <w:szCs w:val="20"/>
          <w:color w:val="auto"/>
        </w:rPr>
      </w:pPr>
    </w:p>
    <w:p>
      <w:pPr>
        <w:ind w:right="520" w:firstLine="378"/>
        <w:spacing w:after="0" w:line="246" w:lineRule="auto"/>
        <w:rPr>
          <w:sz w:val="20"/>
          <w:szCs w:val="20"/>
          <w:color w:val="auto"/>
        </w:rPr>
      </w:pPr>
      <w:r>
        <w:rPr>
          <w:rFonts w:ascii="Arial" w:cs="Arial" w:eastAsia="Arial" w:hAnsi="Arial"/>
          <w:sz w:val="18"/>
          <w:szCs w:val="18"/>
          <w:color w:val="auto"/>
        </w:rPr>
        <w:t>See “Business Environment Overview and Trends” under Item 7, Management’s Discussion and Analysis of Financial Condition and Results of Operations, for a discussion of general segment developments in recent years.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Following is a table of Net sales by segment for 2019, 2018, and 2017.</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r>
      <w:tr>
        <w:trPr>
          <w:trHeight w:val="173"/>
        </w:trPr>
        <w:tc>
          <w:tcPr>
            <w:tcW w:w="55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680" w:type="dxa"/>
            <w:vAlign w:val="bottom"/>
          </w:tcPr>
          <w:p>
            <w:pPr>
              <w:spacing w:after="0"/>
              <w:rPr>
                <w:sz w:val="15"/>
                <w:szCs w:val="15"/>
                <w:color w:val="auto"/>
              </w:rPr>
            </w:pPr>
          </w:p>
        </w:tc>
        <w:tc>
          <w:tcPr>
            <w:tcW w:w="1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601,254</w:t>
            </w:r>
          </w:p>
        </w:tc>
        <w:tc>
          <w:tcPr>
            <w:tcW w:w="500" w:type="dxa"/>
            <w:vAlign w:val="bottom"/>
          </w:tcPr>
          <w:p>
            <w:pPr>
              <w:spacing w:after="0"/>
              <w:rPr>
                <w:sz w:val="15"/>
                <w:szCs w:val="15"/>
                <w:color w:val="auto"/>
              </w:rPr>
            </w:pPr>
          </w:p>
        </w:tc>
        <w:tc>
          <w:tcPr>
            <w:tcW w:w="9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$611,858</w:t>
            </w:r>
          </w:p>
        </w:tc>
        <w:tc>
          <w:tcPr>
            <w:tcW w:w="520" w:type="dxa"/>
            <w:vAlign w:val="bottom"/>
          </w:tcPr>
          <w:p>
            <w:pPr>
              <w:spacing w:after="0"/>
              <w:rPr>
                <w:sz w:val="15"/>
                <w:szCs w:val="15"/>
                <w:color w:val="auto"/>
              </w:rPr>
            </w:pPr>
          </w:p>
        </w:tc>
        <w:tc>
          <w:tcPr>
            <w:tcW w:w="9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$590,357</w:t>
            </w:r>
          </w:p>
        </w:tc>
      </w:tr>
      <w:tr>
        <w:trPr>
          <w:trHeight w:val="225"/>
        </w:trPr>
        <w:tc>
          <w:tcPr>
            <w:tcW w:w="626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452,878</w:t>
            </w: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370,621</w:t>
            </w:r>
          </w:p>
        </w:tc>
        <w:tc>
          <w:tcPr>
            <w:tcW w:w="520" w:type="dxa"/>
            <w:vAlign w:val="bottom"/>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273,360</w:t>
            </w:r>
          </w:p>
        </w:tc>
      </w:tr>
      <w:tr>
        <w:trPr>
          <w:trHeight w:val="372"/>
        </w:trPr>
        <w:tc>
          <w:tcPr>
            <w:tcW w:w="6260" w:type="dxa"/>
            <w:vAlign w:val="bottom"/>
            <w:gridSpan w:val="2"/>
          </w:tcPr>
          <w:p>
            <w:pPr>
              <w:spacing w:after="0"/>
              <w:rPr>
                <w:sz w:val="20"/>
                <w:szCs w:val="20"/>
                <w:color w:val="auto"/>
              </w:rPr>
            </w:pPr>
            <w:r>
              <w:rPr>
                <w:rFonts w:ascii="Arial" w:cs="Arial" w:eastAsia="Arial" w:hAnsi="Arial"/>
                <w:sz w:val="18"/>
                <w:szCs w:val="18"/>
                <w:color w:val="auto"/>
              </w:rPr>
              <w:t>Consolidated total</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1,054,132</w:t>
            </w:r>
          </w:p>
        </w:tc>
        <w:tc>
          <w:tcPr>
            <w:tcW w:w="5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$982,479</w:t>
            </w:r>
          </w:p>
        </w:tc>
        <w:tc>
          <w:tcPr>
            <w:tcW w:w="5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$863,717</w:t>
            </w:r>
          </w:p>
        </w:tc>
      </w:tr>
      <w:tr>
        <w:trPr>
          <w:trHeight w:val="20"/>
        </w:trPr>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80" w:firstLine="378"/>
        <w:spacing w:after="0" w:line="246" w:lineRule="auto"/>
        <w:rPr>
          <w:sz w:val="20"/>
          <w:szCs w:val="20"/>
          <w:color w:val="auto"/>
        </w:rPr>
      </w:pPr>
      <w:r>
        <w:rPr>
          <w:rFonts w:ascii="Arial" w:cs="Arial" w:eastAsia="Arial" w:hAnsi="Arial"/>
          <w:sz w:val="18"/>
          <w:szCs w:val="18"/>
          <w:color w:val="auto"/>
        </w:rPr>
        <w:t>The table setting forth certain sales, operating income, and balance sheet data that appears in Note 3, “Reportable Segments and Geographic Data,” of the Consolidated Financial Statements, included under Item 8 of this Form 10-K, is incorporated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26" w:lineRule="exact"/>
        <w:rPr>
          <w:sz w:val="20"/>
          <w:szCs w:val="20"/>
          <w:color w:val="auto"/>
        </w:rPr>
      </w:pPr>
    </w:p>
    <w:p>
      <w:pPr>
        <w:ind w:right="200" w:firstLine="378"/>
        <w:spacing w:after="0"/>
        <w:rPr>
          <w:sz w:val="20"/>
          <w:szCs w:val="20"/>
          <w:color w:val="auto"/>
        </w:rPr>
      </w:pPr>
      <w:r>
        <w:rPr>
          <w:rFonts w:ascii="Arial" w:cs="Arial" w:eastAsia="Arial" w:hAnsi="Arial"/>
          <w:sz w:val="18"/>
          <w:szCs w:val="18"/>
          <w:color w:val="auto"/>
        </w:rPr>
        <w:t>Our Machine Clothing business segment maintains manufacturing facilities in Brazil, Canada, China, France, Italy, Mexico, South Korea, Sweden, the United Kingdom, and the United States. Our AEC business segment maintains manufacturing facilities in the United States, France, Mexico, and Germany.</w:t>
      </w:r>
    </w:p>
    <w:p>
      <w:pPr>
        <w:spacing w:after="0" w:line="95" w:lineRule="exact"/>
        <w:rPr>
          <w:sz w:val="20"/>
          <w:szCs w:val="20"/>
          <w:color w:val="auto"/>
        </w:rPr>
      </w:pPr>
    </w:p>
    <w:p>
      <w:pPr>
        <w:ind w:right="60" w:firstLine="378"/>
        <w:spacing w:after="0" w:line="237" w:lineRule="auto"/>
        <w:rPr>
          <w:sz w:val="20"/>
          <w:szCs w:val="20"/>
          <w:color w:val="auto"/>
        </w:rPr>
      </w:pPr>
      <w:r>
        <w:rPr>
          <w:rFonts w:ascii="Arial" w:cs="Arial" w:eastAsia="Arial" w:hAnsi="Arial"/>
          <w:sz w:val="18"/>
          <w:szCs w:val="18"/>
          <w:color w:val="auto"/>
        </w:rPr>
        <w:t>Our global presence subjects us to certain risks, including tariffs and other restrictions on trade, and controls on foreign exchange and the repatriation of funds. While the direct impact to date of recent developments in global trade and tariff policy has not been significant, there is a risk that the impact of such developments on companies in our supply chain will be reflected in higher costs from affected suppliers. We have a cash repatriation strategy that targets a certain amount of foreign current year earnings that are not indefinitely reinvested. While, to date, we have been able to make such repatriations without substantial governmental restrictions, changes in the trade or regulatory compliance in any country that we have significant cash balances could make it more difficult to repatriate foreign earnings cost-effectively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Customers, Seasonality, and Backlog</w:t>
      </w:r>
    </w:p>
    <w:p>
      <w:pPr>
        <w:spacing w:after="0" w:line="126" w:lineRule="exact"/>
        <w:rPr>
          <w:sz w:val="20"/>
          <w:szCs w:val="20"/>
          <w:color w:val="auto"/>
        </w:rPr>
      </w:pPr>
    </w:p>
    <w:p>
      <w:pPr>
        <w:ind w:right="400" w:firstLine="378"/>
        <w:spacing w:after="0"/>
        <w:rPr>
          <w:sz w:val="20"/>
          <w:szCs w:val="20"/>
          <w:color w:val="auto"/>
        </w:rPr>
      </w:pPr>
      <w:r>
        <w:rPr>
          <w:rFonts w:ascii="Arial" w:cs="Arial" w:eastAsia="Arial" w:hAnsi="Arial"/>
          <w:sz w:val="18"/>
          <w:szCs w:val="18"/>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inventories to assure continuous availability of our products.</w:t>
      </w:r>
    </w:p>
    <w:p>
      <w:pPr>
        <w:spacing w:after="0" w:line="95" w:lineRule="exact"/>
        <w:rPr>
          <w:sz w:val="20"/>
          <w:szCs w:val="20"/>
          <w:color w:val="auto"/>
        </w:rPr>
      </w:pPr>
    </w:p>
    <w:p>
      <w:pPr>
        <w:jc w:val="both"/>
        <w:ind w:right="20" w:firstLine="378"/>
        <w:spacing w:after="0"/>
        <w:rPr>
          <w:sz w:val="20"/>
          <w:szCs w:val="20"/>
          <w:color w:val="auto"/>
        </w:rPr>
      </w:pPr>
      <w:r>
        <w:rPr>
          <w:rFonts w:ascii="Arial" w:cs="Arial" w:eastAsia="Arial" w:hAnsi="Arial"/>
          <w:sz w:val="18"/>
          <w:szCs w:val="18"/>
          <w:color w:val="auto"/>
        </w:rPr>
        <w:t>In addition to supplying paper, paperboard, and tissue companies, the MC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 products.</w:t>
      </w:r>
    </w:p>
    <w:p>
      <w:pPr>
        <w:spacing w:after="0" w:line="95" w:lineRule="exact"/>
        <w:rPr>
          <w:sz w:val="20"/>
          <w:szCs w:val="20"/>
          <w:color w:val="auto"/>
        </w:rPr>
      </w:pPr>
    </w:p>
    <w:p>
      <w:pPr>
        <w:ind w:right="100" w:firstLine="378"/>
        <w:spacing w:after="0"/>
        <w:rPr>
          <w:sz w:val="20"/>
          <w:szCs w:val="20"/>
          <w:color w:val="auto"/>
        </w:rPr>
      </w:pPr>
      <w:r>
        <w:rPr>
          <w:rFonts w:ascii="Arial" w:cs="Arial" w:eastAsia="Arial" w:hAnsi="Arial"/>
          <w:sz w:val="18"/>
          <w:szCs w:val="18"/>
          <w:color w:val="auto"/>
        </w:rPr>
        <w:t>The AEC segment primarily serves customers in the commercial and defense aerospace market through both engine and airframe applications. Sales and working capital rose sharply in the last few years in this segment. Additionally, growth in the future could lead to further increases in working capital levels.</w:t>
      </w:r>
    </w:p>
    <w:p>
      <w:pPr>
        <w:spacing w:after="0" w:line="95" w:lineRule="exact"/>
        <w:rPr>
          <w:sz w:val="20"/>
          <w:szCs w:val="20"/>
          <w:color w:val="auto"/>
        </w:rPr>
      </w:pPr>
    </w:p>
    <w:p>
      <w:pPr>
        <w:ind w:right="60" w:firstLine="378"/>
        <w:spacing w:after="0" w:line="237" w:lineRule="auto"/>
        <w:rPr>
          <w:sz w:val="20"/>
          <w:szCs w:val="20"/>
          <w:color w:val="auto"/>
        </w:rPr>
      </w:pPr>
      <w:r>
        <w:rPr>
          <w:rFonts w:ascii="Arial" w:cs="Arial" w:eastAsia="Arial" w:hAnsi="Arial"/>
          <w:sz w:val="18"/>
          <w:szCs w:val="18"/>
          <w:color w:val="auto"/>
        </w:rPr>
        <w:t>In the MC segment, the Chinese New Year, summer months, and the end of the year are often periods of lower production for some of our customers, which, in the past contributed to seasonal variation in sales and orders. In recent years, shorter order cycles and lower inventory levels throughout the supply chain have become a more significant factor in quarterly sales. The impact of these combined factors on any quarter can be difficult to predict, and can make quarterly comparisons less meaningful than annual comparisons. While seasonality is generally not a significant factor in the Albany Engineered Composites segment, the commercial terms of the supply agreement governing the LEAP program resulted in fourth quarter sales volatility in recent years.</w:t>
      </w:r>
    </w:p>
    <w:p>
      <w:pPr>
        <w:spacing w:after="0" w:line="97" w:lineRule="exact"/>
        <w:rPr>
          <w:sz w:val="20"/>
          <w:szCs w:val="20"/>
          <w:color w:val="auto"/>
        </w:rPr>
      </w:pPr>
    </w:p>
    <w:p>
      <w:pPr>
        <w:ind w:right="140" w:firstLine="378"/>
        <w:spacing w:after="0" w:line="239" w:lineRule="auto"/>
        <w:rPr>
          <w:sz w:val="20"/>
          <w:szCs w:val="20"/>
          <w:color w:val="auto"/>
        </w:rPr>
      </w:pPr>
      <w:r>
        <w:rPr>
          <w:rFonts w:ascii="Arial" w:cs="Arial" w:eastAsia="Arial" w:hAnsi="Arial"/>
          <w:sz w:val="18"/>
          <w:szCs w:val="18"/>
          <w:color w:val="auto"/>
        </w:rPr>
        <w:t>Backlog in the MC segment was $165.6 million at December 31, 2019, compared to $170.5 million at December 31, 2018. Backlog in the AEC segment decreased to $288.1 million at December 31, 2019, compared to $393.3 million at December 31, 2018. The decrease reflects the grounding of the Boeing 737 MAX. All of the backlog in MC and approximately 95% of the AEC backlog is expected to be invoiced during the next 12 months.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Technology</w:t>
      </w:r>
    </w:p>
    <w:p>
      <w:pPr>
        <w:spacing w:after="0" w:line="126" w:lineRule="exact"/>
        <w:rPr>
          <w:sz w:val="20"/>
          <w:szCs w:val="20"/>
          <w:color w:val="auto"/>
        </w:rPr>
      </w:pPr>
    </w:p>
    <w:p>
      <w:pPr>
        <w:ind w:right="200" w:firstLine="378"/>
        <w:spacing w:after="0"/>
        <w:rPr>
          <w:sz w:val="20"/>
          <w:szCs w:val="20"/>
          <w:color w:val="auto"/>
        </w:rPr>
      </w:pPr>
      <w:r>
        <w:rPr>
          <w:rFonts w:ascii="Arial" w:cs="Arial" w:eastAsia="Arial" w:hAnsi="Arial"/>
          <w:sz w:val="18"/>
          <w:szCs w:val="18"/>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95" w:lineRule="exact"/>
        <w:rPr>
          <w:sz w:val="20"/>
          <w:szCs w:val="20"/>
          <w:color w:val="auto"/>
        </w:rPr>
      </w:pPr>
    </w:p>
    <w:p>
      <w:pPr>
        <w:ind w:right="40" w:firstLine="378"/>
        <w:spacing w:after="0" w:line="239" w:lineRule="auto"/>
        <w:rPr>
          <w:sz w:val="20"/>
          <w:szCs w:val="20"/>
          <w:color w:val="auto"/>
        </w:rPr>
      </w:pPr>
      <w:r>
        <w:rPr>
          <w:rFonts w:ascii="Arial" w:cs="Arial" w:eastAsia="Arial" w:hAnsi="Arial"/>
          <w:sz w:val="18"/>
          <w:szCs w:val="18"/>
          <w:color w:val="auto"/>
        </w:rPr>
        <w:t>MC segment products are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machine, position, and application. As a result, many employees in sales and technical functions have engineering degrees, paper mill experience, or other</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manufacturing experience in the markets in which they operate. Our market leadership position reflects our commitment to technological innovation. This innovation has resulted in a continuing stream of new MC products and enhancements across all of our product lines.</w:t>
      </w:r>
    </w:p>
    <w:p>
      <w:pPr>
        <w:spacing w:after="0" w:line="170" w:lineRule="exact"/>
        <w:rPr>
          <w:sz w:val="20"/>
          <w:szCs w:val="20"/>
          <w:color w:val="auto"/>
        </w:rPr>
      </w:pPr>
    </w:p>
    <w:p>
      <w:pPr>
        <w:ind w:right="260" w:firstLine="378"/>
        <w:spacing w:after="0"/>
        <w:rPr>
          <w:sz w:val="20"/>
          <w:szCs w:val="20"/>
          <w:color w:val="auto"/>
        </w:rPr>
      </w:pPr>
      <w:r>
        <w:rPr>
          <w:rFonts w:ascii="Arial" w:cs="Arial" w:eastAsia="Arial" w:hAnsi="Arial"/>
          <w:sz w:val="18"/>
          <w:szCs w:val="18"/>
          <w:color w:val="auto"/>
        </w:rPr>
        <w:t>Albany Engineered Composites designs, develops and manufactures advanced composite parts for complex aerospace applications, using a range of core technologies, including its proprietary 3D-woven reinforced composites technology, traditional 2D laminated composite structures, automated material placement, filament winding, through-thickness reinforcement and braiding, and thermoplastic pultrusion.</w:t>
      </w:r>
    </w:p>
    <w:p>
      <w:pPr>
        <w:spacing w:after="0" w:line="95" w:lineRule="exact"/>
        <w:rPr>
          <w:sz w:val="20"/>
          <w:szCs w:val="20"/>
          <w:color w:val="auto"/>
        </w:rPr>
      </w:pPr>
    </w:p>
    <w:p>
      <w:pPr>
        <w:ind w:right="440" w:firstLine="378"/>
        <w:spacing w:after="0"/>
        <w:rPr>
          <w:sz w:val="20"/>
          <w:szCs w:val="20"/>
          <w:color w:val="auto"/>
        </w:rPr>
      </w:pPr>
      <w:r>
        <w:rPr>
          <w:rFonts w:ascii="Arial" w:cs="Arial" w:eastAsia="Arial" w:hAnsi="Arial"/>
          <w:sz w:val="18"/>
          <w:szCs w:val="18"/>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in their respective markets.</w:t>
      </w:r>
    </w:p>
    <w:p>
      <w:pPr>
        <w:spacing w:after="0" w:line="95" w:lineRule="exact"/>
        <w:rPr>
          <w:sz w:val="20"/>
          <w:szCs w:val="20"/>
          <w:color w:val="auto"/>
        </w:rPr>
      </w:pPr>
    </w:p>
    <w:p>
      <w:pPr>
        <w:ind w:right="180" w:firstLine="378"/>
        <w:spacing w:after="0" w:line="237" w:lineRule="auto"/>
        <w:rPr>
          <w:sz w:val="20"/>
          <w:szCs w:val="20"/>
          <w:color w:val="auto"/>
        </w:rPr>
      </w:pPr>
      <w:r>
        <w:rPr>
          <w:rFonts w:ascii="Arial" w:cs="Arial" w:eastAsia="Arial" w:hAnsi="Arial"/>
          <w:sz w:val="18"/>
          <w:szCs w:val="18"/>
          <w:color w:val="auto"/>
        </w:rPr>
        <w:t>Company-funded research expenses totaled $26.9 million in 2019, $29.8 million in 2018, and $ 30.7 million in 2017. In 2019, these costs were 2.6 percent of total Company Net sales, including $10.5 million, or 2.3 percent of Net sales, in our AEC segment. Research and development in the AEC segment includes both Company-sponsored and customer-funded activities. Some customer funded research and development may be on a cost sharing basis, in which case, amounts charged to the collaborating entity are credited against research and development costs. For customer-funded research and development in which we anticipate funding to exceed expenses, we include amounts charged to the customer in Net sales. Cost of sales associated with customer-funded research was $6.8 million in 2019, $3.5 million in 2018, and $4.7 million in 2017.</w:t>
      </w:r>
    </w:p>
    <w:p>
      <w:pPr>
        <w:spacing w:after="0" w:line="95"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over 2,400 patents, and approximately 250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percent of consolidated net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6" w:lineRule="exact"/>
        <w:rPr>
          <w:sz w:val="20"/>
          <w:szCs w:val="20"/>
          <w:color w:val="auto"/>
        </w:rPr>
      </w:pPr>
    </w:p>
    <w:p>
      <w:pPr>
        <w:ind w:right="40" w:firstLine="378"/>
        <w:spacing w:after="0" w:line="236" w:lineRule="auto"/>
        <w:rPr>
          <w:sz w:val="20"/>
          <w:szCs w:val="20"/>
          <w:color w:val="auto"/>
        </w:rPr>
      </w:pPr>
      <w:r>
        <w:rPr>
          <w:rFonts w:ascii="Arial" w:cs="Arial" w:eastAsia="Arial" w:hAnsi="Arial"/>
          <w:sz w:val="18"/>
          <w:szCs w:val="18"/>
          <w:color w:val="auto"/>
        </w:rPr>
        <w:t>Primary raw materials for our MC products are polymer monofilaments and fibers, which have generally been available from a number of suppliers. In addition, we manufacture polymer monofilaments, a basic raw material for all types of machine clothing, at our facility in Homer, New York, which supplies approximately 30 percent of our worldwide monofilament requirements. In the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that may preclude or delay their availability. In the case of mandated suppliers, AEC endeavors to enter into long-term supply agreements to help mitigate price and availability risks. Currently, the primary raw materials used in each segment are derived from petroleum, and are therefore sensitive to changes in the price of petroleum and petroleum intermediates.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320" w:firstLine="378"/>
        <w:spacing w:after="0" w:line="246" w:lineRule="auto"/>
        <w:rPr>
          <w:sz w:val="20"/>
          <w:szCs w:val="20"/>
          <w:color w:val="auto"/>
        </w:rPr>
      </w:pPr>
      <w:r>
        <w:rPr>
          <w:rFonts w:ascii="Arial" w:cs="Arial" w:eastAsia="Arial" w:hAnsi="Arial"/>
          <w:sz w:val="18"/>
          <w:szCs w:val="18"/>
          <w:color w:val="auto"/>
        </w:rPr>
        <w:t>In the paper machine clothing market, we believe that we had a worldwide market share of approximately 30 percent in 2019, while the two largest competitors each had a market share of approximately half of ours.</w:t>
      </w:r>
    </w:p>
    <w:p>
      <w:pPr>
        <w:spacing w:after="0" w:line="89" w:lineRule="exact"/>
        <w:rPr>
          <w:sz w:val="20"/>
          <w:szCs w:val="20"/>
          <w:color w:val="auto"/>
        </w:rPr>
      </w:pPr>
    </w:p>
    <w:p>
      <w:pPr>
        <w:ind w:right="60" w:firstLine="378"/>
        <w:spacing w:after="0"/>
        <w:rPr>
          <w:sz w:val="20"/>
          <w:szCs w:val="20"/>
          <w:color w:val="auto"/>
        </w:rPr>
      </w:pPr>
      <w:r>
        <w:rPr>
          <w:rFonts w:ascii="Arial" w:cs="Arial" w:eastAsia="Arial" w:hAnsi="Arial"/>
          <w:sz w:val="18"/>
          <w:szCs w:val="18"/>
          <w:color w:val="auto"/>
        </w:rPr>
        <w:t>While some competitors in the MC segment tend to compete more on the basis of price, and others attempt to compete more on the basis of technology, both are significant competitive factors in this industry. Albany’s Machine Clothing product portfolio is broad and deep, with products for every part of the machine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and a wide range of machine types and paper grades. The Company’s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the Company’s own extensive product portfolio, allows the sales and technical teams to ensure that the appropriate machine clothing products are being supplied for each part of the machine, to customize those products as needed for best performance, and to continuously propose new products that offer each customer the possibility of even better performance and increased savings. These efforts – which effectively integrate the Company’s experience and technological expertise into each product we sell – are reflected in the Company’s strong competitive position in the marketplace. Some of the Company’s paper machine clothing competitors also supply paper machines, papermaking equipment, and aftermarket parts and services, and often bundle clothing with original or rebuilt machines and/or aftermarket services.</w:t>
      </w:r>
    </w:p>
    <w:p>
      <w:pPr>
        <w:spacing w:after="0" w:line="177" w:lineRule="exact"/>
        <w:rPr>
          <w:sz w:val="20"/>
          <w:szCs w:val="20"/>
          <w:color w:val="auto"/>
        </w:rPr>
      </w:pPr>
    </w:p>
    <w:p>
      <w:pPr>
        <w:ind w:right="60" w:firstLine="378"/>
        <w:spacing w:after="0" w:line="237" w:lineRule="auto"/>
        <w:rPr>
          <w:sz w:val="20"/>
          <w:szCs w:val="20"/>
          <w:color w:val="auto"/>
        </w:rPr>
      </w:pPr>
      <w:r>
        <w:rPr>
          <w:rFonts w:ascii="Arial" w:cs="Arial" w:eastAsia="Arial" w:hAnsi="Arial"/>
          <w:sz w:val="18"/>
          <w:szCs w:val="18"/>
          <w:color w:val="auto"/>
        </w:rPr>
        <w:t>The primary competitive factors in the markets in which our Albany Engineered Composites segment competes is product performance and price. Achieving lower weight without sacrificing strength is the key to improving fuel efficiency, and is a critical performance requirement in the aerospace industry. Our broad array of capabilities in composites enable us to offer customers the opportunity to displace metal components and, in some cases, conventional composites with lower-weight, high-strength, and potentially high-temperature resistant composites. The dominant competitive factor is how the customer weighs these performance benefits, which include fuel savings due to lower weight, against the possible cost advantage of more traditional metal and composite components.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right="280" w:firstLine="378"/>
        <w:spacing w:after="0"/>
        <w:rPr>
          <w:sz w:val="20"/>
          <w:szCs w:val="20"/>
          <w:color w:val="auto"/>
        </w:rPr>
      </w:pPr>
      <w:r>
        <w:rPr>
          <w:rFonts w:ascii="Arial" w:cs="Arial" w:eastAsia="Arial" w:hAnsi="Arial"/>
          <w:sz w:val="18"/>
          <w:szCs w:val="18"/>
          <w:color w:val="auto"/>
        </w:rPr>
        <w:t>We employ approximately 4,600 persons, of whom approximately 70 percent are engaged in the manufacturing of our products. Wages and benefits are competitive with those of other manufacturers in the geographic areas in which our facilities are located. In general, we consider our relations with employees to be excellent.</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number of hourly employees outside of the United States are members of various unions.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 as of February 28, 2020:</w:t>
      </w:r>
    </w:p>
    <w:p>
      <w:pPr>
        <w:spacing w:after="0" w:line="86" w:lineRule="exact"/>
        <w:rPr>
          <w:sz w:val="20"/>
          <w:szCs w:val="20"/>
          <w:color w:val="auto"/>
        </w:rPr>
      </w:pPr>
    </w:p>
    <w:p>
      <w:pPr>
        <w:ind w:right="60" w:firstLine="378"/>
        <w:spacing w:after="0" w:line="242" w:lineRule="auto"/>
        <w:rPr>
          <w:sz w:val="20"/>
          <w:szCs w:val="20"/>
          <w:color w:val="auto"/>
        </w:rPr>
      </w:pPr>
      <w:r>
        <w:rPr>
          <w:rFonts w:ascii="Arial" w:cs="Arial" w:eastAsia="Arial" w:hAnsi="Arial"/>
          <w:sz w:val="18"/>
          <w:szCs w:val="18"/>
          <w:i w:val="1"/>
          <w:iCs w:val="1"/>
          <w:color w:val="auto"/>
        </w:rPr>
        <w:t>A. William Higgins, 61, President and Chief Executive Officer</w:t>
      </w:r>
      <w:r>
        <w:rPr>
          <w:rFonts w:ascii="Arial" w:cs="Arial" w:eastAsia="Arial" w:hAnsi="Arial"/>
          <w:sz w:val="18"/>
          <w:szCs w:val="18"/>
          <w:color w:val="auto"/>
        </w:rPr>
        <w:t>, joined the Company in 2020. He has served the Company as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since January 2020. He has been a director of the Company since 2016 and served as Chairman of the Board from February 2019 until January 2020. From 2005 to 2012 he served CIRCOR International, Inc. in a variety of senior organizational positions, including Chief Executive Officer and Chairman. Prior to joining CIRCOR, he held a variety of senior management positions with Honeywell International and AlliedSignal.</w:t>
      </w:r>
    </w:p>
    <w:p>
      <w:pPr>
        <w:spacing w:after="0" w:line="77" w:lineRule="exact"/>
        <w:rPr>
          <w:sz w:val="20"/>
          <w:szCs w:val="20"/>
          <w:color w:val="auto"/>
        </w:rPr>
      </w:pPr>
    </w:p>
    <w:p>
      <w:pPr>
        <w:ind w:right="20" w:firstLine="378"/>
        <w:spacing w:after="0" w:line="242" w:lineRule="auto"/>
        <w:rPr>
          <w:sz w:val="20"/>
          <w:szCs w:val="20"/>
          <w:color w:val="auto"/>
        </w:rPr>
      </w:pPr>
      <w:r>
        <w:rPr>
          <w:rFonts w:ascii="Arial" w:cs="Arial" w:eastAsia="Arial" w:hAnsi="Arial"/>
          <w:sz w:val="18"/>
          <w:szCs w:val="18"/>
          <w:i w:val="1"/>
          <w:iCs w:val="1"/>
          <w:color w:val="auto"/>
        </w:rPr>
        <w:t xml:space="preserve">Stephen M. Nolan, 50, Chief Financial Officer and Treasurer, </w:t>
      </w:r>
      <w:r>
        <w:rPr>
          <w:rFonts w:ascii="Arial" w:cs="Arial" w:eastAsia="Arial" w:hAnsi="Arial"/>
          <w:sz w:val="18"/>
          <w:szCs w:val="18"/>
          <w:color w:val="auto"/>
        </w:rPr>
        <w:t>joined the Company in 2019. He has served the Company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Treasurer since April 2019. Prior to joining the Company, he served as Chief Financial Officer of Esterline and previously held the same role at Vista Outdoor, Inc. He previously worked in a number of strategic and operational management roles at ATK, including Senior Vice President for Strategy and Business Development and several business unit leadership positions. Earlier in his career, Mr. Nolan served in corporate development and strategy roles at Raytheon Company and as a strategy consultant at McKinsey &amp; Company.</w:t>
      </w:r>
    </w:p>
    <w:p>
      <w:pPr>
        <w:spacing w:after="0" w:line="77" w:lineRule="exact"/>
        <w:rPr>
          <w:sz w:val="20"/>
          <w:szCs w:val="20"/>
          <w:color w:val="auto"/>
        </w:rPr>
      </w:pPr>
    </w:p>
    <w:p>
      <w:pPr>
        <w:ind w:right="300" w:firstLine="378"/>
        <w:spacing w:after="0" w:line="245" w:lineRule="auto"/>
        <w:rPr>
          <w:sz w:val="20"/>
          <w:szCs w:val="20"/>
          <w:color w:val="auto"/>
        </w:rPr>
      </w:pPr>
      <w:r>
        <w:rPr>
          <w:rFonts w:ascii="Arial" w:cs="Arial" w:eastAsia="Arial" w:hAnsi="Arial"/>
          <w:sz w:val="18"/>
          <w:szCs w:val="18"/>
          <w:i w:val="1"/>
          <w:iCs w:val="1"/>
          <w:color w:val="auto"/>
        </w:rPr>
        <w:t xml:space="preserve">Daniel A. Halftermeyer, 58,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Machine Clothing, </w:t>
      </w:r>
      <w:r>
        <w:rPr>
          <w:rFonts w:ascii="Arial" w:cs="Arial" w:eastAsia="Arial" w:hAnsi="Arial"/>
          <w:sz w:val="18"/>
          <w:szCs w:val="18"/>
          <w:color w:val="auto"/>
        </w:rPr>
        <w:t>joined the Company in 1987.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Dryer Fabrics from 1997 to March 2005, and Technical Director – Dryer Fabrics from 1993 to 1997. He held various technical and management positions in St. Stephen, South Carolina, and Sélestat, France, from 1987 to 1993.</w:t>
      </w:r>
    </w:p>
    <w:p>
      <w:pPr>
        <w:spacing w:after="0" w:line="152" w:lineRule="exact"/>
        <w:rPr>
          <w:sz w:val="20"/>
          <w:szCs w:val="20"/>
          <w:color w:val="auto"/>
        </w:rPr>
      </w:pPr>
    </w:p>
    <w:p>
      <w:pPr>
        <w:ind w:right="80" w:firstLine="378"/>
        <w:spacing w:after="0" w:line="241" w:lineRule="auto"/>
        <w:rPr>
          <w:sz w:val="20"/>
          <w:szCs w:val="20"/>
          <w:color w:val="auto"/>
        </w:rPr>
      </w:pPr>
      <w:r>
        <w:rPr>
          <w:rFonts w:ascii="Arial" w:cs="Arial" w:eastAsia="Arial" w:hAnsi="Arial"/>
          <w:sz w:val="18"/>
          <w:szCs w:val="18"/>
          <w:i w:val="1"/>
          <w:iCs w:val="1"/>
          <w:color w:val="auto"/>
        </w:rPr>
        <w:t xml:space="preserve">Greg Harwell, 56,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Albany Engineered Composites, </w:t>
      </w:r>
      <w:r>
        <w:rPr>
          <w:rFonts w:ascii="Arial" w:cs="Arial" w:eastAsia="Arial" w:hAnsi="Arial"/>
          <w:sz w:val="18"/>
          <w:szCs w:val="18"/>
          <w:color w:val="auto"/>
        </w:rPr>
        <w:t>joined the Company in 2019.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Albany Engineered Composites since November 2019. Prior to joining the company, he served as President of Aerostructures for Precision Castparts (PCC) managing all aspects of the organization for the Aerostructures division. He also served as Vice President and General Manager in charge of Global Operations Strategy at Alcoa Fastening Systems and Rings, and before November 2014 served in a number of operational positions within Alcoa Fastening Systems. Since March 2019, Mr. Harwell was a consultant to Arlington Capital Partners, providing M&amp;A advisory services.</w:t>
      </w:r>
    </w:p>
    <w:p>
      <w:pPr>
        <w:spacing w:after="0" w:line="76" w:lineRule="exact"/>
        <w:rPr>
          <w:sz w:val="20"/>
          <w:szCs w:val="20"/>
          <w:color w:val="auto"/>
        </w:rPr>
      </w:pPr>
    </w:p>
    <w:p>
      <w:pPr>
        <w:ind w:right="160" w:firstLine="378"/>
        <w:spacing w:after="0" w:line="245" w:lineRule="auto"/>
        <w:rPr>
          <w:sz w:val="20"/>
          <w:szCs w:val="20"/>
          <w:color w:val="auto"/>
        </w:rPr>
      </w:pPr>
      <w:r>
        <w:rPr>
          <w:rFonts w:ascii="Arial" w:cs="Arial" w:eastAsia="Arial" w:hAnsi="Arial"/>
          <w:sz w:val="18"/>
          <w:szCs w:val="18"/>
          <w:i w:val="1"/>
          <w:iCs w:val="1"/>
          <w:color w:val="auto"/>
        </w:rPr>
        <w:t xml:space="preserve">Alice McCarvill, 55, Executive Vice President- Human Resources and Chief Human Resources Officer, </w:t>
      </w:r>
      <w:r>
        <w:rPr>
          <w:rFonts w:ascii="Arial" w:cs="Arial" w:eastAsia="Arial" w:hAnsi="Arial"/>
          <w:sz w:val="18"/>
          <w:szCs w:val="18"/>
          <w:color w:val="auto"/>
        </w:rPr>
        <w:t>joined the Company in 2018.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the Company as Executive Vice President- Human Resources and Chief Human Resources Officer since February 2019</w:t>
      </w:r>
      <w:r>
        <w:rPr>
          <w:rFonts w:ascii="Arial" w:cs="Arial" w:eastAsia="Arial" w:hAnsi="Arial"/>
          <w:sz w:val="18"/>
          <w:szCs w:val="18"/>
          <w:i w:val="1"/>
          <w:iCs w:val="1"/>
          <w:color w:val="auto"/>
        </w:rPr>
        <w:t>.</w:t>
      </w:r>
      <w:r>
        <w:rPr>
          <w:rFonts w:ascii="Arial" w:cs="Arial" w:eastAsia="Arial" w:hAnsi="Arial"/>
          <w:sz w:val="18"/>
          <w:szCs w:val="18"/>
          <w:color w:val="auto"/>
        </w:rPr>
        <w:t xml:space="preserve"> She joined the Company in March 2018 as Executive Vice President- Human Resources. Prior to 2018 she was Group VP Human Resources for Arconic Engineered Products and Solutions.</w:t>
      </w:r>
    </w:p>
    <w:p>
      <w:pPr>
        <w:spacing w:after="0" w:line="73" w:lineRule="exact"/>
        <w:rPr>
          <w:sz w:val="20"/>
          <w:szCs w:val="20"/>
          <w:color w:val="auto"/>
        </w:rPr>
      </w:pPr>
    </w:p>
    <w:p>
      <w:pPr>
        <w:ind w:right="80" w:firstLine="378"/>
        <w:spacing w:after="0" w:line="242" w:lineRule="auto"/>
        <w:rPr>
          <w:sz w:val="20"/>
          <w:szCs w:val="20"/>
          <w:color w:val="auto"/>
        </w:rPr>
      </w:pPr>
      <w:r>
        <w:rPr>
          <w:rFonts w:ascii="Arial" w:cs="Arial" w:eastAsia="Arial" w:hAnsi="Arial"/>
          <w:sz w:val="18"/>
          <w:szCs w:val="18"/>
          <w:i w:val="1"/>
          <w:iCs w:val="1"/>
          <w:color w:val="auto"/>
        </w:rPr>
        <w:t xml:space="preserve">Robert A. Hansen, 62, Senior Vice President and Chief Technology Officer, </w:t>
      </w:r>
      <w:r>
        <w:rPr>
          <w:rFonts w:ascii="Arial" w:cs="Arial" w:eastAsia="Arial" w:hAnsi="Arial"/>
          <w:sz w:val="18"/>
          <w:szCs w:val="18"/>
          <w:color w:val="auto"/>
        </w:rPr>
        <w:t>joined the Company in 1981.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Press Fabrics, Göppingen, Germany. Before 2000, he served the Company in a number of technical management and research and development positions in Europe and the U.S.</w:t>
      </w:r>
    </w:p>
    <w:p>
      <w:pPr>
        <w:spacing w:after="0" w:line="77"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i w:val="1"/>
          <w:iCs w:val="1"/>
          <w:color w:val="auto"/>
        </w:rPr>
        <w:t xml:space="preserve">David M. Pawlick, 58, Vice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Controller, </w:t>
      </w:r>
      <w:r>
        <w:rPr>
          <w:rFonts w:ascii="Arial" w:cs="Arial" w:eastAsia="Arial" w:hAnsi="Arial"/>
          <w:sz w:val="17"/>
          <w:szCs w:val="17"/>
          <w:color w:val="auto"/>
        </w:rPr>
        <w:t>joined the Company in 2000. He has served the Company as Vice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Controller since 2008, and as Director of Corporate Accounting from 2000 to 2008. From 1994 to 2000 he served as Director of Finance and Controller for Ahlstrom Machinery, Inc. in Glens Falls, New York. Prior to 1994, he was employed as an Audit Manager for Coopers &amp; Lybrand.</w:t>
      </w:r>
    </w:p>
    <w:p>
      <w:pPr>
        <w:spacing w:after="0" w:line="69" w:lineRule="exact"/>
        <w:rPr>
          <w:sz w:val="20"/>
          <w:szCs w:val="20"/>
          <w:color w:val="auto"/>
        </w:rPr>
      </w:pPr>
    </w:p>
    <w:p>
      <w:pPr>
        <w:ind w:firstLine="378"/>
        <w:spacing w:after="0"/>
        <w:rPr>
          <w:sz w:val="20"/>
          <w:szCs w:val="20"/>
          <w:color w:val="auto"/>
        </w:rPr>
      </w:pPr>
      <w:r>
        <w:rPr>
          <w:rFonts w:ascii="Arial" w:cs="Arial" w:eastAsia="Arial" w:hAnsi="Arial"/>
          <w:sz w:val="18"/>
          <w:szCs w:val="18"/>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95" w:lineRule="exact"/>
        <w:rPr>
          <w:sz w:val="20"/>
          <w:szCs w:val="20"/>
          <w:color w:val="auto"/>
        </w:rPr>
      </w:pPr>
    </w:p>
    <w:p>
      <w:pPr>
        <w:ind w:right="80" w:firstLine="378"/>
        <w:spacing w:after="0"/>
        <w:rPr>
          <w:sz w:val="20"/>
          <w:szCs w:val="20"/>
          <w:color w:val="auto"/>
        </w:rPr>
      </w:pPr>
      <w:r>
        <w:rPr>
          <w:rFonts w:ascii="Arial" w:cs="Arial" w:eastAsia="Arial" w:hAnsi="Arial"/>
          <w:sz w:val="18"/>
          <w:szCs w:val="18"/>
          <w:color w:val="auto"/>
        </w:rPr>
        <w:t>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95"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Our current reports on Form 8-K, quarterly reports on Form 10-Q, and annual reports on Form 10-K are electronically filed with the Securities and Exchange Commission (the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Reading Room at 100 F Street, N.E., Room 1580, Washington, D.C. The public may obtain information on the operation of the Public Reading Room by calling the SEC at 1-800-SEC-0330. The SEC maintains a website (www.sec.gov) that contains reports, proxy, information statements, and other information regarding issuers that file electronically with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100" w:firstLine="378"/>
        <w:spacing w:after="0" w:line="245" w:lineRule="auto"/>
        <w:rPr>
          <w:sz w:val="20"/>
          <w:szCs w:val="20"/>
          <w:color w:val="auto"/>
        </w:rPr>
      </w:pPr>
      <w:r>
        <w:rPr>
          <w:rFonts w:ascii="Arial" w:cs="Arial" w:eastAsia="Arial" w:hAnsi="Arial"/>
          <w:sz w:val="18"/>
          <w:szCs w:val="18"/>
          <w:i w:val="1"/>
          <w:iCs w:val="1"/>
          <w:color w:val="auto"/>
        </w:rPr>
        <w:t>The Company’s business, operations, and financial condition are subject to various risks. Some of these risks are described below and in the documents incorporated by reference, and investors should take these risks into account when evaluating any investment decision involving the Company. This section does not describe all risks applicable to the Company, its industry or business, and it is intended only as a summary of certain material factors.</w:t>
      </w:r>
    </w:p>
    <w:p>
      <w:pPr>
        <w:spacing w:after="0" w:line="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A number of industry factors have had, and in future periods could have, an adverse impact on sales, profitability and cash flow in the Company’s MC and AEC segments</w:t>
      </w:r>
    </w:p>
    <w:p>
      <w:pPr>
        <w:spacing w:after="0" w:line="68" w:lineRule="exact"/>
        <w:rPr>
          <w:sz w:val="20"/>
          <w:szCs w:val="20"/>
          <w:color w:val="auto"/>
        </w:rPr>
      </w:pPr>
    </w:p>
    <w:p>
      <w:pPr>
        <w:ind w:right="80" w:firstLine="378"/>
        <w:spacing w:after="0" w:line="237" w:lineRule="auto"/>
        <w:rPr>
          <w:sz w:val="20"/>
          <w:szCs w:val="20"/>
          <w:color w:val="auto"/>
        </w:rPr>
      </w:pPr>
      <w:r>
        <w:rPr>
          <w:rFonts w:ascii="Arial" w:cs="Arial" w:eastAsia="Arial" w:hAnsi="Arial"/>
          <w:sz w:val="18"/>
          <w:szCs w:val="18"/>
          <w:color w:val="auto"/>
        </w:rPr>
        <w:t>Significant consolidation and rationalization in the paper industry in recent years have reduced global consumption of paper machine clothing in certain markets.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future are likely to have, an adverse effect on paper machine clothing sales.</w:t>
      </w:r>
    </w:p>
    <w:p>
      <w:pPr>
        <w:spacing w:after="0" w:line="97" w:lineRule="exact"/>
        <w:rPr>
          <w:sz w:val="20"/>
          <w:szCs w:val="20"/>
          <w:color w:val="auto"/>
        </w:rPr>
      </w:pPr>
    </w:p>
    <w:p>
      <w:pPr>
        <w:ind w:right="440" w:firstLine="378"/>
        <w:spacing w:after="0" w:line="239" w:lineRule="auto"/>
        <w:rPr>
          <w:sz w:val="20"/>
          <w:szCs w:val="20"/>
          <w:color w:val="auto"/>
        </w:rPr>
      </w:pPr>
      <w:r>
        <w:rPr>
          <w:rFonts w:ascii="Arial" w:cs="Arial" w:eastAsia="Arial" w:hAnsi="Arial"/>
          <w:sz w:val="18"/>
          <w:szCs w:val="18"/>
          <w:color w:val="auto"/>
        </w:rPr>
        <w:t>The market for paper machine clothing in recent years has been characterized by continuous pressure to provide more favorable commercial terms, which has unfavorably affected our operating results. We expect such pressure to remain intense in all paper machine clothing markets, especially during periods of customer consolidation, plant closures, or when major contracts are being renegotiated. The emergence of Chinese competitors exacerbates this risk.</w:t>
      </w:r>
    </w:p>
    <w:p>
      <w:pPr>
        <w:spacing w:after="0" w:line="94" w:lineRule="exact"/>
        <w:rPr>
          <w:sz w:val="20"/>
          <w:szCs w:val="20"/>
          <w:color w:val="auto"/>
        </w:rPr>
      </w:pPr>
    </w:p>
    <w:p>
      <w:pPr>
        <w:jc w:val="both"/>
        <w:ind w:right="360" w:firstLine="378"/>
        <w:spacing w:after="0"/>
        <w:rPr>
          <w:sz w:val="20"/>
          <w:szCs w:val="20"/>
          <w:color w:val="auto"/>
        </w:rPr>
      </w:pPr>
      <w:r>
        <w:rPr>
          <w:rFonts w:ascii="Arial" w:cs="Arial" w:eastAsia="Arial" w:hAnsi="Arial"/>
          <w:sz w:val="18"/>
          <w:szCs w:val="18"/>
          <w:color w:val="auto"/>
        </w:rPr>
        <w:t>Similar pressures exist in the markets in which AEC competes. A number of countries, including the United States, have issued orders grounding Boeing 737 MAX aircraft. If these groundings cause a further decrease in demand in production for this aircraft, it could have an adverse impact on demand for LEAP engines which, in turn, could have an adverse impact on demand for our LEAP engine parts.</w:t>
      </w:r>
    </w:p>
    <w:p>
      <w:pPr>
        <w:spacing w:after="0" w:line="95" w:lineRule="exact"/>
        <w:rPr>
          <w:sz w:val="20"/>
          <w:szCs w:val="20"/>
          <w:color w:val="auto"/>
        </w:rPr>
      </w:pPr>
    </w:p>
    <w:p>
      <w:pPr>
        <w:ind w:right="40" w:firstLine="378"/>
        <w:spacing w:after="0" w:line="237" w:lineRule="auto"/>
        <w:rPr>
          <w:sz w:val="20"/>
          <w:szCs w:val="20"/>
          <w:color w:val="auto"/>
        </w:rPr>
      </w:pPr>
      <w:r>
        <w:rPr>
          <w:rFonts w:ascii="Arial" w:cs="Arial" w:eastAsia="Arial" w:hAnsi="Arial"/>
          <w:sz w:val="18"/>
          <w:szCs w:val="18"/>
          <w:color w:val="auto"/>
        </w:rPr>
        <w:t>The LEAP long-term supply agreement contains certain events of default that, if triggered, could result in termination of the agreement by the customer, which would also have a material adverse impact on segment sales and profitability. Additionally, many of AEC’s customers, as well as the companies supplied by our customers are under pressure to achieve acceptable returns on their substantial investments in recent years in new technologies, new programs and new product introductions. This has contributed to a relentless focus on reducing costs, resulting in continuous pressure for cost reduction and pricing improvement throughout the supply chain. The recent wave of consolidation in the aerospace industry could continue or intensify these pressures.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execution risk related to the ramp up of key programs in the short and medium term</w:t>
      </w:r>
    </w:p>
    <w:p>
      <w:pPr>
        <w:spacing w:after="0" w:line="126" w:lineRule="exact"/>
        <w:rPr>
          <w:sz w:val="20"/>
          <w:szCs w:val="20"/>
          <w:color w:val="auto"/>
        </w:rPr>
      </w:pPr>
    </w:p>
    <w:p>
      <w:pPr>
        <w:ind w:right="120" w:firstLine="378"/>
        <w:spacing w:after="0" w:line="237" w:lineRule="auto"/>
        <w:rPr>
          <w:sz w:val="20"/>
          <w:szCs w:val="20"/>
          <w:color w:val="auto"/>
        </w:rPr>
      </w:pPr>
      <w:r>
        <w:rPr>
          <w:rFonts w:ascii="Arial" w:cs="Arial" w:eastAsia="Arial" w:hAnsi="Arial"/>
          <w:sz w:val="18"/>
          <w:szCs w:val="18"/>
          <w:color w:val="auto"/>
        </w:rPr>
        <w:t>AEC has a number of programs that are expected to grow in the next several years, including airframe components for the F-35, forward fuselage frames for the Boeing 787, and sponsons, tail-rotor pylons, horizontal stabilizers and struts for the CH-53K helicopter. AEC will be required to execute all of these program ramp-ups while continuing to maintain and improve performance on legacy programs. AEC’s ability to realize its full growth potential will depend on how effectively it accomplishes these goals. Failure to accomplish these goals could have a material adverse impact on the amount and timing of anticipated AEC revenues, income, and cash flows, which could in turn have a material adverse impact on our consolidated financial results.</w:t>
      </w:r>
    </w:p>
    <w:p>
      <w:pPr>
        <w:spacing w:after="0" w:line="7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AEC is subject to significant financial risk related to potential quality escapes that could cause customer recalls, or production shortfalls that could cause delays in customer deliveries</w:t>
      </w:r>
    </w:p>
    <w:p>
      <w:pPr>
        <w:spacing w:after="0" w:line="68" w:lineRule="exact"/>
        <w:rPr>
          <w:sz w:val="20"/>
          <w:szCs w:val="20"/>
          <w:color w:val="auto"/>
        </w:rPr>
      </w:pPr>
    </w:p>
    <w:p>
      <w:pPr>
        <w:ind w:right="20" w:firstLine="378"/>
        <w:spacing w:after="0" w:line="239" w:lineRule="auto"/>
        <w:rPr>
          <w:sz w:val="20"/>
          <w:szCs w:val="20"/>
          <w:color w:val="auto"/>
        </w:rPr>
      </w:pPr>
      <w:r>
        <w:rPr>
          <w:rFonts w:ascii="Arial" w:cs="Arial" w:eastAsia="Arial" w:hAnsi="Arial"/>
          <w:sz w:val="18"/>
          <w:szCs w:val="18"/>
          <w:color w:val="auto"/>
        </w:rPr>
        <w:t>In the short term, AEC must continue to ramp up and mature its manufacturing capacity while meeting increasingly demanding quality, delivery, and cost targets across a broad spectrum of programs and facilities. In addition to LEAP, these programs include airframe components for the F-35, forward fuselage frames for the Boeing 787, and sponsons, tail-rotor pylons, horizontal stabilizers and struts for the CH-53K helicopter. AEC’s ability to realize its full financial objectives will depend on how effectively it meets these challenges.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Failure to accomplish these customer quality, delivery, and cost targets on any key program could result in material losses to the Company and have a material adverse impact on the amount and timing of anticipated AEC revenues, income, and cash flows, which could in turn have a material adverse impact on our consolidated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organic growth prospects of AEC are subject to a number of risks</w:t>
      </w:r>
    </w:p>
    <w:p>
      <w:pPr>
        <w:spacing w:after="0" w:line="126" w:lineRule="exact"/>
        <w:rPr>
          <w:sz w:val="20"/>
          <w:szCs w:val="20"/>
          <w:color w:val="auto"/>
        </w:rPr>
      </w:pPr>
    </w:p>
    <w:p>
      <w:pPr>
        <w:ind w:right="140" w:firstLine="378"/>
        <w:spacing w:after="0" w:line="239" w:lineRule="auto"/>
        <w:rPr>
          <w:sz w:val="20"/>
          <w:szCs w:val="20"/>
          <w:color w:val="auto"/>
        </w:rPr>
      </w:pPr>
      <w:r>
        <w:rPr>
          <w:rFonts w:ascii="Arial" w:cs="Arial" w:eastAsia="Arial" w:hAnsi="Arial"/>
          <w:sz w:val="18"/>
          <w:szCs w:val="18"/>
          <w:color w:val="auto"/>
        </w:rPr>
        <w:t>The prospect of future successful organic growth in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defense aerospace, are subject to the same curtailment or cancellation risks as the programs they support.</w:t>
      </w:r>
    </w:p>
    <w:p>
      <w:pPr>
        <w:spacing w:after="0" w:line="94" w:lineRule="exact"/>
        <w:rPr>
          <w:sz w:val="20"/>
          <w:szCs w:val="20"/>
          <w:color w:val="auto"/>
        </w:rPr>
      </w:pPr>
    </w:p>
    <w:p>
      <w:pPr>
        <w:ind w:right="80" w:firstLine="378"/>
        <w:spacing w:after="0" w:line="238" w:lineRule="auto"/>
        <w:rPr>
          <w:sz w:val="20"/>
          <w:szCs w:val="20"/>
          <w:color w:val="auto"/>
        </w:rPr>
      </w:pPr>
      <w:r>
        <w:rPr>
          <w:rFonts w:ascii="Arial" w:cs="Arial" w:eastAsia="Arial" w:hAnsi="Arial"/>
          <w:sz w:val="18"/>
          <w:szCs w:val="18"/>
          <w:color w:val="auto"/>
        </w:rPr>
        <w:t>AEC is currently working on a broad portfolio of potential new product applications in the aerospace industry.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its existing contracts, and AEC may or may not be successful in meeting its obligations under these contracts. Failure to manage these development, commercialization and execution risks could have a material adverse impact on AEC’s prospects for revenue growth.</w:t>
      </w:r>
    </w:p>
    <w:p>
      <w:pPr>
        <w:spacing w:after="0" w:line="95" w:lineRule="exact"/>
        <w:rPr>
          <w:sz w:val="20"/>
          <w:szCs w:val="20"/>
          <w:color w:val="auto"/>
        </w:rPr>
      </w:pPr>
    </w:p>
    <w:p>
      <w:pPr>
        <w:ind w:firstLine="378"/>
        <w:spacing w:after="0" w:line="238" w:lineRule="auto"/>
        <w:rPr>
          <w:sz w:val="20"/>
          <w:szCs w:val="20"/>
          <w:color w:val="auto"/>
        </w:rPr>
      </w:pPr>
      <w:r>
        <w:rPr>
          <w:rFonts w:ascii="Arial" w:cs="Arial" w:eastAsia="Arial" w:hAnsi="Arial"/>
          <w:sz w:val="18"/>
          <w:szCs w:val="18"/>
          <w:color w:val="auto"/>
        </w:rPr>
        <w:t>In addition to dealing with these development and manufacturing execution risks, future AEC growth will likely require increasingly larger amounts of cash to fund the investments in equipment, capital, and development efforts needed to achieve this growth. While AEC is starting to generate increasing amounts of cash, it is not yet generating sufficient cash to fund this growth. Until that time, absent the incurrence of additional indebtedness to fund this growth, AEC will remain dependent on the MC segment’s ability to generate cash, and a significant decline in MC sales, operating income or cash flows could therefore have a material adverse impact on AEC’s growth.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supply contracts in our Albany Engineered Composites segment pose certain risks</w:t>
      </w:r>
    </w:p>
    <w:p>
      <w:pPr>
        <w:spacing w:after="0" w:line="126" w:lineRule="exact"/>
        <w:rPr>
          <w:sz w:val="20"/>
          <w:szCs w:val="20"/>
          <w:color w:val="auto"/>
        </w:rPr>
      </w:pPr>
    </w:p>
    <w:p>
      <w:pPr>
        <w:ind w:right="160" w:firstLine="378"/>
        <w:spacing w:after="0" w:line="237" w:lineRule="auto"/>
        <w:rPr>
          <w:sz w:val="20"/>
          <w:szCs w:val="20"/>
          <w:color w:val="auto"/>
        </w:rPr>
      </w:pPr>
      <w:r>
        <w:rPr>
          <w:rFonts w:ascii="Arial" w:cs="Arial" w:eastAsia="Arial" w:hAnsi="Arial"/>
          <w:sz w:val="18"/>
          <w:szCs w:val="18"/>
          <w:color w:val="auto"/>
        </w:rPr>
        <w:t>AEC has a number of long-term contracts with fixed pricing, and is likely to enter into similar contracts in the future. While long-term contracts provide an opportunity to realize steady and reliable revenues for extended periods, they pose a number of risks, such as program cancellations, reductions or delays in orders by AEC’s customers under these contracts, the termination of such contracts or orders, or the occurrence of similar events over which AEC has no or limited control. The occurrence of one or more of these events could have a material adverse effect on AEC revenues and earnings in any period. Such events could also result in the write-off of deferred charges that have been accumulated in anticipation of future revenues.</w:t>
      </w:r>
    </w:p>
    <w:p>
      <w:pPr>
        <w:spacing w:after="0" w:line="97" w:lineRule="exact"/>
        <w:rPr>
          <w:sz w:val="20"/>
          <w:szCs w:val="20"/>
          <w:color w:val="auto"/>
        </w:rPr>
      </w:pPr>
    </w:p>
    <w:p>
      <w:pPr>
        <w:ind w:right="120" w:firstLine="378"/>
        <w:spacing w:after="0" w:line="236" w:lineRule="auto"/>
        <w:rPr>
          <w:sz w:val="20"/>
          <w:szCs w:val="20"/>
          <w:color w:val="auto"/>
        </w:rPr>
      </w:pPr>
      <w:r>
        <w:rPr>
          <w:rFonts w:ascii="Arial" w:cs="Arial" w:eastAsia="Arial" w:hAnsi="Arial"/>
          <w:sz w:val="18"/>
          <w:szCs w:val="18"/>
          <w:color w:val="auto"/>
        </w:rPr>
        <w:t>While long-term fixed-price contracts also provide AEC with the opportunity to enjoy increased profits as the result of cost reductions and efficiencies, their profitability is dependent on estimates and assumptions regarding contract performance costs over the life of the contract, which in some cases can last for many years. Such estimates and assumptions are subject to many variables, and may prove over time to have been inaccurate when made, or may become inaccurate over time, which can lead to volatility of AEC’s earnings in the any period. Additionally, many of the parts AEC agrees to develop and produce have highly complex designs, and challenging technical, quality, and engineering specifications. Manufacturing or development challenges, disagreements over technical, quality or other contract requirements, and other variables may arise during development or production that result in higher costs, or an inability to achieve required specifications. If actual production and/or development costs should prove higher, or revenues prove lower, than AEC’s estimates, our expected profits may be reduced, or if such costs should exceed contract prices, we may be required to recognize losses for current or future periods. One or more of these events could have a material adverse effect on AEC’s revenues or operating results in any period. Such events could also result in the write-off of deferred charges that have been or could be accumulated in anticipation of future revenues.</w:t>
      </w:r>
    </w:p>
    <w:p>
      <w:pPr>
        <w:spacing w:after="0" w:line="98" w:lineRule="exact"/>
        <w:rPr>
          <w:sz w:val="20"/>
          <w:szCs w:val="20"/>
          <w:color w:val="auto"/>
        </w:rPr>
      </w:pPr>
    </w:p>
    <w:p>
      <w:pPr>
        <w:jc w:val="both"/>
        <w:ind w:right="40" w:firstLine="378"/>
        <w:spacing w:after="0"/>
        <w:rPr>
          <w:sz w:val="20"/>
          <w:szCs w:val="20"/>
          <w:color w:val="auto"/>
        </w:rPr>
      </w:pPr>
      <w:r>
        <w:rPr>
          <w:rFonts w:ascii="Arial" w:cs="Arial" w:eastAsia="Arial" w:hAnsi="Arial"/>
          <w:sz w:val="18"/>
          <w:szCs w:val="18"/>
          <w:color w:val="auto"/>
        </w:rPr>
        <w:t>In the second quarter of 2017, AEC recorded a charge of $15.8 million related to the revision in the estimated profitability of its BR725 and A380 programs. The charge was driven primarily by a reduction in the estimated future demand in these long-term contracts. Each quarter, the Company updates its outlook for each of its long-term contracts and records the effect of the change in estimated profitability. While the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Company believes its estimates on long-term contracts to be accurate based on available information, new information may become available in future periods, or other changes in the program could occur, which may lead to additional program losses, which could have a material effect on operating results in future periods.</w:t>
      </w:r>
    </w:p>
    <w:p>
      <w:pPr>
        <w:spacing w:after="0" w:line="176" w:lineRule="exact"/>
        <w:rPr>
          <w:sz w:val="20"/>
          <w:szCs w:val="20"/>
          <w:color w:val="auto"/>
        </w:rPr>
      </w:pPr>
    </w:p>
    <w:p>
      <w:pPr>
        <w:ind w:right="160" w:firstLine="378"/>
        <w:spacing w:after="0" w:line="236" w:lineRule="auto"/>
        <w:rPr>
          <w:sz w:val="20"/>
          <w:szCs w:val="20"/>
          <w:color w:val="auto"/>
        </w:rPr>
      </w:pPr>
      <w:r>
        <w:rPr>
          <w:rFonts w:ascii="Arial" w:cs="Arial" w:eastAsia="Arial" w:hAnsi="Arial"/>
          <w:sz w:val="18"/>
          <w:szCs w:val="18"/>
          <w:color w:val="auto"/>
        </w:rPr>
        <w:t>Sales of components for a number of programs that are currently considered to be important to the future sales growth of AEC are pursuant to short-term purchase orders for a finite period or number of parts, or short-term supply agreements with terms of one to four years. Such programs include airframe components for the F-35, forward fuselage frames for the Boeing 787, and sponsons, tail-rotor pylons, horizontal stabilizers and struts for the CH-53K helicopter. As a result, while AEC reasonably expects to continue as a supplier on these programs as long as it meets its obligations, there can be no assurance that this will be the case, or that, in programs where it is currently a sole supplier that this sole supplier status will continue even if it continues as a supplier. Even if AEC’s status as a supplier is extended or renewed, there can be no assurance that such extension or renewal will be on the same or similar commercial or other terms. Any failure by AEC to maintain its current supplier status under these programs, or any material change in their commercial or other terms, could have a material adverse effect on AEC’s future sales and operating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risks related to the potential manufacture and sale of defective or non-conforming products</w:t>
      </w:r>
    </w:p>
    <w:p>
      <w:pPr>
        <w:spacing w:after="0" w:line="126" w:lineRule="exact"/>
        <w:rPr>
          <w:sz w:val="20"/>
          <w:szCs w:val="20"/>
          <w:color w:val="auto"/>
        </w:rPr>
      </w:pPr>
    </w:p>
    <w:p>
      <w:pPr>
        <w:ind w:right="80" w:firstLine="378"/>
        <w:spacing w:after="0" w:line="237" w:lineRule="auto"/>
        <w:rPr>
          <w:sz w:val="20"/>
          <w:szCs w:val="20"/>
          <w:color w:val="auto"/>
        </w:rPr>
      </w:pPr>
      <w:r>
        <w:rPr>
          <w:rFonts w:ascii="Arial" w:cs="Arial" w:eastAsia="Arial" w:hAnsi="Arial"/>
          <w:sz w:val="18"/>
          <w:szCs w:val="18"/>
          <w:color w:val="auto"/>
        </w:rPr>
        <w:t>AEC manufactures and sells products that are incorporated into commercial and military aircraft. If AEC were to supply products with manufacturing defects, or products that failed to conform to contractual requirements, we could be required to recall and/or replace them, and could also be subject to substantial contractual damages or warranty claims from our customers. AEC could also be subject to product liability claims if such failures were to cause death, injury or losses to third parties, or damage claims resulting from the grounding of aircraft into which such defective or non-conforming products had been incorporated. While we maintain product liability insurance and other insurance at levels we believe to be prudent and consistent with industry practice to help mitigate these risks, these coverages may not be sufficient to fully cover AEC’s exposure for such risks, which could have a material adverse effect on AEC’s results of operations and cash flows.</w:t>
      </w:r>
    </w:p>
    <w:p>
      <w:pPr>
        <w:spacing w:after="0" w:line="73"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Deterioration of current global economic conditions could have an adverse impact on the Company’s business and results of operations</w:t>
      </w:r>
    </w:p>
    <w:p>
      <w:pPr>
        <w:spacing w:after="0" w:line="68" w:lineRule="exact"/>
        <w:rPr>
          <w:sz w:val="20"/>
          <w:szCs w:val="20"/>
          <w:color w:val="auto"/>
        </w:rPr>
      </w:pPr>
    </w:p>
    <w:p>
      <w:pPr>
        <w:jc w:val="both"/>
        <w:ind w:right="280" w:firstLine="378"/>
        <w:spacing w:after="0"/>
        <w:rPr>
          <w:sz w:val="20"/>
          <w:szCs w:val="20"/>
          <w:color w:val="auto"/>
        </w:rPr>
      </w:pPr>
      <w:r>
        <w:rPr>
          <w:rFonts w:ascii="Arial" w:cs="Arial" w:eastAsia="Arial" w:hAnsi="Arial"/>
          <w:sz w:val="18"/>
          <w:szCs w:val="18"/>
          <w:color w:val="auto"/>
        </w:rPr>
        <w:t>The Company identifies in this section a number of risks, the effects of which may be exacerbated by an unfavorable economic climate. For example, a recession could lead to lower consumption in all paper grades including tissue and packaging, which would not only reduce consumption of paper machine clothing but could also increase the risk of greater price competition in the machine clothing industry.</w:t>
      </w:r>
    </w:p>
    <w:p>
      <w:pPr>
        <w:spacing w:after="0" w:line="95" w:lineRule="exact"/>
        <w:rPr>
          <w:sz w:val="20"/>
          <w:szCs w:val="20"/>
          <w:color w:val="auto"/>
        </w:rPr>
      </w:pPr>
    </w:p>
    <w:p>
      <w:pPr>
        <w:ind w:right="40" w:firstLine="378"/>
        <w:spacing w:after="0" w:line="236" w:lineRule="auto"/>
        <w:rPr>
          <w:sz w:val="20"/>
          <w:szCs w:val="20"/>
          <w:color w:val="auto"/>
        </w:rPr>
      </w:pPr>
      <w:r>
        <w:rPr>
          <w:rFonts w:ascii="Arial" w:cs="Arial" w:eastAsia="Arial" w:hAnsi="Arial"/>
          <w:sz w:val="18"/>
          <w:szCs w:val="18"/>
          <w:color w:val="auto"/>
        </w:rPr>
        <w:t>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 Demand for AEC’s light-weight composite aircraft components is driven by demand for the lighter, more fuel-efficient aircraft engine and other applications into which they are incorporated, such as the CFM LEAP engine. Fuel costs are a significant part of operating costs for airlines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In addition, any economic conditions that led to sustained high interest rates could affect the airline’s ability to finance new aircraft and engine orders.</w:t>
      </w:r>
    </w:p>
    <w:p>
      <w:pPr>
        <w:spacing w:after="0" w:line="100" w:lineRule="exact"/>
        <w:rPr>
          <w:sz w:val="20"/>
          <w:szCs w:val="20"/>
          <w:color w:val="auto"/>
        </w:rPr>
      </w:pPr>
    </w:p>
    <w:p>
      <w:pPr>
        <w:ind w:right="120" w:firstLine="378"/>
        <w:spacing w:after="0" w:line="237" w:lineRule="auto"/>
        <w:rPr>
          <w:sz w:val="20"/>
          <w:szCs w:val="20"/>
          <w:color w:val="auto"/>
        </w:rPr>
      </w:pPr>
      <w:r>
        <w:rPr>
          <w:rFonts w:ascii="Arial" w:cs="Arial" w:eastAsia="Arial" w:hAnsi="Arial"/>
          <w:sz w:val="18"/>
          <w:szCs w:val="18"/>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In such a case, we could be forced to write off such accounts, which could have a material adverse effect on our business, financial condition, or operating results. Furthermore, both the MC and AEC business segments manufacture products that are custom-designed for a specific customer application. In the event of a customer liquidity issue, the Company could also be required to write off amounts that are included in Contract assets or Inventories. In the case of AEC, such write-offs could also include investments in equipment, tooling, and non-recurring engineering, some of which could be significant depending on the program.</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derives a significant portion of its revenue from contracts with the U.S. government, which are subject to unique risks</w:t>
      </w:r>
    </w:p>
    <w:p>
      <w:pPr>
        <w:spacing w:after="0" w:line="126" w:lineRule="exact"/>
        <w:rPr>
          <w:sz w:val="20"/>
          <w:szCs w:val="20"/>
          <w:color w:val="auto"/>
        </w:rPr>
      </w:pPr>
    </w:p>
    <w:p>
      <w:pPr>
        <w:ind w:right="80" w:firstLine="378"/>
        <w:spacing w:after="0" w:line="238" w:lineRule="auto"/>
        <w:rPr>
          <w:sz w:val="20"/>
          <w:szCs w:val="20"/>
          <w:color w:val="auto"/>
        </w:rPr>
      </w:pPr>
      <w:r>
        <w:rPr>
          <w:rFonts w:ascii="Arial" w:cs="Arial" w:eastAsia="Arial" w:hAnsi="Arial"/>
          <w:sz w:val="18"/>
          <w:szCs w:val="18"/>
          <w:color w:val="auto"/>
        </w:rPr>
        <w:t>The funding of U.S. government programs is subject to congressional appropriations. Many of the U.S. government programs in which we participate may last several years, but they are normally funded annually. Changes in military strategy and priorities may affect future opportunities and/or existing programs. Long-term government contracts and related orders are subject to cancellation, delay or restructure, if appropriations for subsequent performance periods are not made. The termination or reduction of funding for existing or new U.S. government programs could result in a material adverse effect on our earnings, cash flow and financial position.</w:t>
      </w:r>
    </w:p>
    <w:p>
      <w:pPr>
        <w:spacing w:after="0" w:line="95" w:lineRule="exact"/>
        <w:rPr>
          <w:sz w:val="20"/>
          <w:szCs w:val="20"/>
          <w:color w:val="auto"/>
        </w:rPr>
      </w:pPr>
    </w:p>
    <w:p>
      <w:pPr>
        <w:ind w:right="20" w:firstLine="378"/>
        <w:spacing w:after="0" w:line="237" w:lineRule="auto"/>
        <w:rPr>
          <w:sz w:val="20"/>
          <w:szCs w:val="20"/>
          <w:color w:val="auto"/>
        </w:rPr>
      </w:pPr>
      <w:r>
        <w:rPr>
          <w:rFonts w:ascii="Arial" w:cs="Arial" w:eastAsia="Arial" w:hAnsi="Arial"/>
          <w:sz w:val="18"/>
          <w:szCs w:val="18"/>
          <w:color w:val="auto"/>
        </w:rPr>
        <w:t>Additionally, our business with the U.S. government is subject to specific procurement regulations and our contract costs are subject to audits by U.S. government agencies. U.S. government representatives may audit our compliance with government regulations, and such audits could result in adjustments to our contract costs. Any costs found to be improperly allocated to a specific contract will not be reimbursed, and such costs already reimbursed must be refunded. If any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which could result in a material adverse effect on our earnings, cash flow and financial position.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major customers could have a material adverse effect on sales and profitability</w:t>
      </w:r>
    </w:p>
    <w:p>
      <w:pPr>
        <w:spacing w:after="0" w:line="126" w:lineRule="exact"/>
        <w:rPr>
          <w:sz w:val="20"/>
          <w:szCs w:val="20"/>
          <w:color w:val="auto"/>
        </w:rPr>
      </w:pPr>
    </w:p>
    <w:p>
      <w:pPr>
        <w:ind w:right="40" w:firstLine="378"/>
        <w:spacing w:after="0" w:line="237" w:lineRule="auto"/>
        <w:rPr>
          <w:sz w:val="20"/>
          <w:szCs w:val="20"/>
          <w:color w:val="auto"/>
        </w:rPr>
      </w:pPr>
      <w:r>
        <w:rPr>
          <w:rFonts w:ascii="Arial" w:cs="Arial" w:eastAsia="Arial" w:hAnsi="Arial"/>
          <w:sz w:val="18"/>
          <w:szCs w:val="18"/>
          <w:color w:val="auto"/>
        </w:rPr>
        <w:t>One customer (Safran) accounted for approximately 50 percent of Net sales in the AEC segment in 2019, substantially all of which was under an exclusive long-term supply agreement relating to parts for the LEAP engine. Although we are an exclusive supplier of such parts, our customer is not obligated to purchase any minimum quantity of parts, and cancellation or significant reduction in demand for the LEAP program would have a material adverse impact on segment sales and profitability. LEAP engines are currently used on the Boeing 737 MAX, Airbus A320neo and COMAC aircraft. The grounding of the Boeing 737 MAX noted above led to lower deliveries of parts in 2019 and could result in significantly lower revenue in future periods than previously expected.</w:t>
      </w:r>
    </w:p>
    <w:p>
      <w:pPr>
        <w:spacing w:after="0" w:line="97" w:lineRule="exact"/>
        <w:rPr>
          <w:sz w:val="20"/>
          <w:szCs w:val="20"/>
          <w:color w:val="auto"/>
        </w:rPr>
      </w:pPr>
    </w:p>
    <w:p>
      <w:pPr>
        <w:ind w:right="140" w:firstLine="378"/>
        <w:spacing w:after="0" w:line="246" w:lineRule="auto"/>
        <w:rPr>
          <w:sz w:val="20"/>
          <w:szCs w:val="20"/>
          <w:color w:val="auto"/>
        </w:rPr>
      </w:pPr>
      <w:r>
        <w:rPr>
          <w:rFonts w:ascii="Arial" w:cs="Arial" w:eastAsia="Arial" w:hAnsi="Arial"/>
          <w:sz w:val="18"/>
          <w:szCs w:val="18"/>
          <w:color w:val="auto"/>
        </w:rPr>
        <w:t>The LEAP long-term supply agreement contains certain events of default that, if triggered, could result in termination of the agreement by the customer, which would also have a material adverse impact on segment sales and profitability.</w:t>
      </w:r>
    </w:p>
    <w:p>
      <w:pPr>
        <w:spacing w:after="0" w:line="89" w:lineRule="exact"/>
        <w:rPr>
          <w:sz w:val="20"/>
          <w:szCs w:val="20"/>
          <w:color w:val="auto"/>
        </w:rPr>
      </w:pPr>
    </w:p>
    <w:p>
      <w:pPr>
        <w:ind w:right="20" w:firstLine="378"/>
        <w:spacing w:after="0" w:line="237" w:lineRule="auto"/>
        <w:rPr>
          <w:sz w:val="20"/>
          <w:szCs w:val="20"/>
          <w:color w:val="auto"/>
        </w:rPr>
      </w:pPr>
      <w:r>
        <w:rPr>
          <w:rFonts w:ascii="Arial" w:cs="Arial" w:eastAsia="Arial" w:hAnsi="Arial"/>
          <w:sz w:val="18"/>
          <w:szCs w:val="18"/>
          <w:color w:val="auto"/>
        </w:rPr>
        <w:t>AEC’s short- and medium-term non-LEAP future sales growth is currently limited to and dependent upon a small number of customers and programs. Unlike the 3D-woven composite components supplied by ASC, parts supplied for such non-LEAP programs are capable of being made by a number of other suppliers. Such programs include airframe components for the F-35, forward fuselage frames for the Boeing 787, and sponsons, tail-rotor pylons, horizontal stabilizers and struts for the CH-53K helicopter. Any failure by AEC to maintain its current supplier status under these programs, or any material change in their commercial or other terms, could have a material adverse effect on AEC’s future sales and operating income.</w:t>
      </w:r>
    </w:p>
    <w:p>
      <w:pPr>
        <w:spacing w:after="0" w:line="97" w:lineRule="exact"/>
        <w:rPr>
          <w:sz w:val="20"/>
          <w:szCs w:val="20"/>
          <w:color w:val="auto"/>
        </w:rPr>
      </w:pPr>
    </w:p>
    <w:p>
      <w:pPr>
        <w:ind w:right="140" w:firstLine="378"/>
        <w:spacing w:after="0" w:line="237" w:lineRule="auto"/>
        <w:rPr>
          <w:sz w:val="20"/>
          <w:szCs w:val="20"/>
          <w:color w:val="auto"/>
        </w:rPr>
      </w:pPr>
      <w:r>
        <w:rPr>
          <w:rFonts w:ascii="Arial" w:cs="Arial" w:eastAsia="Arial" w:hAnsi="Arial"/>
          <w:sz w:val="18"/>
          <w:szCs w:val="18"/>
          <w:color w:val="auto"/>
        </w:rPr>
        <w:t>Our top ten customers in the MC segment accounted for a significant portion of our Net sales in 2019. The loss of one or more of these customers, or a significant decrease in the amount of machine clothing they purchase from us, could have a material adverse impact on segment sales and profitability. We could also be subject to similar impacts if one or more such customers were to suffer financial difficulties and be unable to pay us for products they have purchased. While we normally enter into long-term supply agreements with significant MC customers, the agreements generally do not obligate the customer to purchase any products from us, and may be terminated by the customer at any time with appropriate notice.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experience supply constraints due to a limited number of suppliers of certain raw materials and equipment</w:t>
      </w:r>
    </w:p>
    <w:p>
      <w:pPr>
        <w:spacing w:after="0" w:line="126" w:lineRule="exact"/>
        <w:rPr>
          <w:sz w:val="20"/>
          <w:szCs w:val="20"/>
          <w:color w:val="auto"/>
        </w:rPr>
      </w:pPr>
    </w:p>
    <w:p>
      <w:pPr>
        <w:ind w:firstLine="378"/>
        <w:spacing w:after="0" w:line="238" w:lineRule="auto"/>
        <w:rPr>
          <w:sz w:val="20"/>
          <w:szCs w:val="20"/>
          <w:color w:val="auto"/>
        </w:rPr>
      </w:pPr>
      <w:r>
        <w:rPr>
          <w:rFonts w:ascii="Arial" w:cs="Arial" w:eastAsia="Arial" w:hAnsi="Arial"/>
          <w:sz w:val="18"/>
          <w:szCs w:val="18"/>
          <w:color w:val="auto"/>
        </w:rPr>
        <w:t>There are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MC and AEC segments. While we have always been able to meet our raw material and equipment needs, the limited number of suppliers of these items creates the potential for disruptions in supply. AEC currently relies on single suppliers to meet the carbon fiber and carbon resin requirements for the LEAP program. Lack 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supply, delivery delays, or quality problems relating to supplied raw materials or for our key manufacturing equipment could harm our production capacity, and could require the Company to attempt to qualify one or more additional suppliers, which could be a lengthy, expensive and uncertain process. Such disruptions could make it difficult to supply our customers with products on time, which could have a negative impact on our business, financial condition, and results of operations.</w:t>
      </w:r>
    </w:p>
    <w:p>
      <w:pPr>
        <w:spacing w:after="0" w:line="15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Some of the Company’s competitors in the MC segment have the capability to make and sell paper machines and papermaking equipment as well as other engineered fabrics</w:t>
      </w:r>
    </w:p>
    <w:p>
      <w:pPr>
        <w:spacing w:after="0" w:line="68" w:lineRule="exact"/>
        <w:rPr>
          <w:sz w:val="20"/>
          <w:szCs w:val="20"/>
          <w:color w:val="auto"/>
        </w:rPr>
      </w:pPr>
    </w:p>
    <w:p>
      <w:pPr>
        <w:ind w:right="320" w:firstLine="378"/>
        <w:spacing w:after="0" w:line="239" w:lineRule="auto"/>
        <w:rPr>
          <w:sz w:val="20"/>
          <w:szCs w:val="20"/>
          <w:color w:val="auto"/>
        </w:rPr>
      </w:pPr>
      <w:r>
        <w:rPr>
          <w:rFonts w:ascii="Arial" w:cs="Arial" w:eastAsia="Arial" w:hAnsi="Arial"/>
          <w:sz w:val="18"/>
          <w:szCs w:val="18"/>
          <w:color w:val="auto"/>
        </w:rPr>
        <w:t>Although customers historically have tended to view the purchase of paper machine clothing and the purchase of paper machines as separate purchasing decisions, the ability to bundle fabrics with new machines and after-market services could provide an advantage to our competitors.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94" w:lineRule="exact"/>
        <w:rPr>
          <w:sz w:val="20"/>
          <w:szCs w:val="20"/>
          <w:color w:val="auto"/>
        </w:rPr>
      </w:pPr>
    </w:p>
    <w:p>
      <w:pPr>
        <w:ind w:right="520" w:firstLine="378"/>
        <w:spacing w:after="0" w:line="246" w:lineRule="auto"/>
        <w:rPr>
          <w:sz w:val="20"/>
          <w:szCs w:val="20"/>
          <w:color w:val="auto"/>
        </w:rPr>
      </w:pPr>
      <w:r>
        <w:rPr>
          <w:rFonts w:ascii="Arial" w:cs="Arial" w:eastAsia="Arial" w:hAnsi="Arial"/>
          <w:sz w:val="18"/>
          <w:szCs w:val="18"/>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6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68" w:lineRule="exact"/>
        <w:rPr>
          <w:sz w:val="20"/>
          <w:szCs w:val="20"/>
          <w:color w:val="auto"/>
        </w:rPr>
      </w:pPr>
    </w:p>
    <w:p>
      <w:pPr>
        <w:ind w:right="20" w:firstLine="378"/>
        <w:spacing w:after="0" w:line="236" w:lineRule="auto"/>
        <w:rPr>
          <w:sz w:val="20"/>
          <w:szCs w:val="20"/>
          <w:color w:val="auto"/>
        </w:rPr>
      </w:pPr>
      <w:r>
        <w:rPr>
          <w:rFonts w:ascii="Arial" w:cs="Arial" w:eastAsia="Arial" w:hAnsi="Arial"/>
          <w:sz w:val="18"/>
          <w:szCs w:val="18"/>
          <w:color w:val="auto"/>
        </w:rPr>
        <w:t>During the last several years, we have engaged in significant restructuring that included the closing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plan each step of the process carefully, and work to reassure customers who could be affected that their requirements will continue to be met, we could lose customers and associated revenues if we fail to execute properly.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at one or more of our facilities could make it difficult for us to meet our supply obligations to our customers</w:t>
      </w:r>
    </w:p>
    <w:p>
      <w:pPr>
        <w:spacing w:after="0" w:line="126" w:lineRule="exact"/>
        <w:rPr>
          <w:sz w:val="20"/>
          <w:szCs w:val="20"/>
          <w:color w:val="auto"/>
        </w:rPr>
      </w:pPr>
    </w:p>
    <w:p>
      <w:pPr>
        <w:ind w:right="100" w:firstLine="378"/>
        <w:spacing w:after="0" w:line="238" w:lineRule="auto"/>
        <w:rPr>
          <w:sz w:val="20"/>
          <w:szCs w:val="20"/>
          <w:color w:val="auto"/>
        </w:rPr>
      </w:pPr>
      <w:r>
        <w:rPr>
          <w:rFonts w:ascii="Arial" w:cs="Arial" w:eastAsia="Arial" w:hAnsi="Arial"/>
          <w:sz w:val="18"/>
          <w:szCs w:val="18"/>
          <w:color w:val="auto"/>
        </w:rPr>
        <w:t>AEC’s production of LEAP engine components is currently located in three facilities. A natural disaster at any of these locations would have a significant adverse effect on AEC’s ability to timely satisfy orders for LEAP components. Production of almost all of AEC’s other legacy and growth programs – including components for the F-35, fuselage components for the Boeing 787, components for the CH-53K helicopter, vacuum waste tanks for Boeing 7-Series aircraft, and missile bodies for Lockheed Martin’s JASSM air-to-surface missiles – is located primarily in facilities in Salt Lake City, Utah or Boerne, Texas.</w:t>
      </w:r>
    </w:p>
    <w:p>
      <w:pPr>
        <w:spacing w:after="0" w:line="95" w:lineRule="exact"/>
        <w:rPr>
          <w:sz w:val="20"/>
          <w:szCs w:val="20"/>
          <w:color w:val="auto"/>
        </w:rPr>
      </w:pPr>
    </w:p>
    <w:p>
      <w:pPr>
        <w:ind w:right="80" w:firstLine="378"/>
        <w:spacing w:after="0" w:line="238" w:lineRule="auto"/>
        <w:rPr>
          <w:sz w:val="20"/>
          <w:szCs w:val="20"/>
          <w:color w:val="auto"/>
        </w:rPr>
      </w:pPr>
      <w:r>
        <w:rPr>
          <w:rFonts w:ascii="Arial" w:cs="Arial" w:eastAsia="Arial" w:hAnsi="Arial"/>
          <w:sz w:val="18"/>
          <w:szCs w:val="18"/>
          <w:color w:val="auto"/>
        </w:rPr>
        <w:t>Significant consolidation of manufacturing operations in our MC segment over the past decade has reduced the number of facilities available to produce our products, and increased utilization significantly at remaining facilities. Not all product lines are produced at, or capable of being produced at, all facilities. We have Machine Clothing facilities located near Mexico City, which has been identified as an area vulnerable to flood, storm surge and earthquake risks, and in the Pearl River Delta area of China, which has been identified as vulnerable to flood, storm and storm surge risks. Additionally, the recent outbreak of the coronavirus has impacted our two manufacturing plants in China.</w:t>
      </w:r>
    </w:p>
    <w:p>
      <w:pPr>
        <w:spacing w:after="0" w:line="95" w:lineRule="exact"/>
        <w:rPr>
          <w:sz w:val="20"/>
          <w:szCs w:val="20"/>
          <w:color w:val="auto"/>
        </w:rPr>
      </w:pPr>
    </w:p>
    <w:p>
      <w:pPr>
        <w:ind w:right="100" w:firstLine="378"/>
        <w:spacing w:after="0" w:line="239" w:lineRule="auto"/>
        <w:rPr>
          <w:sz w:val="20"/>
          <w:szCs w:val="20"/>
          <w:color w:val="auto"/>
        </w:rPr>
      </w:pPr>
      <w:r>
        <w:rPr>
          <w:rFonts w:ascii="Arial" w:cs="Arial" w:eastAsia="Arial" w:hAnsi="Arial"/>
          <w:sz w:val="18"/>
          <w:szCs w:val="18"/>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154"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b w:val="1"/>
          <w:bCs w:val="1"/>
          <w:i w:val="1"/>
          <w:iCs w:val="1"/>
          <w:color w:val="auto"/>
        </w:rPr>
        <w:t>The Company is increasingly dependent on information technology and our business, systems, assets and infrastructure face certain risks, including cybersecurity and data leakage risks. The failure to prevent attacks on our operational systems or infrastructure could result in disruptions to our businesses, or the loss or disclosure of confidential and proprietary intellectual property or other assets</w:t>
      </w:r>
    </w:p>
    <w:p>
      <w:pPr>
        <w:spacing w:after="0" w:line="88" w:lineRule="exact"/>
        <w:rPr>
          <w:sz w:val="20"/>
          <w:szCs w:val="20"/>
          <w:color w:val="auto"/>
        </w:rPr>
      </w:pPr>
    </w:p>
    <w:p>
      <w:pPr>
        <w:ind w:right="20" w:firstLine="378"/>
        <w:spacing w:after="0" w:line="239" w:lineRule="auto"/>
        <w:rPr>
          <w:sz w:val="20"/>
          <w:szCs w:val="20"/>
          <w:color w:val="auto"/>
        </w:rPr>
      </w:pPr>
      <w:r>
        <w:rPr>
          <w:rFonts w:ascii="Arial" w:cs="Arial" w:eastAsia="Arial" w:hAnsi="Arial"/>
          <w:sz w:val="18"/>
          <w:szCs w:val="18"/>
          <w:color w:val="auto"/>
        </w:rPr>
        <w:t>As our dependence on information technology and communication systems has increased, so have the risks associated with cyber-attacks from third parties attempting to gain access to our systems, data, or assets using varied means, from electronic “hacking” to traditional social engineering aimed at our employees. The Company has been, and will likely continue to be, the target of such attacks, none of which have, individually or in the aggregate, been material to the Company.</w:t>
      </w:r>
    </w:p>
    <w:p>
      <w:pPr>
        <w:spacing w:after="0" w:line="94"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Any significant breakdown, invasion, destruction or interruption of our business systems by employees, others with authorized access to our systems, or unauthorized persons could negatively impact operations. There is also a risk that we could experience a business interruption, theft of information or other assets, or reputational damage. While we have made, and will continue to make, significant investments in business systems, information technology infrastructure, internal controls systems and employee training to attempt to reduce these risks, there can be no assurance that our efforts will prevent breakdowns, losses or breaches that could have a material adverse effect on our business, financial position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as a result of changes in prices of commodities and labor costs may adversely impact our financial results of operations</w:t>
      </w:r>
    </w:p>
    <w:p>
      <w:pPr>
        <w:spacing w:after="0" w:line="126" w:lineRule="exact"/>
        <w:rPr>
          <w:sz w:val="20"/>
          <w:szCs w:val="20"/>
          <w:color w:val="auto"/>
        </w:rPr>
      </w:pPr>
    </w:p>
    <w:p>
      <w:pPr>
        <w:ind w:right="60" w:firstLine="378"/>
        <w:spacing w:after="0"/>
        <w:rPr>
          <w:sz w:val="20"/>
          <w:szCs w:val="20"/>
          <w:color w:val="auto"/>
        </w:rPr>
      </w:pPr>
      <w:r>
        <w:rPr>
          <w:rFonts w:ascii="Arial" w:cs="Arial" w:eastAsia="Arial" w:hAnsi="Arial"/>
          <w:sz w:val="18"/>
          <w:szCs w:val="18"/>
          <w:color w:val="auto"/>
        </w:rPr>
        <w:t>The Company is a significant user of raw materials that are based on petroleum or petroleum derivatives. Increases in the prices of petroleum or petroleum derivatives, particularly in regions that are experiencing higher levels of inflation, could increase our costs, and we may not be able to fully offset the effects through price increases, productivity improvements, and cost-reduction programs.</w:t>
      </w:r>
    </w:p>
    <w:p>
      <w:pPr>
        <w:spacing w:after="0" w:line="95" w:lineRule="exact"/>
        <w:rPr>
          <w:sz w:val="20"/>
          <w:szCs w:val="20"/>
          <w:color w:val="auto"/>
        </w:rPr>
      </w:pPr>
    </w:p>
    <w:p>
      <w:pPr>
        <w:ind w:right="120" w:firstLine="378"/>
        <w:spacing w:after="0"/>
        <w:rPr>
          <w:sz w:val="20"/>
          <w:szCs w:val="20"/>
          <w:color w:val="auto"/>
        </w:rPr>
      </w:pPr>
      <w:r>
        <w:rPr>
          <w:rFonts w:ascii="Arial" w:cs="Arial" w:eastAsia="Arial" w:hAnsi="Arial"/>
          <w:sz w:val="18"/>
          <w:szCs w:val="18"/>
          <w:color w:val="auto"/>
        </w:rPr>
        <w:t>The Company also relies on the labor market in many regions of the world to meet our operational requirements, advance our technology and differentiate products. Low rates of unemployment in key geographic areas in which the Company operates can lead to high rates of turnover and loss of critical talent, which could in turn lead to higher labor costs.</w:t>
      </w:r>
    </w:p>
    <w:p>
      <w:pPr>
        <w:spacing w:after="0" w:line="73"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Fluctuations in currency exchange rates could adversely affect the Company’s business, financial condition, and results of operations</w:t>
      </w:r>
    </w:p>
    <w:p>
      <w:pPr>
        <w:spacing w:after="0" w:line="68"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The effect of currency rate changes on gross profit in the MC segment can be difficult to anticipate because we use a global sourcing and manufacturing model. Under this model, while some non-U.S. sales and associated costs are in the same currency, other non-U.S. sales are denominated in currencies other than the currency in which most costs of such sales are incurred. At the same time, the geographic sources of materials purchased (and the currencies in which these purchases are denominated) can vary depending on market forces, and the Company may also shift production of its products between manufacturing locations, which can result in a change in the currency in which certain costs to produce such products are incurred.</w:t>
      </w:r>
    </w:p>
    <w:p>
      <w:pPr>
        <w:spacing w:after="0" w:line="95" w:lineRule="exact"/>
        <w:rPr>
          <w:sz w:val="20"/>
          <w:szCs w:val="20"/>
          <w:color w:val="auto"/>
        </w:rPr>
      </w:pPr>
    </w:p>
    <w:p>
      <w:pPr>
        <w:ind w:right="60" w:firstLine="378"/>
        <w:spacing w:after="0" w:line="253" w:lineRule="auto"/>
        <w:rPr>
          <w:sz w:val="20"/>
          <w:szCs w:val="20"/>
          <w:color w:val="auto"/>
        </w:rPr>
      </w:pPr>
      <w:r>
        <w:rPr>
          <w:rFonts w:ascii="Arial" w:cs="Arial" w:eastAsia="Arial" w:hAnsi="Arial"/>
          <w:sz w:val="17"/>
          <w:szCs w:val="17"/>
          <w:color w:val="auto"/>
        </w:rPr>
        <w:t>Changes in exchange rates can result in revaluation gains and losses that are recorded in Selling, general and administrative expenses or Other expense, net. Revaluation gains and losses occur when our business units have cash, intercompany or third-party trade receivable or payable balances in a currency other than their local reporting (or functional) currency. 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87" w:lineRule="exact"/>
        <w:rPr>
          <w:sz w:val="20"/>
          <w:szCs w:val="20"/>
          <w:color w:val="auto"/>
        </w:rPr>
      </w:pPr>
    </w:p>
    <w:p>
      <w:pPr>
        <w:ind w:right="680" w:firstLine="378"/>
        <w:spacing w:after="0" w:line="246" w:lineRule="auto"/>
        <w:rPr>
          <w:sz w:val="20"/>
          <w:szCs w:val="20"/>
          <w:color w:val="auto"/>
        </w:rPr>
      </w:pPr>
      <w:r>
        <w:rPr>
          <w:rFonts w:ascii="Arial" w:cs="Arial" w:eastAsia="Arial" w:hAnsi="Arial"/>
          <w:sz w:val="18"/>
          <w:szCs w:val="18"/>
          <w:color w:val="auto"/>
        </w:rPr>
        <w:t>As a result of these exposures to foreign currency transactions and balances, changes in currency rates could adversely affect the Company’s business, financial condition or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Company may fail to adequately protect its proprietary technology, which would allow competitors or others to take advantage of its research and development efforts</w:t>
      </w:r>
    </w:p>
    <w:p>
      <w:pPr>
        <w:spacing w:after="0" w:line="68" w:lineRule="exact"/>
        <w:rPr>
          <w:sz w:val="20"/>
          <w:szCs w:val="20"/>
          <w:color w:val="auto"/>
        </w:rPr>
      </w:pPr>
    </w:p>
    <w:p>
      <w:pPr>
        <w:ind w:right="100" w:firstLine="378"/>
        <w:spacing w:after="0" w:line="237" w:lineRule="auto"/>
        <w:rPr>
          <w:sz w:val="20"/>
          <w:szCs w:val="20"/>
          <w:color w:val="auto"/>
        </w:rPr>
      </w:pPr>
      <w:r>
        <w:rPr>
          <w:rFonts w:ascii="Arial" w:cs="Arial" w:eastAsia="Arial" w:hAnsi="Arial"/>
          <w:sz w:val="18"/>
          <w:szCs w:val="18"/>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substantial amount of indebtedness. At December 31, 2019, the Company had outstanding long-term debt of $424 million</w:t>
      </w:r>
    </w:p>
    <w:p>
      <w:pPr>
        <w:spacing w:after="0" w:line="126" w:lineRule="exact"/>
        <w:rPr>
          <w:sz w:val="20"/>
          <w:szCs w:val="20"/>
          <w:color w:val="auto"/>
        </w:rPr>
      </w:pPr>
    </w:p>
    <w:p>
      <w:pPr>
        <w:ind w:right="80" w:firstLine="378"/>
        <w:spacing w:after="0" w:line="236" w:lineRule="auto"/>
        <w:rPr>
          <w:sz w:val="20"/>
          <w:szCs w:val="20"/>
          <w:color w:val="auto"/>
        </w:rPr>
      </w:pPr>
      <w:r>
        <w:rPr>
          <w:rFonts w:ascii="Arial" w:cs="Arial" w:eastAsia="Arial" w:hAnsi="Arial"/>
          <w:sz w:val="18"/>
          <w:szCs w:val="18"/>
          <w:color w:val="auto"/>
        </w:rPr>
        <w:t>At December 31, 2019, our leverage ratio (as defined in our primary borrowing agreement) was 1.35 to 1, and we had borrowed $424 million under our $685 million revolving credit facility.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 contains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 that would permit the lenders to declare all borrowings under such agreement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98" w:lineRule="exact"/>
        <w:rPr>
          <w:sz w:val="20"/>
          <w:szCs w:val="20"/>
          <w:color w:val="auto"/>
        </w:rPr>
      </w:pPr>
    </w:p>
    <w:p>
      <w:pPr>
        <w:ind w:right="80" w:firstLine="378"/>
        <w:spacing w:after="0" w:line="238" w:lineRule="auto"/>
        <w:rPr>
          <w:sz w:val="20"/>
          <w:szCs w:val="20"/>
          <w:color w:val="auto"/>
        </w:rPr>
      </w:pPr>
      <w:r>
        <w:rPr>
          <w:rFonts w:ascii="Arial" w:cs="Arial" w:eastAsia="Arial" w:hAnsi="Arial"/>
          <w:sz w:val="18"/>
          <w:szCs w:val="18"/>
          <w:color w:val="auto"/>
        </w:rPr>
        <w:t>We use interest rate swap agreements to help manage the interest cost associated with our borrowings. We account for those swaps as a hedge of future cash flows and, accordingly, changes in the fair value of the swaps are recorded in Other comprehensive income. Borrowings under the revolving credit facility and the interest rate swaps are currently based on LIBOR, which is expected to be phased out and replaced by the end of 2021. Future changes in the interest rate benchmark could affect the Company’s cash flows, or the effectiveness of the swap agreements, which could have an effect on net income.</w:t>
      </w:r>
    </w:p>
    <w:p>
      <w:pPr>
        <w:spacing w:after="0" w:line="95" w:lineRule="exact"/>
        <w:rPr>
          <w:sz w:val="20"/>
          <w:szCs w:val="20"/>
          <w:color w:val="auto"/>
        </w:rPr>
      </w:pPr>
    </w:p>
    <w:p>
      <w:pPr>
        <w:ind w:right="200" w:firstLine="378"/>
        <w:spacing w:after="0"/>
        <w:rPr>
          <w:sz w:val="20"/>
          <w:szCs w:val="20"/>
          <w:color w:val="auto"/>
        </w:rPr>
      </w:pPr>
      <w:r>
        <w:rPr>
          <w:rFonts w:ascii="Arial" w:cs="Arial" w:eastAsia="Arial" w:hAnsi="Arial"/>
          <w:sz w:val="18"/>
          <w:szCs w:val="18"/>
          <w:color w:val="auto"/>
        </w:rPr>
        <w:t>As of December 31, 2019, we had approximately $261 million of additional borrowing capacity under our $685 million revolving credit facility. Incurrence of additional indebtedness could increase the above-described risks associated with higher leverage. In addition, any such indebtedness could contain terms that are more restrictive than our current facilities.</w:t>
      </w:r>
    </w:p>
    <w:p>
      <w:pPr>
        <w:spacing w:after="0" w:line="7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Company is subject to legal proceedings and legal compliance risks, and has been named as defendant in a large number of suits relating to the actual or alleged exposure to asbestos-containing products</w:t>
      </w:r>
    </w:p>
    <w:p>
      <w:pPr>
        <w:spacing w:after="0" w:line="68" w:lineRule="exact"/>
        <w:rPr>
          <w:sz w:val="20"/>
          <w:szCs w:val="20"/>
          <w:color w:val="auto"/>
        </w:rPr>
      </w:pPr>
    </w:p>
    <w:p>
      <w:pPr>
        <w:jc w:val="both"/>
        <w:ind w:right="40" w:firstLine="378"/>
        <w:spacing w:after="0" w:line="239" w:lineRule="auto"/>
        <w:rPr>
          <w:sz w:val="20"/>
          <w:szCs w:val="20"/>
          <w:color w:val="auto"/>
        </w:rPr>
      </w:pPr>
      <w:r>
        <w:rPr>
          <w:rFonts w:ascii="Arial" w:cs="Arial" w:eastAsia="Arial" w:hAnsi="Arial"/>
          <w:sz w:val="18"/>
          <w:szCs w:val="18"/>
          <w:color w:val="auto"/>
        </w:rPr>
        <w:t>We are subject to a variety of legal proceedings. Pending proceedings that the Company determines are material are disclosed in Note 21 to the Consolidated Financial Statements in Item 8, which is incorporated herein by reference. Litigation is an inherently unpredictable process and unanticipated negative outcomes are always possible. An adverse outcome in any period could have an adverse impact on the Company’s operating results for that period.</w:t>
      </w:r>
    </w:p>
    <w:p>
      <w:pPr>
        <w:spacing w:after="0" w:line="94" w:lineRule="exact"/>
        <w:rPr>
          <w:sz w:val="20"/>
          <w:szCs w:val="20"/>
          <w:color w:val="auto"/>
        </w:rPr>
      </w:pPr>
    </w:p>
    <w:p>
      <w:pPr>
        <w:ind w:right="80" w:firstLine="378"/>
        <w:spacing w:after="0" w:line="239" w:lineRule="auto"/>
        <w:rPr>
          <w:sz w:val="20"/>
          <w:szCs w:val="20"/>
          <w:color w:val="auto"/>
        </w:rPr>
      </w:pPr>
      <w:r>
        <w:rPr>
          <w:rFonts w:ascii="Arial" w:cs="Arial" w:eastAsia="Arial" w:hAnsi="Arial"/>
          <w:sz w:val="18"/>
          <w:szCs w:val="18"/>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Changes in actuarial assumptions and differences between actual experience and assumptions could adversely affect our pension and postretirement benefit costs and liabilities</w:t>
      </w:r>
    </w:p>
    <w:p>
      <w:pPr>
        <w:spacing w:after="0" w:line="68"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Although we have reduced pension liabilities by a significant amount during the past few years, as of December 31, 2019, remaining net liabilities under our defined benefit pension plans exceeded plan assets by $ 15.5 million ($7.5 million for the U.S. plan, $8.0 million for non-U.S. plans). Additionally, the liability for unfunded postretirement welfare benefits, principally in the United States, totaled $54.4 million. Annual expense associated with these plans, as well as annual cash contributions, are subject to a number of variables, including discount rates, return on plan assets, mortality, and differences between actuarial assumptions and actual experience. Those liabilities include $74.6 million of deferred costs which are included in Accumulated other comprehensive income. The deferred costs will be amortized into expense in future periods, or a significant charge could be recorded if we were to settle pension or postretirement obligations.</w:t>
      </w:r>
    </w:p>
    <w:p>
      <w:pPr>
        <w:spacing w:after="0" w:line="95" w:lineRule="exact"/>
        <w:rPr>
          <w:sz w:val="20"/>
          <w:szCs w:val="20"/>
          <w:color w:val="auto"/>
        </w:rPr>
      </w:pPr>
    </w:p>
    <w:p>
      <w:pPr>
        <w:jc w:val="both"/>
        <w:ind w:right="220" w:firstLine="378"/>
        <w:spacing w:after="0"/>
        <w:rPr>
          <w:sz w:val="20"/>
          <w:szCs w:val="20"/>
          <w:color w:val="auto"/>
        </w:rPr>
      </w:pPr>
      <w:r>
        <w:rPr>
          <w:rFonts w:ascii="Arial" w:cs="Arial" w:eastAsia="Arial" w:hAnsi="Arial"/>
          <w:sz w:val="18"/>
          <w:szCs w:val="18"/>
          <w:color w:val="auto"/>
        </w:rPr>
        <w:t>Although the Company has taken actions to hedge certain pension plan assets to the pension liabilities, weakness in investment returns on plan assets, changes in discount rates or actuarial assumptions, and actual future experience could result in higher benefit plan expense and the need to increase pension plan contributions in future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the risk of increased expense in health-care related costs</w:t>
      </w:r>
    </w:p>
    <w:p>
      <w:pPr>
        <w:spacing w:after="0" w:line="126" w:lineRule="exact"/>
        <w:rPr>
          <w:sz w:val="20"/>
          <w:szCs w:val="20"/>
          <w:color w:val="auto"/>
        </w:rPr>
      </w:pPr>
    </w:p>
    <w:p>
      <w:pPr>
        <w:ind w:right="180" w:firstLine="378"/>
        <w:spacing w:after="0" w:line="236" w:lineRule="auto"/>
        <w:rPr>
          <w:sz w:val="20"/>
          <w:szCs w:val="20"/>
          <w:color w:val="auto"/>
        </w:rPr>
      </w:pPr>
      <w:r>
        <w:rPr>
          <w:rFonts w:ascii="Arial" w:cs="Arial" w:eastAsia="Arial" w:hAnsi="Arial"/>
          <w:sz w:val="18"/>
          <w:szCs w:val="18"/>
          <w:color w:val="auto"/>
        </w:rPr>
        <w:t>We are largely self-insured for some employee and business risks, including health care and workers’ compensation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7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Changes in or interpretations of tax rules, structures, country profitability mix, and regulations may adversely affect our effective tax rate</w:t>
      </w:r>
    </w:p>
    <w:p>
      <w:pPr>
        <w:spacing w:after="0" w:line="68" w:lineRule="exact"/>
        <w:rPr>
          <w:sz w:val="20"/>
          <w:szCs w:val="20"/>
          <w:color w:val="auto"/>
        </w:rPr>
      </w:pPr>
    </w:p>
    <w:p>
      <w:pPr>
        <w:ind w:right="140" w:firstLine="378"/>
        <w:spacing w:after="0" w:line="237" w:lineRule="auto"/>
        <w:rPr>
          <w:sz w:val="20"/>
          <w:szCs w:val="20"/>
          <w:color w:val="auto"/>
        </w:rPr>
      </w:pPr>
      <w:r>
        <w:rPr>
          <w:rFonts w:ascii="Arial" w:cs="Arial" w:eastAsia="Arial" w:hAnsi="Arial"/>
          <w:sz w:val="18"/>
          <w:szCs w:val="18"/>
          <w:color w:val="auto"/>
        </w:rPr>
        <w:t>We are a United States-based multinational company subject to tax in the United States and foreign tax jurisdictions. Unanticipated changes in tax rates, or tax policies in the countries in which we operate, could affect our future results of operations. Our future effective tax rate could be unfavorably affected by changes in or interpretation of tax rules and regulations in the jurisdictions in which we do business, by structural changes in the Company’s businesses, by unanticipated decreases in the amount of revenue or earnings in countries with low statutory tax rates, or by changes in the valuation of our deferred tax assets and liabilities. Additionally, changes in the tax laws in any country may be difficult to interpret without additional guidance, which could lead to future adjustments to our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deferred tax assets that could become impaired, resulting in a charge to earnings</w:t>
      </w:r>
    </w:p>
    <w:p>
      <w:pPr>
        <w:spacing w:after="0" w:line="126" w:lineRule="exact"/>
        <w:rPr>
          <w:sz w:val="20"/>
          <w:szCs w:val="20"/>
          <w:color w:val="auto"/>
        </w:rPr>
      </w:pPr>
    </w:p>
    <w:p>
      <w:pPr>
        <w:ind w:right="280" w:firstLine="378"/>
        <w:spacing w:after="0" w:line="238" w:lineRule="auto"/>
        <w:rPr>
          <w:sz w:val="20"/>
          <w:szCs w:val="20"/>
          <w:color w:val="auto"/>
        </w:rPr>
      </w:pPr>
      <w:r>
        <w:rPr>
          <w:rFonts w:ascii="Arial" w:cs="Arial" w:eastAsia="Arial" w:hAnsi="Arial"/>
          <w:sz w:val="18"/>
          <w:szCs w:val="18"/>
          <w:color w:val="auto"/>
        </w:rPr>
        <w:t>The Company has substantial deferred tax assets in several tax jurisdictions, including the U.S. Realization of deferred tax assets is dependent upon many factors, including generation of future taxable income in specific countries. (See Note 7 to the Consolidated Financial Statements in Item 8, which is incorporated herein by reference, for a discussion of this matter.) Lower than expected operating results, organizational changes, or changes in tax laws could result in those deferred tax assets becoming impaired, thus resulting in a charge to earnings.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adverse outcomes of pending or future tax audits</w:t>
      </w:r>
    </w:p>
    <w:p>
      <w:pPr>
        <w:spacing w:after="0" w:line="126" w:lineRule="exact"/>
        <w:rPr>
          <w:sz w:val="20"/>
          <w:szCs w:val="20"/>
          <w:color w:val="auto"/>
        </w:rPr>
      </w:pPr>
    </w:p>
    <w:p>
      <w:pPr>
        <w:jc w:val="both"/>
        <w:ind w:right="200" w:firstLine="378"/>
        <w:spacing w:after="0"/>
        <w:rPr>
          <w:sz w:val="20"/>
          <w:szCs w:val="20"/>
          <w:color w:val="auto"/>
        </w:rPr>
      </w:pPr>
      <w:r>
        <w:rPr>
          <w:rFonts w:ascii="Arial" w:cs="Arial" w:eastAsia="Arial" w:hAnsi="Arial"/>
          <w:sz w:val="18"/>
          <w:szCs w:val="18"/>
          <w:color w:val="auto"/>
        </w:rPr>
        <w:t>The Company is currently under audit in certain jurisdictions and could be audited in other jurisdictions in the future. While the Company believes its tax filings to be correct, a final adverse outcome with respect to pending or future audits could have a material adverse impact on the Company’s results in any period in which it occurs.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cover other significant risk exposures</w:t>
      </w:r>
    </w:p>
    <w:p>
      <w:pPr>
        <w:spacing w:after="0" w:line="126" w:lineRule="exact"/>
        <w:rPr>
          <w:sz w:val="20"/>
          <w:szCs w:val="20"/>
          <w:color w:val="auto"/>
        </w:rPr>
      </w:pPr>
    </w:p>
    <w:p>
      <w:pPr>
        <w:ind w:right="60" w:firstLine="378"/>
        <w:spacing w:after="0" w:line="237" w:lineRule="auto"/>
        <w:rPr>
          <w:sz w:val="20"/>
          <w:szCs w:val="20"/>
          <w:color w:val="auto"/>
        </w:rPr>
      </w:pPr>
      <w:r>
        <w:rPr>
          <w:rFonts w:ascii="Arial" w:cs="Arial" w:eastAsia="Arial" w:hAnsi="Arial"/>
          <w:sz w:val="18"/>
          <w:szCs w:val="18"/>
          <w:color w:val="auto"/>
        </w:rPr>
        <w:t>In addition to asbestos-related claims, the Company 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significant manufacturing operations outside of the U.S., which could involve many uncertainties</w:t>
      </w:r>
    </w:p>
    <w:p>
      <w:pPr>
        <w:spacing w:after="0" w:line="126" w:lineRule="exact"/>
        <w:rPr>
          <w:sz w:val="20"/>
          <w:szCs w:val="20"/>
          <w:color w:val="auto"/>
        </w:rPr>
      </w:pPr>
    </w:p>
    <w:p>
      <w:pPr>
        <w:ind w:right="40" w:firstLine="378"/>
        <w:spacing w:after="0" w:line="236" w:lineRule="auto"/>
        <w:rPr>
          <w:sz w:val="20"/>
          <w:szCs w:val="20"/>
          <w:color w:val="auto"/>
        </w:rPr>
      </w:pPr>
      <w:r>
        <w:rPr>
          <w:rFonts w:ascii="Arial" w:cs="Arial" w:eastAsia="Arial" w:hAnsi="Arial"/>
          <w:sz w:val="18"/>
          <w:szCs w:val="18"/>
          <w:color w:val="auto"/>
        </w:rPr>
        <w:t>We currently have manufacturing facilities outside the U.S. In 2019, 46 percent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00" w:lineRule="exact"/>
        <w:rPr>
          <w:sz w:val="20"/>
          <w:szCs w:val="20"/>
          <w:color w:val="auto"/>
        </w:rPr>
      </w:pPr>
    </w:p>
    <w:p>
      <w:pPr>
        <w:ind w:right="240" w:firstLine="378"/>
        <w:spacing w:after="0" w:line="237" w:lineRule="auto"/>
        <w:rPr>
          <w:sz w:val="20"/>
          <w:szCs w:val="20"/>
          <w:color w:val="auto"/>
        </w:rPr>
      </w:pPr>
      <w:r>
        <w:rPr>
          <w:rFonts w:ascii="Arial" w:cs="Arial" w:eastAsia="Arial" w:hAnsi="Arial"/>
          <w:sz w:val="18"/>
          <w:szCs w:val="18"/>
          <w:color w:val="auto"/>
        </w:rPr>
        <w:t>We have significant manufacturing operations in Mexico, Canada and China. Changes in U.S. trade policy with these countries, or other changes in U.S. laws and policies governing foreign trade, as well as any responsive or retaliatory changes in regulations or policies by such countries, could have an adverse impact on our business, either directly or in the form of increased costs due to their impacts on our supply chain. While the direct impact to date of recent developments in global trade and tariff policy has not been significant, there is a risk that the impact of such developments on companies in our supply chain will be reflected in higher costs from affected suppliers. In addition, the Company has manufacturing operations in the United Kingdom that could be impacted by uncertainties surrounding Brexit.</w:t>
      </w:r>
    </w:p>
    <w:p>
      <w:pPr>
        <w:spacing w:after="0" w:line="97" w:lineRule="exact"/>
        <w:rPr>
          <w:sz w:val="20"/>
          <w:szCs w:val="20"/>
          <w:color w:val="auto"/>
        </w:rPr>
      </w:pPr>
    </w:p>
    <w:p>
      <w:pPr>
        <w:ind w:right="60" w:firstLine="378"/>
        <w:spacing w:after="0"/>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The Company is subject to laws and regulations worldwide, changes to which could increase our costs and have a material adverse effect on our financial condition or results of operations</w:t>
      </w:r>
    </w:p>
    <w:p>
      <w:pPr>
        <w:spacing w:after="0" w:line="68" w:lineRule="exact"/>
        <w:rPr>
          <w:sz w:val="20"/>
          <w:szCs w:val="20"/>
          <w:color w:val="auto"/>
        </w:rPr>
      </w:pPr>
    </w:p>
    <w:p>
      <w:pPr>
        <w:ind w:right="260" w:firstLine="378"/>
        <w:spacing w:after="0"/>
        <w:rPr>
          <w:sz w:val="20"/>
          <w:szCs w:val="20"/>
          <w:color w:val="auto"/>
        </w:rPr>
      </w:pPr>
      <w:r>
        <w:rPr>
          <w:rFonts w:ascii="Arial" w:cs="Arial" w:eastAsia="Arial" w:hAnsi="Arial"/>
          <w:sz w:val="18"/>
          <w:szCs w:val="18"/>
          <w:color w:val="auto"/>
        </w:rPr>
        <w:t>The Company is subject to laws and regulations relating to employment practices and benefits, taxes, import and export matters, corruption, foreign-exchange controls, competition, workplace health and safety, intellectual property, health-care, the environment and other areas. These laws and regulations have a significant impact on our domestic and international operations.</w:t>
      </w:r>
    </w:p>
    <w:p>
      <w:pPr>
        <w:spacing w:after="0" w:line="95" w:lineRule="exact"/>
        <w:rPr>
          <w:sz w:val="20"/>
          <w:szCs w:val="20"/>
          <w:color w:val="auto"/>
        </w:rPr>
      </w:pPr>
    </w:p>
    <w:p>
      <w:pPr>
        <w:ind w:right="100" w:firstLine="378"/>
        <w:spacing w:after="0"/>
        <w:rPr>
          <w:sz w:val="20"/>
          <w:szCs w:val="20"/>
          <w:color w:val="auto"/>
        </w:rPr>
      </w:pPr>
      <w:r>
        <w:rPr>
          <w:rFonts w:ascii="Arial" w:cs="Arial" w:eastAsia="Arial" w:hAnsi="Arial"/>
          <w:sz w:val="18"/>
          <w:szCs w:val="18"/>
          <w:color w:val="auto"/>
        </w:rPr>
        <w:t>We incur significant expenses to comply with laws and regulations. Changes or additions to laws and regulations could increase these expenses, which could have an adverse impact on our financial condition and results of operations. Such changes could also have an adverse impact on our customers and suppliers, which in turn could adversely impact the Company.</w:t>
      </w:r>
    </w:p>
    <w:p>
      <w:pPr>
        <w:spacing w:after="0" w:line="95" w:lineRule="exact"/>
        <w:rPr>
          <w:sz w:val="20"/>
          <w:szCs w:val="20"/>
          <w:color w:val="auto"/>
        </w:rPr>
      </w:pPr>
    </w:p>
    <w:p>
      <w:pPr>
        <w:ind w:right="40" w:firstLine="378"/>
        <w:spacing w:after="0"/>
        <w:rPr>
          <w:sz w:val="20"/>
          <w:szCs w:val="20"/>
          <w:color w:val="auto"/>
        </w:rPr>
      </w:pPr>
      <w:r>
        <w:rPr>
          <w:rFonts w:ascii="Arial" w:cs="Arial" w:eastAsia="Arial" w:hAnsi="Arial"/>
          <w:sz w:val="18"/>
          <w:szCs w:val="18"/>
          <w:color w:val="auto"/>
        </w:rPr>
        <w:t>While we have implemented policies and training programs designed to ensure compliance, there can be no assurance that our employees or agents will not violate such laws, regulations or policies, which could have a material adverse impact on our financial condition or results of operations.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The Standish Family continues to have considerable influence over the management and affairs of the Company and matters requiring stockholder approval</w:t>
      </w:r>
    </w:p>
    <w:p>
      <w:pPr>
        <w:spacing w:after="0" w:line="68"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As of May 8, 2019, the Standish Family held in the aggregate shares entitling them to cast approximately 52.7 percent of the combined votes entitled to be cast by all stockholders of the Company. After a public offering of a portion of their shares, the Standish Family now holds in the aggregate shares entitling them to cast approximately 34.5 percent of the combined votes entitled to be cast by all stockholders of the Company. As a result, we are no longer a “controlled company” within the meaning of the corporate governance requirements of the NYSE. Pursuant to these requirements, our Compensation Committee and Governance Committee are now required to be composed entirely of “independent directors” (as defined by NYSE listing rules), and a majority of our board of directors are required to be independent. Even before such offering, a majority of our board of directors and these two committees consisted of directors that our board of directors had determined to be independent. Even though we are no longer a “controlled company” under NYSE listing rules, the Standish Family will continue to have considerable influence over the management and affairs of the Company and matters requiring stockholder approval, including the election of directors and approval of significant corporate transactions. This could have the effect of delaying or preventing a change in control or a merger, consolidation, or other business combination at a premium price, even if such transaction were favored by our other stockholders.</w:t>
      </w:r>
    </w:p>
    <w:p>
      <w:pPr>
        <w:spacing w:after="0" w:line="7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Class A Common Stock</w:t>
      </w:r>
    </w:p>
    <w:p>
      <w:pPr>
        <w:spacing w:after="0" w:line="68" w:lineRule="exact"/>
        <w:rPr>
          <w:sz w:val="20"/>
          <w:szCs w:val="20"/>
          <w:color w:val="auto"/>
        </w:rPr>
      </w:pPr>
    </w:p>
    <w:p>
      <w:pPr>
        <w:ind w:right="240" w:firstLine="378"/>
        <w:spacing w:after="0"/>
        <w:rPr>
          <w:sz w:val="20"/>
          <w:szCs w:val="20"/>
          <w:color w:val="auto"/>
        </w:rPr>
      </w:pPr>
      <w:r>
        <w:rPr>
          <w:rFonts w:ascii="Arial" w:cs="Arial" w:eastAsia="Arial" w:hAnsi="Arial"/>
          <w:sz w:val="18"/>
          <w:szCs w:val="18"/>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and could limit the price that investors might be willing to pay in the future for shares of our Class A Common Stock.</w:t>
      </w:r>
    </w:p>
    <w:p>
      <w:pPr>
        <w:spacing w:after="0" w:line="95" w:lineRule="exact"/>
        <w:rPr>
          <w:sz w:val="20"/>
          <w:szCs w:val="20"/>
          <w:color w:val="auto"/>
        </w:rPr>
      </w:pPr>
    </w:p>
    <w:p>
      <w:pPr>
        <w:ind w:right="240" w:firstLine="378"/>
        <w:spacing w:after="0" w:line="238" w:lineRule="auto"/>
        <w:rPr>
          <w:sz w:val="20"/>
          <w:szCs w:val="20"/>
          <w:color w:val="auto"/>
        </w:rPr>
      </w:pPr>
      <w:r>
        <w:rPr>
          <w:rFonts w:ascii="Arial" w:cs="Arial" w:eastAsia="Arial" w:hAnsi="Arial"/>
          <w:sz w:val="18"/>
          <w:szCs w:val="18"/>
          <w:color w:val="auto"/>
        </w:rPr>
        <w:t>Our Certificate of Incorporation authorizes our board of directors to issue new series of preferred stock without stockholder approval. Depending on the rights and terms of any new series created, and the reaction of the market to the series, the rights or value of our Class A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pay cash dividends on our Class A Common Stock</w:t>
      </w:r>
    </w:p>
    <w:p>
      <w:pPr>
        <w:spacing w:after="0" w:line="126" w:lineRule="exact"/>
        <w:rPr>
          <w:sz w:val="20"/>
          <w:szCs w:val="20"/>
          <w:color w:val="auto"/>
        </w:rPr>
      </w:pPr>
    </w:p>
    <w:p>
      <w:pPr>
        <w:ind w:right="20" w:firstLine="378"/>
        <w:spacing w:after="0" w:line="236" w:lineRule="auto"/>
        <w:rPr>
          <w:sz w:val="20"/>
          <w:szCs w:val="20"/>
          <w:color w:val="auto"/>
        </w:rPr>
      </w:pPr>
      <w:r>
        <w:rPr>
          <w:rFonts w:ascii="Arial" w:cs="Arial" w:eastAsia="Arial" w:hAnsi="Arial"/>
          <w:sz w:val="18"/>
          <w:szCs w:val="18"/>
          <w:color w:val="auto"/>
        </w:rPr>
        <w:t>It is our current practice to pay cash dividends on our common stock. There can be no assurance, however, that we will pay dividends in the future in the amounts that we have in the past, or at all. Our board of directors may change 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 our board of directors. For example, we have a substantial amount of indebtedness and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99"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In the future, we may also enter into other credit agreements or other borrowing arrangements or issue debt securities that, in each case, restrict or limit our ability to pay cash dividends on our Class A Common Stock. In addition, since a significant portion of our cash is generated from operations of our subsidiaries, our ability to pay dividends is in part dependent on the ability of our subsidiaries – some of which are located outside of the United States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Class A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right="40" w:firstLine="378"/>
        <w:spacing w:after="0" w:line="238"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us or our existing stockholders could cause our stock price to decline</w:t>
      </w:r>
    </w:p>
    <w:p>
      <w:pPr>
        <w:spacing w:after="0" w:line="126" w:lineRule="exact"/>
        <w:rPr>
          <w:sz w:val="20"/>
          <w:szCs w:val="20"/>
          <w:color w:val="auto"/>
        </w:rPr>
      </w:pPr>
    </w:p>
    <w:p>
      <w:pPr>
        <w:jc w:val="both"/>
        <w:ind w:right="240" w:firstLine="378"/>
        <w:spacing w:after="0"/>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w:t>
      </w:r>
    </w:p>
    <w:p>
      <w:pPr>
        <w:spacing w:after="0" w:line="95" w:lineRule="exact"/>
        <w:rPr>
          <w:sz w:val="20"/>
          <w:szCs w:val="20"/>
          <w:color w:val="auto"/>
        </w:rPr>
      </w:pPr>
    </w:p>
    <w:p>
      <w:pPr>
        <w:jc w:val="both"/>
        <w:ind w:right="280" w:firstLine="378"/>
        <w:spacing w:after="0" w:line="239" w:lineRule="auto"/>
        <w:rPr>
          <w:sz w:val="20"/>
          <w:szCs w:val="20"/>
          <w:color w:val="auto"/>
        </w:rPr>
      </w:pPr>
      <w:r>
        <w:rPr>
          <w:rFonts w:ascii="Arial" w:cs="Arial" w:eastAsia="Arial" w:hAnsi="Arial"/>
          <w:sz w:val="18"/>
          <w:szCs w:val="18"/>
          <w:color w:val="auto"/>
        </w:rPr>
        <w:t>As of February 19, 2020 we had 30,690,022 shares of Class A Common Stock outstanding and 1,617,998 shares of Class B Common Stock outstanding, each of which is convertible at any time into an equal number of shares of Class A Common Stock. In addition, shares of Class A Common Stock are issuable upon the exercise of outstanding stock options or the vesting of outstanding equity awards, and certain shares are reserved for future issuance under our equity compensation plans.</w:t>
      </w:r>
    </w:p>
    <w:p>
      <w:pPr>
        <w:spacing w:after="0" w:line="7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6" w:lineRule="exact"/>
        <w:rPr>
          <w:sz w:val="20"/>
          <w:szCs w:val="20"/>
          <w:color w:val="auto"/>
        </w:rPr>
      </w:pPr>
    </w:p>
    <w:p>
      <w:pPr>
        <w:ind w:right="180" w:firstLine="378"/>
        <w:spacing w:after="0" w:line="237" w:lineRule="auto"/>
        <w:rPr>
          <w:sz w:val="20"/>
          <w:szCs w:val="20"/>
          <w:color w:val="auto"/>
        </w:rPr>
      </w:pPr>
      <w:r>
        <w:rPr>
          <w:rFonts w:ascii="Arial" w:cs="Arial" w:eastAsia="Arial" w:hAnsi="Arial"/>
          <w:sz w:val="18"/>
          <w:szCs w:val="18"/>
          <w:color w:val="auto"/>
        </w:rPr>
        <w:t>Our principal manufacturing facilities are located in Brazil, Canada, China, France, Germany, Italy, Mexico, South Korea, Sweden, the United Kingdom, and the United States. The aggregate square footage of our operating facilities in the United States is approximately 2.0 million square feet, of which 1.1 million square feet are owned and 0.9 million square feet are leased. Our facilities located outside the United States comprise approximately 3.6 million square feet, of which 3.1 million square feet are owned and 0.5 million square feet are leased. We consider these facilities to be in good condition and suitable for our purpose. The capacity associated with these facilities is adequate to meet production levels required and anticipated through 2020.</w:t>
      </w:r>
    </w:p>
    <w:p>
      <w:pPr>
        <w:spacing w:after="0" w:line="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6" w:lineRule="exact"/>
        <w:rPr>
          <w:sz w:val="20"/>
          <w:szCs w:val="20"/>
          <w:color w:val="auto"/>
        </w:rPr>
      </w:pPr>
    </w:p>
    <w:p>
      <w:pPr>
        <w:ind w:right="700" w:firstLine="378"/>
        <w:spacing w:after="0" w:line="246" w:lineRule="auto"/>
        <w:rPr>
          <w:sz w:val="20"/>
          <w:szCs w:val="20"/>
          <w:color w:val="auto"/>
        </w:rPr>
      </w:pPr>
      <w:r>
        <w:rPr>
          <w:rFonts w:ascii="Arial" w:cs="Arial" w:eastAsia="Arial" w:hAnsi="Arial"/>
          <w:sz w:val="18"/>
          <w:szCs w:val="18"/>
          <w:color w:val="auto"/>
        </w:rPr>
        <w:t>The information set forth above under Note 21 to the Consolidated Financial Statements in Item 8, which is incorporated herein by reference.</w:t>
      </w:r>
    </w:p>
    <w:p>
      <w:pPr>
        <w:spacing w:after="0" w:line="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left="900" w:right="180" w:hanging="899"/>
        <w:spacing w:after="0" w:line="271" w:lineRule="auto"/>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68"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Our Class A Common Stock is principally traded on the New York Stock Exchange under the symbol AIN. According to Broadridge, as of December 31, 2019, there were over 20,000 beneficial owners of our Class A Common Stock, including employees owning shares through our 401(k) defined contribution plan. Our Class B Common Stock does not trade publicly. As of December 31, 2019, there were 6 holders of Class B Common Stock. Dividends are paid equally on shares of each class. Our cash dividends, and the high and low prices per share of our Class A Common Stock, were as follows for the periods presented:</w:t>
      </w:r>
    </w:p>
    <w:p>
      <w:pPr>
        <w:spacing w:after="0" w:line="17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w:t>
            </w:r>
          </w:p>
        </w:tc>
        <w:tc>
          <w:tcPr>
            <w:tcW w:w="150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Cash dividends per share</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$ 0.18</w:t>
            </w:r>
          </w:p>
        </w:tc>
        <w:tc>
          <w:tcPr>
            <w:tcW w:w="3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$ 0.18</w:t>
            </w:r>
          </w:p>
        </w:tc>
        <w:tc>
          <w:tcPr>
            <w:tcW w:w="3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$ 0.18</w:t>
            </w:r>
          </w:p>
        </w:tc>
        <w:tc>
          <w:tcPr>
            <w:tcW w:w="3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$ 0.19</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Class A Common Stock prices:</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High</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$78.45</w:t>
            </w:r>
          </w:p>
        </w:tc>
        <w:tc>
          <w:tcPr>
            <w:tcW w:w="3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$82.91</w:t>
            </w:r>
          </w:p>
        </w:tc>
        <w:tc>
          <w:tcPr>
            <w:tcW w:w="3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8"/>
              </w:rPr>
              <w:t>$91.51</w:t>
            </w:r>
          </w:p>
        </w:tc>
        <w:tc>
          <w:tcPr>
            <w:tcW w:w="3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$90.30</w:t>
            </w:r>
          </w:p>
        </w:tc>
      </w:tr>
      <w:tr>
        <w:trPr>
          <w:trHeight w:val="181"/>
        </w:trPr>
        <w:tc>
          <w:tcPr>
            <w:tcW w:w="432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Low</w:t>
            </w:r>
          </w:p>
        </w:tc>
        <w:tc>
          <w:tcPr>
            <w:tcW w:w="1200" w:type="dxa"/>
            <w:vAlign w:val="bottom"/>
          </w:tcPr>
          <w:p>
            <w:pPr>
              <w:jc w:val="center"/>
              <w:spacing w:after="0" w:line="181" w:lineRule="exact"/>
              <w:rPr>
                <w:sz w:val="20"/>
                <w:szCs w:val="20"/>
                <w:color w:val="auto"/>
              </w:rPr>
            </w:pPr>
            <w:r>
              <w:rPr>
                <w:rFonts w:ascii="Arial" w:cs="Arial" w:eastAsia="Arial" w:hAnsi="Arial"/>
                <w:sz w:val="18"/>
                <w:szCs w:val="18"/>
                <w:color w:val="auto"/>
                <w:w w:val="98"/>
              </w:rPr>
              <w:t>$60.82</w:t>
            </w:r>
          </w:p>
        </w:tc>
        <w:tc>
          <w:tcPr>
            <w:tcW w:w="32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Arial" w:cs="Arial" w:eastAsia="Arial" w:hAnsi="Arial"/>
                <w:sz w:val="18"/>
                <w:szCs w:val="18"/>
                <w:color w:val="auto"/>
              </w:rPr>
              <w:t>$69.29</w:t>
            </w:r>
          </w:p>
        </w:tc>
        <w:tc>
          <w:tcPr>
            <w:tcW w:w="300" w:type="dxa"/>
            <w:vAlign w:val="bottom"/>
          </w:tcPr>
          <w:p>
            <w:pPr>
              <w:spacing w:after="0"/>
              <w:rPr>
                <w:sz w:val="15"/>
                <w:szCs w:val="15"/>
                <w:color w:val="auto"/>
              </w:rPr>
            </w:pPr>
          </w:p>
        </w:tc>
        <w:tc>
          <w:tcPr>
            <w:tcW w:w="1180" w:type="dxa"/>
            <w:vAlign w:val="bottom"/>
          </w:tcPr>
          <w:p>
            <w:pPr>
              <w:jc w:val="center"/>
              <w:spacing w:after="0" w:line="181" w:lineRule="exact"/>
              <w:rPr>
                <w:sz w:val="20"/>
                <w:szCs w:val="20"/>
                <w:color w:val="auto"/>
              </w:rPr>
            </w:pPr>
            <w:r>
              <w:rPr>
                <w:rFonts w:ascii="Arial" w:cs="Arial" w:eastAsia="Arial" w:hAnsi="Arial"/>
                <w:sz w:val="18"/>
                <w:szCs w:val="18"/>
                <w:color w:val="auto"/>
                <w:w w:val="98"/>
              </w:rPr>
              <w:t>$78.41</w:t>
            </w:r>
          </w:p>
        </w:tc>
        <w:tc>
          <w:tcPr>
            <w:tcW w:w="30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Arial" w:cs="Arial" w:eastAsia="Arial" w:hAnsi="Arial"/>
                <w:sz w:val="18"/>
                <w:szCs w:val="18"/>
                <w:color w:val="auto"/>
              </w:rPr>
              <w:t>$75.92</w:t>
            </w:r>
          </w:p>
        </w:tc>
      </w:tr>
      <w:tr>
        <w:trPr>
          <w:trHeight w:val="225"/>
        </w:trPr>
        <w:tc>
          <w:tcPr>
            <w:tcW w:w="40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Cash dividends per share</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$ 0.17</w:t>
            </w:r>
          </w:p>
        </w:tc>
        <w:tc>
          <w:tcPr>
            <w:tcW w:w="3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$ 0.17</w:t>
            </w:r>
          </w:p>
        </w:tc>
        <w:tc>
          <w:tcPr>
            <w:tcW w:w="3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$ 0.17</w:t>
            </w:r>
          </w:p>
        </w:tc>
        <w:tc>
          <w:tcPr>
            <w:tcW w:w="3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$ 0.18</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Class A Common Stock prices:</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High</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$67.30</w:t>
            </w:r>
          </w:p>
        </w:tc>
        <w:tc>
          <w:tcPr>
            <w:tcW w:w="3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$65.45</w:t>
            </w:r>
          </w:p>
        </w:tc>
        <w:tc>
          <w:tcPr>
            <w:tcW w:w="3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8"/>
              </w:rPr>
              <w:t>$81.40</w:t>
            </w:r>
          </w:p>
        </w:tc>
        <w:tc>
          <w:tcPr>
            <w:tcW w:w="3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$78.31</w:t>
            </w:r>
          </w:p>
        </w:tc>
      </w:tr>
      <w:tr>
        <w:trPr>
          <w:trHeight w:val="217"/>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$60.05</w:t>
            </w:r>
          </w:p>
        </w:tc>
        <w:tc>
          <w:tcPr>
            <w:tcW w:w="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$58.35</w:t>
            </w:r>
          </w:p>
        </w:tc>
        <w:tc>
          <w:tcPr>
            <w:tcW w:w="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$60.70</w:t>
            </w: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$58.41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20" w:firstLine="378"/>
        <w:spacing w:after="0" w:line="237" w:lineRule="auto"/>
        <w:rPr>
          <w:sz w:val="20"/>
          <w:szCs w:val="20"/>
          <w:color w:val="auto"/>
        </w:rPr>
      </w:pPr>
      <w:r>
        <w:rPr>
          <w:rFonts w:ascii="Arial" w:cs="Arial" w:eastAsia="Arial" w:hAnsi="Arial"/>
          <w:sz w:val="18"/>
          <w:szCs w:val="18"/>
          <w:color w:val="auto"/>
        </w:rPr>
        <w:t>The graph below matches the cumulative 5-Year total return of holders of Albany International Corp.’s common stock with the cumulative total returns of the Russell 2000 index and a customized peer group of twenty three companies that includes: Actuant Corp, Astronics Corp, Barnes Group Inc., Circor International Inc., Curtiss-wright Corp, Ducommun Inc., Enpro Industries Inc., Esco Technologies Inc., Heico Corp, Hexcel Corp, Idex Corp, Kadant Inc., National Presto Industries Inc., Neenah Inc., Nordson Corp, OMNOVA Solutions Inc., P H Glatfelter Co, Raven Industries Inc., Rogers Corp, Schweitzer-Mauduit International Inc., Tredegar Corp, Trimas Corp and Watts Water Technologies Inc. The graph assumes that the value of the investment in our common stock, in each index, and in the peer group (including reinvestment of dividends) was $100 on December 31, 2014 and tracks it through December 31, 2019.</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Albany International Corp., the Russell 2000 Index,</w:t>
      </w:r>
    </w:p>
    <w:p>
      <w:pPr>
        <w:jc w:val="center"/>
        <w:spacing w:after="0"/>
        <w:rPr>
          <w:sz w:val="20"/>
          <w:szCs w:val="20"/>
          <w:color w:val="auto"/>
        </w:rPr>
      </w:pPr>
      <w:r>
        <w:rPr>
          <w:rFonts w:ascii="Arial" w:cs="Arial" w:eastAsia="Arial" w:hAnsi="Arial"/>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-1905</wp:posOffset>
            </wp:positionV>
            <wp:extent cx="4845050" cy="3001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4505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*$100 invested on 12/31/14 in stock or index, including reinvestment of dividends.</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Fiscal year ending December 31. Copyright© 2020 Russell Investment Group. All rights reserved.</w:t>
      </w:r>
    </w:p>
    <w:p>
      <w:pPr>
        <w:spacing w:after="0" w:line="361"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r>
      <w:tr>
        <w:trPr>
          <w:trHeight w:val="173"/>
        </w:trPr>
        <w:tc>
          <w:tcPr>
            <w:tcW w:w="40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Albany International Corp.</w:t>
            </w:r>
          </w:p>
        </w:tc>
        <w:tc>
          <w:tcPr>
            <w:tcW w:w="300" w:type="dxa"/>
            <w:vAlign w:val="bottom"/>
          </w:tcPr>
          <w:p>
            <w:pPr>
              <w:spacing w:after="0"/>
              <w:rPr>
                <w:sz w:val="15"/>
                <w:szCs w:val="15"/>
                <w:color w:val="auto"/>
              </w:rPr>
            </w:pPr>
          </w:p>
        </w:tc>
        <w:tc>
          <w:tcPr>
            <w:tcW w:w="7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100.00</w:t>
            </w:r>
          </w:p>
        </w:tc>
        <w:tc>
          <w:tcPr>
            <w:tcW w:w="300" w:type="dxa"/>
            <w:vAlign w:val="bottom"/>
          </w:tcPr>
          <w:p>
            <w:pPr>
              <w:spacing w:after="0"/>
              <w:rPr>
                <w:sz w:val="15"/>
                <w:szCs w:val="15"/>
                <w:color w:val="auto"/>
              </w:rPr>
            </w:pPr>
          </w:p>
        </w:tc>
        <w:tc>
          <w:tcPr>
            <w:tcW w:w="7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98.03</w:t>
            </w:r>
          </w:p>
        </w:tc>
        <w:tc>
          <w:tcPr>
            <w:tcW w:w="320" w:type="dxa"/>
            <w:vAlign w:val="bottom"/>
          </w:tcPr>
          <w:p>
            <w:pPr>
              <w:spacing w:after="0"/>
              <w:rPr>
                <w:sz w:val="15"/>
                <w:szCs w:val="15"/>
                <w:color w:val="auto"/>
              </w:rPr>
            </w:pPr>
          </w:p>
        </w:tc>
        <w:tc>
          <w:tcPr>
            <w:tcW w:w="7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126.25</w:t>
            </w:r>
          </w:p>
        </w:tc>
        <w:tc>
          <w:tcPr>
            <w:tcW w:w="300" w:type="dxa"/>
            <w:vAlign w:val="bottom"/>
          </w:tcPr>
          <w:p>
            <w:pPr>
              <w:spacing w:after="0"/>
              <w:rPr>
                <w:sz w:val="15"/>
                <w:szCs w:val="15"/>
                <w:color w:val="auto"/>
              </w:rPr>
            </w:pPr>
          </w:p>
        </w:tc>
        <w:tc>
          <w:tcPr>
            <w:tcW w:w="6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169.79</w:t>
            </w:r>
          </w:p>
        </w:tc>
        <w:tc>
          <w:tcPr>
            <w:tcW w:w="300" w:type="dxa"/>
            <w:vAlign w:val="bottom"/>
          </w:tcPr>
          <w:p>
            <w:pPr>
              <w:spacing w:after="0"/>
              <w:rPr>
                <w:sz w:val="15"/>
                <w:szCs w:val="15"/>
                <w:color w:val="auto"/>
              </w:rPr>
            </w:pPr>
          </w:p>
        </w:tc>
        <w:tc>
          <w:tcPr>
            <w:tcW w:w="6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174.31</w:t>
            </w:r>
          </w:p>
        </w:tc>
        <w:tc>
          <w:tcPr>
            <w:tcW w:w="300" w:type="dxa"/>
            <w:vAlign w:val="bottom"/>
          </w:tcPr>
          <w:p>
            <w:pPr>
              <w:spacing w:after="0"/>
              <w:rPr>
                <w:sz w:val="15"/>
                <w:szCs w:val="15"/>
                <w:color w:val="auto"/>
              </w:rPr>
            </w:pPr>
          </w:p>
        </w:tc>
        <w:tc>
          <w:tcPr>
            <w:tcW w:w="7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214.02</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Russell 2000</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100.00</w:t>
            </w:r>
          </w:p>
        </w:tc>
        <w:tc>
          <w:tcPr>
            <w:tcW w:w="30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95.59</w:t>
            </w:r>
          </w:p>
        </w:tc>
        <w:tc>
          <w:tcPr>
            <w:tcW w:w="32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115.95</w:t>
            </w:r>
          </w:p>
        </w:tc>
        <w:tc>
          <w:tcPr>
            <w:tcW w:w="30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132.94</w:t>
            </w:r>
          </w:p>
        </w:tc>
        <w:tc>
          <w:tcPr>
            <w:tcW w:w="30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118.30</w:t>
            </w:r>
          </w:p>
        </w:tc>
        <w:tc>
          <w:tcPr>
            <w:tcW w:w="30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148.49</w:t>
            </w:r>
          </w:p>
        </w:tc>
      </w:tr>
      <w:tr>
        <w:trPr>
          <w:trHeight w:val="239"/>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Peer Group</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100.00</w:t>
            </w:r>
          </w:p>
        </w:tc>
        <w:tc>
          <w:tcPr>
            <w:tcW w:w="3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rPr>
              <w:t>90.46</w:t>
            </w:r>
          </w:p>
        </w:tc>
        <w:tc>
          <w:tcPr>
            <w:tcW w:w="3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rPr>
              <w:t>122.80</w:t>
            </w:r>
          </w:p>
        </w:tc>
        <w:tc>
          <w:tcPr>
            <w:tcW w:w="3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157.45</w:t>
            </w:r>
          </w:p>
        </w:tc>
        <w:tc>
          <w:tcPr>
            <w:tcW w:w="3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138.10</w:t>
            </w:r>
          </w:p>
        </w:tc>
        <w:tc>
          <w:tcPr>
            <w:tcW w:w="3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8"/>
              </w:rPr>
              <w:t>185.25</w:t>
            </w:r>
          </w:p>
        </w:tc>
      </w:tr>
    </w:tbl>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122" w:lineRule="exact"/>
        <w:rPr>
          <w:sz w:val="20"/>
          <w:szCs w:val="20"/>
          <w:color w:val="auto"/>
        </w:rPr>
      </w:pPr>
    </w:p>
    <w:p>
      <w:pPr>
        <w:ind w:right="380" w:firstLine="378"/>
        <w:spacing w:after="0" w:line="246" w:lineRule="auto"/>
        <w:rPr>
          <w:sz w:val="20"/>
          <w:szCs w:val="20"/>
          <w:color w:val="auto"/>
        </w:rPr>
      </w:pPr>
      <w:r>
        <w:rPr>
          <w:rFonts w:ascii="Arial" w:cs="Arial" w:eastAsia="Arial" w:hAnsi="Arial"/>
          <w:sz w:val="18"/>
          <w:szCs w:val="18"/>
          <w:color w:val="auto"/>
        </w:rPr>
        <w:t>Restrictions on dividends and other distributions are described in Note 17 of the Consolidated Financial Statements in Item 8, which is incorporated herein by reference.</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Disclosures of securities authorized for issuance under equity compensation plans are included under Item 12 of this Form 10-K.</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300" w:firstLine="378"/>
        <w:spacing w:after="0" w:line="239" w:lineRule="auto"/>
        <w:rPr>
          <w:sz w:val="20"/>
          <w:szCs w:val="20"/>
          <w:color w:val="auto"/>
        </w:rPr>
      </w:pPr>
      <w:r>
        <w:rPr>
          <w:rFonts w:ascii="Arial" w:cs="Arial" w:eastAsia="Arial" w:hAnsi="Arial"/>
          <w:sz w:val="18"/>
          <w:szCs w:val="18"/>
          <w:color w:val="auto"/>
        </w:rPr>
        <w:t>In August 2006, we announced that the Board of Directors had authorized management to purchase up to 2 million additional shares of our Class A Common Stock. The Board’s action authorized management to purchase shares from time to time, in the open market or otherwise, whenever it believes such purchase to be advantageous to our shareholders, and it is otherwise legally permitted to do so. Management has made no share purchases under this authorization.</w:t>
      </w:r>
    </w:p>
    <w:p>
      <w:pPr>
        <w:spacing w:after="0" w:line="7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26" w:lineRule="exact"/>
        <w:rPr>
          <w:sz w:val="20"/>
          <w:szCs w:val="20"/>
          <w:color w:val="auto"/>
        </w:rPr>
      </w:pPr>
    </w:p>
    <w:p>
      <w:pPr>
        <w:ind w:right="260" w:firstLine="378"/>
        <w:spacing w:after="0"/>
        <w:rPr>
          <w:sz w:val="20"/>
          <w:szCs w:val="20"/>
          <w:color w:val="auto"/>
        </w:rPr>
      </w:pPr>
      <w:r>
        <w:rPr>
          <w:rFonts w:ascii="Arial" w:cs="Arial" w:eastAsia="Arial" w:hAnsi="Arial"/>
          <w:sz w:val="18"/>
          <w:szCs w:val="18"/>
          <w:color w:val="auto"/>
        </w:rPr>
        <w:t>The following selected historical financial data have been derived from our Consolidated Financial Statements in Item 8, which is incorporated herein by reference. The data should be read in conjunction with those financial statements and Management’s Discussion and Analysis of Financial Condition and Results of Operations in Item 7, which is incorporated herein by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Summary of Operations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28"/>
                <w:szCs w:val="28"/>
                <w:color w:val="auto"/>
                <w:vertAlign w:val="subscript"/>
              </w:rPr>
              <w:t>Net sales</w:t>
            </w:r>
            <w:r>
              <w:rPr>
                <w:rFonts w:ascii="Arial" w:cs="Arial" w:eastAsia="Arial" w:hAnsi="Arial"/>
                <w:sz w:val="13"/>
                <w:szCs w:val="13"/>
                <w:color w:val="auto"/>
              </w:rPr>
              <w:t>(2)(3)(6)</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$1,054,132</w:t>
            </w:r>
          </w:p>
        </w:tc>
        <w:tc>
          <w:tcPr>
            <w:tcW w:w="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982,479</w:t>
            </w:r>
          </w:p>
        </w:tc>
        <w:tc>
          <w:tcPr>
            <w:tcW w:w="2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863,717</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779,839</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709,868</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17"/>
                <w:szCs w:val="17"/>
                <w:color w:val="auto"/>
              </w:rPr>
              <w:t>Cost of goods sold</w:t>
            </w:r>
            <w:r>
              <w:rPr>
                <w:rFonts w:ascii="Arial" w:cs="Arial" w:eastAsia="Arial" w:hAnsi="Arial"/>
                <w:sz w:val="28"/>
                <w:szCs w:val="28"/>
                <w:color w:val="auto"/>
                <w:vertAlign w:val="superscript"/>
              </w:rPr>
              <w:t>(2)(3)(4)(5)</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656,431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632,730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567,434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478,555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429,929</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17"/>
                <w:szCs w:val="17"/>
                <w:color w:val="auto"/>
              </w:rPr>
              <w:t>Restructuring and other</w:t>
            </w:r>
            <w:r>
              <w:rPr>
                <w:rFonts w:ascii="Arial" w:cs="Arial" w:eastAsia="Arial" w:hAnsi="Arial"/>
                <w:sz w:val="28"/>
                <w:szCs w:val="28"/>
                <w:color w:val="auto"/>
                <w:vertAlign w:val="superscript"/>
              </w:rPr>
              <w:t>(5)(9)</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2,905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15,570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23,846</w:t>
            </w:r>
          </w:p>
        </w:tc>
        <w:tc>
          <w:tcPr>
            <w:tcW w:w="0" w:type="dxa"/>
            <w:vAlign w:val="bottom"/>
          </w:tcPr>
          <w:p>
            <w:pPr>
              <w:spacing w:after="0"/>
              <w:rPr>
                <w:sz w:val="1"/>
                <w:szCs w:val="1"/>
                <w:color w:val="auto"/>
              </w:rPr>
            </w:pPr>
          </w:p>
        </w:tc>
      </w:tr>
      <w:tr>
        <w:trPr>
          <w:trHeight w:val="221"/>
        </w:trPr>
        <w:tc>
          <w:tcPr>
            <w:tcW w:w="5380" w:type="dxa"/>
            <w:vAlign w:val="bottom"/>
            <w:gridSpan w:val="4"/>
          </w:tcPr>
          <w:p>
            <w:pPr>
              <w:spacing w:after="0" w:line="221" w:lineRule="exact"/>
              <w:rPr>
                <w:sz w:val="20"/>
                <w:szCs w:val="20"/>
                <w:color w:val="auto"/>
              </w:rPr>
            </w:pPr>
            <w:r>
              <w:rPr>
                <w:rFonts w:ascii="Arial" w:cs="Arial" w:eastAsia="Arial" w:hAnsi="Arial"/>
                <w:sz w:val="16"/>
                <w:szCs w:val="16"/>
                <w:color w:val="auto"/>
              </w:rPr>
              <w:t>Operating income/(loss)</w:t>
            </w:r>
            <w:r>
              <w:rPr>
                <w:rFonts w:ascii="Arial" w:cs="Arial" w:eastAsia="Arial" w:hAnsi="Arial"/>
                <w:sz w:val="25"/>
                <w:szCs w:val="25"/>
                <w:color w:val="auto"/>
                <w:vertAlign w:val="superscript"/>
              </w:rPr>
              <w:t>(2)(4)</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193,576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137,408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94,132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67,128</w:t>
            </w:r>
          </w:p>
        </w:tc>
        <w:tc>
          <w:tcPr>
            <w:tcW w:w="0" w:type="dxa"/>
            <w:vAlign w:val="bottom"/>
          </w:tcPr>
          <w:p>
            <w:pPr>
              <w:spacing w:after="0"/>
              <w:rPr>
                <w:sz w:val="1"/>
                <w:szCs w:val="1"/>
                <w:color w:val="auto"/>
              </w:rPr>
            </w:pPr>
          </w:p>
        </w:tc>
      </w:tr>
      <w:tr>
        <w:trPr>
          <w:trHeight w:val="203"/>
        </w:trPr>
        <w:tc>
          <w:tcPr>
            <w:tcW w:w="5380" w:type="dxa"/>
            <w:vAlign w:val="bottom"/>
            <w:gridSpan w:val="4"/>
          </w:tcPr>
          <w:p>
            <w:pPr>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16,921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18,124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17,091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13,464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9,984</w:t>
            </w:r>
          </w:p>
        </w:tc>
        <w:tc>
          <w:tcPr>
            <w:tcW w:w="0" w:type="dxa"/>
            <w:vAlign w:val="bottom"/>
          </w:tcPr>
          <w:p>
            <w:pPr>
              <w:spacing w:after="0"/>
              <w:rPr>
                <w:sz w:val="1"/>
                <w:szCs w:val="1"/>
                <w:color w:val="auto"/>
              </w:rPr>
            </w:pPr>
          </w:p>
        </w:tc>
      </w:tr>
      <w:tr>
        <w:trPr>
          <w:trHeight w:val="203"/>
        </w:trPr>
        <w:tc>
          <w:tcPr>
            <w:tcW w:w="5380" w:type="dxa"/>
            <w:vAlign w:val="bottom"/>
            <w:gridSpan w:val="4"/>
          </w:tcPr>
          <w:p>
            <w:pPr>
              <w:spacing w:after="0" w:line="202" w:lineRule="exact"/>
              <w:rPr>
                <w:sz w:val="20"/>
                <w:szCs w:val="20"/>
                <w:color w:val="auto"/>
              </w:rPr>
            </w:pPr>
            <w:r>
              <w:rPr>
                <w:rFonts w:ascii="Arial" w:cs="Arial" w:eastAsia="Arial" w:hAnsi="Arial"/>
                <w:sz w:val="18"/>
                <w:szCs w:val="18"/>
                <w:color w:val="auto"/>
              </w:rPr>
              <w:t>Income/(loss) from continuing operations</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133,383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83,019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32,585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52,812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57,265</w:t>
            </w:r>
          </w:p>
        </w:tc>
        <w:tc>
          <w:tcPr>
            <w:tcW w:w="0" w:type="dxa"/>
            <w:vAlign w:val="bottom"/>
          </w:tcPr>
          <w:p>
            <w:pPr>
              <w:spacing w:after="0"/>
              <w:rPr>
                <w:sz w:val="1"/>
                <w:szCs w:val="1"/>
                <w:color w:val="auto"/>
              </w:rPr>
            </w:pPr>
          </w:p>
        </w:tc>
      </w:tr>
      <w:tr>
        <w:trPr>
          <w:trHeight w:val="225"/>
        </w:trPr>
        <w:tc>
          <w:tcPr>
            <w:tcW w:w="5380" w:type="dxa"/>
            <w:vAlign w:val="bottom"/>
            <w:gridSpan w:val="4"/>
          </w:tcPr>
          <w:p>
            <w:pPr>
              <w:spacing w:after="0"/>
              <w:rPr>
                <w:sz w:val="20"/>
                <w:szCs w:val="20"/>
                <w:color w:val="auto"/>
              </w:rPr>
            </w:pPr>
            <w:r>
              <w:rPr>
                <w:rFonts w:ascii="Arial" w:cs="Arial" w:eastAsia="Arial" w:hAnsi="Arial"/>
                <w:sz w:val="18"/>
                <w:szCs w:val="18"/>
                <w:color w:val="auto"/>
              </w:rPr>
              <w:t>Net income attributable to the Company</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132,398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82,891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57,279</w:t>
            </w:r>
          </w:p>
        </w:tc>
        <w:tc>
          <w:tcPr>
            <w:tcW w:w="0" w:type="dxa"/>
            <w:vAlign w:val="bottom"/>
          </w:tcPr>
          <w:p>
            <w:pPr>
              <w:spacing w:after="0"/>
              <w:rPr>
                <w:sz w:val="1"/>
                <w:szCs w:val="1"/>
                <w:color w:val="auto"/>
              </w:rPr>
            </w:pPr>
          </w:p>
        </w:tc>
      </w:tr>
      <w:tr>
        <w:trPr>
          <w:trHeight w:val="203"/>
        </w:trPr>
        <w:tc>
          <w:tcPr>
            <w:tcW w:w="5380" w:type="dxa"/>
            <w:vAlign w:val="bottom"/>
            <w:gridSpan w:val="4"/>
          </w:tcPr>
          <w:p>
            <w:pPr>
              <w:spacing w:after="0" w:line="202" w:lineRule="exact"/>
              <w:rPr>
                <w:sz w:val="20"/>
                <w:szCs w:val="20"/>
                <w:color w:val="auto"/>
              </w:rPr>
            </w:pPr>
            <w:r>
              <w:rPr>
                <w:rFonts w:ascii="Arial" w:cs="Arial" w:eastAsia="Arial" w:hAnsi="Arial"/>
                <w:sz w:val="18"/>
                <w:szCs w:val="18"/>
                <w:color w:val="auto"/>
              </w:rPr>
              <w:t>Earnings per share attributable to Company Shareholders –</w:t>
            </w:r>
          </w:p>
        </w:tc>
        <w:tc>
          <w:tcPr>
            <w:tcW w:w="240" w:type="dxa"/>
            <w:vAlign w:val="bottom"/>
          </w:tcPr>
          <w:p>
            <w:pPr>
              <w:spacing w:after="0"/>
              <w:rPr>
                <w:sz w:val="17"/>
                <w:szCs w:val="17"/>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4.10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Basic</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5380" w:type="dxa"/>
            <w:vAlign w:val="bottom"/>
            <w:gridSpan w:val="4"/>
          </w:tcPr>
          <w:p>
            <w:pPr>
              <w:spacing w:after="0" w:line="202" w:lineRule="exact"/>
              <w:rPr>
                <w:sz w:val="20"/>
                <w:szCs w:val="20"/>
                <w:color w:val="auto"/>
              </w:rPr>
            </w:pPr>
            <w:r>
              <w:rPr>
                <w:rFonts w:ascii="Arial" w:cs="Arial" w:eastAsia="Arial" w:hAnsi="Arial"/>
                <w:sz w:val="18"/>
                <w:szCs w:val="18"/>
                <w:color w:val="auto"/>
              </w:rPr>
              <w:t>Earnings per share attributable to Company Shareholders –</w:t>
            </w:r>
          </w:p>
        </w:tc>
        <w:tc>
          <w:tcPr>
            <w:tcW w:w="240" w:type="dxa"/>
            <w:vAlign w:val="bottom"/>
          </w:tcPr>
          <w:p>
            <w:pPr>
              <w:spacing w:after="0"/>
              <w:rPr>
                <w:sz w:val="17"/>
                <w:szCs w:val="17"/>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4.10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gridSpan w:val="3"/>
          </w:tcPr>
          <w:p>
            <w:pPr>
              <w:ind w:left="160"/>
              <w:spacing w:after="0" w:line="181"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11"/>
              <w:spacing w:after="0" w:line="181" w:lineRule="exact"/>
              <w:rPr>
                <w:sz w:val="20"/>
                <w:szCs w:val="20"/>
                <w:color w:val="auto"/>
              </w:rPr>
            </w:pPr>
            <w:r>
              <w:rPr>
                <w:rFonts w:ascii="Arial" w:cs="Arial" w:eastAsia="Arial" w:hAnsi="Arial"/>
                <w:sz w:val="18"/>
                <w:szCs w:val="18"/>
                <w:color w:val="auto"/>
              </w:rPr>
              <w:t>2.57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11"/>
              <w:spacing w:after="0" w:line="181"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
              <w:spacing w:after="0" w:line="181" w:lineRule="exact"/>
              <w:rPr>
                <w:sz w:val="20"/>
                <w:szCs w:val="20"/>
                <w:color w:val="auto"/>
              </w:rPr>
            </w:pPr>
            <w:r>
              <w:rPr>
                <w:rFonts w:ascii="Arial" w:cs="Arial" w:eastAsia="Arial" w:hAnsi="Arial"/>
                <w:sz w:val="18"/>
                <w:szCs w:val="18"/>
                <w:color w:val="auto"/>
              </w:rPr>
              <w:t>1.64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
              <w:spacing w:after="0" w:line="181"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5380" w:type="dxa"/>
            <w:vAlign w:val="bottom"/>
            <w:gridSpan w:val="4"/>
          </w:tcPr>
          <w:p>
            <w:pPr>
              <w:spacing w:after="0" w:line="202" w:lineRule="exact"/>
              <w:rPr>
                <w:sz w:val="20"/>
                <w:szCs w:val="20"/>
                <w:color w:val="auto"/>
              </w:rPr>
            </w:pPr>
            <w:r>
              <w:rPr>
                <w:rFonts w:ascii="Arial" w:cs="Arial" w:eastAsia="Arial" w:hAnsi="Arial"/>
                <w:sz w:val="18"/>
                <w:szCs w:val="18"/>
                <w:color w:val="auto"/>
              </w:rPr>
              <w:t>Dividends declared per share</w:t>
            </w: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0.73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0.69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0.68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0.68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3"/>
        </w:trPr>
        <w:tc>
          <w:tcPr>
            <w:tcW w:w="5380" w:type="dxa"/>
            <w:vAlign w:val="bottom"/>
            <w:gridSpan w:val="4"/>
          </w:tcPr>
          <w:p>
            <w:pPr>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32,296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32,252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32,169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32,086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31,978</w:t>
            </w:r>
          </w:p>
        </w:tc>
        <w:tc>
          <w:tcPr>
            <w:tcW w:w="0" w:type="dxa"/>
            <w:vAlign w:val="bottom"/>
          </w:tcPr>
          <w:p>
            <w:pPr>
              <w:spacing w:after="0"/>
              <w:rPr>
                <w:sz w:val="1"/>
                <w:szCs w:val="1"/>
                <w:color w:val="auto"/>
              </w:rPr>
            </w:pPr>
          </w:p>
        </w:tc>
      </w:tr>
      <w:tr>
        <w:trPr>
          <w:trHeight w:val="203"/>
        </w:trPr>
        <w:tc>
          <w:tcPr>
            <w:tcW w:w="5380" w:type="dxa"/>
            <w:vAlign w:val="bottom"/>
            <w:gridSpan w:val="4"/>
          </w:tcPr>
          <w:p>
            <w:pPr>
              <w:spacing w:after="0" w:line="202" w:lineRule="exact"/>
              <w:rPr>
                <w:sz w:val="20"/>
                <w:szCs w:val="20"/>
                <w:color w:val="auto"/>
              </w:rPr>
            </w:pPr>
            <w:r>
              <w:rPr>
                <w:rFonts w:ascii="Arial" w:cs="Arial" w:eastAsia="Arial" w:hAnsi="Arial"/>
                <w:sz w:val="18"/>
                <w:szCs w:val="18"/>
                <w:color w:val="auto"/>
              </w:rPr>
              <w:t>Capital expenditures, including software</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67,955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82,886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87,637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73,492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50,595</w:t>
            </w:r>
          </w:p>
        </w:tc>
        <w:tc>
          <w:tcPr>
            <w:tcW w:w="0" w:type="dxa"/>
            <w:vAlign w:val="bottom"/>
          </w:tcPr>
          <w:p>
            <w:pPr>
              <w:spacing w:after="0"/>
              <w:rPr>
                <w:sz w:val="1"/>
                <w:szCs w:val="1"/>
                <w:color w:val="auto"/>
              </w:rPr>
            </w:pPr>
          </w:p>
        </w:tc>
      </w:tr>
      <w:tr>
        <w:trPr>
          <w:trHeight w:val="225"/>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Financial position</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195,540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80" w:type="dxa"/>
            <w:vAlign w:val="bottom"/>
            <w:gridSpan w:val="4"/>
          </w:tcPr>
          <w:p>
            <w:pPr>
              <w:spacing w:after="0" w:line="203" w:lineRule="exact"/>
              <w:rPr>
                <w:sz w:val="20"/>
                <w:szCs w:val="20"/>
                <w:color w:val="auto"/>
              </w:rPr>
            </w:pPr>
            <w:r>
              <w:rPr>
                <w:rFonts w:ascii="Arial" w:cs="Arial" w:eastAsia="Arial" w:hAnsi="Arial"/>
                <w:sz w:val="18"/>
                <w:szCs w:val="18"/>
                <w:color w:val="auto"/>
              </w:rPr>
              <w:t>Cash</w:t>
            </w: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197,755</w:t>
            </w:r>
          </w:p>
        </w:tc>
        <w:tc>
          <w:tcPr>
            <w:tcW w:w="200" w:type="dxa"/>
            <w:vAlign w:val="bottom"/>
          </w:tcPr>
          <w:p>
            <w:pPr>
              <w:spacing w:after="0"/>
              <w:rPr>
                <w:sz w:val="17"/>
                <w:szCs w:val="17"/>
                <w:color w:val="auto"/>
              </w:rPr>
            </w:pP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183,727</w:t>
            </w:r>
          </w:p>
        </w:tc>
        <w:tc>
          <w:tcPr>
            <w:tcW w:w="22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181,742</w:t>
            </w:r>
          </w:p>
        </w:tc>
        <w:tc>
          <w:tcPr>
            <w:tcW w:w="22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185,113</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17"/>
                <w:szCs w:val="17"/>
                <w:color w:val="auto"/>
              </w:rPr>
              <w:t>Asset held for sale</w:t>
            </w:r>
            <w:r>
              <w:rPr>
                <w:rFonts w:ascii="Arial" w:cs="Arial" w:eastAsia="Arial" w:hAnsi="Arial"/>
                <w:sz w:val="28"/>
                <w:szCs w:val="28"/>
                <w:color w:val="auto"/>
                <w:vertAlign w:val="superscript"/>
              </w:rPr>
              <w:t>(7)(10)</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515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17"/>
                <w:szCs w:val="17"/>
                <w:color w:val="auto"/>
              </w:rPr>
              <w:t>Property, plant and equipment, net</w:t>
            </w:r>
            <w:r>
              <w:rPr>
                <w:rFonts w:ascii="Arial" w:cs="Arial" w:eastAsia="Arial" w:hAnsi="Arial"/>
                <w:sz w:val="28"/>
                <w:szCs w:val="28"/>
                <w:color w:val="auto"/>
                <w:vertAlign w:val="superscript"/>
              </w:rPr>
              <w:t>(1)(2)(7)</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466,462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462,055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454,302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422,564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357,470</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28"/>
                <w:szCs w:val="28"/>
                <w:color w:val="auto"/>
                <w:vertAlign w:val="subscript"/>
              </w:rPr>
              <w:t>Total assets</w:t>
            </w:r>
            <w:r>
              <w:rPr>
                <w:rFonts w:ascii="Arial" w:cs="Arial" w:eastAsia="Arial" w:hAnsi="Arial"/>
                <w:sz w:val="13"/>
                <w:szCs w:val="13"/>
                <w:color w:val="auto"/>
              </w:rPr>
              <w:t>(1)(2)(3)(5)(6)</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1,474,368</w:t>
            </w: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1,417,992</w:t>
            </w:r>
          </w:p>
        </w:tc>
        <w:tc>
          <w:tcPr>
            <w:tcW w:w="2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1,361,198</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1,263,433</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17"/>
                <w:szCs w:val="17"/>
                <w:color w:val="auto"/>
              </w:rPr>
              <w:t>Current liabilities</w:t>
            </w:r>
            <w:r>
              <w:rPr>
                <w:rFonts w:ascii="Arial" w:cs="Arial" w:eastAsia="Arial" w:hAnsi="Arial"/>
                <w:sz w:val="28"/>
                <w:szCs w:val="28"/>
                <w:color w:val="auto"/>
                <w:vertAlign w:val="superscript"/>
              </w:rPr>
              <w:t>(1)(2)(8)</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202,719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189,306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161,517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126,231</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17"/>
                <w:szCs w:val="17"/>
                <w:color w:val="auto"/>
              </w:rPr>
              <w:t>Long-term debt</w:t>
            </w:r>
            <w:r>
              <w:rPr>
                <w:rFonts w:ascii="Arial" w:cs="Arial" w:eastAsia="Arial" w:hAnsi="Arial"/>
                <w:sz w:val="28"/>
                <w:szCs w:val="28"/>
                <w:color w:val="auto"/>
                <w:vertAlign w:val="superscript"/>
              </w:rPr>
              <w:t>(1)</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424,009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523,707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514,120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432,918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17"/>
                <w:szCs w:val="17"/>
                <w:color w:val="auto"/>
              </w:rPr>
              <w:t>Total noncurrent liabilities</w:t>
            </w:r>
            <w:r>
              <w:rPr>
                <w:rFonts w:ascii="Arial" w:cs="Arial" w:eastAsia="Arial" w:hAnsi="Arial"/>
                <w:sz w:val="28"/>
                <w:szCs w:val="28"/>
                <w:color w:val="auto"/>
                <w:vertAlign w:val="superscript"/>
              </w:rPr>
              <w:t>(1)(2)(8)</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568,960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620,406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626,666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552,134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380,778</w:t>
            </w:r>
          </w:p>
        </w:tc>
        <w:tc>
          <w:tcPr>
            <w:tcW w:w="0" w:type="dxa"/>
            <w:vAlign w:val="bottom"/>
          </w:tcPr>
          <w:p>
            <w:pPr>
              <w:spacing w:after="0"/>
              <w:rPr>
                <w:sz w:val="1"/>
                <w:szCs w:val="1"/>
                <w:color w:val="auto"/>
              </w:rPr>
            </w:pPr>
          </w:p>
        </w:tc>
      </w:tr>
      <w:tr>
        <w:trPr>
          <w:trHeight w:val="243"/>
        </w:trPr>
        <w:tc>
          <w:tcPr>
            <w:tcW w:w="5380" w:type="dxa"/>
            <w:vAlign w:val="bottom"/>
            <w:gridSpan w:val="4"/>
          </w:tcPr>
          <w:p>
            <w:pPr>
              <w:spacing w:after="0" w:line="243" w:lineRule="exact"/>
              <w:rPr>
                <w:sz w:val="20"/>
                <w:szCs w:val="20"/>
                <w:color w:val="auto"/>
              </w:rPr>
            </w:pPr>
            <w:r>
              <w:rPr>
                <w:rFonts w:ascii="Arial" w:cs="Arial" w:eastAsia="Arial" w:hAnsi="Arial"/>
                <w:sz w:val="17"/>
                <w:szCs w:val="17"/>
                <w:color w:val="auto"/>
              </w:rPr>
              <w:t>Total liabilities</w:t>
            </w:r>
            <w:r>
              <w:rPr>
                <w:rFonts w:ascii="Arial" w:cs="Arial" w:eastAsia="Arial" w:hAnsi="Arial"/>
                <w:sz w:val="28"/>
                <w:szCs w:val="28"/>
                <w:color w:val="auto"/>
                <w:vertAlign w:val="superscript"/>
              </w:rPr>
              <w:t>(1)(2)(3)</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771,679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809,712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788,183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752,143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507,009</w:t>
            </w:r>
          </w:p>
        </w:tc>
        <w:tc>
          <w:tcPr>
            <w:tcW w:w="0" w:type="dxa"/>
            <w:vAlign w:val="bottom"/>
          </w:tcPr>
          <w:p>
            <w:pPr>
              <w:spacing w:after="0"/>
              <w:rPr>
                <w:sz w:val="1"/>
                <w:szCs w:val="1"/>
                <w:color w:val="auto"/>
              </w:rPr>
            </w:pPr>
          </w:p>
        </w:tc>
      </w:tr>
      <w:tr>
        <w:trPr>
          <w:trHeight w:val="383"/>
        </w:trPr>
        <w:tc>
          <w:tcPr>
            <w:tcW w:w="5380" w:type="dxa"/>
            <w:vAlign w:val="bottom"/>
            <w:gridSpan w:val="4"/>
          </w:tcPr>
          <w:p>
            <w:pPr>
              <w:spacing w:after="0"/>
              <w:rPr>
                <w:sz w:val="20"/>
                <w:szCs w:val="20"/>
                <w:color w:val="auto"/>
              </w:rPr>
            </w:pPr>
            <w:r>
              <w:rPr>
                <w:rFonts w:ascii="Arial" w:cs="Arial" w:eastAsia="Arial" w:hAnsi="Arial"/>
                <w:sz w:val="18"/>
                <w:szCs w:val="18"/>
                <w:color w:val="auto"/>
              </w:rPr>
              <w:t>Total equity</w:t>
            </w:r>
            <w:r>
              <w:rPr>
                <w:rFonts w:ascii="Arial" w:cs="Arial" w:eastAsia="Arial" w:hAnsi="Arial"/>
                <w:sz w:val="30"/>
                <w:szCs w:val="30"/>
                <w:color w:val="auto"/>
                <w:vertAlign w:val="superscript"/>
              </w:rPr>
              <w:t>(1)(3)</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702,689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608,280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573,015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511,290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502,553</w:t>
            </w:r>
          </w:p>
        </w:tc>
        <w:tc>
          <w:tcPr>
            <w:tcW w:w="0" w:type="dxa"/>
            <w:vAlign w:val="bottom"/>
          </w:tcPr>
          <w:p>
            <w:pPr>
              <w:spacing w:after="0"/>
              <w:rPr>
                <w:sz w:val="1"/>
                <w:szCs w:val="1"/>
                <w:color w:val="auto"/>
              </w:rPr>
            </w:pPr>
          </w:p>
        </w:tc>
      </w:tr>
      <w:tr>
        <w:trPr>
          <w:trHeight w:val="157"/>
        </w:trPr>
        <w:tc>
          <w:tcPr>
            <w:tcW w:w="20" w:type="dxa"/>
            <w:vAlign w:val="bottom"/>
            <w:tcBorders>
              <w:bottom w:val="single" w:sz="8" w:color="EEEEEE"/>
            </w:tcBorders>
          </w:tcPr>
          <w:p>
            <w:pPr>
              <w:spacing w:after="0"/>
              <w:rPr>
                <w:sz w:val="13"/>
                <w:szCs w:val="13"/>
                <w:color w:val="auto"/>
              </w:rPr>
            </w:pPr>
          </w:p>
        </w:tc>
        <w:tc>
          <w:tcPr>
            <w:tcW w:w="1480" w:type="dxa"/>
            <w:vAlign w:val="bottom"/>
            <w:tcBorders>
              <w:bottom w:val="single" w:sz="8" w:color="EEEEEE"/>
            </w:tcBorders>
          </w:tcPr>
          <w:p>
            <w:pPr>
              <w:spacing w:after="0"/>
              <w:rPr>
                <w:sz w:val="13"/>
                <w:szCs w:val="13"/>
                <w:color w:val="auto"/>
              </w:rPr>
            </w:pPr>
          </w:p>
        </w:tc>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9861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2019, we adopted the provisions of ASC 842, “Leases”, using the modified retrospective (or cumulative effect) method for transition. Under this transition method, periods prior to 2019 have not been restated and the cumulative effect of initially applying the new standard was recorded as an adjustment to Retained earnings at January 1, 2019.</w:t>
      </w:r>
    </w:p>
    <w:p>
      <w:pPr>
        <w:spacing w:after="0" w:line="189" w:lineRule="exact"/>
        <w:rPr>
          <w:rFonts w:ascii="Arial" w:cs="Arial" w:eastAsia="Arial" w:hAnsi="Arial"/>
          <w:sz w:val="18"/>
          <w:szCs w:val="18"/>
          <w:color w:val="auto"/>
        </w:rPr>
      </w:pPr>
    </w:p>
    <w:p>
      <w:pPr>
        <w:ind w:left="460" w:right="40" w:hanging="452"/>
        <w:spacing w:after="0" w:line="27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2019, we acquired the outstanding shares of CirComp GmbH for net cash of $36.3 million, which includes approximately $5.5 million of deferred payments. The table above includes operational results of the acquired entity from November 20, 2019 to December 31, 2019.</w:t>
      </w:r>
    </w:p>
    <w:p>
      <w:pPr>
        <w:spacing w:after="0" w:line="159" w:lineRule="exact"/>
        <w:rPr>
          <w:rFonts w:ascii="Arial" w:cs="Arial" w:eastAsia="Arial" w:hAnsi="Arial"/>
          <w:sz w:val="17"/>
          <w:szCs w:val="17"/>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2018, we adopted the provisions of ASC 606, “Revenue from contracts with customers”,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w:t>
      </w:r>
    </w:p>
    <w:p>
      <w:pPr>
        <w:spacing w:after="0" w:line="189"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2018, we adopted the provisions of ASU 2017-07, “Compensation – Retirement Benefits: improving the presentation of net periodic pension cost and net periodic postretirement benefit cost”. This update resulted in some pension costs being presented on different line items in the Consolidated Statement of Income. As required by that update, we have reclassified pension costs for periods prior to 2018.</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1" w:lineRule="exact"/>
        <w:rPr>
          <w:sz w:val="20"/>
          <w:szCs w:val="20"/>
          <w:color w:val="auto"/>
        </w:rPr>
      </w:pPr>
    </w:p>
    <w:p>
      <w:pPr>
        <w:ind w:left="460" w:right="40" w:hanging="452"/>
        <w:spacing w:after="0" w:line="192" w:lineRule="auto"/>
        <w:tabs>
          <w:tab w:leader="none" w:pos="4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In 2017, we discontinued the Bear Claw</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line of hydraulic fracturing components used in the oil and gas industry, which led to a charge of $2.8 million to Cost of goods sold for the write-off of inventory, and a non-cash restructuring charge of $4.5 million for the write-off of equipment and intangibles.</w:t>
      </w:r>
    </w:p>
    <w:p>
      <w:pPr>
        <w:spacing w:after="0" w:line="188" w:lineRule="exact"/>
        <w:rPr>
          <w:rFonts w:ascii="Arial" w:cs="Arial" w:eastAsia="Arial" w:hAnsi="Arial"/>
          <w:sz w:val="36"/>
          <w:szCs w:val="36"/>
          <w:color w:val="auto"/>
          <w:vertAlign w:val="superscript"/>
        </w:rPr>
      </w:pPr>
    </w:p>
    <w:p>
      <w:pPr>
        <w:ind w:left="460" w:right="12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2016, we acquired the outstanding shares of Harris Corporation’s composite aerostructures business for cash of $187 million, plus the assumption of certain liabilities. The table above includes operational results from April 8, 2016 to December 31, 2016 and for full years 2017 through 2019.</w:t>
      </w:r>
    </w:p>
    <w:p>
      <w:pPr>
        <w:spacing w:after="0" w:line="189" w:lineRule="exact"/>
        <w:rPr>
          <w:rFonts w:ascii="Arial" w:cs="Arial" w:eastAsia="Arial" w:hAnsi="Arial"/>
          <w:sz w:val="18"/>
          <w:szCs w:val="18"/>
          <w:color w:val="auto"/>
        </w:rPr>
      </w:pPr>
    </w:p>
    <w:p>
      <w:pPr>
        <w:ind w:left="460" w:right="4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2018, we discontinued operations at the Company’s MC production facility in Sélestat, France, and wrote down the land and building to its estimated fair market value. The value of $0.5 million as of December 31, 2019 reflects the estimated selling price. We anticipate the sale of the property to occur in 2020.</w:t>
      </w:r>
    </w:p>
    <w:p>
      <w:pPr>
        <w:spacing w:after="0" w:line="189" w:lineRule="exact"/>
        <w:rPr>
          <w:rFonts w:ascii="Arial" w:cs="Arial" w:eastAsia="Arial" w:hAnsi="Arial"/>
          <w:sz w:val="18"/>
          <w:szCs w:val="18"/>
          <w:color w:val="auto"/>
        </w:rPr>
      </w:pPr>
    </w:p>
    <w:p>
      <w:pPr>
        <w:ind w:left="460" w:right="360" w:hanging="452"/>
        <w:spacing w:after="0" w:line="24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2015, we adopted the provisions of ASU 2015-17, “Income Taxes” using the prospective transition method. This accounting update affected the amount and classification of deferred tax assets and liabilities.</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period 2015 through 2019, we recorded restructuring charges related to organizational changes and cost reduction initiatives.</w:t>
      </w:r>
    </w:p>
    <w:p>
      <w:pPr>
        <w:spacing w:after="0" w:line="198" w:lineRule="exact"/>
        <w:rPr>
          <w:rFonts w:ascii="Arial" w:cs="Arial" w:eastAsia="Arial" w:hAnsi="Arial"/>
          <w:sz w:val="18"/>
          <w:szCs w:val="18"/>
          <w:color w:val="auto"/>
        </w:rPr>
      </w:pPr>
    </w:p>
    <w:p>
      <w:pPr>
        <w:ind w:left="460" w:right="20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2015, we discontinued operations at the Company’s pressing fabric manufacturing facility in Germany, and recorded a charge of $3.3 million related to the write down of the land and building to their estimated fair market value. This asset was reclassified from Property, plant, and equipment to Asset held for sale.</w:t>
      </w:r>
    </w:p>
    <w:p>
      <w:pPr>
        <w:spacing w:after="0" w:line="7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6" w:lineRule="exact"/>
        <w:rPr>
          <w:sz w:val="20"/>
          <w:szCs w:val="20"/>
          <w:color w:val="auto"/>
        </w:rPr>
      </w:pPr>
    </w:p>
    <w:p>
      <w:pPr>
        <w:ind w:right="460" w:firstLine="378"/>
        <w:spacing w:after="0"/>
        <w:rPr>
          <w:sz w:val="20"/>
          <w:szCs w:val="20"/>
          <w:color w:val="auto"/>
        </w:rPr>
      </w:pPr>
      <w:r>
        <w:rPr>
          <w:rFonts w:ascii="Arial" w:cs="Arial" w:eastAsia="Arial" w:hAnsi="Arial"/>
          <w:sz w:val="18"/>
          <w:szCs w:val="18"/>
          <w:color w:val="auto"/>
        </w:rPr>
        <w:t>Management’s Discussion and Analysis of Financial Condition and Results of Operations (“MD&amp;A”) is intended to help the reader understand the results of operations and financial condition of the Company. MD&amp;A is provided as a supplement to, and should be read in conjunction with, our Consolidated Financial Statements and the accompanying Notes, in Item 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126" w:lineRule="exact"/>
        <w:rPr>
          <w:sz w:val="20"/>
          <w:szCs w:val="20"/>
          <w:color w:val="auto"/>
        </w:rPr>
      </w:pPr>
    </w:p>
    <w:p>
      <w:pPr>
        <w:ind w:right="120" w:firstLine="37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89" w:lineRule="exact"/>
        <w:rPr>
          <w:sz w:val="20"/>
          <w:szCs w:val="20"/>
          <w:color w:val="auto"/>
        </w:rPr>
      </w:pPr>
    </w:p>
    <w:p>
      <w:pPr>
        <w:ind w:right="60" w:firstLine="378"/>
        <w:spacing w:after="0" w:line="236"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Despite continued market pressure on revenue, the business retains the potential for maintaining stable earnings in the future. It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98" w:lineRule="exact"/>
        <w:rPr>
          <w:sz w:val="20"/>
          <w:szCs w:val="20"/>
          <w:color w:val="auto"/>
        </w:rPr>
      </w:pPr>
    </w:p>
    <w:p>
      <w:pPr>
        <w:ind w:right="100" w:firstLine="378"/>
        <w:spacing w:after="0" w:line="237"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22 percent of the Company’s consolidated net sales in 2019. The LEAP engine is used on the Airbus A320neo and Boeing 737 MAX family of jets, the latter of which is currently under a</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grounding order.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00" w:type="dxa"/>
            <w:vAlign w:val="bottom"/>
            <w:gridSpan w:val="5"/>
          </w:tcPr>
          <w:p>
            <w:pPr>
              <w:jc w:val="right"/>
              <w:ind w:right="754"/>
              <w:spacing w:after="0"/>
              <w:rPr>
                <w:sz w:val="20"/>
                <w:szCs w:val="20"/>
                <w:color w:val="auto"/>
              </w:rPr>
            </w:pPr>
            <w:r>
              <w:rPr>
                <w:rFonts w:ascii="Arial" w:cs="Arial" w:eastAsia="Arial" w:hAnsi="Arial"/>
                <w:sz w:val="14"/>
                <w:szCs w:val="14"/>
                <w:b w:val="1"/>
                <w:bCs w:val="1"/>
                <w:color w:val="auto"/>
              </w:rPr>
              <w:t>(in thousands, except percentages)</w:t>
            </w:r>
          </w:p>
        </w:tc>
      </w:tr>
      <w:tr>
        <w:trPr>
          <w:trHeight w:val="175"/>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5"/>
                <w:szCs w:val="15"/>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r>
      <w:tr>
        <w:trPr>
          <w:trHeight w:val="173"/>
        </w:trPr>
        <w:tc>
          <w:tcPr>
            <w:tcW w:w="20" w:type="dxa"/>
            <w:vAlign w:val="bottom"/>
          </w:tcPr>
          <w:p>
            <w:pPr>
              <w:spacing w:after="0"/>
              <w:rPr>
                <w:sz w:val="15"/>
                <w:szCs w:val="15"/>
                <w:color w:val="auto"/>
              </w:rPr>
            </w:pPr>
          </w:p>
        </w:tc>
        <w:tc>
          <w:tcPr>
            <w:tcW w:w="706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240" w:type="dxa"/>
            <w:vAlign w:val="bottom"/>
          </w:tcPr>
          <w:p>
            <w:pPr>
              <w:spacing w:after="0"/>
              <w:rPr>
                <w:sz w:val="15"/>
                <w:szCs w:val="15"/>
                <w:color w:val="auto"/>
              </w:rPr>
            </w:pPr>
          </w:p>
        </w:tc>
        <w:tc>
          <w:tcPr>
            <w:tcW w:w="4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77"/>
              <w:spacing w:after="0" w:line="173" w:lineRule="exact"/>
              <w:rPr>
                <w:sz w:val="20"/>
                <w:szCs w:val="20"/>
                <w:color w:val="auto"/>
              </w:rPr>
            </w:pPr>
            <w:r>
              <w:rPr>
                <w:rFonts w:ascii="Arial" w:cs="Arial" w:eastAsia="Arial" w:hAnsi="Arial"/>
                <w:sz w:val="18"/>
                <w:szCs w:val="18"/>
                <w:b w:val="1"/>
                <w:bCs w:val="1"/>
                <w:color w:val="auto"/>
              </w:rPr>
              <w:t>601,254</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$611,858</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$590,357</w:t>
            </w:r>
          </w:p>
        </w:tc>
      </w:tr>
      <w:tr>
        <w:trPr>
          <w:trHeight w:val="225"/>
        </w:trPr>
        <w:tc>
          <w:tcPr>
            <w:tcW w:w="7320" w:type="dxa"/>
            <w:vAlign w:val="bottom"/>
            <w:gridSpan w:val="3"/>
          </w:tcPr>
          <w:p>
            <w:pPr>
              <w:spacing w:after="0"/>
              <w:rPr>
                <w:sz w:val="20"/>
                <w:szCs w:val="20"/>
                <w:color w:val="auto"/>
              </w:rPr>
            </w:pPr>
            <w:r>
              <w:rPr>
                <w:rFonts w:ascii="Arial" w:cs="Arial" w:eastAsia="Arial" w:hAnsi="Arial"/>
                <w:sz w:val="18"/>
                <w:szCs w:val="18"/>
                <w:color w:val="auto"/>
              </w:rPr>
              <w:t>Albany Engineered Composites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452,878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370,621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273,360</w:t>
            </w:r>
          </w:p>
        </w:tc>
      </w:tr>
      <w:tr>
        <w:trPr>
          <w:trHeight w:val="196"/>
        </w:trPr>
        <w:tc>
          <w:tcPr>
            <w:tcW w:w="732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gridSpan w:val="2"/>
          </w:tcPr>
          <w:p>
            <w:pPr>
              <w:jc w:val="right"/>
              <w:ind w:right="157"/>
              <w:spacing w:after="0" w:line="196" w:lineRule="exact"/>
              <w:rPr>
                <w:sz w:val="20"/>
                <w:szCs w:val="20"/>
                <w:color w:val="auto"/>
              </w:rPr>
            </w:pPr>
            <w:r>
              <w:rPr>
                <w:rFonts w:ascii="Arial" w:cs="Arial" w:eastAsia="Arial" w:hAnsi="Arial"/>
                <w:sz w:val="18"/>
                <w:szCs w:val="18"/>
                <w:b w:val="1"/>
                <w:bCs w:val="1"/>
                <w:color w:val="auto"/>
              </w:rPr>
              <w:t>$1,054,132</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$982,479</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$863,717</w:t>
            </w:r>
          </w:p>
        </w:tc>
      </w:tr>
      <w:tr>
        <w:trPr>
          <w:trHeight w:val="196"/>
        </w:trPr>
        <w:tc>
          <w:tcPr>
            <w:tcW w:w="7320" w:type="dxa"/>
            <w:vAlign w:val="bottom"/>
            <w:gridSpan w:val="3"/>
          </w:tcPr>
          <w:p>
            <w:pPr>
              <w:spacing w:after="0" w:line="196" w:lineRule="exact"/>
              <w:rPr>
                <w:sz w:val="20"/>
                <w:szCs w:val="20"/>
                <w:color w:val="auto"/>
              </w:rPr>
            </w:pPr>
            <w:r>
              <w:rPr>
                <w:rFonts w:ascii="Arial" w:cs="Arial" w:eastAsia="Arial" w:hAnsi="Arial"/>
                <w:sz w:val="18"/>
                <w:szCs w:val="18"/>
                <w:color w:val="auto"/>
              </w:rPr>
              <w:t>% change</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7.3%</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w:t>
            </w:r>
          </w:p>
        </w:tc>
      </w:tr>
      <w:tr>
        <w:trPr>
          <w:trHeight w:val="318"/>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2019 vs. 2018</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21" w:lineRule="exact"/>
        <w:rPr>
          <w:sz w:val="20"/>
          <w:szCs w:val="20"/>
          <w:color w:val="auto"/>
        </w:rPr>
      </w:pPr>
    </w:p>
    <w:p>
      <w:pPr>
        <w:ind w:left="600" w:right="380" w:hanging="214"/>
        <w:spacing w:after="0" w:line="213" w:lineRule="auto"/>
        <w:tabs>
          <w:tab w:leader="none" w:pos="600" w:val="left"/>
        </w:tabs>
        <w:numPr>
          <w:ilvl w:val="0"/>
          <w:numId w:val="7"/>
        </w:numPr>
        <w:rPr>
          <w:rFonts w:ascii="Arial" w:cs="Arial" w:eastAsia="Arial" w:hAnsi="Arial"/>
          <w:sz w:val="23"/>
          <w:szCs w:val="23"/>
          <w:color w:val="auto"/>
        </w:rPr>
      </w:pPr>
      <w:r>
        <w:rPr>
          <w:rFonts w:ascii="Arial" w:cs="Arial" w:eastAsia="Arial" w:hAnsi="Arial"/>
          <w:sz w:val="18"/>
          <w:szCs w:val="18"/>
          <w:color w:val="auto"/>
        </w:rPr>
        <w:t>Changes in currency translation rates had the effect of decreasing 2019 Net sales by $14.8 million (1.4% of Net sales) compared to 2018. That currency translation effect was principally due to the weaker euro and Chinese renminbi in 2019, as compared to 2018.</w:t>
      </w:r>
    </w:p>
    <w:p>
      <w:pPr>
        <w:spacing w:after="0" w:line="87" w:lineRule="exact"/>
        <w:rPr>
          <w:rFonts w:ascii="Arial" w:cs="Arial" w:eastAsia="Arial" w:hAnsi="Arial"/>
          <w:sz w:val="23"/>
          <w:szCs w:val="23"/>
          <w:color w:val="auto"/>
        </w:rPr>
      </w:pPr>
    </w:p>
    <w:p>
      <w:pPr>
        <w:ind w:left="600" w:hanging="214"/>
        <w:spacing w:after="0"/>
        <w:tabs>
          <w:tab w:leader="none" w:pos="600" w:val="left"/>
        </w:tabs>
        <w:numPr>
          <w:ilvl w:val="0"/>
          <w:numId w:val="7"/>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w:t>
      </w:r>
    </w:p>
    <w:p>
      <w:pPr>
        <w:spacing w:after="0" w:line="73" w:lineRule="exact"/>
        <w:rPr>
          <w:rFonts w:ascii="Arial" w:cs="Arial" w:eastAsia="Arial" w:hAnsi="Arial"/>
          <w:sz w:val="23"/>
          <w:szCs w:val="23"/>
          <w:color w:val="auto"/>
        </w:rPr>
      </w:pPr>
    </w:p>
    <w:p>
      <w:pPr>
        <w:ind w:left="860" w:hanging="222"/>
        <w:spacing w:after="0"/>
        <w:tabs>
          <w:tab w:leader="none" w:pos="860" w:val="left"/>
        </w:tabs>
        <w:numPr>
          <w:ilvl w:val="1"/>
          <w:numId w:val="7"/>
        </w:numPr>
        <w:rPr>
          <w:rFonts w:ascii="Arial" w:cs="Arial" w:eastAsia="Arial" w:hAnsi="Arial"/>
          <w:sz w:val="23"/>
          <w:szCs w:val="23"/>
          <w:color w:val="auto"/>
        </w:rPr>
      </w:pPr>
      <w:r>
        <w:rPr>
          <w:rFonts w:ascii="Arial" w:cs="Arial" w:eastAsia="Arial" w:hAnsi="Arial"/>
          <w:sz w:val="18"/>
          <w:szCs w:val="18"/>
          <w:color w:val="auto"/>
        </w:rPr>
        <w:t>Consolidated Net sales increased 8.8%.</w:t>
      </w:r>
    </w:p>
    <w:p>
      <w:pPr>
        <w:spacing w:after="0" w:line="120" w:lineRule="exact"/>
        <w:rPr>
          <w:rFonts w:ascii="Arial" w:cs="Arial" w:eastAsia="Arial" w:hAnsi="Arial"/>
          <w:sz w:val="23"/>
          <w:szCs w:val="23"/>
          <w:color w:val="auto"/>
        </w:rPr>
      </w:pPr>
    </w:p>
    <w:p>
      <w:pPr>
        <w:ind w:left="860" w:right="460" w:hanging="222"/>
        <w:spacing w:after="0" w:line="213" w:lineRule="auto"/>
        <w:tabs>
          <w:tab w:leader="none" w:pos="860" w:val="left"/>
        </w:tabs>
        <w:numPr>
          <w:ilvl w:val="1"/>
          <w:numId w:val="7"/>
        </w:numPr>
        <w:rPr>
          <w:rFonts w:ascii="Arial" w:cs="Arial" w:eastAsia="Arial" w:hAnsi="Arial"/>
          <w:sz w:val="23"/>
          <w:szCs w:val="23"/>
          <w:color w:val="auto"/>
        </w:rPr>
      </w:pPr>
      <w:r>
        <w:rPr>
          <w:rFonts w:ascii="Arial" w:cs="Arial" w:eastAsia="Arial" w:hAnsi="Arial"/>
          <w:sz w:val="18"/>
          <w:szCs w:val="18"/>
          <w:color w:val="auto"/>
        </w:rPr>
        <w:t>Net sales in MC were flat compared to 2018, as increases in sales for tissue and packaging grades were offset by decreases in sales for publication grades.</w:t>
      </w:r>
    </w:p>
    <w:p>
      <w:pPr>
        <w:spacing w:after="0" w:line="87" w:lineRule="exact"/>
        <w:rPr>
          <w:rFonts w:ascii="Arial" w:cs="Arial" w:eastAsia="Arial" w:hAnsi="Arial"/>
          <w:sz w:val="23"/>
          <w:szCs w:val="23"/>
          <w:color w:val="auto"/>
        </w:rPr>
      </w:pPr>
    </w:p>
    <w:p>
      <w:pPr>
        <w:ind w:left="860" w:hanging="222"/>
        <w:spacing w:after="0"/>
        <w:tabs>
          <w:tab w:leader="none" w:pos="860" w:val="left"/>
        </w:tabs>
        <w:numPr>
          <w:ilvl w:val="1"/>
          <w:numId w:val="7"/>
        </w:numPr>
        <w:rPr>
          <w:rFonts w:ascii="Arial" w:cs="Arial" w:eastAsia="Arial" w:hAnsi="Arial"/>
          <w:sz w:val="23"/>
          <w:szCs w:val="23"/>
          <w:color w:val="auto"/>
        </w:rPr>
      </w:pPr>
      <w:r>
        <w:rPr>
          <w:rFonts w:ascii="Arial" w:cs="Arial" w:eastAsia="Arial" w:hAnsi="Arial"/>
          <w:sz w:val="18"/>
          <w:szCs w:val="18"/>
          <w:color w:val="auto"/>
        </w:rPr>
        <w:t>Net sales in AEC increased 23.4%, driven by growth in the LEAP, F-35, CH-53K and Boeing 787 programs.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126" w:lineRule="exact"/>
        <w:rPr>
          <w:sz w:val="20"/>
          <w:szCs w:val="20"/>
          <w:color w:val="auto"/>
        </w:rPr>
      </w:pPr>
    </w:p>
    <w:p>
      <w:pPr>
        <w:ind w:right="60" w:firstLine="378"/>
        <w:spacing w:after="0" w:line="239" w:lineRule="auto"/>
        <w:rPr>
          <w:sz w:val="20"/>
          <w:szCs w:val="20"/>
          <w:color w:val="auto"/>
        </w:rPr>
      </w:pPr>
      <w:r>
        <w:rPr>
          <w:rFonts w:ascii="Arial" w:cs="Arial" w:eastAsia="Arial" w:hAnsi="Arial"/>
          <w:sz w:val="18"/>
          <w:szCs w:val="18"/>
          <w:color w:val="auto"/>
        </w:rPr>
        <w:t>Effective January 1, 2018, the Company adopted the provisions of ASC 606, “Revenue from contracts with customers”, using the modified retrospective (or cumulative effect) method for transition. Under this transition method, periods prior to 2018 were not restated, which affects comparability of results for 2018 and 2017. The following table summarizes the effect on various financial statement line items that resulted from the adoption of ASC 606:</w:t>
      </w:r>
    </w:p>
    <w:p>
      <w:pPr>
        <w:spacing w:after="0" w:line="149"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Increase/(decrease) attributable to adoption of</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Income tax</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ASC 606 for the year ended December 31, 2018</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Albany</w:t>
            </w:r>
          </w:p>
        </w:tc>
        <w:tc>
          <w:tcPr>
            <w:tcW w:w="15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and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Machine</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Engineered</w:t>
            </w: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Clothing</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Composites</w:t>
            </w: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interest effects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3"/>
        </w:trPr>
        <w:tc>
          <w:tcPr>
            <w:tcW w:w="48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15"/>
                <w:szCs w:val="15"/>
                <w:color w:val="auto"/>
              </w:rPr>
            </w:pPr>
          </w:p>
        </w:tc>
        <w:tc>
          <w:tcPr>
            <w:tcW w:w="1000" w:type="dxa"/>
            <w:vAlign w:val="bottom"/>
            <w:tcBorders>
              <w:top w:val="single" w:sz="8" w:color="auto"/>
            </w:tcBorders>
          </w:tcPr>
          <w:p>
            <w:pPr>
              <w:jc w:val="right"/>
              <w:ind w:right="54"/>
              <w:spacing w:after="0" w:line="173" w:lineRule="exact"/>
              <w:rPr>
                <w:sz w:val="20"/>
                <w:szCs w:val="20"/>
                <w:color w:val="auto"/>
              </w:rPr>
            </w:pPr>
            <w:r>
              <w:rPr>
                <w:rFonts w:ascii="Arial" w:cs="Arial" w:eastAsia="Arial" w:hAnsi="Arial"/>
                <w:sz w:val="18"/>
                <w:szCs w:val="18"/>
                <w:color w:val="auto"/>
              </w:rPr>
              <w:t>$(3,970)</w:t>
            </w:r>
          </w:p>
        </w:tc>
        <w:tc>
          <w:tcPr>
            <w:tcW w:w="220" w:type="dxa"/>
            <w:vAlign w:val="bottom"/>
          </w:tcPr>
          <w:p>
            <w:pPr>
              <w:spacing w:after="0"/>
              <w:rPr>
                <w:sz w:val="15"/>
                <w:szCs w:val="15"/>
                <w:color w:val="auto"/>
              </w:rPr>
            </w:pPr>
          </w:p>
        </w:tc>
        <w:tc>
          <w:tcPr>
            <w:tcW w:w="1200" w:type="dxa"/>
            <w:vAlign w:val="bottom"/>
            <w:tcBorders>
              <w:top w:val="single" w:sz="8" w:color="auto"/>
            </w:tcBorders>
          </w:tcPr>
          <w:p>
            <w:pPr>
              <w:jc w:val="right"/>
              <w:ind w:right="155"/>
              <w:spacing w:after="0" w:line="173" w:lineRule="exact"/>
              <w:rPr>
                <w:sz w:val="20"/>
                <w:szCs w:val="20"/>
                <w:color w:val="auto"/>
              </w:rPr>
            </w:pPr>
            <w:r>
              <w:rPr>
                <w:rFonts w:ascii="Arial" w:cs="Arial" w:eastAsia="Arial" w:hAnsi="Arial"/>
                <w:sz w:val="18"/>
                <w:szCs w:val="18"/>
                <w:color w:val="auto"/>
              </w:rPr>
              <w:t>$(3,150)</w:t>
            </w:r>
          </w:p>
        </w:tc>
        <w:tc>
          <w:tcPr>
            <w:tcW w:w="180" w:type="dxa"/>
            <w:vAlign w:val="bottom"/>
          </w:tcPr>
          <w:p>
            <w:pPr>
              <w:spacing w:after="0"/>
              <w:rPr>
                <w:sz w:val="15"/>
                <w:szCs w:val="15"/>
                <w:color w:val="auto"/>
              </w:rPr>
            </w:pPr>
          </w:p>
        </w:tc>
        <w:tc>
          <w:tcPr>
            <w:tcW w:w="1400" w:type="dxa"/>
            <w:vAlign w:val="bottom"/>
            <w:tcBorders>
              <w:top w:val="single" w:sz="8" w:color="auto"/>
            </w:tcBorders>
          </w:tcPr>
          <w:p>
            <w:pPr>
              <w:jc w:val="right"/>
              <w:ind w:right="336"/>
              <w:spacing w:after="0" w:line="173"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8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$(7,120)</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0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(1,617)</w:t>
            </w:r>
          </w:p>
        </w:tc>
        <w:tc>
          <w:tcPr>
            <w:tcW w:w="220" w:type="dxa"/>
            <w:vAlign w:val="bottom"/>
          </w:tcPr>
          <w:p>
            <w:pPr>
              <w:spacing w:after="0"/>
              <w:rPr>
                <w:sz w:val="17"/>
                <w:szCs w:val="17"/>
                <w:color w:val="auto"/>
              </w:rPr>
            </w:pPr>
          </w:p>
        </w:tc>
        <w:tc>
          <w:tcPr>
            <w:tcW w:w="120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4,930</w:t>
            </w:r>
          </w:p>
        </w:tc>
        <w:tc>
          <w:tcPr>
            <w:tcW w:w="180" w:type="dxa"/>
            <w:vAlign w:val="bottom"/>
          </w:tcPr>
          <w:p>
            <w:pPr>
              <w:spacing w:after="0"/>
              <w:rPr>
                <w:sz w:val="17"/>
                <w:szCs w:val="17"/>
                <w:color w:val="auto"/>
              </w:rPr>
            </w:pPr>
          </w:p>
        </w:tc>
        <w:tc>
          <w:tcPr>
            <w:tcW w:w="15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3,313</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000" w:type="dxa"/>
            <w:vAlign w:val="bottom"/>
          </w:tcPr>
          <w:p>
            <w:pPr>
              <w:jc w:val="center"/>
              <w:ind w:left="274"/>
              <w:spacing w:after="0" w:line="202" w:lineRule="exact"/>
              <w:rPr>
                <w:sz w:val="20"/>
                <w:szCs w:val="20"/>
                <w:color w:val="auto"/>
              </w:rPr>
            </w:pPr>
            <w:r>
              <w:rPr>
                <w:rFonts w:ascii="Arial" w:cs="Arial" w:eastAsia="Arial" w:hAnsi="Arial"/>
                <w:sz w:val="18"/>
                <w:szCs w:val="18"/>
                <w:color w:val="auto"/>
                <w:w w:val="99"/>
              </w:rPr>
              <w:t>(12)</w:t>
            </w:r>
          </w:p>
        </w:tc>
        <w:tc>
          <w:tcPr>
            <w:tcW w:w="220" w:type="dxa"/>
            <w:vAlign w:val="bottom"/>
          </w:tcPr>
          <w:p>
            <w:pPr>
              <w:spacing w:after="0"/>
              <w:rPr>
                <w:sz w:val="17"/>
                <w:szCs w:val="17"/>
                <w:color w:val="auto"/>
              </w:rPr>
            </w:pPr>
          </w:p>
        </w:tc>
        <w:tc>
          <w:tcPr>
            <w:tcW w:w="13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 and Income before income taxes</w:t>
            </w:r>
          </w:p>
        </w:tc>
        <w:tc>
          <w:tcPr>
            <w:tcW w:w="10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(1,605)</w:t>
            </w:r>
          </w:p>
        </w:tc>
        <w:tc>
          <w:tcPr>
            <w:tcW w:w="220" w:type="dxa"/>
            <w:vAlign w:val="bottom"/>
          </w:tcPr>
          <w:p>
            <w:pPr>
              <w:spacing w:after="0"/>
              <w:rPr>
                <w:sz w:val="17"/>
                <w:szCs w:val="17"/>
                <w:color w:val="auto"/>
              </w:rPr>
            </w:pPr>
          </w:p>
        </w:tc>
        <w:tc>
          <w:tcPr>
            <w:tcW w:w="120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4,930</w:t>
            </w:r>
          </w:p>
        </w:tc>
        <w:tc>
          <w:tcPr>
            <w:tcW w:w="180" w:type="dxa"/>
            <w:vAlign w:val="bottom"/>
          </w:tcPr>
          <w:p>
            <w:pPr>
              <w:spacing w:after="0"/>
              <w:rPr>
                <w:sz w:val="17"/>
                <w:szCs w:val="17"/>
                <w:color w:val="auto"/>
              </w:rPr>
            </w:pPr>
          </w:p>
        </w:tc>
        <w:tc>
          <w:tcPr>
            <w:tcW w:w="15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3,325</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1220" w:type="dxa"/>
            <w:vAlign w:val="bottom"/>
            <w:gridSpan w:val="2"/>
          </w:tcPr>
          <w:p>
            <w:pPr>
              <w:jc w:val="center"/>
              <w:ind w:left="74"/>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877</w:t>
            </w:r>
          </w:p>
        </w:tc>
        <w:tc>
          <w:tcPr>
            <w:tcW w:w="18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877</w:t>
            </w:r>
          </w:p>
        </w:tc>
        <w:tc>
          <w:tcPr>
            <w:tcW w:w="0" w:type="dxa"/>
            <w:vAlign w:val="bottom"/>
          </w:tcPr>
          <w:p>
            <w:pPr>
              <w:spacing w:after="0"/>
              <w:rPr>
                <w:sz w:val="1"/>
                <w:szCs w:val="1"/>
                <w:color w:val="auto"/>
              </w:rPr>
            </w:pPr>
          </w:p>
        </w:tc>
      </w:tr>
      <w:tr>
        <w:trPr>
          <w:trHeight w:val="225"/>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(1,605)</w:t>
            </w:r>
          </w:p>
        </w:tc>
        <w:tc>
          <w:tcPr>
            <w:tcW w:w="220" w:type="dxa"/>
            <w:vAlign w:val="bottom"/>
          </w:tcPr>
          <w:p>
            <w:pPr>
              <w:spacing w:after="0"/>
              <w:rPr>
                <w:sz w:val="19"/>
                <w:szCs w:val="19"/>
                <w:color w:val="auto"/>
              </w:rPr>
            </w:pPr>
          </w:p>
        </w:tc>
        <w:tc>
          <w:tcPr>
            <w:tcW w:w="1200" w:type="dxa"/>
            <w:vAlign w:val="bottom"/>
          </w:tcPr>
          <w:p>
            <w:pPr>
              <w:jc w:val="right"/>
              <w:ind w:right="215"/>
              <w:spacing w:after="0"/>
              <w:rPr>
                <w:sz w:val="20"/>
                <w:szCs w:val="20"/>
                <w:color w:val="auto"/>
              </w:rPr>
            </w:pPr>
            <w:r>
              <w:rPr>
                <w:rFonts w:ascii="Arial" w:cs="Arial" w:eastAsia="Arial" w:hAnsi="Arial"/>
                <w:sz w:val="18"/>
                <w:szCs w:val="18"/>
                <w:color w:val="auto"/>
              </w:rPr>
              <w:t>4,930</w:t>
            </w:r>
          </w:p>
        </w:tc>
        <w:tc>
          <w:tcPr>
            <w:tcW w:w="180" w:type="dxa"/>
            <w:vAlign w:val="bottom"/>
          </w:tcPr>
          <w:p>
            <w:pPr>
              <w:spacing w:after="0"/>
              <w:rPr>
                <w:sz w:val="19"/>
                <w:szCs w:val="19"/>
                <w:color w:val="auto"/>
              </w:rPr>
            </w:pP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2,448</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the noncontrolling interest in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181"/>
        </w:trPr>
        <w:tc>
          <w:tcPr>
            <w:tcW w:w="502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ASC</w:t>
            </w:r>
          </w:p>
        </w:tc>
        <w:tc>
          <w:tcPr>
            <w:tcW w:w="1220" w:type="dxa"/>
            <w:vAlign w:val="bottom"/>
            <w:gridSpan w:val="2"/>
          </w:tcPr>
          <w:p>
            <w:pPr>
              <w:jc w:val="center"/>
              <w:ind w:left="74"/>
              <w:spacing w:after="0" w:line="181"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680"/>
              <w:spacing w:after="0" w:line="18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6"/>
              <w:spacing w:after="0" w:line="181" w:lineRule="exact"/>
              <w:rPr>
                <w:sz w:val="20"/>
                <w:szCs w:val="20"/>
                <w:color w:val="auto"/>
              </w:rPr>
            </w:pPr>
            <w:r>
              <w:rPr>
                <w:rFonts w:ascii="Arial" w:cs="Arial" w:eastAsia="Arial" w:hAnsi="Arial"/>
                <w:sz w:val="18"/>
                <w:szCs w:val="18"/>
                <w:color w:val="auto"/>
              </w:rPr>
              <w:t>129</w:t>
            </w: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 attributable to the Company</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$(1,605)</w:t>
            </w:r>
          </w:p>
        </w:tc>
        <w:tc>
          <w:tcPr>
            <w:tcW w:w="220" w:type="dxa"/>
            <w:vAlign w:val="bottom"/>
          </w:tcPr>
          <w:p>
            <w:pPr>
              <w:spacing w:after="0"/>
              <w:rPr>
                <w:sz w:val="20"/>
                <w:szCs w:val="20"/>
                <w:color w:val="auto"/>
              </w:rPr>
            </w:pPr>
          </w:p>
        </w:tc>
        <w:tc>
          <w:tcPr>
            <w:tcW w:w="1200" w:type="dxa"/>
            <w:vAlign w:val="bottom"/>
          </w:tcPr>
          <w:p>
            <w:pPr>
              <w:jc w:val="right"/>
              <w:ind w:right="215"/>
              <w:spacing w:after="0"/>
              <w:rPr>
                <w:sz w:val="20"/>
                <w:szCs w:val="20"/>
                <w:color w:val="auto"/>
              </w:rPr>
            </w:pPr>
            <w:r>
              <w:rPr>
                <w:rFonts w:ascii="Arial" w:cs="Arial" w:eastAsia="Arial" w:hAnsi="Arial"/>
                <w:sz w:val="18"/>
                <w:szCs w:val="18"/>
                <w:color w:val="auto"/>
              </w:rPr>
              <w:t>$ 4,930</w:t>
            </w:r>
          </w:p>
        </w:tc>
        <w:tc>
          <w:tcPr>
            <w:tcW w:w="180" w:type="dxa"/>
            <w:vAlign w:val="bottom"/>
          </w:tcPr>
          <w:p>
            <w:pPr>
              <w:spacing w:after="0"/>
              <w:rPr>
                <w:sz w:val="20"/>
                <w:szCs w:val="20"/>
                <w:color w:val="auto"/>
              </w:rPr>
            </w:pPr>
          </w:p>
        </w:tc>
        <w:tc>
          <w:tcPr>
            <w:tcW w:w="1400" w:type="dxa"/>
            <w:vAlign w:val="bottom"/>
          </w:tcPr>
          <w:p>
            <w:pPr>
              <w:jc w:val="right"/>
              <w:ind w:right="256"/>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b w:val="1"/>
                <w:bCs w:val="1"/>
                <w:color w:val="auto"/>
              </w:rPr>
              <w:t>$ 2,319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0" w:right="40" w:hanging="214"/>
        <w:spacing w:after="0" w:line="213" w:lineRule="auto"/>
        <w:tabs>
          <w:tab w:leader="none" w:pos="600" w:val="left"/>
        </w:tabs>
        <w:numPr>
          <w:ilvl w:val="0"/>
          <w:numId w:val="8"/>
        </w:numPr>
        <w:rPr>
          <w:rFonts w:ascii="Arial" w:cs="Arial" w:eastAsia="Arial" w:hAnsi="Arial"/>
          <w:sz w:val="23"/>
          <w:szCs w:val="23"/>
          <w:color w:val="auto"/>
        </w:rPr>
      </w:pPr>
      <w:r>
        <w:rPr>
          <w:rFonts w:ascii="Arial" w:cs="Arial" w:eastAsia="Arial" w:hAnsi="Arial"/>
          <w:sz w:val="18"/>
          <w:szCs w:val="18"/>
          <w:color w:val="auto"/>
        </w:rPr>
        <w:t>Changes in currency translation rates had the effect of increasing Net sales by $8.5 million (0.9% of Net sales), compared to 2017. That currency translation effect was principally due to the euro being stronger in 2018, as compared to 2017.</w:t>
      </w:r>
    </w:p>
    <w:p>
      <w:pPr>
        <w:spacing w:after="0" w:line="87" w:lineRule="exact"/>
        <w:rPr>
          <w:rFonts w:ascii="Arial" w:cs="Arial" w:eastAsia="Arial" w:hAnsi="Arial"/>
          <w:sz w:val="23"/>
          <w:szCs w:val="23"/>
          <w:color w:val="auto"/>
        </w:rPr>
      </w:pPr>
    </w:p>
    <w:p>
      <w:pPr>
        <w:ind w:left="600" w:hanging="214"/>
        <w:spacing w:after="0"/>
        <w:tabs>
          <w:tab w:leader="none" w:pos="600" w:val="left"/>
        </w:tabs>
        <w:numPr>
          <w:ilvl w:val="0"/>
          <w:numId w:val="8"/>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w:t>
      </w:r>
    </w:p>
    <w:p>
      <w:pPr>
        <w:spacing w:after="0" w:line="120" w:lineRule="exact"/>
        <w:rPr>
          <w:rFonts w:ascii="Arial" w:cs="Arial" w:eastAsia="Arial" w:hAnsi="Arial"/>
          <w:sz w:val="23"/>
          <w:szCs w:val="23"/>
          <w:color w:val="auto"/>
        </w:rPr>
      </w:pPr>
    </w:p>
    <w:p>
      <w:pPr>
        <w:ind w:left="860" w:right="560" w:hanging="222"/>
        <w:spacing w:after="0" w:line="213" w:lineRule="auto"/>
        <w:tabs>
          <w:tab w:leader="none" w:pos="860" w:val="left"/>
        </w:tabs>
        <w:numPr>
          <w:ilvl w:val="1"/>
          <w:numId w:val="8"/>
        </w:numPr>
        <w:rPr>
          <w:rFonts w:ascii="Arial" w:cs="Arial" w:eastAsia="Arial" w:hAnsi="Arial"/>
          <w:sz w:val="23"/>
          <w:szCs w:val="23"/>
          <w:color w:val="auto"/>
        </w:rPr>
      </w:pPr>
      <w:r>
        <w:rPr>
          <w:rFonts w:ascii="Arial" w:cs="Arial" w:eastAsia="Arial" w:hAnsi="Arial"/>
          <w:sz w:val="18"/>
          <w:szCs w:val="18"/>
          <w:color w:val="auto"/>
        </w:rPr>
        <w:t>Consolidated Net sales increased 12.8%. Excluding the additional effect of applying ASC 606 in 2018, but not 2017, Net sales increased 13.6%.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ind w:left="860" w:right="140" w:hanging="222"/>
        <w:spacing w:after="0" w:line="213" w:lineRule="auto"/>
        <w:tabs>
          <w:tab w:leader="none" w:pos="860" w:val="left"/>
        </w:tabs>
        <w:numPr>
          <w:ilvl w:val="0"/>
          <w:numId w:val="9"/>
        </w:numPr>
        <w:rPr>
          <w:rFonts w:ascii="Arial" w:cs="Arial" w:eastAsia="Arial" w:hAnsi="Arial"/>
          <w:sz w:val="23"/>
          <w:szCs w:val="23"/>
          <w:color w:val="auto"/>
        </w:rPr>
      </w:pPr>
      <w:r>
        <w:rPr>
          <w:rFonts w:ascii="Arial" w:cs="Arial" w:eastAsia="Arial" w:hAnsi="Arial"/>
          <w:sz w:val="18"/>
          <w:szCs w:val="18"/>
          <w:color w:val="auto"/>
        </w:rPr>
        <w:t>Net sales in MC increased 2.6%. Excluding the additional effect of applying ASC 606 in 2018, Net sales increased 3.3%, principally due to global growth in sales for packaging and tissue grades.</w:t>
      </w:r>
    </w:p>
    <w:p>
      <w:pPr>
        <w:spacing w:after="0" w:line="121" w:lineRule="exact"/>
        <w:rPr>
          <w:rFonts w:ascii="Arial" w:cs="Arial" w:eastAsia="Arial" w:hAnsi="Arial"/>
          <w:sz w:val="23"/>
          <w:szCs w:val="23"/>
          <w:color w:val="auto"/>
        </w:rPr>
      </w:pPr>
    </w:p>
    <w:p>
      <w:pPr>
        <w:ind w:left="860" w:right="700" w:hanging="222"/>
        <w:spacing w:after="0" w:line="213" w:lineRule="auto"/>
        <w:tabs>
          <w:tab w:leader="none" w:pos="860" w:val="left"/>
        </w:tabs>
        <w:numPr>
          <w:ilvl w:val="0"/>
          <w:numId w:val="9"/>
        </w:numPr>
        <w:rPr>
          <w:rFonts w:ascii="Arial" w:cs="Arial" w:eastAsia="Arial" w:hAnsi="Arial"/>
          <w:sz w:val="23"/>
          <w:szCs w:val="23"/>
          <w:color w:val="auto"/>
        </w:rPr>
      </w:pPr>
      <w:r>
        <w:rPr>
          <w:rFonts w:ascii="Arial" w:cs="Arial" w:eastAsia="Arial" w:hAnsi="Arial"/>
          <w:sz w:val="18"/>
          <w:szCs w:val="18"/>
          <w:color w:val="auto"/>
        </w:rPr>
        <w:t>Net sales in AEC increased 34.7%. Excluding the additional effect of applying ASC 606 in 2018, Net sales increased 35.9%, primarily driven by growth in the LEAP, Boeing 787, F-35, and CH-53K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6" w:lineRule="exact"/>
        <w:rPr>
          <w:sz w:val="20"/>
          <w:szCs w:val="20"/>
          <w:color w:val="auto"/>
        </w:rPr>
      </w:pPr>
    </w:p>
    <w:p>
      <w:pPr>
        <w:ind w:right="140" w:firstLine="378"/>
        <w:spacing w:after="0" w:line="239" w:lineRule="auto"/>
        <w:rPr>
          <w:sz w:val="20"/>
          <w:szCs w:val="20"/>
          <w:color w:val="auto"/>
        </w:rPr>
      </w:pPr>
      <w:r>
        <w:rPr>
          <w:rFonts w:ascii="Arial" w:cs="Arial" w:eastAsia="Arial" w:hAnsi="Arial"/>
          <w:sz w:val="18"/>
          <w:szCs w:val="18"/>
          <w:color w:val="auto"/>
        </w:rPr>
        <w:t>Backlog in the MC segment was $165.6 million at December 31, 2019, compared to $170.5 million at December 31, 2018. Backlog in the AEC segment decreased to $288.1 million at December 31, 2019, compared to $393.3 million at December 31, 2018. The decrease reflects the grounding of the Boeing 737 MAX aircraft. All of the backlog in MC and approximately 95% of the AEC backlog is expected to be invoiced during the next 12 months.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410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169"/>
        </w:trPr>
        <w:tc>
          <w:tcPr>
            <w:tcW w:w="592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55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4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$309,641</w:t>
            </w:r>
          </w:p>
        </w:tc>
        <w:tc>
          <w:tcPr>
            <w:tcW w:w="420" w:type="dxa"/>
            <w:vAlign w:val="bottom"/>
          </w:tcPr>
          <w:p>
            <w:pPr>
              <w:spacing w:after="0"/>
              <w:rPr>
                <w:sz w:val="15"/>
                <w:szCs w:val="15"/>
                <w:color w:val="auto"/>
              </w:rPr>
            </w:pPr>
          </w:p>
        </w:tc>
        <w:tc>
          <w:tcPr>
            <w:tcW w:w="10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$297,416</w:t>
            </w:r>
          </w:p>
        </w:tc>
        <w:tc>
          <w:tcPr>
            <w:tcW w:w="4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$280,686</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10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88,060</w:t>
            </w:r>
          </w:p>
        </w:tc>
        <w:tc>
          <w:tcPr>
            <w:tcW w:w="420" w:type="dxa"/>
            <w:vAlign w:val="bottom"/>
          </w:tcPr>
          <w:p>
            <w:pPr>
              <w:spacing w:after="0"/>
              <w:rPr>
                <w:sz w:val="17"/>
                <w:szCs w:val="17"/>
                <w:color w:val="auto"/>
              </w:rPr>
            </w:pPr>
          </w:p>
        </w:tc>
        <w:tc>
          <w:tcPr>
            <w:tcW w:w="10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52,550</w:t>
            </w:r>
          </w:p>
        </w:tc>
        <w:tc>
          <w:tcPr>
            <w:tcW w:w="400" w:type="dxa"/>
            <w:vAlign w:val="bottom"/>
          </w:tcPr>
          <w:p>
            <w:pPr>
              <w:spacing w:after="0"/>
              <w:rPr>
                <w:sz w:val="17"/>
                <w:szCs w:val="17"/>
                <w:color w:val="auto"/>
              </w:rPr>
            </w:pPr>
          </w:p>
        </w:tc>
        <w:tc>
          <w:tcPr>
            <w:tcW w:w="11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25"/>
        </w:trPr>
        <w:tc>
          <w:tcPr>
            <w:tcW w:w="592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96"/>
        </w:trPr>
        <w:tc>
          <w:tcPr>
            <w:tcW w:w="59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$397,701</w:t>
            </w:r>
          </w:p>
        </w:tc>
        <w:tc>
          <w:tcPr>
            <w:tcW w:w="4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$349,749</w:t>
            </w:r>
          </w:p>
        </w:tc>
        <w:tc>
          <w:tcPr>
            <w:tcW w:w="4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$296,283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gridSpan w:val="2"/>
          </w:tcPr>
          <w:p>
            <w:pPr>
              <w:spacing w:after="0"/>
              <w:rPr>
                <w:sz w:val="20"/>
                <w:szCs w:val="20"/>
                <w:color w:val="auto"/>
              </w:rPr>
            </w:pPr>
            <w:r>
              <w:rPr>
                <w:rFonts w:ascii="Arial" w:cs="Arial" w:eastAsia="Arial" w:hAnsi="Arial"/>
                <w:sz w:val="18"/>
                <w:szCs w:val="18"/>
                <w:color w:val="auto"/>
              </w:rPr>
              <w:t>% of Net Sales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2019 Gross profit, as compared to 2018, was principally due to the net effect of the following individually significant items:</w:t>
      </w:r>
    </w:p>
    <w:p>
      <w:pPr>
        <w:spacing w:after="0" w:line="131" w:lineRule="exact"/>
        <w:rPr>
          <w:sz w:val="20"/>
          <w:szCs w:val="20"/>
          <w:color w:val="auto"/>
        </w:rPr>
      </w:pPr>
    </w:p>
    <w:p>
      <w:pPr>
        <w:ind w:left="600" w:right="300" w:hanging="214"/>
        <w:spacing w:after="0" w:line="213" w:lineRule="auto"/>
        <w:tabs>
          <w:tab w:leader="none" w:pos="600" w:val="left"/>
        </w:tabs>
        <w:numPr>
          <w:ilvl w:val="0"/>
          <w:numId w:val="10"/>
        </w:numPr>
        <w:rPr>
          <w:rFonts w:ascii="Arial" w:cs="Arial" w:eastAsia="Arial" w:hAnsi="Arial"/>
          <w:sz w:val="23"/>
          <w:szCs w:val="23"/>
          <w:color w:val="auto"/>
        </w:rPr>
      </w:pPr>
      <w:r>
        <w:rPr>
          <w:rFonts w:ascii="Arial" w:cs="Arial" w:eastAsia="Arial" w:hAnsi="Arial"/>
          <w:sz w:val="18"/>
          <w:szCs w:val="18"/>
          <w:color w:val="auto"/>
        </w:rPr>
        <w:t>The increase in MC Gross profit of $12.2 million, was principally due to a $9.0 million reduction in depreciation expense that resulted principally from significant investments made approximately ten years ago that have become fully depreciated.</w:t>
      </w:r>
    </w:p>
    <w:p>
      <w:pPr>
        <w:spacing w:after="0" w:line="74" w:lineRule="exact"/>
        <w:rPr>
          <w:rFonts w:ascii="Arial" w:cs="Arial" w:eastAsia="Arial" w:hAnsi="Arial"/>
          <w:sz w:val="23"/>
          <w:szCs w:val="23"/>
          <w:color w:val="auto"/>
        </w:rPr>
      </w:pPr>
    </w:p>
    <w:p>
      <w:pPr>
        <w:ind w:left="600" w:hanging="214"/>
        <w:spacing w:after="0"/>
        <w:tabs>
          <w:tab w:leader="none" w:pos="600" w:val="left"/>
        </w:tabs>
        <w:numPr>
          <w:ilvl w:val="0"/>
          <w:numId w:val="10"/>
        </w:numPr>
        <w:rPr>
          <w:rFonts w:ascii="Arial" w:cs="Arial" w:eastAsia="Arial" w:hAnsi="Arial"/>
          <w:sz w:val="23"/>
          <w:szCs w:val="23"/>
          <w:color w:val="auto"/>
        </w:rPr>
      </w:pPr>
      <w:r>
        <w:rPr>
          <w:rFonts w:ascii="Arial" w:cs="Arial" w:eastAsia="Arial" w:hAnsi="Arial"/>
          <w:sz w:val="18"/>
          <w:szCs w:val="18"/>
          <w:color w:val="auto"/>
        </w:rPr>
        <w:t>The increase in AEC Gross profit of $35.5 million, was principally due to the effect of the following individually significant items:</w:t>
      </w:r>
    </w:p>
    <w:p>
      <w:pPr>
        <w:spacing w:after="0" w:line="134" w:lineRule="exact"/>
        <w:rPr>
          <w:rFonts w:ascii="Arial" w:cs="Arial" w:eastAsia="Arial" w:hAnsi="Arial"/>
          <w:sz w:val="23"/>
          <w:szCs w:val="23"/>
          <w:color w:val="auto"/>
        </w:rPr>
      </w:pPr>
    </w:p>
    <w:p>
      <w:pPr>
        <w:ind w:left="820" w:right="100" w:hanging="218"/>
        <w:spacing w:after="0" w:line="213" w:lineRule="auto"/>
        <w:tabs>
          <w:tab w:leader="none" w:pos="820" w:val="left"/>
        </w:tabs>
        <w:numPr>
          <w:ilvl w:val="1"/>
          <w:numId w:val="10"/>
        </w:numPr>
        <w:rPr>
          <w:rFonts w:ascii="Arial" w:cs="Arial" w:eastAsia="Arial" w:hAnsi="Arial"/>
          <w:sz w:val="23"/>
          <w:szCs w:val="23"/>
          <w:color w:val="auto"/>
        </w:rPr>
      </w:pPr>
      <w:r>
        <w:rPr>
          <w:rFonts w:ascii="Arial" w:cs="Arial" w:eastAsia="Arial" w:hAnsi="Arial"/>
          <w:sz w:val="18"/>
          <w:szCs w:val="18"/>
          <w:color w:val="auto"/>
        </w:rPr>
        <w:t>Favorable adjustments to the estimated profitability of long-term contracts increased Gross profit by $10.8 million in 2019, compared to a decrease of $2.0 million in 2018.</w:t>
      </w:r>
    </w:p>
    <w:p>
      <w:pPr>
        <w:spacing w:after="0" w:line="74" w:lineRule="exact"/>
        <w:rPr>
          <w:rFonts w:ascii="Arial" w:cs="Arial" w:eastAsia="Arial" w:hAnsi="Arial"/>
          <w:sz w:val="23"/>
          <w:szCs w:val="23"/>
          <w:color w:val="auto"/>
        </w:rPr>
      </w:pPr>
    </w:p>
    <w:p>
      <w:pPr>
        <w:ind w:left="820" w:hanging="218"/>
        <w:spacing w:after="0"/>
        <w:tabs>
          <w:tab w:leader="none" w:pos="820" w:val="left"/>
        </w:tabs>
        <w:numPr>
          <w:ilvl w:val="1"/>
          <w:numId w:val="10"/>
        </w:numPr>
        <w:rPr>
          <w:rFonts w:ascii="Arial" w:cs="Arial" w:eastAsia="Arial" w:hAnsi="Arial"/>
          <w:sz w:val="23"/>
          <w:szCs w:val="23"/>
          <w:color w:val="auto"/>
        </w:rPr>
      </w:pPr>
      <w:r>
        <w:rPr>
          <w:rFonts w:ascii="Arial" w:cs="Arial" w:eastAsia="Arial" w:hAnsi="Arial"/>
          <w:sz w:val="18"/>
          <w:szCs w:val="18"/>
          <w:color w:val="auto"/>
        </w:rPr>
        <w:t>The Net sales increase in 2019, as described above, increased Gross profit by approximately $12 million.</w:t>
      </w:r>
    </w:p>
    <w:p>
      <w:pPr>
        <w:spacing w:after="0" w:line="73" w:lineRule="exact"/>
        <w:rPr>
          <w:rFonts w:ascii="Arial" w:cs="Arial" w:eastAsia="Arial" w:hAnsi="Arial"/>
          <w:sz w:val="23"/>
          <w:szCs w:val="23"/>
          <w:color w:val="auto"/>
        </w:rPr>
      </w:pPr>
    </w:p>
    <w:p>
      <w:pPr>
        <w:ind w:left="820" w:hanging="218"/>
        <w:spacing w:after="0"/>
        <w:tabs>
          <w:tab w:leader="none" w:pos="820" w:val="left"/>
        </w:tabs>
        <w:numPr>
          <w:ilvl w:val="1"/>
          <w:numId w:val="10"/>
        </w:numPr>
        <w:rPr>
          <w:rFonts w:ascii="Arial" w:cs="Arial" w:eastAsia="Arial" w:hAnsi="Arial"/>
          <w:sz w:val="23"/>
          <w:szCs w:val="23"/>
          <w:color w:val="auto"/>
        </w:rPr>
      </w:pPr>
      <w:r>
        <w:rPr>
          <w:rFonts w:ascii="Arial" w:cs="Arial" w:eastAsia="Arial" w:hAnsi="Arial"/>
          <w:sz w:val="18"/>
          <w:szCs w:val="18"/>
          <w:color w:val="auto"/>
        </w:rPr>
        <w:t>AEC Gross profit was also increased as a result of productivity improvements.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2018 Gross profit, as compared to 2017, was principally due to the net effect of the following individually significant items:</w:t>
      </w:r>
    </w:p>
    <w:p>
      <w:pPr>
        <w:spacing w:after="0" w:line="97" w:lineRule="exact"/>
        <w:rPr>
          <w:sz w:val="20"/>
          <w:szCs w:val="20"/>
          <w:color w:val="auto"/>
        </w:rPr>
      </w:pPr>
    </w:p>
    <w:p>
      <w:pPr>
        <w:ind w:left="600" w:hanging="214"/>
        <w:spacing w:after="0"/>
        <w:tabs>
          <w:tab w:leader="none" w:pos="600" w:val="left"/>
        </w:tabs>
        <w:numPr>
          <w:ilvl w:val="0"/>
          <w:numId w:val="11"/>
        </w:numPr>
        <w:rPr>
          <w:rFonts w:ascii="Arial" w:cs="Arial" w:eastAsia="Arial" w:hAnsi="Arial"/>
          <w:sz w:val="23"/>
          <w:szCs w:val="23"/>
          <w:color w:val="auto"/>
        </w:rPr>
      </w:pPr>
      <w:r>
        <w:rPr>
          <w:rFonts w:ascii="Arial" w:cs="Arial" w:eastAsia="Arial" w:hAnsi="Arial"/>
          <w:sz w:val="18"/>
          <w:szCs w:val="18"/>
          <w:color w:val="auto"/>
        </w:rPr>
        <w:t>The increase in MC Gross profit of $16.7 million, was principally due to the effect of the following individually significant items:</w:t>
      </w:r>
    </w:p>
    <w:p>
      <w:pPr>
        <w:spacing w:after="0" w:line="73" w:lineRule="exact"/>
        <w:rPr>
          <w:rFonts w:ascii="Arial" w:cs="Arial" w:eastAsia="Arial" w:hAnsi="Arial"/>
          <w:sz w:val="23"/>
          <w:szCs w:val="23"/>
          <w:color w:val="auto"/>
        </w:rPr>
      </w:pPr>
    </w:p>
    <w:p>
      <w:pPr>
        <w:ind w:left="820" w:hanging="218"/>
        <w:spacing w:after="0"/>
        <w:tabs>
          <w:tab w:leader="none" w:pos="820" w:val="left"/>
        </w:tabs>
        <w:numPr>
          <w:ilvl w:val="1"/>
          <w:numId w:val="11"/>
        </w:numPr>
        <w:rPr>
          <w:rFonts w:ascii="Arial" w:cs="Arial" w:eastAsia="Arial" w:hAnsi="Arial"/>
          <w:sz w:val="23"/>
          <w:szCs w:val="23"/>
          <w:color w:val="auto"/>
        </w:rPr>
      </w:pPr>
      <w:r>
        <w:rPr>
          <w:rFonts w:ascii="Arial" w:cs="Arial" w:eastAsia="Arial" w:hAnsi="Arial"/>
          <w:sz w:val="18"/>
          <w:szCs w:val="18"/>
          <w:color w:val="auto"/>
        </w:rPr>
        <w:t>Higher sales in MC generated an increase in gross profit of approximately $10 million.</w:t>
      </w:r>
    </w:p>
    <w:p>
      <w:pPr>
        <w:spacing w:after="0" w:line="120" w:lineRule="exact"/>
        <w:rPr>
          <w:rFonts w:ascii="Arial" w:cs="Arial" w:eastAsia="Arial" w:hAnsi="Arial"/>
          <w:sz w:val="23"/>
          <w:szCs w:val="23"/>
          <w:color w:val="auto"/>
        </w:rPr>
      </w:pPr>
    </w:p>
    <w:p>
      <w:pPr>
        <w:ind w:left="820" w:right="100" w:hanging="218"/>
        <w:spacing w:after="0" w:line="213" w:lineRule="auto"/>
        <w:tabs>
          <w:tab w:leader="none" w:pos="820" w:val="left"/>
        </w:tabs>
        <w:numPr>
          <w:ilvl w:val="1"/>
          <w:numId w:val="11"/>
        </w:numPr>
        <w:rPr>
          <w:rFonts w:ascii="Arial" w:cs="Arial" w:eastAsia="Arial" w:hAnsi="Arial"/>
          <w:sz w:val="23"/>
          <w:szCs w:val="23"/>
          <w:color w:val="auto"/>
        </w:rPr>
      </w:pPr>
      <w:r>
        <w:rPr>
          <w:rFonts w:ascii="Arial" w:cs="Arial" w:eastAsia="Arial" w:hAnsi="Arial"/>
          <w:sz w:val="18"/>
          <w:szCs w:val="18"/>
          <w:color w:val="auto"/>
        </w:rPr>
        <w:t>Changes in currency translation rates, principally the Brazilian real, had the effect of increasing MC Gross profit by approximately $5 million.</w:t>
      </w:r>
    </w:p>
    <w:p>
      <w:pPr>
        <w:spacing w:after="0" w:line="135" w:lineRule="exact"/>
        <w:rPr>
          <w:rFonts w:ascii="Arial" w:cs="Arial" w:eastAsia="Arial" w:hAnsi="Arial"/>
          <w:sz w:val="23"/>
          <w:szCs w:val="23"/>
          <w:color w:val="auto"/>
        </w:rPr>
      </w:pPr>
    </w:p>
    <w:p>
      <w:pPr>
        <w:ind w:left="820" w:right="180" w:hanging="218"/>
        <w:spacing w:after="0" w:line="213" w:lineRule="auto"/>
        <w:tabs>
          <w:tab w:leader="none" w:pos="820" w:val="left"/>
        </w:tabs>
        <w:numPr>
          <w:ilvl w:val="1"/>
          <w:numId w:val="11"/>
        </w:numPr>
        <w:rPr>
          <w:rFonts w:ascii="Arial" w:cs="Arial" w:eastAsia="Arial" w:hAnsi="Arial"/>
          <w:sz w:val="23"/>
          <w:szCs w:val="23"/>
          <w:color w:val="auto"/>
        </w:rPr>
      </w:pPr>
      <w:r>
        <w:rPr>
          <w:rFonts w:ascii="Arial" w:cs="Arial" w:eastAsia="Arial" w:hAnsi="Arial"/>
          <w:sz w:val="18"/>
          <w:szCs w:val="18"/>
          <w:color w:val="auto"/>
        </w:rPr>
        <w:t>MC Gross profit was also increased as a result of productivity improvements, which include the impact of continuous cost reduction initiatives.</w:t>
      </w:r>
    </w:p>
    <w:p>
      <w:pPr>
        <w:spacing w:after="0" w:line="74" w:lineRule="exact"/>
        <w:rPr>
          <w:rFonts w:ascii="Arial" w:cs="Arial" w:eastAsia="Arial" w:hAnsi="Arial"/>
          <w:sz w:val="23"/>
          <w:szCs w:val="23"/>
          <w:color w:val="auto"/>
        </w:rPr>
      </w:pPr>
    </w:p>
    <w:p>
      <w:pPr>
        <w:ind w:left="600" w:hanging="214"/>
        <w:spacing w:after="0"/>
        <w:tabs>
          <w:tab w:leader="none" w:pos="600" w:val="left"/>
        </w:tabs>
        <w:numPr>
          <w:ilvl w:val="0"/>
          <w:numId w:val="11"/>
        </w:numPr>
        <w:rPr>
          <w:rFonts w:ascii="Arial" w:cs="Arial" w:eastAsia="Arial" w:hAnsi="Arial"/>
          <w:sz w:val="23"/>
          <w:szCs w:val="23"/>
          <w:color w:val="auto"/>
        </w:rPr>
      </w:pPr>
      <w:r>
        <w:rPr>
          <w:rFonts w:ascii="Arial" w:cs="Arial" w:eastAsia="Arial" w:hAnsi="Arial"/>
          <w:sz w:val="18"/>
          <w:szCs w:val="18"/>
          <w:color w:val="auto"/>
        </w:rPr>
        <w:t>The increase in AEC Gross profit of $36.7 million was principally due to the effect of the following individually significant items:</w:t>
      </w:r>
    </w:p>
    <w:p>
      <w:pPr>
        <w:spacing w:after="0" w:line="120" w:lineRule="exact"/>
        <w:rPr>
          <w:rFonts w:ascii="Arial" w:cs="Arial" w:eastAsia="Arial" w:hAnsi="Arial"/>
          <w:sz w:val="23"/>
          <w:szCs w:val="23"/>
          <w:color w:val="auto"/>
        </w:rPr>
      </w:pPr>
    </w:p>
    <w:p>
      <w:pPr>
        <w:jc w:val="both"/>
        <w:ind w:left="860" w:right="200" w:hanging="222"/>
        <w:spacing w:after="0" w:line="224" w:lineRule="auto"/>
        <w:tabs>
          <w:tab w:leader="none" w:pos="860" w:val="left"/>
        </w:tabs>
        <w:numPr>
          <w:ilvl w:val="2"/>
          <w:numId w:val="11"/>
        </w:numPr>
        <w:rPr>
          <w:rFonts w:ascii="Arial" w:cs="Arial" w:eastAsia="Arial" w:hAnsi="Arial"/>
          <w:sz w:val="22"/>
          <w:szCs w:val="22"/>
          <w:color w:val="auto"/>
        </w:rPr>
      </w:pPr>
      <w:r>
        <w:rPr>
          <w:rFonts w:ascii="Arial" w:cs="Arial" w:eastAsia="Arial" w:hAnsi="Arial"/>
          <w:sz w:val="17"/>
          <w:szCs w:val="17"/>
          <w:color w:val="auto"/>
        </w:rPr>
        <w:t>Changes in the estimated profitability of long-term contracts decreased Gross profit by $2.0 million in 2018, and by $11.5 million in 2017. As further described below, the 2017 effect principally related to manufacturing contracts for the BR725 and A380 programs.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ind w:left="860" w:right="60" w:hanging="222"/>
        <w:spacing w:after="0" w:line="220" w:lineRule="auto"/>
        <w:tabs>
          <w:tab w:leader="none" w:pos="860" w:val="left"/>
        </w:tabs>
        <w:numPr>
          <w:ilvl w:val="0"/>
          <w:numId w:val="12"/>
        </w:numPr>
        <w:rPr>
          <w:rFonts w:ascii="Arial" w:cs="Arial" w:eastAsia="Arial" w:hAnsi="Arial"/>
          <w:sz w:val="23"/>
          <w:szCs w:val="23"/>
          <w:color w:val="auto"/>
        </w:rPr>
      </w:pPr>
      <w:r>
        <w:rPr>
          <w:rFonts w:ascii="Arial" w:cs="Arial" w:eastAsia="Arial" w:hAnsi="Arial"/>
          <w:sz w:val="18"/>
          <w:szCs w:val="18"/>
          <w:color w:val="auto"/>
        </w:rPr>
        <w:t>During the third quarter of 2017, the Company decided to discontinue the Bear Claw® line of hydraulic fracking components used in the oil and gas industry, which was part of the 2016 business acquisition. That decision resulted in a $2.8 million charge to Cost of goods sold for the write-off of inventory.</w:t>
      </w:r>
    </w:p>
    <w:p>
      <w:pPr>
        <w:spacing w:after="0" w:line="73" w:lineRule="exact"/>
        <w:rPr>
          <w:rFonts w:ascii="Arial" w:cs="Arial" w:eastAsia="Arial" w:hAnsi="Arial"/>
          <w:sz w:val="23"/>
          <w:szCs w:val="23"/>
          <w:color w:val="auto"/>
        </w:rPr>
      </w:pPr>
    </w:p>
    <w:p>
      <w:pPr>
        <w:ind w:left="860" w:hanging="222"/>
        <w:spacing w:after="0"/>
        <w:tabs>
          <w:tab w:leader="none" w:pos="860" w:val="left"/>
        </w:tabs>
        <w:numPr>
          <w:ilvl w:val="0"/>
          <w:numId w:val="12"/>
        </w:numPr>
        <w:rPr>
          <w:rFonts w:ascii="Arial" w:cs="Arial" w:eastAsia="Arial" w:hAnsi="Arial"/>
          <w:sz w:val="23"/>
          <w:szCs w:val="23"/>
          <w:color w:val="auto"/>
        </w:rPr>
      </w:pPr>
      <w:r>
        <w:rPr>
          <w:rFonts w:ascii="Arial" w:cs="Arial" w:eastAsia="Arial" w:hAnsi="Arial"/>
          <w:sz w:val="18"/>
          <w:szCs w:val="18"/>
          <w:color w:val="auto"/>
        </w:rPr>
        <w:t>The Net sales increase in 2018, as described above, increased Gross profit by approximately $10 million.</w:t>
      </w:r>
    </w:p>
    <w:p>
      <w:pPr>
        <w:spacing w:after="0" w:line="120" w:lineRule="exact"/>
        <w:rPr>
          <w:rFonts w:ascii="Arial" w:cs="Arial" w:eastAsia="Arial" w:hAnsi="Arial"/>
          <w:sz w:val="23"/>
          <w:szCs w:val="23"/>
          <w:color w:val="auto"/>
        </w:rPr>
      </w:pPr>
    </w:p>
    <w:p>
      <w:pPr>
        <w:ind w:left="860" w:right="320" w:hanging="222"/>
        <w:spacing w:after="0" w:line="220" w:lineRule="auto"/>
        <w:tabs>
          <w:tab w:leader="none" w:pos="860" w:val="left"/>
        </w:tabs>
        <w:numPr>
          <w:ilvl w:val="0"/>
          <w:numId w:val="12"/>
        </w:numPr>
        <w:rPr>
          <w:rFonts w:ascii="Arial" w:cs="Arial" w:eastAsia="Arial" w:hAnsi="Arial"/>
          <w:sz w:val="23"/>
          <w:szCs w:val="23"/>
          <w:color w:val="auto"/>
        </w:rPr>
      </w:pPr>
      <w:r>
        <w:rPr>
          <w:rFonts w:ascii="Arial" w:cs="Arial" w:eastAsia="Arial" w:hAnsi="Arial"/>
          <w:sz w:val="18"/>
          <w:szCs w:val="18"/>
          <w:color w:val="auto"/>
        </w:rPr>
        <w:t>The remaining 2018 increase in AEC Gross profit was principally due to improved productivity resulting from the deployment of a disciplined standardized operational system across AEC plants, as well as the favorable impact of continuous improvement programs.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6" w:lineRule="exact"/>
        <w:rPr>
          <w:sz w:val="20"/>
          <w:szCs w:val="20"/>
          <w:color w:val="auto"/>
        </w:rPr>
      </w:pPr>
    </w:p>
    <w:p>
      <w:pPr>
        <w:ind w:right="280" w:firstLine="378"/>
        <w:spacing w:after="0" w:line="246" w:lineRule="auto"/>
        <w:rPr>
          <w:sz w:val="20"/>
          <w:szCs w:val="20"/>
          <w:color w:val="auto"/>
        </w:rPr>
      </w:pPr>
      <w:r>
        <w:rPr>
          <w:rFonts w:ascii="Arial" w:cs="Arial" w:eastAsia="Arial" w:hAnsi="Arial"/>
          <w:sz w:val="18"/>
          <w:szCs w:val="18"/>
          <w:color w:val="auto"/>
        </w:rPr>
        <w:t>Selling, technical, general and research (STG&amp;R) expenses include selling, general, administrative, technical, product engineering and research expenses.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410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169"/>
        </w:trPr>
        <w:tc>
          <w:tcPr>
            <w:tcW w:w="592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55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4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$116,546</w:t>
            </w:r>
          </w:p>
        </w:tc>
        <w:tc>
          <w:tcPr>
            <w:tcW w:w="420" w:type="dxa"/>
            <w:vAlign w:val="bottom"/>
          </w:tcPr>
          <w:p>
            <w:pPr>
              <w:spacing w:after="0"/>
              <w:rPr>
                <w:sz w:val="15"/>
                <w:szCs w:val="15"/>
                <w:color w:val="auto"/>
              </w:rPr>
            </w:pPr>
          </w:p>
        </w:tc>
        <w:tc>
          <w:tcPr>
            <w:tcW w:w="10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$115,305</w:t>
            </w:r>
          </w:p>
        </w:tc>
        <w:tc>
          <w:tcPr>
            <w:tcW w:w="4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$123,277</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10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30,707</w:t>
            </w:r>
          </w:p>
        </w:tc>
        <w:tc>
          <w:tcPr>
            <w:tcW w:w="420" w:type="dxa"/>
            <w:vAlign w:val="bottom"/>
          </w:tcPr>
          <w:p>
            <w:pPr>
              <w:spacing w:after="0"/>
              <w:rPr>
                <w:sz w:val="17"/>
                <w:szCs w:val="17"/>
                <w:color w:val="auto"/>
              </w:rPr>
            </w:pPr>
          </w:p>
        </w:tc>
        <w:tc>
          <w:tcPr>
            <w:tcW w:w="10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32,855</w:t>
            </w:r>
          </w:p>
        </w:tc>
        <w:tc>
          <w:tcPr>
            <w:tcW w:w="400" w:type="dxa"/>
            <w:vAlign w:val="bottom"/>
          </w:tcPr>
          <w:p>
            <w:pPr>
              <w:spacing w:after="0"/>
              <w:rPr>
                <w:sz w:val="17"/>
                <w:szCs w:val="17"/>
                <w:color w:val="auto"/>
              </w:rPr>
            </w:pPr>
          </w:p>
        </w:tc>
        <w:tc>
          <w:tcPr>
            <w:tcW w:w="11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37,470</w:t>
            </w:r>
          </w:p>
        </w:tc>
        <w:tc>
          <w:tcPr>
            <w:tcW w:w="0" w:type="dxa"/>
            <w:vAlign w:val="bottom"/>
          </w:tcPr>
          <w:p>
            <w:pPr>
              <w:spacing w:after="0"/>
              <w:rPr>
                <w:sz w:val="1"/>
                <w:szCs w:val="1"/>
                <w:color w:val="auto"/>
              </w:rPr>
            </w:pPr>
          </w:p>
        </w:tc>
      </w:tr>
      <w:tr>
        <w:trPr>
          <w:trHeight w:val="225"/>
        </w:trPr>
        <w:tc>
          <w:tcPr>
            <w:tcW w:w="592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53,967</w:t>
            </w:r>
          </w:p>
        </w:tc>
        <w:tc>
          <w:tcPr>
            <w:tcW w:w="420" w:type="dxa"/>
            <w:vAlign w:val="bottom"/>
          </w:tcPr>
          <w:p>
            <w:pPr>
              <w:spacing w:after="0"/>
              <w:rPr>
                <w:sz w:val="19"/>
                <w:szCs w:val="19"/>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48,611</w:t>
            </w: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43,369</w:t>
            </w:r>
          </w:p>
        </w:tc>
        <w:tc>
          <w:tcPr>
            <w:tcW w:w="0" w:type="dxa"/>
            <w:vAlign w:val="bottom"/>
          </w:tcPr>
          <w:p>
            <w:pPr>
              <w:spacing w:after="0"/>
              <w:rPr>
                <w:sz w:val="1"/>
                <w:szCs w:val="1"/>
                <w:color w:val="auto"/>
              </w:rPr>
            </w:pPr>
          </w:p>
        </w:tc>
      </w:tr>
      <w:tr>
        <w:trPr>
          <w:trHeight w:val="196"/>
        </w:trPr>
        <w:tc>
          <w:tcPr>
            <w:tcW w:w="59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$201,220</w:t>
            </w:r>
          </w:p>
        </w:tc>
        <w:tc>
          <w:tcPr>
            <w:tcW w:w="42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$196,771</w:t>
            </w:r>
          </w:p>
        </w:tc>
        <w:tc>
          <w:tcPr>
            <w:tcW w:w="400" w:type="dxa"/>
            <w:vAlign w:val="bottom"/>
          </w:tcPr>
          <w:p>
            <w:pPr>
              <w:spacing w:after="0"/>
              <w:rPr>
                <w:sz w:val="17"/>
                <w:szCs w:val="17"/>
                <w:color w:val="auto"/>
              </w:rPr>
            </w:pPr>
          </w:p>
        </w:tc>
        <w:tc>
          <w:tcPr>
            <w:tcW w:w="11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$204,116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20" w:type="dxa"/>
            <w:vAlign w:val="bottom"/>
            <w:gridSpan w:val="2"/>
          </w:tcPr>
          <w:p>
            <w:pPr>
              <w:spacing w:after="0"/>
              <w:rPr>
                <w:sz w:val="20"/>
                <w:szCs w:val="20"/>
                <w:color w:val="auto"/>
              </w:rPr>
            </w:pPr>
            <w:r>
              <w:rPr>
                <w:rFonts w:ascii="Arial" w:cs="Arial" w:eastAsia="Arial" w:hAnsi="Arial"/>
                <w:sz w:val="18"/>
                <w:szCs w:val="18"/>
                <w:color w:val="auto"/>
              </w:rPr>
              <w:t>% of Net Sales</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19.1%</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20.0%</w:t>
            </w: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STG&amp;R expenses in 2019 compared to 2018, was principally due to the following individually significant items:</w:t>
      </w:r>
    </w:p>
    <w:p>
      <w:pPr>
        <w:spacing w:after="0" w:line="144" w:lineRule="exact"/>
        <w:rPr>
          <w:sz w:val="20"/>
          <w:szCs w:val="20"/>
          <w:color w:val="auto"/>
        </w:rPr>
      </w:pPr>
    </w:p>
    <w:p>
      <w:pPr>
        <w:ind w:left="600" w:right="440" w:hanging="214"/>
        <w:spacing w:after="0" w:line="213" w:lineRule="auto"/>
        <w:tabs>
          <w:tab w:leader="none" w:pos="600" w:val="left"/>
        </w:tabs>
        <w:numPr>
          <w:ilvl w:val="0"/>
          <w:numId w:val="13"/>
        </w:numPr>
        <w:rPr>
          <w:rFonts w:ascii="Arial" w:cs="Arial" w:eastAsia="Arial" w:hAnsi="Arial"/>
          <w:sz w:val="23"/>
          <w:szCs w:val="23"/>
          <w:color w:val="auto"/>
        </w:rPr>
      </w:pPr>
      <w:r>
        <w:rPr>
          <w:rFonts w:ascii="Arial" w:cs="Arial" w:eastAsia="Arial" w:hAnsi="Arial"/>
          <w:sz w:val="18"/>
          <w:szCs w:val="18"/>
          <w:color w:val="auto"/>
        </w:rPr>
        <w:t>MC revaluation of nonfunctional currency assets and liabilities resulted in losses of $0.6 million in 2019 and gains of $0.8 million in 2018.</w:t>
      </w:r>
    </w:p>
    <w:p>
      <w:pPr>
        <w:spacing w:after="0" w:line="121" w:lineRule="exact"/>
        <w:rPr>
          <w:rFonts w:ascii="Arial" w:cs="Arial" w:eastAsia="Arial" w:hAnsi="Arial"/>
          <w:sz w:val="23"/>
          <w:szCs w:val="23"/>
          <w:color w:val="auto"/>
        </w:rPr>
      </w:pPr>
    </w:p>
    <w:p>
      <w:pPr>
        <w:ind w:left="600" w:hanging="214"/>
        <w:spacing w:after="0" w:line="213" w:lineRule="auto"/>
        <w:tabs>
          <w:tab w:leader="none" w:pos="600" w:val="left"/>
        </w:tabs>
        <w:numPr>
          <w:ilvl w:val="0"/>
          <w:numId w:val="13"/>
        </w:numPr>
        <w:rPr>
          <w:rFonts w:ascii="Arial" w:cs="Arial" w:eastAsia="Arial" w:hAnsi="Arial"/>
          <w:sz w:val="23"/>
          <w:szCs w:val="23"/>
          <w:color w:val="auto"/>
        </w:rPr>
      </w:pPr>
      <w:r>
        <w:rPr>
          <w:rFonts w:ascii="Arial" w:cs="Arial" w:eastAsia="Arial" w:hAnsi="Arial"/>
          <w:sz w:val="18"/>
          <w:szCs w:val="18"/>
          <w:color w:val="auto"/>
        </w:rPr>
        <w:t>AEC STG&amp;R expenses decreased $2.1 million principally due to lower spending on research and development in 2019, as compared to 2018.</w:t>
      </w:r>
    </w:p>
    <w:p>
      <w:pPr>
        <w:spacing w:after="0" w:line="121" w:lineRule="exact"/>
        <w:rPr>
          <w:rFonts w:ascii="Arial" w:cs="Arial" w:eastAsia="Arial" w:hAnsi="Arial"/>
          <w:sz w:val="23"/>
          <w:szCs w:val="23"/>
          <w:color w:val="auto"/>
        </w:rPr>
      </w:pPr>
    </w:p>
    <w:p>
      <w:pPr>
        <w:ind w:left="600" w:right="180" w:hanging="214"/>
        <w:spacing w:after="0" w:line="213" w:lineRule="auto"/>
        <w:tabs>
          <w:tab w:leader="none" w:pos="600" w:val="left"/>
        </w:tabs>
        <w:numPr>
          <w:ilvl w:val="0"/>
          <w:numId w:val="13"/>
        </w:numPr>
        <w:rPr>
          <w:rFonts w:ascii="Arial" w:cs="Arial" w:eastAsia="Arial" w:hAnsi="Arial"/>
          <w:sz w:val="23"/>
          <w:szCs w:val="23"/>
          <w:color w:val="auto"/>
        </w:rPr>
      </w:pPr>
      <w:r>
        <w:rPr>
          <w:rFonts w:ascii="Arial" w:cs="Arial" w:eastAsia="Arial" w:hAnsi="Arial"/>
          <w:sz w:val="18"/>
          <w:szCs w:val="18"/>
          <w:color w:val="auto"/>
        </w:rPr>
        <w:t>Corporate STG&amp;R expenses increased principally due to costs in 2019 for terminations and professional fees associated with various initiatives.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decrease in STG&amp;R expenses in 2018 compared to 2017, was principally due to the following individually significant items:</w:t>
      </w:r>
    </w:p>
    <w:p>
      <w:pPr>
        <w:spacing w:after="0" w:line="144" w:lineRule="exact"/>
        <w:rPr>
          <w:sz w:val="20"/>
          <w:szCs w:val="20"/>
          <w:color w:val="auto"/>
        </w:rPr>
      </w:pPr>
    </w:p>
    <w:p>
      <w:pPr>
        <w:ind w:left="600" w:right="440" w:hanging="214"/>
        <w:spacing w:after="0" w:line="213" w:lineRule="auto"/>
        <w:tabs>
          <w:tab w:leader="none" w:pos="600" w:val="left"/>
        </w:tabs>
        <w:numPr>
          <w:ilvl w:val="0"/>
          <w:numId w:val="14"/>
        </w:numPr>
        <w:rPr>
          <w:rFonts w:ascii="Arial" w:cs="Arial" w:eastAsia="Arial" w:hAnsi="Arial"/>
          <w:sz w:val="23"/>
          <w:szCs w:val="23"/>
          <w:color w:val="auto"/>
        </w:rPr>
      </w:pPr>
      <w:r>
        <w:rPr>
          <w:rFonts w:ascii="Arial" w:cs="Arial" w:eastAsia="Arial" w:hAnsi="Arial"/>
          <w:sz w:val="18"/>
          <w:szCs w:val="18"/>
          <w:color w:val="auto"/>
        </w:rPr>
        <w:t>MC revaluation of nonfunctional currency assets and liabilities resulted in gains of $0.8 million in 2018 and losses of $3.9 million in 2017.</w:t>
      </w:r>
    </w:p>
    <w:p>
      <w:pPr>
        <w:spacing w:after="0" w:line="121" w:lineRule="exact"/>
        <w:rPr>
          <w:rFonts w:ascii="Arial" w:cs="Arial" w:eastAsia="Arial" w:hAnsi="Arial"/>
          <w:sz w:val="23"/>
          <w:szCs w:val="23"/>
          <w:color w:val="auto"/>
        </w:rPr>
      </w:pPr>
    </w:p>
    <w:p>
      <w:pPr>
        <w:ind w:left="600" w:right="60" w:hanging="214"/>
        <w:spacing w:after="0" w:line="213" w:lineRule="auto"/>
        <w:tabs>
          <w:tab w:leader="none" w:pos="600" w:val="left"/>
        </w:tabs>
        <w:numPr>
          <w:ilvl w:val="0"/>
          <w:numId w:val="14"/>
        </w:numPr>
        <w:rPr>
          <w:rFonts w:ascii="Arial" w:cs="Arial" w:eastAsia="Arial" w:hAnsi="Arial"/>
          <w:sz w:val="23"/>
          <w:szCs w:val="23"/>
          <w:color w:val="auto"/>
        </w:rPr>
      </w:pPr>
      <w:r>
        <w:rPr>
          <w:rFonts w:ascii="Arial" w:cs="Arial" w:eastAsia="Arial" w:hAnsi="Arial"/>
          <w:sz w:val="18"/>
          <w:szCs w:val="18"/>
          <w:color w:val="auto"/>
        </w:rPr>
        <w:t>Changes in currency translation rates increased MC STG&amp;R expenses by $0.4 million, principally due to the stronger euro, which more than offset decreases that resulted from the weaker Brazilian real.</w:t>
      </w:r>
    </w:p>
    <w:p>
      <w:pPr>
        <w:spacing w:after="0" w:line="74" w:lineRule="exact"/>
        <w:rPr>
          <w:rFonts w:ascii="Arial" w:cs="Arial" w:eastAsia="Arial" w:hAnsi="Arial"/>
          <w:sz w:val="23"/>
          <w:szCs w:val="23"/>
          <w:color w:val="auto"/>
        </w:rPr>
      </w:pPr>
    </w:p>
    <w:p>
      <w:pPr>
        <w:ind w:left="600" w:hanging="214"/>
        <w:spacing w:after="0"/>
        <w:tabs>
          <w:tab w:leader="none" w:pos="600" w:val="left"/>
        </w:tabs>
        <w:numPr>
          <w:ilvl w:val="0"/>
          <w:numId w:val="14"/>
        </w:numPr>
        <w:rPr>
          <w:rFonts w:ascii="Arial" w:cs="Arial" w:eastAsia="Arial" w:hAnsi="Arial"/>
          <w:sz w:val="23"/>
          <w:szCs w:val="23"/>
          <w:color w:val="auto"/>
        </w:rPr>
      </w:pPr>
      <w:r>
        <w:rPr>
          <w:rFonts w:ascii="Arial" w:cs="Arial" w:eastAsia="Arial" w:hAnsi="Arial"/>
          <w:sz w:val="18"/>
          <w:szCs w:val="18"/>
          <w:color w:val="auto"/>
        </w:rPr>
        <w:t>AEC STG&amp;R expenses decreased $4.6 million principally due to restructuring and other organization changes.</w:t>
      </w:r>
    </w:p>
    <w:p>
      <w:pPr>
        <w:spacing w:after="0" w:line="86" w:lineRule="exact"/>
        <w:rPr>
          <w:rFonts w:ascii="Arial" w:cs="Arial" w:eastAsia="Arial" w:hAnsi="Arial"/>
          <w:sz w:val="23"/>
          <w:szCs w:val="23"/>
          <w:color w:val="auto"/>
        </w:rPr>
      </w:pPr>
    </w:p>
    <w:p>
      <w:pPr>
        <w:ind w:left="600" w:hanging="214"/>
        <w:spacing w:after="0"/>
        <w:tabs>
          <w:tab w:leader="none" w:pos="600" w:val="left"/>
        </w:tabs>
        <w:numPr>
          <w:ilvl w:val="0"/>
          <w:numId w:val="14"/>
        </w:numPr>
        <w:rPr>
          <w:rFonts w:ascii="Arial" w:cs="Arial" w:eastAsia="Arial" w:hAnsi="Arial"/>
          <w:sz w:val="23"/>
          <w:szCs w:val="23"/>
          <w:color w:val="auto"/>
        </w:rPr>
      </w:pPr>
      <w:r>
        <w:rPr>
          <w:rFonts w:ascii="Arial" w:cs="Arial" w:eastAsia="Arial" w:hAnsi="Arial"/>
          <w:sz w:val="18"/>
          <w:szCs w:val="18"/>
          <w:color w:val="auto"/>
        </w:rPr>
        <w:t>Corporate STG&amp;R expenses increased by $5.2 million principally due to higher costs to support continued growth in AEC.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6" w:lineRule="exact"/>
        <w:rPr>
          <w:sz w:val="20"/>
          <w:szCs w:val="20"/>
          <w:color w:val="auto"/>
        </w:rPr>
      </w:pPr>
    </w:p>
    <w:p>
      <w:pPr>
        <w:ind w:right="520" w:firstLine="378"/>
        <w:spacing w:after="0" w:line="246" w:lineRule="auto"/>
        <w:rPr>
          <w:sz w:val="20"/>
          <w:szCs w:val="20"/>
          <w:color w:val="auto"/>
        </w:rPr>
      </w:pPr>
      <w:r>
        <w:rPr>
          <w:rFonts w:ascii="Arial" w:cs="Arial" w:eastAsia="Arial" w:hAnsi="Arial"/>
          <w:sz w:val="18"/>
          <w:szCs w:val="18"/>
          <w:color w:val="auto"/>
        </w:rPr>
        <w:t>The following table is a subset of the STG&amp;R table above and summarizes expenses associated with internally funded research and development by business segment:</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2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55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5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$16,412</w:t>
            </w:r>
          </w:p>
        </w:tc>
        <w:tc>
          <w:tcPr>
            <w:tcW w:w="5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$17,474</w:t>
            </w:r>
          </w:p>
        </w:tc>
        <w:tc>
          <w:tcPr>
            <w:tcW w:w="5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$18,483</w:t>
            </w:r>
          </w:p>
        </w:tc>
        <w:tc>
          <w:tcPr>
            <w:tcW w:w="0" w:type="dxa"/>
            <w:vAlign w:val="bottom"/>
          </w:tcPr>
          <w:p>
            <w:pPr>
              <w:spacing w:after="0"/>
              <w:rPr>
                <w:sz w:val="1"/>
                <w:szCs w:val="1"/>
                <w:color w:val="auto"/>
              </w:rPr>
            </w:pPr>
          </w:p>
        </w:tc>
      </w:tr>
      <w:tr>
        <w:trPr>
          <w:trHeight w:val="225"/>
        </w:trPr>
        <w:tc>
          <w:tcPr>
            <w:tcW w:w="602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10,521</w:t>
            </w:r>
          </w:p>
        </w:tc>
        <w:tc>
          <w:tcPr>
            <w:tcW w:w="500" w:type="dxa"/>
            <w:vAlign w:val="bottom"/>
          </w:tcPr>
          <w:p>
            <w:pPr>
              <w:spacing w:after="0"/>
              <w:rPr>
                <w:sz w:val="19"/>
                <w:szCs w:val="19"/>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12,278</w:t>
            </w:r>
          </w:p>
        </w:tc>
        <w:tc>
          <w:tcPr>
            <w:tcW w:w="500" w:type="dxa"/>
            <w:vAlign w:val="bottom"/>
          </w:tcPr>
          <w:p>
            <w:pPr>
              <w:spacing w:after="0"/>
              <w:rPr>
                <w:sz w:val="19"/>
                <w:szCs w:val="19"/>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12,188</w:t>
            </w:r>
          </w:p>
        </w:tc>
        <w:tc>
          <w:tcPr>
            <w:tcW w:w="0" w:type="dxa"/>
            <w:vAlign w:val="bottom"/>
          </w:tcPr>
          <w:p>
            <w:pPr>
              <w:spacing w:after="0"/>
              <w:rPr>
                <w:sz w:val="1"/>
                <w:szCs w:val="1"/>
                <w:color w:val="auto"/>
              </w:rPr>
            </w:pPr>
          </w:p>
        </w:tc>
      </w:tr>
      <w:tr>
        <w:trPr>
          <w:trHeight w:val="196"/>
        </w:trPr>
        <w:tc>
          <w:tcPr>
            <w:tcW w:w="60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$26,933</w:t>
            </w:r>
          </w:p>
        </w:tc>
        <w:tc>
          <w:tcPr>
            <w:tcW w:w="500" w:type="dxa"/>
            <w:vAlign w:val="bottom"/>
          </w:tcPr>
          <w:p>
            <w:pPr>
              <w:spacing w:after="0"/>
              <w:rPr>
                <w:sz w:val="17"/>
                <w:szCs w:val="17"/>
                <w:color w:val="auto"/>
              </w:rPr>
            </w:pPr>
          </w:p>
        </w:tc>
        <w:tc>
          <w:tcPr>
            <w:tcW w:w="10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$29,752</w:t>
            </w:r>
          </w:p>
        </w:tc>
        <w:tc>
          <w:tcPr>
            <w:tcW w:w="500" w:type="dxa"/>
            <w:vAlign w:val="bottom"/>
          </w:tcPr>
          <w:p>
            <w:pPr>
              <w:spacing w:after="0"/>
              <w:rPr>
                <w:sz w:val="17"/>
                <w:szCs w:val="17"/>
                <w:color w:val="auto"/>
              </w:rPr>
            </w:pPr>
          </w:p>
        </w:tc>
        <w:tc>
          <w:tcPr>
            <w:tcW w:w="10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6" w:lineRule="exact"/>
        <w:rPr>
          <w:sz w:val="20"/>
          <w:szCs w:val="20"/>
          <w:color w:val="auto"/>
        </w:rPr>
      </w:pPr>
    </w:p>
    <w:p>
      <w:pPr>
        <w:ind w:right="440" w:firstLine="37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$2.9 million in 2019, $15.6 million in 2018, and $13.5 million in 2017.</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Restructuring expense, net by business segment:</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20" w:type="dxa"/>
            <w:vAlign w:val="bottom"/>
            <w:gridSpan w:val="2"/>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55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300" w:type="dxa"/>
            <w:vAlign w:val="bottom"/>
          </w:tcPr>
          <w:p>
            <w:pPr>
              <w:spacing w:after="0"/>
              <w:rPr>
                <w:sz w:val="15"/>
                <w:szCs w:val="15"/>
                <w:color w:val="auto"/>
              </w:rPr>
            </w:pPr>
          </w:p>
        </w:tc>
        <w:tc>
          <w:tcPr>
            <w:tcW w:w="12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$1,129</w:t>
            </w:r>
          </w:p>
        </w:tc>
        <w:tc>
          <w:tcPr>
            <w:tcW w:w="320" w:type="dxa"/>
            <w:vAlign w:val="bottom"/>
          </w:tcPr>
          <w:p>
            <w:pPr>
              <w:spacing w:after="0"/>
              <w:rPr>
                <w:sz w:val="15"/>
                <w:szCs w:val="15"/>
                <w:color w:val="auto"/>
              </w:rPr>
            </w:pPr>
          </w:p>
        </w:tc>
        <w:tc>
          <w:tcPr>
            <w:tcW w:w="11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$12,278</w:t>
            </w:r>
          </w:p>
        </w:tc>
        <w:tc>
          <w:tcPr>
            <w:tcW w:w="300" w:type="dxa"/>
            <w:vAlign w:val="bottom"/>
          </w:tcPr>
          <w:p>
            <w:pPr>
              <w:spacing w:after="0"/>
              <w:rPr>
                <w:sz w:val="15"/>
                <w:szCs w:val="15"/>
                <w:color w:val="auto"/>
              </w:rPr>
            </w:pPr>
          </w:p>
        </w:tc>
        <w:tc>
          <w:tcPr>
            <w:tcW w:w="12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$ 3,429</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20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1,833</w:t>
            </w:r>
          </w:p>
        </w:tc>
        <w:tc>
          <w:tcPr>
            <w:tcW w:w="320" w:type="dxa"/>
            <w:vAlign w:val="bottom"/>
          </w:tcPr>
          <w:p>
            <w:pPr>
              <w:spacing w:after="0"/>
              <w:rPr>
                <w:sz w:val="17"/>
                <w:szCs w:val="17"/>
                <w:color w:val="auto"/>
              </w:rPr>
            </w:pPr>
          </w:p>
        </w:tc>
        <w:tc>
          <w:tcPr>
            <w:tcW w:w="118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3,048</w:t>
            </w:r>
          </w:p>
        </w:tc>
        <w:tc>
          <w:tcPr>
            <w:tcW w:w="300" w:type="dxa"/>
            <w:vAlign w:val="bottom"/>
          </w:tcPr>
          <w:p>
            <w:pPr>
              <w:spacing w:after="0"/>
              <w:rPr>
                <w:sz w:val="17"/>
                <w:szCs w:val="17"/>
                <w:color w:val="auto"/>
              </w:rPr>
            </w:pPr>
          </w:p>
        </w:tc>
        <w:tc>
          <w:tcPr>
            <w:tcW w:w="120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10,062</w:t>
            </w:r>
          </w:p>
        </w:tc>
        <w:tc>
          <w:tcPr>
            <w:tcW w:w="0" w:type="dxa"/>
            <w:vAlign w:val="bottom"/>
          </w:tcPr>
          <w:p>
            <w:pPr>
              <w:spacing w:after="0"/>
              <w:rPr>
                <w:sz w:val="1"/>
                <w:szCs w:val="1"/>
                <w:color w:val="auto"/>
              </w:rPr>
            </w:pPr>
          </w:p>
        </w:tc>
      </w:tr>
      <w:tr>
        <w:trPr>
          <w:trHeight w:val="225"/>
        </w:trPr>
        <w:tc>
          <w:tcPr>
            <w:tcW w:w="582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(57)</w:t>
            </w:r>
          </w:p>
        </w:tc>
        <w:tc>
          <w:tcPr>
            <w:tcW w:w="320" w:type="dxa"/>
            <w:vAlign w:val="bottom"/>
          </w:tcPr>
          <w:p>
            <w:pPr>
              <w:spacing w:after="0"/>
              <w:rPr>
                <w:sz w:val="19"/>
                <w:szCs w:val="19"/>
                <w:color w:val="auto"/>
              </w:rPr>
            </w:pPr>
          </w:p>
        </w:tc>
        <w:tc>
          <w:tcPr>
            <w:tcW w:w="11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9"/>
                <w:szCs w:val="19"/>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$2,905</w:t>
            </w:r>
          </w:p>
        </w:tc>
        <w:tc>
          <w:tcPr>
            <w:tcW w:w="32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$15,570</w:t>
            </w:r>
          </w:p>
        </w:tc>
        <w:tc>
          <w:tcPr>
            <w:tcW w:w="300" w:type="dxa"/>
            <w:vAlign w:val="bottom"/>
          </w:tcPr>
          <w:p>
            <w:pPr>
              <w:spacing w:after="0"/>
              <w:rPr>
                <w:sz w:val="17"/>
                <w:szCs w:val="17"/>
                <w:color w:val="auto"/>
              </w:rPr>
            </w:pPr>
          </w:p>
        </w:tc>
        <w:tc>
          <w:tcPr>
            <w:tcW w:w="12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$13,491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378"/>
        <w:spacing w:after="0" w:line="238" w:lineRule="auto"/>
        <w:rPr>
          <w:sz w:val="20"/>
          <w:szCs w:val="20"/>
          <w:color w:val="auto"/>
        </w:rPr>
      </w:pPr>
      <w:r>
        <w:rPr>
          <w:rFonts w:ascii="Arial" w:cs="Arial" w:eastAsia="Arial" w:hAnsi="Arial"/>
          <w:sz w:val="18"/>
          <w:szCs w:val="18"/>
          <w:color w:val="auto"/>
        </w:rPr>
        <w:t>In 2017, the Company announced a proposal to close its MC production facility in Sélestat, France, and the proposal was approved by the French Labor Ministry in 2018. The restructuring program was driven by the Company’s need to balance manufacturing capacity with demand. We recorded restructuring expense of $1.1 million in 2017 and $ 10.7 million in 2018, which included severance and outplacement costs for the approximately 50 positions that were terminated under this plan. To date, we have recorded $12.7 million of restructuring charges related to these actions. Annual cost savings associated with this action principally resulted in lower Cost of goods sold in 2019.</w:t>
      </w:r>
    </w:p>
    <w:p>
      <w:pPr>
        <w:spacing w:after="0" w:line="95" w:lineRule="exact"/>
        <w:rPr>
          <w:sz w:val="20"/>
          <w:szCs w:val="20"/>
          <w:color w:val="auto"/>
        </w:rPr>
      </w:pPr>
    </w:p>
    <w:p>
      <w:pPr>
        <w:ind w:right="20" w:firstLine="378"/>
        <w:spacing w:after="0"/>
        <w:rPr>
          <w:sz w:val="20"/>
          <w:szCs w:val="20"/>
          <w:color w:val="auto"/>
        </w:rPr>
      </w:pPr>
      <w:r>
        <w:rPr>
          <w:rFonts w:ascii="Arial" w:cs="Arial" w:eastAsia="Arial" w:hAnsi="Arial"/>
          <w:sz w:val="18"/>
          <w:szCs w:val="18"/>
          <w:color w:val="auto"/>
        </w:rPr>
        <w:t>In 2016, the Company discontinued research and development activities at its MC facility in Sélestat, France, which resulted in $2.2 million of restructuring expense in 2016. In 2017 and 2018, we recorded additional restructuring charges of $1.6 million and $1.0 million, related to a 2016 restructuring at the same location. Total restructuring costs for that initiative, including 2016, was $3.9 million.</w:t>
      </w:r>
    </w:p>
    <w:p>
      <w:pPr>
        <w:spacing w:after="0" w:line="95" w:lineRule="exact"/>
        <w:rPr>
          <w:sz w:val="20"/>
          <w:szCs w:val="20"/>
          <w:color w:val="auto"/>
        </w:rPr>
      </w:pPr>
    </w:p>
    <w:p>
      <w:pPr>
        <w:jc w:val="both"/>
        <w:ind w:right="320" w:firstLine="378"/>
        <w:spacing w:after="0"/>
        <w:rPr>
          <w:sz w:val="20"/>
          <w:szCs w:val="20"/>
          <w:color w:val="auto"/>
        </w:rPr>
      </w:pPr>
      <w:r>
        <w:rPr>
          <w:rFonts w:ascii="Arial" w:cs="Arial" w:eastAsia="Arial" w:hAnsi="Arial"/>
          <w:sz w:val="18"/>
          <w:szCs w:val="18"/>
          <w:color w:val="auto"/>
        </w:rPr>
        <w:t>In 2017, the Company initiated work force reductions and facility rationalization in AEC locations in Salt Lake City, Utah and Rochester, New Hampshire. Restructuring charges include expenses of $0.1 million in 2019, $1.1 million in 2018, and $5.0 million in 2017. To date, we have recorded $6.2 million of restructuring charges related to these actions.</w:t>
      </w:r>
    </w:p>
    <w:p>
      <w:pPr>
        <w:spacing w:after="0" w:line="95" w:lineRule="exact"/>
        <w:rPr>
          <w:sz w:val="20"/>
          <w:szCs w:val="20"/>
          <w:color w:val="auto"/>
        </w:rPr>
      </w:pPr>
    </w:p>
    <w:p>
      <w:pPr>
        <w:ind w:right="160" w:firstLine="378"/>
        <w:spacing w:after="0" w:line="239" w:lineRule="auto"/>
        <w:rPr>
          <w:sz w:val="20"/>
          <w:szCs w:val="20"/>
          <w:color w:val="auto"/>
        </w:rPr>
      </w:pPr>
      <w:r>
        <w:rPr>
          <w:rFonts w:ascii="Arial" w:cs="Arial" w:eastAsia="Arial" w:hAnsi="Arial"/>
          <w:sz w:val="18"/>
          <w:szCs w:val="18"/>
          <w:color w:val="auto"/>
        </w:rPr>
        <w:t>In 2018, the Company discontinued certain manufacturing processes at its AEC facility in Salt Lake City, Utah, which resulted in $1.9 million of restructuring in 2018, which included a non-cash restructuring charge of $1.7 million, and an additional $0.2 million for severance. The non-cash restructuring charge resulted from writing down manufacturing equipment used in that line of business to its estimated value. In 2019, the Company wrote off the remaining $1.2 million book value of that equipment as the Company has been unable to sell it.</w:t>
      </w:r>
    </w:p>
    <w:p>
      <w:pPr>
        <w:spacing w:after="0" w:line="94" w:lineRule="exact"/>
        <w:rPr>
          <w:sz w:val="20"/>
          <w:szCs w:val="20"/>
          <w:color w:val="auto"/>
        </w:rPr>
      </w:pPr>
    </w:p>
    <w:p>
      <w:pPr>
        <w:ind w:right="40" w:firstLine="378"/>
        <w:spacing w:after="0" w:line="209" w:lineRule="auto"/>
        <w:rPr>
          <w:sz w:val="20"/>
          <w:szCs w:val="20"/>
          <w:color w:val="auto"/>
        </w:rPr>
      </w:pPr>
      <w:r>
        <w:rPr>
          <w:rFonts w:ascii="Arial" w:cs="Arial" w:eastAsia="Arial" w:hAnsi="Arial"/>
          <w:sz w:val="18"/>
          <w:szCs w:val="18"/>
          <w:color w:val="auto"/>
        </w:rPr>
        <w:t>In 2017, the Company decided to discontinue the Bear Claw</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line of hydraulic fracturing components used in the oil and gas industry. This decision resulted in a non-cash restructuring charge of $4.5 million for the write-off of intangible assets and equipment, and a $2.8 million charge to Cost of goods sold for the write-off of inventory.</w:t>
      </w:r>
    </w:p>
    <w:p>
      <w:pPr>
        <w:spacing w:after="0" w:line="95" w:lineRule="exact"/>
        <w:rPr>
          <w:sz w:val="20"/>
          <w:szCs w:val="20"/>
          <w:color w:val="auto"/>
        </w:rPr>
      </w:pPr>
    </w:p>
    <w:p>
      <w:pPr>
        <w:ind w:right="220" w:firstLine="37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8, which is incorporated herein by reference.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5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5820" w:type="dxa"/>
            <w:vAlign w:val="bottom"/>
            <w:gridSpan w:val="4"/>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40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552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Machine Clothing</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tcBorders>
          </w:tcPr>
          <w:p>
            <w:pPr>
              <w:jc w:val="center"/>
              <w:ind w:left="14"/>
              <w:spacing w:after="0" w:line="173" w:lineRule="exact"/>
              <w:rPr>
                <w:sz w:val="20"/>
                <w:szCs w:val="20"/>
                <w:color w:val="auto"/>
              </w:rPr>
            </w:pPr>
            <w:r>
              <w:rPr>
                <w:rFonts w:ascii="Arial" w:cs="Arial" w:eastAsia="Arial" w:hAnsi="Arial"/>
                <w:sz w:val="18"/>
                <w:szCs w:val="18"/>
                <w:b w:val="1"/>
                <w:bCs w:val="1"/>
                <w:color w:val="auto"/>
                <w:w w:val="98"/>
              </w:rPr>
              <w:t>$191,965</w:t>
            </w:r>
          </w:p>
        </w:tc>
        <w:tc>
          <w:tcPr>
            <w:tcW w:w="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jc w:val="center"/>
              <w:ind w:left="16"/>
              <w:spacing w:after="0" w:line="173" w:lineRule="exact"/>
              <w:rPr>
                <w:sz w:val="20"/>
                <w:szCs w:val="20"/>
                <w:color w:val="auto"/>
              </w:rPr>
            </w:pPr>
            <w:r>
              <w:rPr>
                <w:rFonts w:ascii="Arial" w:cs="Arial" w:eastAsia="Arial" w:hAnsi="Arial"/>
                <w:sz w:val="18"/>
                <w:szCs w:val="18"/>
                <w:color w:val="auto"/>
                <w:w w:val="98"/>
              </w:rPr>
              <w:t>$169,836</w:t>
            </w:r>
          </w:p>
        </w:tc>
        <w:tc>
          <w:tcPr>
            <w:tcW w:w="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jc w:val="center"/>
              <w:ind w:left="34"/>
              <w:spacing w:after="0" w:line="173" w:lineRule="exact"/>
              <w:rPr>
                <w:sz w:val="20"/>
                <w:szCs w:val="20"/>
                <w:color w:val="auto"/>
              </w:rPr>
            </w:pPr>
            <w:r>
              <w:rPr>
                <w:rFonts w:ascii="Arial" w:cs="Arial" w:eastAsia="Arial" w:hAnsi="Arial"/>
                <w:sz w:val="18"/>
                <w:szCs w:val="18"/>
                <w:color w:val="auto"/>
              </w:rPr>
              <w:t>$153,980</w:t>
            </w:r>
          </w:p>
        </w:tc>
        <w:tc>
          <w:tcPr>
            <w:tcW w:w="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820" w:type="dxa"/>
            <w:vAlign w:val="bottom"/>
            <w:gridSpan w:val="4"/>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1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55,520</w:t>
            </w:r>
          </w:p>
        </w:tc>
        <w:tc>
          <w:tcPr>
            <w:tcW w:w="80" w:type="dxa"/>
            <w:vAlign w:val="bottom"/>
          </w:tcPr>
          <w:p>
            <w:pPr>
              <w:spacing w:after="0"/>
              <w:rPr>
                <w:sz w:val="17"/>
                <w:szCs w:val="17"/>
                <w:color w:val="auto"/>
              </w:rPr>
            </w:pPr>
          </w:p>
        </w:tc>
        <w:tc>
          <w:tcPr>
            <w:tcW w:w="1400" w:type="dxa"/>
            <w:vAlign w:val="bottom"/>
            <w:gridSpan w:val="3"/>
          </w:tcPr>
          <w:p>
            <w:pPr>
              <w:jc w:val="right"/>
              <w:ind w:right="36"/>
              <w:spacing w:after="0" w:line="202" w:lineRule="exact"/>
              <w:rPr>
                <w:sz w:val="20"/>
                <w:szCs w:val="20"/>
                <w:color w:val="auto"/>
              </w:rPr>
            </w:pPr>
            <w:r>
              <w:rPr>
                <w:rFonts w:ascii="Arial" w:cs="Arial" w:eastAsia="Arial" w:hAnsi="Arial"/>
                <w:sz w:val="18"/>
                <w:szCs w:val="18"/>
                <w:color w:val="auto"/>
              </w:rPr>
              <w:t>16,647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(31,657)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Corporate expenses</w:t>
            </w:r>
          </w:p>
        </w:tc>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(53,909)</w:t>
            </w:r>
          </w:p>
        </w:tc>
        <w:tc>
          <w:tcPr>
            <w:tcW w:w="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(49,075)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820" w:type="dxa"/>
            <w:vAlign w:val="bottom"/>
            <w:gridSpan w:val="4"/>
          </w:tcPr>
          <w:p>
            <w:pPr>
              <w:spacing w:after="0" w:line="196" w:lineRule="exact"/>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center"/>
              <w:ind w:left="14"/>
              <w:spacing w:after="0" w:line="196" w:lineRule="exact"/>
              <w:rPr>
                <w:sz w:val="20"/>
                <w:szCs w:val="20"/>
                <w:color w:val="auto"/>
              </w:rPr>
            </w:pPr>
            <w:r>
              <w:rPr>
                <w:rFonts w:ascii="Arial" w:cs="Arial" w:eastAsia="Arial" w:hAnsi="Arial"/>
                <w:sz w:val="18"/>
                <w:szCs w:val="18"/>
                <w:b w:val="1"/>
                <w:bCs w:val="1"/>
                <w:color w:val="auto"/>
                <w:w w:val="98"/>
              </w:rPr>
              <w:t>$193,576</w:t>
            </w: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center"/>
              <w:ind w:left="16"/>
              <w:spacing w:after="0" w:line="196" w:lineRule="exact"/>
              <w:rPr>
                <w:sz w:val="20"/>
                <w:szCs w:val="20"/>
                <w:color w:val="auto"/>
              </w:rPr>
            </w:pPr>
            <w:r>
              <w:rPr>
                <w:rFonts w:ascii="Arial" w:cs="Arial" w:eastAsia="Arial" w:hAnsi="Arial"/>
                <w:sz w:val="18"/>
                <w:szCs w:val="18"/>
                <w:color w:val="auto"/>
                <w:w w:val="98"/>
              </w:rPr>
              <w:t>$137,408</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center"/>
              <w:ind w:left="34"/>
              <w:spacing w:after="0" w:line="196" w:lineRule="exact"/>
              <w:rPr>
                <w:sz w:val="20"/>
                <w:szCs w:val="20"/>
                <w:color w:val="auto"/>
              </w:rPr>
            </w:pPr>
            <w:r>
              <w:rPr>
                <w:rFonts w:ascii="Arial" w:cs="Arial" w:eastAsia="Arial" w:hAnsi="Arial"/>
                <w:sz w:val="18"/>
                <w:szCs w:val="18"/>
                <w:color w:val="auto"/>
              </w:rPr>
              <w:t>$ 78,676</w:t>
            </w:r>
          </w:p>
        </w:tc>
        <w:tc>
          <w:tcPr>
            <w:tcW w:w="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Other Earnings Items</w:t>
            </w: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00" w:type="dxa"/>
            <w:vAlign w:val="bottom"/>
            <w:gridSpan w:val="5"/>
            <w:vMerge w:val="continue"/>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5820" w:type="dxa"/>
            <w:vAlign w:val="bottom"/>
            <w:gridSpan w:val="4"/>
          </w:tcPr>
          <w:p>
            <w:pPr>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40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5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Interest expense, net</w:t>
            </w:r>
          </w:p>
        </w:tc>
        <w:tc>
          <w:tcPr>
            <w:tcW w:w="320" w:type="dxa"/>
            <w:vAlign w:val="bottom"/>
            <w:gridSpan w:val="2"/>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94"/>
              <w:spacing w:after="0" w:line="173" w:lineRule="exact"/>
              <w:rPr>
                <w:sz w:val="20"/>
                <w:szCs w:val="20"/>
                <w:color w:val="auto"/>
              </w:rPr>
            </w:pPr>
            <w:r>
              <w:rPr>
                <w:rFonts w:ascii="Arial" w:cs="Arial" w:eastAsia="Arial" w:hAnsi="Arial"/>
                <w:sz w:val="18"/>
                <w:szCs w:val="18"/>
                <w:b w:val="1"/>
                <w:bCs w:val="1"/>
                <w:color w:val="auto"/>
              </w:rPr>
              <w:t>$16,921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top w:val="single" w:sz="8" w:color="auto"/>
            </w:tcBorders>
            <w:gridSpan w:val="2"/>
          </w:tcPr>
          <w:p>
            <w:pPr>
              <w:jc w:val="right"/>
              <w:ind w:right="176"/>
              <w:spacing w:after="0" w:line="173" w:lineRule="exact"/>
              <w:rPr>
                <w:sz w:val="20"/>
                <w:szCs w:val="20"/>
                <w:color w:val="auto"/>
              </w:rPr>
            </w:pPr>
            <w:r>
              <w:rPr>
                <w:rFonts w:ascii="Arial" w:cs="Arial" w:eastAsia="Arial" w:hAnsi="Arial"/>
                <w:sz w:val="18"/>
                <w:szCs w:val="18"/>
                <w:color w:val="auto"/>
              </w:rPr>
              <w:t>$18,124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74"/>
              <w:spacing w:after="0" w:line="173" w:lineRule="exact"/>
              <w:rPr>
                <w:sz w:val="20"/>
                <w:szCs w:val="20"/>
                <w:color w:val="auto"/>
              </w:rPr>
            </w:pPr>
            <w:r>
              <w:rPr>
                <w:rFonts w:ascii="Arial" w:cs="Arial" w:eastAsia="Arial" w:hAnsi="Arial"/>
                <w:sz w:val="18"/>
                <w:szCs w:val="18"/>
                <w:color w:val="auto"/>
              </w:rPr>
              <w:t>$17,091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820" w:type="dxa"/>
            <w:vAlign w:val="bottom"/>
            <w:gridSpan w:val="4"/>
          </w:tcPr>
          <w:p>
            <w:pPr>
              <w:spacing w:after="0" w:line="202" w:lineRule="exact"/>
              <w:rPr>
                <w:sz w:val="20"/>
                <w:szCs w:val="20"/>
                <w:color w:val="auto"/>
              </w:rPr>
            </w:pPr>
            <w:r>
              <w:rPr>
                <w:rFonts w:ascii="Arial" w:cs="Arial" w:eastAsia="Arial" w:hAnsi="Arial"/>
                <w:sz w:val="18"/>
                <w:szCs w:val="18"/>
                <w:color w:val="auto"/>
              </w:rPr>
              <w:t>Other (income)/expense, net</w:t>
            </w:r>
          </w:p>
        </w:tc>
        <w:tc>
          <w:tcPr>
            <w:tcW w:w="112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(1,557)</w:t>
            </w:r>
          </w:p>
        </w:tc>
        <w:tc>
          <w:tcPr>
            <w:tcW w:w="80" w:type="dxa"/>
            <w:vAlign w:val="bottom"/>
          </w:tcPr>
          <w:p>
            <w:pPr>
              <w:spacing w:after="0"/>
              <w:rPr>
                <w:sz w:val="17"/>
                <w:szCs w:val="17"/>
                <w:color w:val="auto"/>
              </w:rPr>
            </w:pPr>
          </w:p>
        </w:tc>
        <w:tc>
          <w:tcPr>
            <w:tcW w:w="1400" w:type="dxa"/>
            <w:vAlign w:val="bottom"/>
            <w:gridSpan w:val="3"/>
          </w:tcPr>
          <w:p>
            <w:pPr>
              <w:jc w:val="right"/>
              <w:ind w:right="196"/>
              <w:spacing w:after="0" w:line="202" w:lineRule="exact"/>
              <w:rPr>
                <w:sz w:val="20"/>
                <w:szCs w:val="20"/>
                <w:color w:val="auto"/>
              </w:rPr>
            </w:pPr>
            <w:r>
              <w:rPr>
                <w:rFonts w:ascii="Arial" w:cs="Arial" w:eastAsia="Arial" w:hAnsi="Arial"/>
                <w:sz w:val="18"/>
                <w:szCs w:val="18"/>
                <w:color w:val="auto"/>
              </w:rPr>
              <w:t>4,037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6,877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820" w:type="dxa"/>
            <w:vAlign w:val="bottom"/>
            <w:gridSpan w:val="4"/>
          </w:tcPr>
          <w:p>
            <w:pPr>
              <w:spacing w:after="0" w:line="202" w:lineRule="exact"/>
              <w:rPr>
                <w:sz w:val="20"/>
                <w:szCs w:val="20"/>
                <w:color w:val="auto"/>
              </w:rPr>
            </w:pPr>
            <w:r>
              <w:rPr>
                <w:rFonts w:ascii="Arial" w:cs="Arial" w:eastAsia="Arial" w:hAnsi="Arial"/>
                <w:sz w:val="18"/>
                <w:szCs w:val="18"/>
                <w:color w:val="auto"/>
              </w:rPr>
              <w:t>Income tax expense</w:t>
            </w:r>
          </w:p>
        </w:tc>
        <w:tc>
          <w:tcPr>
            <w:tcW w:w="112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44,829</w:t>
            </w:r>
          </w:p>
        </w:tc>
        <w:tc>
          <w:tcPr>
            <w:tcW w:w="80" w:type="dxa"/>
            <w:vAlign w:val="bottom"/>
          </w:tcPr>
          <w:p>
            <w:pPr>
              <w:spacing w:after="0"/>
              <w:rPr>
                <w:sz w:val="17"/>
                <w:szCs w:val="17"/>
                <w:color w:val="auto"/>
              </w:rPr>
            </w:pPr>
          </w:p>
        </w:tc>
        <w:tc>
          <w:tcPr>
            <w:tcW w:w="1400" w:type="dxa"/>
            <w:vAlign w:val="bottom"/>
            <w:gridSpan w:val="3"/>
          </w:tcPr>
          <w:p>
            <w:pPr>
              <w:jc w:val="right"/>
              <w:ind w:right="196"/>
              <w:spacing w:after="0" w:line="202" w:lineRule="exact"/>
              <w:rPr>
                <w:sz w:val="20"/>
                <w:szCs w:val="20"/>
                <w:color w:val="auto"/>
              </w:rPr>
            </w:pPr>
            <w:r>
              <w:rPr>
                <w:rFonts w:ascii="Arial" w:cs="Arial" w:eastAsia="Arial" w:hAnsi="Arial"/>
                <w:sz w:val="18"/>
                <w:szCs w:val="18"/>
                <w:color w:val="auto"/>
              </w:rPr>
              <w:t>32,228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22,123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Net income/(loss) attributable to the noncontrolling interest</w:t>
            </w:r>
          </w:p>
        </w:tc>
        <w:tc>
          <w:tcPr>
            <w:tcW w:w="1120" w:type="dxa"/>
            <w:vAlign w:val="bottom"/>
          </w:tcPr>
          <w:p>
            <w:pPr>
              <w:jc w:val="right"/>
              <w:ind w:right="214"/>
              <w:spacing w:after="0"/>
              <w:rPr>
                <w:sz w:val="20"/>
                <w:szCs w:val="20"/>
                <w:color w:val="auto"/>
              </w:rPr>
            </w:pPr>
            <w:r>
              <w:rPr>
                <w:rFonts w:ascii="Arial" w:cs="Arial" w:eastAsia="Arial" w:hAnsi="Arial"/>
                <w:sz w:val="18"/>
                <w:szCs w:val="18"/>
                <w:b w:val="1"/>
                <w:bCs w:val="1"/>
                <w:color w:val="auto"/>
              </w:rPr>
              <w:t>985</w:t>
            </w:r>
          </w:p>
        </w:tc>
        <w:tc>
          <w:tcPr>
            <w:tcW w:w="80" w:type="dxa"/>
            <w:vAlign w:val="bottom"/>
          </w:tcPr>
          <w:p>
            <w:pPr>
              <w:spacing w:after="0"/>
              <w:rPr>
                <w:sz w:val="20"/>
                <w:szCs w:val="20"/>
                <w:color w:val="auto"/>
              </w:rPr>
            </w:pPr>
          </w:p>
        </w:tc>
        <w:tc>
          <w:tcPr>
            <w:tcW w:w="1400" w:type="dxa"/>
            <w:vAlign w:val="bottom"/>
            <w:gridSpan w:val="3"/>
          </w:tcPr>
          <w:p>
            <w:pPr>
              <w:jc w:val="right"/>
              <w:ind w:right="196"/>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6" w:lineRule="exact"/>
        <w:rPr>
          <w:sz w:val="20"/>
          <w:szCs w:val="20"/>
          <w:color w:val="auto"/>
        </w:rPr>
      </w:pPr>
    </w:p>
    <w:p>
      <w:pPr>
        <w:ind w:firstLine="378"/>
        <w:spacing w:after="0"/>
        <w:rPr>
          <w:sz w:val="20"/>
          <w:szCs w:val="20"/>
          <w:color w:val="auto"/>
        </w:rPr>
      </w:pPr>
      <w:r>
        <w:rPr>
          <w:rFonts w:ascii="Arial" w:cs="Arial" w:eastAsia="Arial" w:hAnsi="Arial"/>
          <w:sz w:val="18"/>
          <w:szCs w:val="18"/>
          <w:color w:val="auto"/>
        </w:rPr>
        <w:t>Interest expense, net, decreased $1.2 million in 2019 principally due to lower debt balances resulting from higher cash flow in the AEC business and lower interest rates as a result of lower market rates and a lower margin from a lowered leverage ratio. See “Liquidity and Capital Resources” for further discussion of borrowings and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change in Other (income)/expense, net included the following individually significant items:</w:t>
      </w:r>
    </w:p>
    <w:p>
      <w:pPr>
        <w:spacing w:after="0" w:line="97" w:lineRule="exact"/>
        <w:rPr>
          <w:sz w:val="20"/>
          <w:szCs w:val="20"/>
          <w:color w:val="auto"/>
        </w:rPr>
      </w:pPr>
    </w:p>
    <w:p>
      <w:pPr>
        <w:ind w:left="600" w:hanging="214"/>
        <w:spacing w:after="0"/>
        <w:tabs>
          <w:tab w:leader="none" w:pos="600" w:val="left"/>
        </w:tabs>
        <w:numPr>
          <w:ilvl w:val="0"/>
          <w:numId w:val="15"/>
        </w:numPr>
        <w:rPr>
          <w:rFonts w:ascii="Arial" w:cs="Arial" w:eastAsia="Arial" w:hAnsi="Arial"/>
          <w:sz w:val="23"/>
          <w:szCs w:val="23"/>
          <w:color w:val="auto"/>
        </w:rPr>
      </w:pPr>
      <w:r>
        <w:rPr>
          <w:rFonts w:ascii="Arial" w:cs="Arial" w:eastAsia="Arial" w:hAnsi="Arial"/>
          <w:sz w:val="18"/>
          <w:szCs w:val="18"/>
          <w:color w:val="auto"/>
        </w:rPr>
        <w:t>In 2019, we recorded a $0.5 million charge related to the freezing of defined benefit plan accruals in the United Kingdom.</w:t>
      </w:r>
    </w:p>
    <w:p>
      <w:pPr>
        <w:spacing w:after="0" w:line="120" w:lineRule="exact"/>
        <w:rPr>
          <w:rFonts w:ascii="Arial" w:cs="Arial" w:eastAsia="Arial" w:hAnsi="Arial"/>
          <w:sz w:val="23"/>
          <w:szCs w:val="23"/>
          <w:color w:val="auto"/>
        </w:rPr>
      </w:pPr>
    </w:p>
    <w:p>
      <w:pPr>
        <w:ind w:left="600" w:right="120" w:hanging="214"/>
        <w:spacing w:after="0" w:line="213" w:lineRule="auto"/>
        <w:tabs>
          <w:tab w:leader="none" w:pos="600" w:val="left"/>
        </w:tabs>
        <w:numPr>
          <w:ilvl w:val="0"/>
          <w:numId w:val="15"/>
        </w:numPr>
        <w:rPr>
          <w:rFonts w:ascii="Arial" w:cs="Arial" w:eastAsia="Arial" w:hAnsi="Arial"/>
          <w:sz w:val="23"/>
          <w:szCs w:val="23"/>
          <w:color w:val="auto"/>
        </w:rPr>
      </w:pPr>
      <w:r>
        <w:rPr>
          <w:rFonts w:ascii="Arial" w:cs="Arial" w:eastAsia="Arial" w:hAnsi="Arial"/>
          <w:sz w:val="18"/>
          <w:szCs w:val="18"/>
          <w:color w:val="auto"/>
        </w:rPr>
        <w:t>In 2018, we recorded a $2.2 million charge related to the settlement of a portion of our non-U.S. defined benefit pension plan liabilities and a curtailment gain of $0.7 million related to the restructuring in Sélestat, France.</w:t>
      </w:r>
    </w:p>
    <w:p>
      <w:pPr>
        <w:spacing w:after="0" w:line="121" w:lineRule="exact"/>
        <w:rPr>
          <w:rFonts w:ascii="Arial" w:cs="Arial" w:eastAsia="Arial" w:hAnsi="Arial"/>
          <w:sz w:val="23"/>
          <w:szCs w:val="23"/>
          <w:color w:val="auto"/>
        </w:rPr>
      </w:pPr>
    </w:p>
    <w:p>
      <w:pPr>
        <w:ind w:left="600" w:hanging="214"/>
        <w:spacing w:after="0" w:line="213" w:lineRule="auto"/>
        <w:tabs>
          <w:tab w:leader="none" w:pos="600" w:val="left"/>
        </w:tabs>
        <w:numPr>
          <w:ilvl w:val="0"/>
          <w:numId w:val="15"/>
        </w:numPr>
        <w:rPr>
          <w:rFonts w:ascii="Arial" w:cs="Arial" w:eastAsia="Arial" w:hAnsi="Arial"/>
          <w:sz w:val="23"/>
          <w:szCs w:val="23"/>
          <w:color w:val="auto"/>
        </w:rPr>
      </w:pPr>
      <w:r>
        <w:rPr>
          <w:rFonts w:ascii="Arial" w:cs="Arial" w:eastAsia="Arial" w:hAnsi="Arial"/>
          <w:sz w:val="18"/>
          <w:szCs w:val="18"/>
          <w:color w:val="auto"/>
        </w:rPr>
        <w:t>Foreign currency revaluations of cash and intercompany balances resulted in net gains of $4.5 million in 2019, and $0.1 million in 2018, and net losses of $4.6 million in 2017.</w:t>
      </w:r>
    </w:p>
    <w:p>
      <w:pPr>
        <w:spacing w:after="0" w:line="87" w:lineRule="exact"/>
        <w:rPr>
          <w:rFonts w:ascii="Arial" w:cs="Arial" w:eastAsia="Arial" w:hAnsi="Arial"/>
          <w:sz w:val="23"/>
          <w:szCs w:val="23"/>
          <w:color w:val="auto"/>
        </w:rPr>
      </w:pPr>
    </w:p>
    <w:p>
      <w:pPr>
        <w:ind w:left="600" w:hanging="214"/>
        <w:spacing w:after="0"/>
        <w:tabs>
          <w:tab w:leader="none" w:pos="600" w:val="left"/>
        </w:tabs>
        <w:numPr>
          <w:ilvl w:val="0"/>
          <w:numId w:val="15"/>
        </w:numPr>
        <w:rPr>
          <w:rFonts w:ascii="Arial" w:cs="Arial" w:eastAsia="Arial" w:hAnsi="Arial"/>
          <w:sz w:val="23"/>
          <w:szCs w:val="23"/>
          <w:color w:val="auto"/>
        </w:rPr>
      </w:pPr>
      <w:r>
        <w:rPr>
          <w:rFonts w:ascii="Arial" w:cs="Arial" w:eastAsia="Arial" w:hAnsi="Arial"/>
          <w:sz w:val="18"/>
          <w:szCs w:val="18"/>
          <w:color w:val="auto"/>
        </w:rPr>
        <w:t>In 2017, we recorded a gain of $2.0 million based on an insurance settlement related to a theft in 2016.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jc w:val="both"/>
        <w:ind w:right="380" w:firstLine="378"/>
        <w:spacing w:after="0"/>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in 2019. The jurisdictional location of earnings is a significant component of our effective tax rate each year and, therefore, on our overall income tax expense.</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effective tax rate for fiscal years 2019, 2018 and 2017 was 25.2%, 28.0% and 40.4%, respectively.</w:t>
      </w:r>
    </w:p>
    <w:p>
      <w:pPr>
        <w:spacing w:after="0" w:line="104" w:lineRule="exact"/>
        <w:rPr>
          <w:sz w:val="20"/>
          <w:szCs w:val="20"/>
          <w:color w:val="auto"/>
        </w:rPr>
      </w:pPr>
    </w:p>
    <w:p>
      <w:pPr>
        <w:jc w:val="both"/>
        <w:ind w:right="380" w:firstLine="378"/>
        <w:spacing w:after="0" w:line="246" w:lineRule="auto"/>
        <w:rPr>
          <w:sz w:val="20"/>
          <w:szCs w:val="20"/>
          <w:color w:val="auto"/>
        </w:rPr>
      </w:pPr>
      <w:r>
        <w:rPr>
          <w:rFonts w:ascii="Arial" w:cs="Arial" w:eastAsia="Arial" w:hAnsi="Arial"/>
          <w:sz w:val="18"/>
          <w:szCs w:val="18"/>
          <w:color w:val="auto"/>
        </w:rPr>
        <w:t>The tax rate is affected by recurring items, such as the income tax rate in the U.S. and in non-U.S. jurisdictions and the mix of income earned in those jurisdictions and discrete items that may occur in any given year but are not consistent from year to year.</w:t>
      </w:r>
    </w:p>
    <w:p>
      <w:pPr>
        <w:spacing w:after="0" w:line="89" w:lineRule="exact"/>
        <w:rPr>
          <w:sz w:val="20"/>
          <w:szCs w:val="20"/>
          <w:color w:val="auto"/>
        </w:rPr>
      </w:pPr>
    </w:p>
    <w:p>
      <w:pPr>
        <w:ind w:right="800" w:firstLine="378"/>
        <w:spacing w:after="0" w:line="246" w:lineRule="auto"/>
        <w:rPr>
          <w:sz w:val="20"/>
          <w:szCs w:val="20"/>
          <w:color w:val="auto"/>
        </w:rPr>
      </w:pPr>
      <w:r>
        <w:rPr>
          <w:rFonts w:ascii="Arial" w:cs="Arial" w:eastAsia="Arial" w:hAnsi="Arial"/>
          <w:sz w:val="18"/>
          <w:szCs w:val="18"/>
          <w:color w:val="auto"/>
        </w:rPr>
        <w:t>Significant items that impacted the 2019 effective tax rate included the following (percentages reflect the effect of each item as a percentage of income before income taxes):</w:t>
      </w:r>
    </w:p>
    <w:p>
      <w:pPr>
        <w:spacing w:after="0" w:line="68" w:lineRule="exact"/>
        <w:rPr>
          <w:sz w:val="20"/>
          <w:szCs w:val="20"/>
          <w:color w:val="auto"/>
        </w:rPr>
      </w:pPr>
    </w:p>
    <w:p>
      <w:pPr>
        <w:ind w:left="600" w:hanging="214"/>
        <w:spacing w:after="0"/>
        <w:tabs>
          <w:tab w:leader="none" w:pos="600" w:val="left"/>
        </w:tabs>
        <w:numPr>
          <w:ilvl w:val="0"/>
          <w:numId w:val="16"/>
        </w:numPr>
        <w:rPr>
          <w:rFonts w:ascii="Arial" w:cs="Arial" w:eastAsia="Arial" w:hAnsi="Arial"/>
          <w:sz w:val="23"/>
          <w:szCs w:val="23"/>
          <w:color w:val="auto"/>
        </w:rPr>
      </w:pPr>
      <w:r>
        <w:rPr>
          <w:rFonts w:ascii="Arial" w:cs="Arial" w:eastAsia="Arial" w:hAnsi="Arial"/>
          <w:sz w:val="18"/>
          <w:szCs w:val="18"/>
          <w:color w:val="auto"/>
        </w:rPr>
        <w:t>A tax benefit of $0.1 million (-0.1%) related to foreign tax rate changes.</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6"/>
        </w:numPr>
        <w:rPr>
          <w:rFonts w:ascii="Arial" w:cs="Arial" w:eastAsia="Arial" w:hAnsi="Arial"/>
          <w:sz w:val="23"/>
          <w:szCs w:val="23"/>
          <w:color w:val="auto"/>
        </w:rPr>
      </w:pPr>
      <w:r>
        <w:rPr>
          <w:rFonts w:ascii="Arial" w:cs="Arial" w:eastAsia="Arial" w:hAnsi="Arial"/>
          <w:sz w:val="18"/>
          <w:szCs w:val="18"/>
          <w:color w:val="auto"/>
        </w:rPr>
        <w:t>A tax benefit of $1.5 million (-0.9%) related to U.S. and Non-U.S. return to provision adjustments.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33" w:lineRule="exact"/>
        <w:rPr>
          <w:sz w:val="20"/>
          <w:szCs w:val="20"/>
          <w:color w:val="auto"/>
        </w:rPr>
      </w:pPr>
    </w:p>
    <w:p>
      <w:pPr>
        <w:ind w:left="600" w:hanging="214"/>
        <w:spacing w:after="0"/>
        <w:tabs>
          <w:tab w:leader="none" w:pos="600" w:val="left"/>
        </w:tabs>
        <w:numPr>
          <w:ilvl w:val="0"/>
          <w:numId w:val="17"/>
        </w:numPr>
        <w:rPr>
          <w:rFonts w:ascii="Arial" w:cs="Arial" w:eastAsia="Arial" w:hAnsi="Arial"/>
          <w:sz w:val="23"/>
          <w:szCs w:val="23"/>
          <w:color w:val="auto"/>
        </w:rPr>
      </w:pPr>
      <w:r>
        <w:rPr>
          <w:rFonts w:ascii="Arial" w:cs="Arial" w:eastAsia="Arial" w:hAnsi="Arial"/>
          <w:sz w:val="18"/>
          <w:szCs w:val="18"/>
          <w:color w:val="auto"/>
        </w:rPr>
        <w:t>A tax benefit of $1.4 million (-0.8%) related to changes in the opening valuation allowances.</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7"/>
        </w:numPr>
        <w:rPr>
          <w:rFonts w:ascii="Arial" w:cs="Arial" w:eastAsia="Arial" w:hAnsi="Arial"/>
          <w:sz w:val="23"/>
          <w:szCs w:val="23"/>
          <w:color w:val="auto"/>
        </w:rPr>
      </w:pPr>
      <w:r>
        <w:rPr>
          <w:rFonts w:ascii="Arial" w:cs="Arial" w:eastAsia="Arial" w:hAnsi="Arial"/>
          <w:sz w:val="18"/>
          <w:szCs w:val="18"/>
          <w:color w:val="auto"/>
        </w:rPr>
        <w:t>A tax expense of $0.9 million (0.5%) related to the creation of a valuation allowance.</w:t>
      </w:r>
    </w:p>
    <w:p>
      <w:pPr>
        <w:spacing w:after="0" w:line="120" w:lineRule="exact"/>
        <w:rPr>
          <w:rFonts w:ascii="Arial" w:cs="Arial" w:eastAsia="Arial" w:hAnsi="Arial"/>
          <w:sz w:val="23"/>
          <w:szCs w:val="23"/>
          <w:color w:val="auto"/>
        </w:rPr>
      </w:pPr>
    </w:p>
    <w:p>
      <w:pPr>
        <w:ind w:left="600" w:right="40" w:hanging="214"/>
        <w:spacing w:after="0" w:line="220" w:lineRule="auto"/>
        <w:tabs>
          <w:tab w:leader="none" w:pos="600" w:val="left"/>
        </w:tabs>
        <w:numPr>
          <w:ilvl w:val="0"/>
          <w:numId w:val="17"/>
        </w:numPr>
        <w:rPr>
          <w:rFonts w:ascii="Arial" w:cs="Arial" w:eastAsia="Arial" w:hAnsi="Arial"/>
          <w:sz w:val="23"/>
          <w:szCs w:val="23"/>
          <w:color w:val="auto"/>
        </w:rPr>
      </w:pPr>
      <w:r>
        <w:rPr>
          <w:rFonts w:ascii="Arial" w:cs="Arial" w:eastAsia="Arial" w:hAnsi="Arial"/>
          <w:sz w:val="18"/>
          <w:szCs w:val="18"/>
          <w:color w:val="auto"/>
        </w:rPr>
        <w:t>A net effective tax rate expense of 0.5% was recognized from income tax rate differences between non-U.S. and U.S. jurisdictions. U.S. tax costs on foreign earnings that have been or will be repatriated and foreign withholdings resulted in an increase of 0.8% to the effective tax rate.</w:t>
      </w:r>
    </w:p>
    <w:p>
      <w:pPr>
        <w:spacing w:after="0" w:line="86" w:lineRule="exact"/>
        <w:rPr>
          <w:rFonts w:ascii="Arial" w:cs="Arial" w:eastAsia="Arial" w:hAnsi="Arial"/>
          <w:sz w:val="23"/>
          <w:szCs w:val="23"/>
          <w:color w:val="auto"/>
        </w:rPr>
      </w:pPr>
    </w:p>
    <w:p>
      <w:pPr>
        <w:ind w:left="600" w:hanging="214"/>
        <w:spacing w:after="0"/>
        <w:tabs>
          <w:tab w:leader="none" w:pos="600" w:val="left"/>
        </w:tabs>
        <w:numPr>
          <w:ilvl w:val="0"/>
          <w:numId w:val="17"/>
        </w:numPr>
        <w:rPr>
          <w:rFonts w:ascii="Arial" w:cs="Arial" w:eastAsia="Arial" w:hAnsi="Arial"/>
          <w:sz w:val="23"/>
          <w:szCs w:val="23"/>
          <w:color w:val="auto"/>
        </w:rPr>
      </w:pPr>
      <w:r>
        <w:rPr>
          <w:rFonts w:ascii="Arial" w:cs="Arial" w:eastAsia="Arial" w:hAnsi="Arial"/>
          <w:sz w:val="18"/>
          <w:szCs w:val="18"/>
          <w:color w:val="auto"/>
        </w:rPr>
        <w:t>A tax benefit of $2.9 million (-1.6%) related to the settlement of audits throughout the year.</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7"/>
        </w:numPr>
        <w:rPr>
          <w:rFonts w:ascii="Arial" w:cs="Arial" w:eastAsia="Arial" w:hAnsi="Arial"/>
          <w:sz w:val="23"/>
          <w:szCs w:val="23"/>
          <w:color w:val="auto"/>
        </w:rPr>
      </w:pPr>
      <w:r>
        <w:rPr>
          <w:rFonts w:ascii="Arial" w:cs="Arial" w:eastAsia="Arial" w:hAnsi="Arial"/>
          <w:sz w:val="18"/>
          <w:szCs w:val="18"/>
          <w:color w:val="auto"/>
        </w:rPr>
        <w:t>A tax benefit of $0.2 million (-0.1%) related to amended tax return adjustments.</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7"/>
        </w:numPr>
        <w:rPr>
          <w:rFonts w:ascii="Arial" w:cs="Arial" w:eastAsia="Arial" w:hAnsi="Arial"/>
          <w:sz w:val="23"/>
          <w:szCs w:val="23"/>
          <w:color w:val="auto"/>
        </w:rPr>
      </w:pPr>
      <w:r>
        <w:rPr>
          <w:rFonts w:ascii="Arial" w:cs="Arial" w:eastAsia="Arial" w:hAnsi="Arial"/>
          <w:sz w:val="18"/>
          <w:szCs w:val="18"/>
          <w:color w:val="auto"/>
        </w:rPr>
        <w:t>Income tax rate on continuing operations, excluding discrete items, was 28.0%.</w:t>
      </w:r>
    </w:p>
    <w:p>
      <w:pPr>
        <w:spacing w:after="0" w:line="94" w:lineRule="exact"/>
        <w:rPr>
          <w:sz w:val="20"/>
          <w:szCs w:val="20"/>
          <w:color w:val="auto"/>
        </w:rPr>
      </w:pPr>
    </w:p>
    <w:p>
      <w:pPr>
        <w:ind w:right="860" w:firstLine="378"/>
        <w:spacing w:after="0" w:line="246" w:lineRule="auto"/>
        <w:rPr>
          <w:sz w:val="20"/>
          <w:szCs w:val="20"/>
          <w:color w:val="auto"/>
        </w:rPr>
      </w:pPr>
      <w:r>
        <w:rPr>
          <w:rFonts w:ascii="Arial" w:cs="Arial" w:eastAsia="Arial" w:hAnsi="Arial"/>
          <w:sz w:val="18"/>
          <w:szCs w:val="18"/>
          <w:color w:val="auto"/>
        </w:rPr>
        <w:t>Significant items that impacted the 2018 effective tax rate included the following (percentages reflect the effect of each item as a percentage of income before income taxes):</w:t>
      </w:r>
    </w:p>
    <w:p>
      <w:pPr>
        <w:spacing w:after="0" w:line="82" w:lineRule="exact"/>
        <w:rPr>
          <w:sz w:val="20"/>
          <w:szCs w:val="20"/>
          <w:color w:val="auto"/>
        </w:rPr>
      </w:pPr>
    </w:p>
    <w:p>
      <w:pPr>
        <w:ind w:left="600" w:hanging="214"/>
        <w:spacing w:after="0"/>
        <w:tabs>
          <w:tab w:leader="none" w:pos="600" w:val="left"/>
        </w:tabs>
        <w:numPr>
          <w:ilvl w:val="0"/>
          <w:numId w:val="18"/>
        </w:numPr>
        <w:rPr>
          <w:rFonts w:ascii="Arial" w:cs="Arial" w:eastAsia="Arial" w:hAnsi="Arial"/>
          <w:sz w:val="23"/>
          <w:szCs w:val="23"/>
          <w:color w:val="auto"/>
        </w:rPr>
      </w:pPr>
      <w:r>
        <w:rPr>
          <w:rFonts w:ascii="Arial" w:cs="Arial" w:eastAsia="Arial" w:hAnsi="Arial"/>
          <w:sz w:val="18"/>
          <w:szCs w:val="18"/>
          <w:color w:val="auto"/>
        </w:rPr>
        <w:t>A tax benefit of $1.0 million (-0.9%) related to the impact of the adjustment to the 2017 mandatory deemed repatriation provision.</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8"/>
        </w:numPr>
        <w:rPr>
          <w:rFonts w:ascii="Arial" w:cs="Arial" w:eastAsia="Arial" w:hAnsi="Arial"/>
          <w:sz w:val="23"/>
          <w:szCs w:val="23"/>
          <w:color w:val="auto"/>
        </w:rPr>
      </w:pPr>
      <w:r>
        <w:rPr>
          <w:rFonts w:ascii="Arial" w:cs="Arial" w:eastAsia="Arial" w:hAnsi="Arial"/>
          <w:sz w:val="18"/>
          <w:szCs w:val="18"/>
          <w:color w:val="auto"/>
        </w:rPr>
        <w:t>A tax charge of $1.6 million (1.4%) related to the impact of the adjustment to the 2017 re-measurement of U.S. net deferred tax assets.</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8"/>
        </w:numPr>
        <w:rPr>
          <w:rFonts w:ascii="Arial" w:cs="Arial" w:eastAsia="Arial" w:hAnsi="Arial"/>
          <w:sz w:val="23"/>
          <w:szCs w:val="23"/>
          <w:color w:val="auto"/>
        </w:rPr>
      </w:pPr>
      <w:r>
        <w:rPr>
          <w:rFonts w:ascii="Arial" w:cs="Arial" w:eastAsia="Arial" w:hAnsi="Arial"/>
          <w:sz w:val="18"/>
          <w:szCs w:val="18"/>
          <w:color w:val="auto"/>
        </w:rPr>
        <w:t>A tax charge of $0.4 million (0.4%) related to foreign tax rate changes.</w:t>
      </w:r>
    </w:p>
    <w:p>
      <w:pPr>
        <w:spacing w:after="0" w:line="86" w:lineRule="exact"/>
        <w:rPr>
          <w:rFonts w:ascii="Arial" w:cs="Arial" w:eastAsia="Arial" w:hAnsi="Arial"/>
          <w:sz w:val="23"/>
          <w:szCs w:val="23"/>
          <w:color w:val="auto"/>
        </w:rPr>
      </w:pPr>
    </w:p>
    <w:p>
      <w:pPr>
        <w:ind w:left="600" w:hanging="214"/>
        <w:spacing w:after="0"/>
        <w:tabs>
          <w:tab w:leader="none" w:pos="600" w:val="left"/>
        </w:tabs>
        <w:numPr>
          <w:ilvl w:val="0"/>
          <w:numId w:val="18"/>
        </w:numPr>
        <w:rPr>
          <w:rFonts w:ascii="Arial" w:cs="Arial" w:eastAsia="Arial" w:hAnsi="Arial"/>
          <w:sz w:val="23"/>
          <w:szCs w:val="23"/>
          <w:color w:val="auto"/>
        </w:rPr>
      </w:pPr>
      <w:r>
        <w:rPr>
          <w:rFonts w:ascii="Arial" w:cs="Arial" w:eastAsia="Arial" w:hAnsi="Arial"/>
          <w:sz w:val="18"/>
          <w:szCs w:val="18"/>
          <w:color w:val="auto"/>
        </w:rPr>
        <w:t>A tax benefit of $1.3 million (-1.1%) related to U.S. and Non-U.S. return to provision adjustments.</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8"/>
        </w:numPr>
        <w:rPr>
          <w:rFonts w:ascii="Arial" w:cs="Arial" w:eastAsia="Arial" w:hAnsi="Arial"/>
          <w:sz w:val="23"/>
          <w:szCs w:val="23"/>
          <w:color w:val="auto"/>
        </w:rPr>
      </w:pPr>
      <w:r>
        <w:rPr>
          <w:rFonts w:ascii="Arial" w:cs="Arial" w:eastAsia="Arial" w:hAnsi="Arial"/>
          <w:sz w:val="18"/>
          <w:szCs w:val="18"/>
          <w:color w:val="auto"/>
        </w:rPr>
        <w:t>A tax benefit of $4.9 million (-4.2%) related to changes in the opening valuation allowances.</w:t>
      </w:r>
    </w:p>
    <w:p>
      <w:pPr>
        <w:spacing w:after="0" w:line="120" w:lineRule="exact"/>
        <w:rPr>
          <w:rFonts w:ascii="Arial" w:cs="Arial" w:eastAsia="Arial" w:hAnsi="Arial"/>
          <w:sz w:val="23"/>
          <w:szCs w:val="23"/>
          <w:color w:val="auto"/>
        </w:rPr>
      </w:pPr>
    </w:p>
    <w:p>
      <w:pPr>
        <w:ind w:left="600" w:right="40" w:hanging="214"/>
        <w:spacing w:after="0" w:line="220" w:lineRule="auto"/>
        <w:tabs>
          <w:tab w:leader="none" w:pos="600" w:val="left"/>
        </w:tabs>
        <w:numPr>
          <w:ilvl w:val="0"/>
          <w:numId w:val="18"/>
        </w:numPr>
        <w:rPr>
          <w:rFonts w:ascii="Arial" w:cs="Arial" w:eastAsia="Arial" w:hAnsi="Arial"/>
          <w:sz w:val="23"/>
          <w:szCs w:val="23"/>
          <w:color w:val="auto"/>
        </w:rPr>
      </w:pPr>
      <w:r>
        <w:rPr>
          <w:rFonts w:ascii="Arial" w:cs="Arial" w:eastAsia="Arial" w:hAnsi="Arial"/>
          <w:sz w:val="18"/>
          <w:szCs w:val="18"/>
          <w:color w:val="auto"/>
        </w:rPr>
        <w:t>A net effective tax rate expense of 0.2% was recognized from income tax rate differences between non-U.S. and U.S. jurisdictions. U.S. tax costs on foreign earnings that have been or will be repatriated and foreign withholdings resulted in an increase of 3.9% to the effective tax rate.</w:t>
      </w:r>
    </w:p>
    <w:p>
      <w:pPr>
        <w:spacing w:after="0" w:line="86" w:lineRule="exact"/>
        <w:rPr>
          <w:rFonts w:ascii="Arial" w:cs="Arial" w:eastAsia="Arial" w:hAnsi="Arial"/>
          <w:sz w:val="23"/>
          <w:szCs w:val="23"/>
          <w:color w:val="auto"/>
        </w:rPr>
      </w:pPr>
    </w:p>
    <w:p>
      <w:pPr>
        <w:ind w:left="600" w:hanging="214"/>
        <w:spacing w:after="0"/>
        <w:tabs>
          <w:tab w:leader="none" w:pos="600" w:val="left"/>
        </w:tabs>
        <w:numPr>
          <w:ilvl w:val="0"/>
          <w:numId w:val="18"/>
        </w:numPr>
        <w:rPr>
          <w:rFonts w:ascii="Arial" w:cs="Arial" w:eastAsia="Arial" w:hAnsi="Arial"/>
          <w:sz w:val="23"/>
          <w:szCs w:val="23"/>
          <w:color w:val="auto"/>
        </w:rPr>
      </w:pPr>
      <w:r>
        <w:rPr>
          <w:rFonts w:ascii="Arial" w:cs="Arial" w:eastAsia="Arial" w:hAnsi="Arial"/>
          <w:sz w:val="18"/>
          <w:szCs w:val="18"/>
          <w:color w:val="auto"/>
        </w:rPr>
        <w:t>A tax charge of $1.3 million (1.1%) related to the settlement of audits throughout the year.</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8"/>
        </w:numPr>
        <w:rPr>
          <w:rFonts w:ascii="Arial" w:cs="Arial" w:eastAsia="Arial" w:hAnsi="Arial"/>
          <w:sz w:val="23"/>
          <w:szCs w:val="23"/>
          <w:color w:val="auto"/>
        </w:rPr>
      </w:pPr>
      <w:r>
        <w:rPr>
          <w:rFonts w:ascii="Arial" w:cs="Arial" w:eastAsia="Arial" w:hAnsi="Arial"/>
          <w:sz w:val="18"/>
          <w:szCs w:val="18"/>
          <w:color w:val="auto"/>
        </w:rPr>
        <w:t>Income tax rate on continuing operations, excluding discrete items, was 31.3%.</w:t>
      </w:r>
    </w:p>
    <w:p>
      <w:pPr>
        <w:spacing w:after="0" w:line="94" w:lineRule="exact"/>
        <w:rPr>
          <w:sz w:val="20"/>
          <w:szCs w:val="20"/>
          <w:color w:val="auto"/>
        </w:rPr>
      </w:pPr>
    </w:p>
    <w:p>
      <w:pPr>
        <w:ind w:right="860" w:firstLine="378"/>
        <w:spacing w:after="0" w:line="246" w:lineRule="auto"/>
        <w:rPr>
          <w:sz w:val="20"/>
          <w:szCs w:val="20"/>
          <w:color w:val="auto"/>
        </w:rPr>
      </w:pPr>
      <w:r>
        <w:rPr>
          <w:rFonts w:ascii="Arial" w:cs="Arial" w:eastAsia="Arial" w:hAnsi="Arial"/>
          <w:sz w:val="18"/>
          <w:szCs w:val="18"/>
          <w:color w:val="auto"/>
        </w:rPr>
        <w:t>Significant items that impacted the 2017 effective tax rate included the following (percentages reflect the effect of each item as a percentage of income before income taxes):</w:t>
      </w:r>
    </w:p>
    <w:p>
      <w:pPr>
        <w:spacing w:after="0" w:line="68" w:lineRule="exact"/>
        <w:rPr>
          <w:sz w:val="20"/>
          <w:szCs w:val="20"/>
          <w:color w:val="auto"/>
        </w:rPr>
      </w:pPr>
    </w:p>
    <w:p>
      <w:pPr>
        <w:ind w:left="600" w:hanging="214"/>
        <w:spacing w:after="0"/>
        <w:tabs>
          <w:tab w:leader="none" w:pos="600" w:val="left"/>
        </w:tabs>
        <w:numPr>
          <w:ilvl w:val="0"/>
          <w:numId w:val="19"/>
        </w:numPr>
        <w:rPr>
          <w:rFonts w:ascii="Arial" w:cs="Arial" w:eastAsia="Arial" w:hAnsi="Arial"/>
          <w:sz w:val="23"/>
          <w:szCs w:val="23"/>
          <w:color w:val="auto"/>
        </w:rPr>
      </w:pPr>
      <w:r>
        <w:rPr>
          <w:rFonts w:ascii="Arial" w:cs="Arial" w:eastAsia="Arial" w:hAnsi="Arial"/>
          <w:sz w:val="18"/>
          <w:szCs w:val="18"/>
          <w:color w:val="auto"/>
        </w:rPr>
        <w:t>A tax charge of $5.8 million (10.5%) related to the impact of the mandatory deemed repatriation.</w:t>
      </w:r>
    </w:p>
    <w:p>
      <w:pPr>
        <w:spacing w:after="0" w:line="86" w:lineRule="exact"/>
        <w:rPr>
          <w:rFonts w:ascii="Arial" w:cs="Arial" w:eastAsia="Arial" w:hAnsi="Arial"/>
          <w:sz w:val="23"/>
          <w:szCs w:val="23"/>
          <w:color w:val="auto"/>
        </w:rPr>
      </w:pPr>
    </w:p>
    <w:p>
      <w:pPr>
        <w:ind w:left="600" w:hanging="214"/>
        <w:spacing w:after="0"/>
        <w:tabs>
          <w:tab w:leader="none" w:pos="600" w:val="left"/>
        </w:tabs>
        <w:numPr>
          <w:ilvl w:val="0"/>
          <w:numId w:val="19"/>
        </w:numPr>
        <w:rPr>
          <w:rFonts w:ascii="Arial" w:cs="Arial" w:eastAsia="Arial" w:hAnsi="Arial"/>
          <w:sz w:val="23"/>
          <w:szCs w:val="23"/>
          <w:color w:val="auto"/>
        </w:rPr>
      </w:pPr>
      <w:r>
        <w:rPr>
          <w:rFonts w:ascii="Arial" w:cs="Arial" w:eastAsia="Arial" w:hAnsi="Arial"/>
          <w:sz w:val="18"/>
          <w:szCs w:val="18"/>
          <w:color w:val="auto"/>
        </w:rPr>
        <w:t>A tax charge of $1.9 million (3.4%) related to U.S. and Non-U.S. tax rate changes.</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19"/>
        </w:numPr>
        <w:rPr>
          <w:rFonts w:ascii="Arial" w:cs="Arial" w:eastAsia="Arial" w:hAnsi="Arial"/>
          <w:sz w:val="23"/>
          <w:szCs w:val="23"/>
          <w:color w:val="auto"/>
        </w:rPr>
      </w:pPr>
      <w:r>
        <w:rPr>
          <w:rFonts w:ascii="Arial" w:cs="Arial" w:eastAsia="Arial" w:hAnsi="Arial"/>
          <w:sz w:val="18"/>
          <w:szCs w:val="18"/>
          <w:color w:val="auto"/>
        </w:rPr>
        <w:t>A tax benefit of $0.8 million (-1.5%) related to U.S. and Non-U.S. return to provision adjustments.</w:t>
      </w:r>
    </w:p>
    <w:p>
      <w:pPr>
        <w:spacing w:after="0" w:line="86" w:lineRule="exact"/>
        <w:rPr>
          <w:rFonts w:ascii="Arial" w:cs="Arial" w:eastAsia="Arial" w:hAnsi="Arial"/>
          <w:sz w:val="23"/>
          <w:szCs w:val="23"/>
          <w:color w:val="auto"/>
        </w:rPr>
      </w:pPr>
    </w:p>
    <w:p>
      <w:pPr>
        <w:ind w:left="600" w:hanging="214"/>
        <w:spacing w:after="0"/>
        <w:tabs>
          <w:tab w:leader="none" w:pos="600" w:val="left"/>
        </w:tabs>
        <w:numPr>
          <w:ilvl w:val="0"/>
          <w:numId w:val="19"/>
        </w:numPr>
        <w:rPr>
          <w:rFonts w:ascii="Arial" w:cs="Arial" w:eastAsia="Arial" w:hAnsi="Arial"/>
          <w:sz w:val="23"/>
          <w:szCs w:val="23"/>
          <w:color w:val="auto"/>
        </w:rPr>
      </w:pPr>
      <w:r>
        <w:rPr>
          <w:rFonts w:ascii="Arial" w:cs="Arial" w:eastAsia="Arial" w:hAnsi="Arial"/>
          <w:sz w:val="18"/>
          <w:szCs w:val="18"/>
          <w:color w:val="auto"/>
        </w:rPr>
        <w:t>A tax benefit of $3.5 million (-6.4%) related to changes in the opening valuation allowances.</w:t>
      </w:r>
    </w:p>
    <w:p>
      <w:pPr>
        <w:spacing w:after="0" w:line="120" w:lineRule="exact"/>
        <w:rPr>
          <w:rFonts w:ascii="Arial" w:cs="Arial" w:eastAsia="Arial" w:hAnsi="Arial"/>
          <w:sz w:val="23"/>
          <w:szCs w:val="23"/>
          <w:color w:val="auto"/>
        </w:rPr>
      </w:pPr>
    </w:p>
    <w:p>
      <w:pPr>
        <w:ind w:left="600" w:hanging="214"/>
        <w:spacing w:after="0" w:line="223" w:lineRule="auto"/>
        <w:tabs>
          <w:tab w:leader="none" w:pos="600" w:val="left"/>
        </w:tabs>
        <w:numPr>
          <w:ilvl w:val="0"/>
          <w:numId w:val="19"/>
        </w:numPr>
        <w:rPr>
          <w:rFonts w:ascii="Arial" w:cs="Arial" w:eastAsia="Arial" w:hAnsi="Arial"/>
          <w:sz w:val="23"/>
          <w:szCs w:val="23"/>
          <w:color w:val="auto"/>
        </w:rPr>
      </w:pPr>
      <w:r>
        <w:rPr>
          <w:rFonts w:ascii="Arial" w:cs="Arial" w:eastAsia="Arial" w:hAnsi="Arial"/>
          <w:sz w:val="18"/>
          <w:szCs w:val="18"/>
          <w:color w:val="auto"/>
        </w:rPr>
        <w:t>A net effective tax rate reduction of 10.5% was recognized from income tax rate differences between non-U.S. and U.S. jurisdictions. Earnings in Brazil, Switzerland, Mexico and China, where tax rates are lower than the U.S. notional rate of 35%, contributed to the majority of the reduction noted. U.S. tax costs on foreign earnings that have been or will be repatriated and foreign withholdings resulted in an increase of 1.4% to the effective tax rate.</w:t>
      </w:r>
    </w:p>
    <w:p>
      <w:pPr>
        <w:spacing w:after="0" w:line="75" w:lineRule="exact"/>
        <w:rPr>
          <w:rFonts w:ascii="Arial" w:cs="Arial" w:eastAsia="Arial" w:hAnsi="Arial"/>
          <w:sz w:val="23"/>
          <w:szCs w:val="23"/>
          <w:color w:val="auto"/>
        </w:rPr>
      </w:pPr>
    </w:p>
    <w:p>
      <w:pPr>
        <w:ind w:left="600" w:hanging="214"/>
        <w:spacing w:after="0"/>
        <w:tabs>
          <w:tab w:leader="none" w:pos="600" w:val="left"/>
        </w:tabs>
        <w:numPr>
          <w:ilvl w:val="0"/>
          <w:numId w:val="19"/>
        </w:numPr>
        <w:rPr>
          <w:rFonts w:ascii="Arial" w:cs="Arial" w:eastAsia="Arial" w:hAnsi="Arial"/>
          <w:sz w:val="23"/>
          <w:szCs w:val="23"/>
          <w:color w:val="auto"/>
        </w:rPr>
      </w:pPr>
      <w:r>
        <w:rPr>
          <w:rFonts w:ascii="Arial" w:cs="Arial" w:eastAsia="Arial" w:hAnsi="Arial"/>
          <w:sz w:val="18"/>
          <w:szCs w:val="18"/>
          <w:color w:val="auto"/>
        </w:rPr>
        <w:t>A tax charge of $1.4 million (2.4%) related to the settlement of audits throughout the year.</w:t>
      </w:r>
    </w:p>
    <w:p>
      <w:pPr>
        <w:spacing w:after="0" w:line="86" w:lineRule="exact"/>
        <w:rPr>
          <w:rFonts w:ascii="Arial" w:cs="Arial" w:eastAsia="Arial" w:hAnsi="Arial"/>
          <w:sz w:val="23"/>
          <w:szCs w:val="23"/>
          <w:color w:val="auto"/>
        </w:rPr>
      </w:pPr>
    </w:p>
    <w:p>
      <w:pPr>
        <w:ind w:left="600" w:hanging="214"/>
        <w:spacing w:after="0"/>
        <w:tabs>
          <w:tab w:leader="none" w:pos="600" w:val="left"/>
        </w:tabs>
        <w:numPr>
          <w:ilvl w:val="0"/>
          <w:numId w:val="19"/>
        </w:numPr>
        <w:rPr>
          <w:rFonts w:ascii="Arial" w:cs="Arial" w:eastAsia="Arial" w:hAnsi="Arial"/>
          <w:sz w:val="23"/>
          <w:szCs w:val="23"/>
          <w:color w:val="auto"/>
        </w:rPr>
      </w:pPr>
      <w:r>
        <w:rPr>
          <w:rFonts w:ascii="Arial" w:cs="Arial" w:eastAsia="Arial" w:hAnsi="Arial"/>
          <w:sz w:val="18"/>
          <w:szCs w:val="18"/>
          <w:color w:val="auto"/>
        </w:rPr>
        <w:t>Income tax rate on continuing operations, excluding discrete items, was 32%.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26" w:lineRule="exact"/>
        <w:rPr>
          <w:sz w:val="20"/>
          <w:szCs w:val="20"/>
          <w:color w:val="auto"/>
        </w:rPr>
      </w:pPr>
    </w:p>
    <w:p>
      <w:pPr>
        <w:ind w:right="120" w:firstLine="378"/>
        <w:spacing w:after="0" w:line="246" w:lineRule="auto"/>
        <w:rPr>
          <w:sz w:val="20"/>
          <w:szCs w:val="20"/>
          <w:color w:val="auto"/>
        </w:rPr>
      </w:pPr>
      <w:r>
        <w:rPr>
          <w:rFonts w:ascii="Arial" w:cs="Arial" w:eastAsia="Arial" w:hAnsi="Arial"/>
          <w:sz w:val="18"/>
          <w:szCs w:val="18"/>
          <w:color w:val="auto"/>
        </w:rPr>
        <w:t>Machine Clothing is our primary business segment and accounted for 57 percent of our consolidated revenues during 2019. MC products are purchased primarily by manufacturers of paper and paperboard.</w:t>
      </w:r>
    </w:p>
    <w:p>
      <w:pPr>
        <w:spacing w:after="0" w:line="89" w:lineRule="exact"/>
        <w:rPr>
          <w:sz w:val="20"/>
          <w:szCs w:val="20"/>
          <w:color w:val="auto"/>
        </w:rPr>
      </w:pPr>
    </w:p>
    <w:p>
      <w:pPr>
        <w:ind w:right="160" w:firstLine="37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1 percent over the next five years, driven primarily by global growth in packaging and tissue, which is expected to be greater than expected declines in publication grades.</w:t>
      </w:r>
    </w:p>
    <w:p>
      <w:pPr>
        <w:spacing w:after="0" w:line="95" w:lineRule="exact"/>
        <w:rPr>
          <w:sz w:val="20"/>
          <w:szCs w:val="20"/>
          <w:color w:val="auto"/>
        </w:rPr>
      </w:pPr>
    </w:p>
    <w:p>
      <w:pPr>
        <w:ind w:right="60" w:firstLine="378"/>
        <w:spacing w:after="0" w:line="261" w:lineRule="auto"/>
        <w:rPr>
          <w:sz w:val="20"/>
          <w:szCs w:val="20"/>
          <w:color w:val="auto"/>
        </w:rPr>
      </w:pPr>
      <w:r>
        <w:rPr>
          <w:rFonts w:ascii="Arial" w:cs="Arial" w:eastAsia="Arial" w:hAnsi="Arial"/>
          <w:sz w:val="17"/>
          <w:szCs w:val="17"/>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well-positioned in these markets, with high-quality,</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75"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4" w:lineRule="exact"/>
        <w:rPr>
          <w:sz w:val="20"/>
          <w:szCs w:val="20"/>
          <w:color w:val="auto"/>
        </w:rPr>
      </w:pPr>
    </w:p>
    <w:p>
      <w:pPr>
        <w:ind w:right="640" w:firstLine="37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various countries.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4280" w:type="dxa"/>
            <w:vAlign w:val="bottom"/>
            <w:tcBorders>
              <w:bottom w:val="single" w:sz="8" w:color="auto"/>
            </w:tcBorders>
            <w:gridSpan w:val="5"/>
          </w:tcPr>
          <w:p>
            <w:pPr>
              <w:jc w:val="right"/>
              <w:ind w:right="853"/>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169"/>
        </w:trPr>
        <w:tc>
          <w:tcPr>
            <w:tcW w:w="5740" w:type="dxa"/>
            <w:vAlign w:val="bottom"/>
            <w:gridSpan w:val="2"/>
            <w:vMerge w:val="continue"/>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28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5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15"/>
                <w:szCs w:val="15"/>
                <w:color w:val="auto"/>
              </w:rPr>
            </w:pPr>
          </w:p>
        </w:tc>
        <w:tc>
          <w:tcPr>
            <w:tcW w:w="1200" w:type="dxa"/>
            <w:vAlign w:val="bottom"/>
            <w:tcBorders>
              <w:top w:val="single" w:sz="8" w:color="auto"/>
            </w:tcBorders>
          </w:tcPr>
          <w:p>
            <w:pPr>
              <w:jc w:val="right"/>
              <w:ind w:right="154"/>
              <w:spacing w:after="0" w:line="173" w:lineRule="exact"/>
              <w:rPr>
                <w:sz w:val="20"/>
                <w:szCs w:val="20"/>
                <w:color w:val="auto"/>
              </w:rPr>
            </w:pPr>
            <w:r>
              <w:rPr>
                <w:rFonts w:ascii="Arial" w:cs="Arial" w:eastAsia="Arial" w:hAnsi="Arial"/>
                <w:sz w:val="18"/>
                <w:szCs w:val="18"/>
                <w:b w:val="1"/>
                <w:bCs w:val="1"/>
                <w:color w:val="auto"/>
              </w:rPr>
              <w:t>$601,254</w:t>
            </w:r>
          </w:p>
        </w:tc>
        <w:tc>
          <w:tcPr>
            <w:tcW w:w="300" w:type="dxa"/>
            <w:vAlign w:val="bottom"/>
          </w:tcPr>
          <w:p>
            <w:pPr>
              <w:spacing w:after="0"/>
              <w:rPr>
                <w:sz w:val="15"/>
                <w:szCs w:val="15"/>
                <w:color w:val="auto"/>
              </w:rPr>
            </w:pPr>
          </w:p>
        </w:tc>
        <w:tc>
          <w:tcPr>
            <w:tcW w:w="1280" w:type="dxa"/>
            <w:vAlign w:val="bottom"/>
            <w:tcBorders>
              <w:top w:val="single" w:sz="8" w:color="auto"/>
            </w:tcBorders>
          </w:tcPr>
          <w:p>
            <w:pPr>
              <w:jc w:val="right"/>
              <w:ind w:right="173"/>
              <w:spacing w:after="0" w:line="173" w:lineRule="exact"/>
              <w:rPr>
                <w:sz w:val="20"/>
                <w:szCs w:val="20"/>
                <w:color w:val="auto"/>
              </w:rPr>
            </w:pPr>
            <w:r>
              <w:rPr>
                <w:rFonts w:ascii="Arial" w:cs="Arial" w:eastAsia="Arial" w:hAnsi="Arial"/>
                <w:sz w:val="18"/>
                <w:szCs w:val="18"/>
                <w:color w:val="auto"/>
              </w:rPr>
              <w:t>$611,858</w:t>
            </w:r>
          </w:p>
        </w:tc>
        <w:tc>
          <w:tcPr>
            <w:tcW w:w="300" w:type="dxa"/>
            <w:vAlign w:val="bottom"/>
          </w:tcPr>
          <w:p>
            <w:pPr>
              <w:spacing w:after="0"/>
              <w:rPr>
                <w:sz w:val="15"/>
                <w:szCs w:val="15"/>
                <w:color w:val="auto"/>
              </w:rPr>
            </w:pPr>
          </w:p>
        </w:tc>
        <w:tc>
          <w:tcPr>
            <w:tcW w:w="1200" w:type="dxa"/>
            <w:vAlign w:val="bottom"/>
            <w:tcBorders>
              <w:top w:val="single" w:sz="8" w:color="auto"/>
            </w:tcBorders>
          </w:tcPr>
          <w:p>
            <w:pPr>
              <w:jc w:val="right"/>
              <w:ind w:right="133"/>
              <w:spacing w:after="0" w:line="173" w:lineRule="exact"/>
              <w:rPr>
                <w:sz w:val="20"/>
                <w:szCs w:val="20"/>
                <w:color w:val="auto"/>
              </w:rPr>
            </w:pPr>
            <w:r>
              <w:rPr>
                <w:rFonts w:ascii="Arial" w:cs="Arial" w:eastAsia="Arial" w:hAnsi="Arial"/>
                <w:sz w:val="18"/>
                <w:szCs w:val="18"/>
                <w:color w:val="auto"/>
              </w:rPr>
              <w:t>$590,357</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 change from prior year</w:t>
            </w:r>
          </w:p>
        </w:tc>
        <w:tc>
          <w:tcPr>
            <w:tcW w:w="12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7"/>
                <w:szCs w:val="17"/>
                <w:color w:val="auto"/>
              </w:rPr>
            </w:pPr>
          </w:p>
        </w:tc>
        <w:tc>
          <w:tcPr>
            <w:tcW w:w="12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7"/>
                <w:szCs w:val="17"/>
                <w:color w:val="auto"/>
              </w:rPr>
            </w:pPr>
          </w:p>
        </w:tc>
        <w:tc>
          <w:tcPr>
            <w:tcW w:w="12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20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309,641</w:t>
            </w:r>
          </w:p>
        </w:tc>
        <w:tc>
          <w:tcPr>
            <w:tcW w:w="300" w:type="dxa"/>
            <w:vAlign w:val="bottom"/>
          </w:tcPr>
          <w:p>
            <w:pPr>
              <w:spacing w:after="0"/>
              <w:rPr>
                <w:sz w:val="17"/>
                <w:szCs w:val="17"/>
                <w:color w:val="auto"/>
              </w:rPr>
            </w:pPr>
          </w:p>
        </w:tc>
        <w:tc>
          <w:tcPr>
            <w:tcW w:w="12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297,416</w:t>
            </w:r>
          </w:p>
        </w:tc>
        <w:tc>
          <w:tcPr>
            <w:tcW w:w="300" w:type="dxa"/>
            <w:vAlign w:val="bottom"/>
          </w:tcPr>
          <w:p>
            <w:pPr>
              <w:spacing w:after="0"/>
              <w:rPr>
                <w:sz w:val="17"/>
                <w:szCs w:val="17"/>
                <w:color w:val="auto"/>
              </w:rPr>
            </w:pPr>
          </w:p>
        </w:tc>
        <w:tc>
          <w:tcPr>
            <w:tcW w:w="12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280,686</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 of net sales</w:t>
            </w:r>
          </w:p>
        </w:tc>
        <w:tc>
          <w:tcPr>
            <w:tcW w:w="12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51.5%</w:t>
            </w:r>
          </w:p>
        </w:tc>
        <w:tc>
          <w:tcPr>
            <w:tcW w:w="30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48.6%</w:t>
            </w: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STG&amp;R expenses</w:t>
            </w:r>
          </w:p>
        </w:tc>
        <w:tc>
          <w:tcPr>
            <w:tcW w:w="120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116,546</w:t>
            </w:r>
          </w:p>
        </w:tc>
        <w:tc>
          <w:tcPr>
            <w:tcW w:w="300" w:type="dxa"/>
            <w:vAlign w:val="bottom"/>
          </w:tcPr>
          <w:p>
            <w:pPr>
              <w:spacing w:after="0"/>
              <w:rPr>
                <w:sz w:val="17"/>
                <w:szCs w:val="17"/>
                <w:color w:val="auto"/>
              </w:rPr>
            </w:pPr>
          </w:p>
        </w:tc>
        <w:tc>
          <w:tcPr>
            <w:tcW w:w="12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115,305</w:t>
            </w:r>
          </w:p>
        </w:tc>
        <w:tc>
          <w:tcPr>
            <w:tcW w:w="300" w:type="dxa"/>
            <w:vAlign w:val="bottom"/>
          </w:tcPr>
          <w:p>
            <w:pPr>
              <w:spacing w:after="0"/>
              <w:rPr>
                <w:sz w:val="17"/>
                <w:szCs w:val="17"/>
                <w:color w:val="auto"/>
              </w:rPr>
            </w:pPr>
          </w:p>
        </w:tc>
        <w:tc>
          <w:tcPr>
            <w:tcW w:w="12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123,277</w:t>
            </w:r>
          </w:p>
        </w:tc>
        <w:tc>
          <w:tcPr>
            <w:tcW w:w="0" w:type="dxa"/>
            <w:vAlign w:val="bottom"/>
          </w:tcPr>
          <w:p>
            <w:pPr>
              <w:spacing w:after="0"/>
              <w:rPr>
                <w:sz w:val="1"/>
                <w:szCs w:val="1"/>
                <w:color w:val="auto"/>
              </w:rPr>
            </w:pPr>
          </w:p>
        </w:tc>
      </w:tr>
      <w:tr>
        <w:trPr>
          <w:trHeight w:val="239"/>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Pr>
          <w:p>
            <w:pPr>
              <w:jc w:val="right"/>
              <w:ind w:right="154"/>
              <w:spacing w:after="0"/>
              <w:rPr>
                <w:sz w:val="20"/>
                <w:szCs w:val="20"/>
                <w:color w:val="auto"/>
              </w:rPr>
            </w:pPr>
            <w:r>
              <w:rPr>
                <w:rFonts w:ascii="Arial" w:cs="Arial" w:eastAsia="Arial" w:hAnsi="Arial"/>
                <w:sz w:val="18"/>
                <w:szCs w:val="18"/>
                <w:b w:val="1"/>
                <w:bCs w:val="1"/>
                <w:color w:val="auto"/>
              </w:rPr>
              <w:t>191,965</w:t>
            </w:r>
          </w:p>
        </w:tc>
        <w:tc>
          <w:tcPr>
            <w:tcW w:w="300" w:type="dxa"/>
            <w:vAlign w:val="bottom"/>
          </w:tcPr>
          <w:p>
            <w:pPr>
              <w:spacing w:after="0"/>
              <w:rPr>
                <w:sz w:val="20"/>
                <w:szCs w:val="20"/>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169,836</w:t>
            </w:r>
          </w:p>
        </w:tc>
        <w:tc>
          <w:tcPr>
            <w:tcW w:w="300" w:type="dxa"/>
            <w:vAlign w:val="bottom"/>
          </w:tcPr>
          <w:p>
            <w:pPr>
              <w:spacing w:after="0"/>
              <w:rPr>
                <w:sz w:val="20"/>
                <w:szCs w:val="20"/>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153,980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153" w:lineRule="exact"/>
        <w:rPr>
          <w:sz w:val="20"/>
          <w:szCs w:val="20"/>
          <w:color w:val="auto"/>
        </w:rPr>
      </w:pPr>
    </w:p>
    <w:p>
      <w:pPr>
        <w:ind w:left="600" w:right="580" w:hanging="214"/>
        <w:spacing w:after="0" w:line="213" w:lineRule="auto"/>
        <w:tabs>
          <w:tab w:leader="none" w:pos="600" w:val="left"/>
        </w:tabs>
        <w:numPr>
          <w:ilvl w:val="0"/>
          <w:numId w:val="20"/>
        </w:numPr>
        <w:rPr>
          <w:rFonts w:ascii="Arial" w:cs="Arial" w:eastAsia="Arial" w:hAnsi="Arial"/>
          <w:sz w:val="23"/>
          <w:szCs w:val="23"/>
          <w:color w:val="auto"/>
        </w:rPr>
      </w:pPr>
      <w:r>
        <w:rPr>
          <w:rFonts w:ascii="Arial" w:cs="Arial" w:eastAsia="Arial" w:hAnsi="Arial"/>
          <w:sz w:val="18"/>
          <w:szCs w:val="18"/>
          <w:color w:val="auto"/>
        </w:rPr>
        <w:t>Changes in currency translation rates had the effect of decreasing 2019 sales by $10.5 million compared to 2018. That currency translation effect was principally due to the weaker euro and Chinese renminbi in 2019, compared to 2018.</w:t>
      </w:r>
    </w:p>
    <w:p>
      <w:pPr>
        <w:spacing w:after="0" w:line="121" w:lineRule="exact"/>
        <w:rPr>
          <w:rFonts w:ascii="Arial" w:cs="Arial" w:eastAsia="Arial" w:hAnsi="Arial"/>
          <w:sz w:val="23"/>
          <w:szCs w:val="23"/>
          <w:color w:val="auto"/>
        </w:rPr>
      </w:pPr>
    </w:p>
    <w:p>
      <w:pPr>
        <w:ind w:left="600" w:right="360" w:hanging="214"/>
        <w:spacing w:after="0" w:line="213" w:lineRule="auto"/>
        <w:tabs>
          <w:tab w:leader="none" w:pos="600" w:val="left"/>
        </w:tabs>
        <w:numPr>
          <w:ilvl w:val="0"/>
          <w:numId w:val="20"/>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 Net sales in MC were flat compared to 2018, as increases in sales for tissue and packaging grades were offset by decreases in sales for publication grades.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166" w:lineRule="exact"/>
        <w:rPr>
          <w:sz w:val="20"/>
          <w:szCs w:val="20"/>
          <w:color w:val="auto"/>
        </w:rPr>
      </w:pPr>
    </w:p>
    <w:p>
      <w:pPr>
        <w:ind w:left="600" w:right="740" w:hanging="214"/>
        <w:spacing w:after="0" w:line="213" w:lineRule="auto"/>
        <w:tabs>
          <w:tab w:leader="none" w:pos="600" w:val="left"/>
        </w:tabs>
        <w:numPr>
          <w:ilvl w:val="0"/>
          <w:numId w:val="21"/>
        </w:numPr>
        <w:rPr>
          <w:rFonts w:ascii="Arial" w:cs="Arial" w:eastAsia="Arial" w:hAnsi="Arial"/>
          <w:sz w:val="23"/>
          <w:szCs w:val="23"/>
          <w:color w:val="auto"/>
        </w:rPr>
      </w:pPr>
      <w:r>
        <w:rPr>
          <w:rFonts w:ascii="Arial" w:cs="Arial" w:eastAsia="Arial" w:hAnsi="Arial"/>
          <w:sz w:val="18"/>
          <w:szCs w:val="18"/>
          <w:color w:val="auto"/>
        </w:rPr>
        <w:t>Changes in currency translation rates had the effect of increasing 2018 sales by $6.1 million compared to 2017. That currency translation effect was principally due to the euro being stronger in 2018 than in 2017.</w:t>
      </w:r>
    </w:p>
    <w:p>
      <w:pPr>
        <w:spacing w:after="0" w:line="121" w:lineRule="exact"/>
        <w:rPr>
          <w:rFonts w:ascii="Arial" w:cs="Arial" w:eastAsia="Arial" w:hAnsi="Arial"/>
          <w:sz w:val="23"/>
          <w:szCs w:val="23"/>
          <w:color w:val="auto"/>
        </w:rPr>
      </w:pPr>
    </w:p>
    <w:p>
      <w:pPr>
        <w:ind w:left="600" w:right="420" w:hanging="214"/>
        <w:spacing w:after="0" w:line="220" w:lineRule="auto"/>
        <w:tabs>
          <w:tab w:leader="none" w:pos="600" w:val="left"/>
        </w:tabs>
        <w:numPr>
          <w:ilvl w:val="0"/>
          <w:numId w:val="21"/>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 Net sales in MC increased 2.6%. Excluding the additional effect of applying ASC 606 in 2018, but not 2017, Net sales increased 3.3%, principally due to global growth in sales for the packaging and tissue grades.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153" w:lineRule="exact"/>
        <w:rPr>
          <w:sz w:val="20"/>
          <w:szCs w:val="20"/>
          <w:color w:val="auto"/>
        </w:rPr>
      </w:pPr>
    </w:p>
    <w:p>
      <w:pPr>
        <w:ind w:left="600" w:right="80" w:hanging="214"/>
        <w:spacing w:after="0" w:line="213" w:lineRule="auto"/>
        <w:tabs>
          <w:tab w:leader="none" w:pos="600" w:val="left"/>
        </w:tabs>
        <w:numPr>
          <w:ilvl w:val="0"/>
          <w:numId w:val="22"/>
        </w:numPr>
        <w:rPr>
          <w:rFonts w:ascii="Arial" w:cs="Arial" w:eastAsia="Arial" w:hAnsi="Arial"/>
          <w:sz w:val="23"/>
          <w:szCs w:val="23"/>
          <w:color w:val="auto"/>
        </w:rPr>
      </w:pPr>
      <w:r>
        <w:rPr>
          <w:rFonts w:ascii="Arial" w:cs="Arial" w:eastAsia="Arial" w:hAnsi="Arial"/>
          <w:sz w:val="18"/>
          <w:szCs w:val="18"/>
          <w:color w:val="auto"/>
        </w:rPr>
        <w:t>MC Gross profit increased principally due to a reduction of $9.0 million in depreciation expense due primarily to a number of significant investments made approximately ten years ago, that have become fully depreciated.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119" w:lineRule="exact"/>
        <w:rPr>
          <w:sz w:val="20"/>
          <w:szCs w:val="20"/>
          <w:color w:val="auto"/>
        </w:rPr>
      </w:pPr>
    </w:p>
    <w:p>
      <w:pPr>
        <w:ind w:left="600" w:hanging="214"/>
        <w:spacing w:after="0"/>
        <w:tabs>
          <w:tab w:leader="none" w:pos="600" w:val="left"/>
        </w:tabs>
        <w:numPr>
          <w:ilvl w:val="0"/>
          <w:numId w:val="23"/>
        </w:numPr>
        <w:rPr>
          <w:rFonts w:ascii="Arial" w:cs="Arial" w:eastAsia="Arial" w:hAnsi="Arial"/>
          <w:sz w:val="23"/>
          <w:szCs w:val="23"/>
          <w:color w:val="auto"/>
        </w:rPr>
      </w:pPr>
      <w:r>
        <w:rPr>
          <w:rFonts w:ascii="Arial" w:cs="Arial" w:eastAsia="Arial" w:hAnsi="Arial"/>
          <w:sz w:val="18"/>
          <w:szCs w:val="18"/>
          <w:color w:val="auto"/>
        </w:rPr>
        <w:t>Higher sales in MC generated an increase in gross profit of approximately $10 million.</w:t>
      </w:r>
    </w:p>
    <w:p>
      <w:pPr>
        <w:spacing w:after="0" w:line="120" w:lineRule="exact"/>
        <w:rPr>
          <w:rFonts w:ascii="Arial" w:cs="Arial" w:eastAsia="Arial" w:hAnsi="Arial"/>
          <w:sz w:val="23"/>
          <w:szCs w:val="23"/>
          <w:color w:val="auto"/>
        </w:rPr>
      </w:pPr>
    </w:p>
    <w:p>
      <w:pPr>
        <w:ind w:left="600" w:right="540" w:hanging="214"/>
        <w:spacing w:after="0" w:line="213" w:lineRule="auto"/>
        <w:tabs>
          <w:tab w:leader="none" w:pos="600" w:val="left"/>
        </w:tabs>
        <w:numPr>
          <w:ilvl w:val="0"/>
          <w:numId w:val="23"/>
        </w:numPr>
        <w:rPr>
          <w:rFonts w:ascii="Arial" w:cs="Arial" w:eastAsia="Arial" w:hAnsi="Arial"/>
          <w:sz w:val="23"/>
          <w:szCs w:val="23"/>
          <w:color w:val="auto"/>
        </w:rPr>
      </w:pPr>
      <w:r>
        <w:rPr>
          <w:rFonts w:ascii="Arial" w:cs="Arial" w:eastAsia="Arial" w:hAnsi="Arial"/>
          <w:sz w:val="18"/>
          <w:szCs w:val="18"/>
          <w:color w:val="auto"/>
        </w:rPr>
        <w:t>Changes in currency translation rates, principally the Brazilian real, had the effect of increasing MC gross profit approximately $5 million.</w:t>
      </w:r>
    </w:p>
    <w:p>
      <w:pPr>
        <w:spacing w:after="0" w:line="121" w:lineRule="exact"/>
        <w:rPr>
          <w:rFonts w:ascii="Arial" w:cs="Arial" w:eastAsia="Arial" w:hAnsi="Arial"/>
          <w:sz w:val="23"/>
          <w:szCs w:val="23"/>
          <w:color w:val="auto"/>
        </w:rPr>
      </w:pPr>
    </w:p>
    <w:p>
      <w:pPr>
        <w:ind w:left="600" w:right="440" w:hanging="214"/>
        <w:spacing w:after="0" w:line="213" w:lineRule="auto"/>
        <w:tabs>
          <w:tab w:leader="none" w:pos="600" w:val="left"/>
        </w:tabs>
        <w:numPr>
          <w:ilvl w:val="0"/>
          <w:numId w:val="23"/>
        </w:numPr>
        <w:rPr>
          <w:rFonts w:ascii="Arial" w:cs="Arial" w:eastAsia="Arial" w:hAnsi="Arial"/>
          <w:sz w:val="23"/>
          <w:szCs w:val="23"/>
          <w:color w:val="auto"/>
        </w:rPr>
      </w:pPr>
      <w:r>
        <w:rPr>
          <w:rFonts w:ascii="Arial" w:cs="Arial" w:eastAsia="Arial" w:hAnsi="Arial"/>
          <w:sz w:val="18"/>
          <w:szCs w:val="18"/>
          <w:color w:val="auto"/>
        </w:rPr>
        <w:t>MC Gross profit was also increased as a result of productivity improvements, which include the effect of continuous cost reduction initiatives.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97" w:lineRule="exact"/>
        <w:rPr>
          <w:sz w:val="20"/>
          <w:szCs w:val="20"/>
          <w:color w:val="auto"/>
        </w:rPr>
      </w:pPr>
    </w:p>
    <w:p>
      <w:pPr>
        <w:ind w:left="600" w:hanging="214"/>
        <w:spacing w:after="0"/>
        <w:tabs>
          <w:tab w:leader="none" w:pos="600" w:val="left"/>
        </w:tabs>
        <w:numPr>
          <w:ilvl w:val="0"/>
          <w:numId w:val="24"/>
        </w:numPr>
        <w:rPr>
          <w:rFonts w:ascii="Arial" w:cs="Arial" w:eastAsia="Arial" w:hAnsi="Arial"/>
          <w:sz w:val="23"/>
          <w:szCs w:val="23"/>
          <w:color w:val="auto"/>
        </w:rPr>
      </w:pPr>
      <w:r>
        <w:rPr>
          <w:rFonts w:ascii="Arial" w:cs="Arial" w:eastAsia="Arial" w:hAnsi="Arial"/>
          <w:sz w:val="18"/>
          <w:szCs w:val="18"/>
          <w:color w:val="auto"/>
        </w:rPr>
        <w:t>Gross profit increased $12.2 million, principally due to lower depreciation expense as described above.</w:t>
      </w:r>
    </w:p>
    <w:p>
      <w:pPr>
        <w:spacing w:after="0" w:line="120" w:lineRule="exact"/>
        <w:rPr>
          <w:rFonts w:ascii="Arial" w:cs="Arial" w:eastAsia="Arial" w:hAnsi="Arial"/>
          <w:sz w:val="23"/>
          <w:szCs w:val="23"/>
          <w:color w:val="auto"/>
        </w:rPr>
      </w:pPr>
    </w:p>
    <w:p>
      <w:pPr>
        <w:ind w:left="600" w:right="40" w:hanging="214"/>
        <w:spacing w:after="0" w:line="213" w:lineRule="auto"/>
        <w:tabs>
          <w:tab w:leader="none" w:pos="600" w:val="left"/>
        </w:tabs>
        <w:numPr>
          <w:ilvl w:val="0"/>
          <w:numId w:val="24"/>
        </w:numPr>
        <w:rPr>
          <w:rFonts w:ascii="Arial" w:cs="Arial" w:eastAsia="Arial" w:hAnsi="Arial"/>
          <w:sz w:val="23"/>
          <w:szCs w:val="23"/>
          <w:color w:val="auto"/>
        </w:rPr>
      </w:pPr>
      <w:r>
        <w:rPr>
          <w:rFonts w:ascii="Arial" w:cs="Arial" w:eastAsia="Arial" w:hAnsi="Arial"/>
          <w:sz w:val="18"/>
          <w:szCs w:val="18"/>
          <w:color w:val="auto"/>
        </w:rPr>
        <w:t>STG&amp;R expenses increased $1.2 million, principally due to year-over-year changes in foreign currency revaluation gains and losses, as described above.</w:t>
      </w:r>
    </w:p>
    <w:p>
      <w:pPr>
        <w:spacing w:after="0" w:line="74" w:lineRule="exact"/>
        <w:rPr>
          <w:rFonts w:ascii="Arial" w:cs="Arial" w:eastAsia="Arial" w:hAnsi="Arial"/>
          <w:sz w:val="23"/>
          <w:szCs w:val="23"/>
          <w:color w:val="auto"/>
        </w:rPr>
      </w:pPr>
    </w:p>
    <w:p>
      <w:pPr>
        <w:ind w:left="600" w:hanging="214"/>
        <w:spacing w:after="0"/>
        <w:tabs>
          <w:tab w:leader="none" w:pos="600" w:val="left"/>
        </w:tabs>
        <w:numPr>
          <w:ilvl w:val="0"/>
          <w:numId w:val="24"/>
        </w:numPr>
        <w:rPr>
          <w:rFonts w:ascii="Arial" w:cs="Arial" w:eastAsia="Arial" w:hAnsi="Arial"/>
          <w:sz w:val="23"/>
          <w:szCs w:val="23"/>
          <w:color w:val="auto"/>
        </w:rPr>
      </w:pPr>
      <w:r>
        <w:rPr>
          <w:rFonts w:ascii="Arial" w:cs="Arial" w:eastAsia="Arial" w:hAnsi="Arial"/>
          <w:sz w:val="18"/>
          <w:szCs w:val="18"/>
          <w:color w:val="auto"/>
        </w:rPr>
        <w:t>Restructuring charges were $1.1 million in 2019, compared to $12.3 million in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97" w:lineRule="exact"/>
        <w:rPr>
          <w:sz w:val="20"/>
          <w:szCs w:val="20"/>
          <w:color w:val="auto"/>
        </w:rPr>
      </w:pPr>
    </w:p>
    <w:p>
      <w:pPr>
        <w:ind w:left="600" w:hanging="214"/>
        <w:spacing w:after="0"/>
        <w:tabs>
          <w:tab w:leader="none" w:pos="600" w:val="left"/>
        </w:tabs>
        <w:numPr>
          <w:ilvl w:val="0"/>
          <w:numId w:val="25"/>
        </w:numPr>
        <w:rPr>
          <w:rFonts w:ascii="Arial" w:cs="Arial" w:eastAsia="Arial" w:hAnsi="Arial"/>
          <w:sz w:val="23"/>
          <w:szCs w:val="23"/>
          <w:color w:val="auto"/>
        </w:rPr>
      </w:pPr>
      <w:r>
        <w:rPr>
          <w:rFonts w:ascii="Arial" w:cs="Arial" w:eastAsia="Arial" w:hAnsi="Arial"/>
          <w:sz w:val="18"/>
          <w:szCs w:val="18"/>
          <w:color w:val="auto"/>
        </w:rPr>
        <w:t>Gross profit increased $16.7 million due to higher sales, resulting from changes in currency translation rates, as described above.</w:t>
      </w:r>
    </w:p>
    <w:p>
      <w:pPr>
        <w:spacing w:after="0" w:line="120" w:lineRule="exact"/>
        <w:rPr>
          <w:rFonts w:ascii="Arial" w:cs="Arial" w:eastAsia="Arial" w:hAnsi="Arial"/>
          <w:sz w:val="23"/>
          <w:szCs w:val="23"/>
          <w:color w:val="auto"/>
        </w:rPr>
      </w:pPr>
    </w:p>
    <w:p>
      <w:pPr>
        <w:ind w:left="600" w:right="220" w:hanging="214"/>
        <w:spacing w:after="0" w:line="213" w:lineRule="auto"/>
        <w:tabs>
          <w:tab w:leader="none" w:pos="600" w:val="left"/>
        </w:tabs>
        <w:numPr>
          <w:ilvl w:val="0"/>
          <w:numId w:val="25"/>
        </w:numPr>
        <w:rPr>
          <w:rFonts w:ascii="Arial" w:cs="Arial" w:eastAsia="Arial" w:hAnsi="Arial"/>
          <w:sz w:val="23"/>
          <w:szCs w:val="23"/>
          <w:color w:val="auto"/>
        </w:rPr>
      </w:pPr>
      <w:r>
        <w:rPr>
          <w:rFonts w:ascii="Arial" w:cs="Arial" w:eastAsia="Arial" w:hAnsi="Arial"/>
          <w:sz w:val="18"/>
          <w:szCs w:val="18"/>
          <w:color w:val="auto"/>
        </w:rPr>
        <w:t>STG&amp;R expenses decreased $8.0 million, principally due to year-over-year changes in foreign currency revaluation gains and losses, as described above.</w:t>
      </w:r>
    </w:p>
    <w:p>
      <w:pPr>
        <w:spacing w:after="0" w:line="74" w:lineRule="exact"/>
        <w:rPr>
          <w:rFonts w:ascii="Arial" w:cs="Arial" w:eastAsia="Arial" w:hAnsi="Arial"/>
          <w:sz w:val="23"/>
          <w:szCs w:val="23"/>
          <w:color w:val="auto"/>
        </w:rPr>
      </w:pPr>
    </w:p>
    <w:p>
      <w:pPr>
        <w:ind w:left="600" w:hanging="214"/>
        <w:spacing w:after="0"/>
        <w:tabs>
          <w:tab w:leader="none" w:pos="600" w:val="left"/>
        </w:tabs>
        <w:numPr>
          <w:ilvl w:val="0"/>
          <w:numId w:val="25"/>
        </w:numPr>
        <w:rPr>
          <w:rFonts w:ascii="Arial" w:cs="Arial" w:eastAsia="Arial" w:hAnsi="Arial"/>
          <w:sz w:val="23"/>
          <w:szCs w:val="23"/>
          <w:color w:val="auto"/>
        </w:rPr>
      </w:pPr>
      <w:r>
        <w:rPr>
          <w:rFonts w:ascii="Arial" w:cs="Arial" w:eastAsia="Arial" w:hAnsi="Arial"/>
          <w:sz w:val="18"/>
          <w:szCs w:val="18"/>
          <w:color w:val="auto"/>
        </w:rPr>
        <w:t>Restructuring charges were $12.3 million in 2018, compared to $3.4 million in 2017.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26" w:lineRule="exact"/>
        <w:rPr>
          <w:sz w:val="20"/>
          <w:szCs w:val="20"/>
          <w:color w:val="auto"/>
        </w:rPr>
      </w:pPr>
    </w:p>
    <w:p>
      <w:pPr>
        <w:ind w:right="120" w:firstLine="378"/>
        <w:spacing w:after="0" w:line="237"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and Boeing 737 MAX family of jets, the latter of which is currently under a grounding order. Other significant AEC programs include components for the F-35, fuselage frames for the Boeing 787, components for the CH-53K helicopter, and the fan case for the GE9X engine.</w:t>
      </w:r>
    </w:p>
    <w:p>
      <w:pPr>
        <w:spacing w:after="0" w:line="95" w:lineRule="exact"/>
        <w:rPr>
          <w:sz w:val="20"/>
          <w:szCs w:val="20"/>
          <w:color w:val="auto"/>
        </w:rPr>
      </w:pPr>
    </w:p>
    <w:p>
      <w:pPr>
        <w:ind w:right="140" w:firstLine="378"/>
        <w:spacing w:after="0" w:line="236"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for $32.4 million. The Company also agreed to pay approximately $5.5 million that will become due, as certain post-closing obligations are performed. Expense related to that agreement will be recognized over the five-year performance period. As the acquisition occurred during the year, the Company’s 2019 results of operations include only a portion of the year, which can affect comparability amongst periods. The acquired entity is part of the AEC segment. Management believes that the acquisition complements and expands Albany’s portfolio of proprietary, advanced manufacturing technologies for composite components, increases the Company’s position as a leading innovator in advanced materials processing and automation and opens a geographic footprint in Europe to better serve our global customer base.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operational results of the acquired entity that are included in the Consolidated Statements of Income:</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November 20 to</w:t>
            </w:r>
          </w:p>
        </w:tc>
      </w:tr>
      <w:tr>
        <w:trPr>
          <w:trHeight w:val="175"/>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December 31, 2019</w:t>
            </w:r>
          </w:p>
        </w:tc>
      </w:tr>
      <w:tr>
        <w:trPr>
          <w:trHeight w:val="173"/>
        </w:trPr>
        <w:tc>
          <w:tcPr>
            <w:tcW w:w="80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15"/>
                <w:szCs w:val="15"/>
                <w:color w:val="auto"/>
              </w:rPr>
            </w:pPr>
          </w:p>
        </w:tc>
        <w:tc>
          <w:tcPr>
            <w:tcW w:w="17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$485</w:t>
            </w:r>
          </w:p>
        </w:tc>
        <w:tc>
          <w:tcPr>
            <w:tcW w:w="20" w:type="dxa"/>
            <w:vAlign w:val="bottom"/>
          </w:tcPr>
          <w:p>
            <w:pPr>
              <w:spacing w:after="0"/>
              <w:rPr>
                <w:sz w:val="15"/>
                <w:szCs w:val="15"/>
                <w:color w:val="auto"/>
              </w:rPr>
            </w:pPr>
          </w:p>
        </w:tc>
      </w:tr>
      <w:tr>
        <w:trPr>
          <w:trHeight w:val="203"/>
        </w:trPr>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27</w:t>
            </w:r>
          </w:p>
        </w:tc>
      </w:tr>
      <w:tr>
        <w:trPr>
          <w:trHeight w:val="203"/>
        </w:trPr>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189</w:t>
            </w:r>
          </w:p>
        </w:tc>
      </w:tr>
      <w:tr>
        <w:trPr>
          <w:trHeight w:val="203"/>
        </w:trPr>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r>
      <w:tr>
        <w:trPr>
          <w:trHeight w:val="239"/>
        </w:trPr>
        <w:tc>
          <w:tcPr>
            <w:tcW w:w="83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w:t>
            </w: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410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169"/>
        </w:trPr>
        <w:tc>
          <w:tcPr>
            <w:tcW w:w="5920" w:type="dxa"/>
            <w:vAlign w:val="bottom"/>
            <w:gridSpan w:val="2"/>
            <w:vMerge w:val="continue"/>
          </w:tcPr>
          <w:p>
            <w:pPr>
              <w:spacing w:after="0"/>
              <w:rPr>
                <w:sz w:val="14"/>
                <w:szCs w:val="14"/>
                <w:color w:val="auto"/>
              </w:rPr>
            </w:pPr>
          </w:p>
        </w:tc>
        <w:tc>
          <w:tcPr>
            <w:tcW w:w="11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080" w:type="dxa"/>
            <w:vAlign w:val="bottom"/>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55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sales</w:t>
            </w:r>
          </w:p>
        </w:tc>
        <w:tc>
          <w:tcPr>
            <w:tcW w:w="400" w:type="dxa"/>
            <w:vAlign w:val="bottom"/>
          </w:tcPr>
          <w:p>
            <w:pPr>
              <w:spacing w:after="0"/>
              <w:rPr>
                <w:sz w:val="15"/>
                <w:szCs w:val="15"/>
                <w:color w:val="auto"/>
              </w:rPr>
            </w:pPr>
          </w:p>
        </w:tc>
        <w:tc>
          <w:tcPr>
            <w:tcW w:w="1100" w:type="dxa"/>
            <w:vAlign w:val="bottom"/>
            <w:tcBorders>
              <w:top w:val="single" w:sz="8" w:color="auto"/>
            </w:tcBorders>
          </w:tcPr>
          <w:p>
            <w:pPr>
              <w:jc w:val="right"/>
              <w:ind w:right="74"/>
              <w:spacing w:after="0" w:line="173" w:lineRule="exact"/>
              <w:rPr>
                <w:sz w:val="20"/>
                <w:szCs w:val="20"/>
                <w:color w:val="auto"/>
              </w:rPr>
            </w:pPr>
            <w:r>
              <w:rPr>
                <w:rFonts w:ascii="Arial" w:cs="Arial" w:eastAsia="Arial" w:hAnsi="Arial"/>
                <w:sz w:val="18"/>
                <w:szCs w:val="18"/>
                <w:b w:val="1"/>
                <w:bCs w:val="1"/>
                <w:color w:val="auto"/>
              </w:rPr>
              <w:t>$452,878</w:t>
            </w:r>
          </w:p>
        </w:tc>
        <w:tc>
          <w:tcPr>
            <w:tcW w:w="420" w:type="dxa"/>
            <w:vAlign w:val="bottom"/>
          </w:tcPr>
          <w:p>
            <w:pPr>
              <w:spacing w:after="0"/>
              <w:rPr>
                <w:sz w:val="15"/>
                <w:szCs w:val="15"/>
                <w:color w:val="auto"/>
              </w:rPr>
            </w:pPr>
          </w:p>
        </w:tc>
        <w:tc>
          <w:tcPr>
            <w:tcW w:w="1080" w:type="dxa"/>
            <w:vAlign w:val="bottom"/>
            <w:tcBorders>
              <w:top w:val="single" w:sz="8" w:color="auto"/>
            </w:tcBorders>
          </w:tcPr>
          <w:p>
            <w:pPr>
              <w:jc w:val="right"/>
              <w:ind w:right="73"/>
              <w:spacing w:after="0" w:line="173" w:lineRule="exact"/>
              <w:rPr>
                <w:sz w:val="20"/>
                <w:szCs w:val="20"/>
                <w:color w:val="auto"/>
              </w:rPr>
            </w:pPr>
            <w:r>
              <w:rPr>
                <w:rFonts w:ascii="Arial" w:cs="Arial" w:eastAsia="Arial" w:hAnsi="Arial"/>
                <w:sz w:val="18"/>
                <w:szCs w:val="18"/>
                <w:color w:val="auto"/>
              </w:rPr>
              <w:t>$370,621</w:t>
            </w:r>
          </w:p>
        </w:tc>
        <w:tc>
          <w:tcPr>
            <w:tcW w:w="400" w:type="dxa"/>
            <w:vAlign w:val="bottom"/>
          </w:tcPr>
          <w:p>
            <w:pPr>
              <w:spacing w:after="0"/>
              <w:rPr>
                <w:sz w:val="15"/>
                <w:szCs w:val="15"/>
                <w:color w:val="auto"/>
              </w:rPr>
            </w:pPr>
          </w:p>
        </w:tc>
        <w:tc>
          <w:tcPr>
            <w:tcW w:w="1100" w:type="dxa"/>
            <w:vAlign w:val="bottom"/>
            <w:tcBorders>
              <w:top w:val="single" w:sz="8" w:color="auto"/>
            </w:tcBorders>
          </w:tcPr>
          <w:p>
            <w:pPr>
              <w:jc w:val="right"/>
              <w:ind w:right="93"/>
              <w:spacing w:after="0" w:line="173" w:lineRule="exact"/>
              <w:rPr>
                <w:sz w:val="20"/>
                <w:szCs w:val="20"/>
                <w:color w:val="auto"/>
              </w:rPr>
            </w:pPr>
            <w:r>
              <w:rPr>
                <w:rFonts w:ascii="Arial" w:cs="Arial" w:eastAsia="Arial" w:hAnsi="Arial"/>
                <w:sz w:val="18"/>
                <w:szCs w:val="18"/>
                <w:color w:val="auto"/>
              </w:rPr>
              <w:t>$273,360</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 change from prior year</w:t>
            </w: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22.2%</w:t>
            </w:r>
          </w:p>
        </w:tc>
        <w:tc>
          <w:tcPr>
            <w:tcW w:w="4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c>
          <w:tcPr>
            <w:tcW w:w="400" w:type="dxa"/>
            <w:vAlign w:val="bottom"/>
          </w:tcPr>
          <w:p>
            <w:pPr>
              <w:spacing w:after="0"/>
              <w:rPr>
                <w:sz w:val="17"/>
                <w:szCs w:val="17"/>
                <w:color w:val="auto"/>
              </w:rPr>
            </w:pPr>
          </w:p>
        </w:tc>
        <w:tc>
          <w:tcPr>
            <w:tcW w:w="11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88,060</w:t>
            </w:r>
          </w:p>
        </w:tc>
        <w:tc>
          <w:tcPr>
            <w:tcW w:w="420" w:type="dxa"/>
            <w:vAlign w:val="bottom"/>
          </w:tcPr>
          <w:p>
            <w:pPr>
              <w:spacing w:after="0"/>
              <w:rPr>
                <w:sz w:val="17"/>
                <w:szCs w:val="17"/>
                <w:color w:val="auto"/>
              </w:rPr>
            </w:pPr>
          </w:p>
        </w:tc>
        <w:tc>
          <w:tcPr>
            <w:tcW w:w="10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52,550</w:t>
            </w:r>
          </w:p>
        </w:tc>
        <w:tc>
          <w:tcPr>
            <w:tcW w:w="400" w:type="dxa"/>
            <w:vAlign w:val="bottom"/>
          </w:tcPr>
          <w:p>
            <w:pPr>
              <w:spacing w:after="0"/>
              <w:rPr>
                <w:sz w:val="17"/>
                <w:szCs w:val="17"/>
                <w:color w:val="auto"/>
              </w:rPr>
            </w:pPr>
          </w:p>
        </w:tc>
        <w:tc>
          <w:tcPr>
            <w:tcW w:w="1100" w:type="dxa"/>
            <w:vAlign w:val="bottom"/>
          </w:tcPr>
          <w:p>
            <w:pPr>
              <w:jc w:val="center"/>
              <w:ind w:left="73"/>
              <w:spacing w:after="0" w:line="202" w:lineRule="exact"/>
              <w:rPr>
                <w:sz w:val="20"/>
                <w:szCs w:val="20"/>
                <w:color w:val="auto"/>
              </w:rPr>
            </w:pPr>
            <w:r>
              <w:rPr>
                <w:rFonts w:ascii="Arial" w:cs="Arial" w:eastAsia="Arial" w:hAnsi="Arial"/>
                <w:sz w:val="18"/>
                <w:szCs w:val="18"/>
                <w:color w:val="auto"/>
                <w:w w:val="98"/>
              </w:rPr>
              <w:t>15,875</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 of net sales</w:t>
            </w: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19.4%</w:t>
            </w:r>
          </w:p>
        </w:tc>
        <w:tc>
          <w:tcPr>
            <w:tcW w:w="4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STG&amp;R expenses</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30,707</w:t>
            </w:r>
          </w:p>
        </w:tc>
        <w:tc>
          <w:tcPr>
            <w:tcW w:w="420" w:type="dxa"/>
            <w:vAlign w:val="bottom"/>
          </w:tcPr>
          <w:p>
            <w:pPr>
              <w:spacing w:after="0"/>
              <w:rPr>
                <w:sz w:val="17"/>
                <w:szCs w:val="17"/>
                <w:color w:val="auto"/>
              </w:rPr>
            </w:pPr>
          </w:p>
        </w:tc>
        <w:tc>
          <w:tcPr>
            <w:tcW w:w="10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32,855</w:t>
            </w:r>
          </w:p>
        </w:tc>
        <w:tc>
          <w:tcPr>
            <w:tcW w:w="400" w:type="dxa"/>
            <w:vAlign w:val="bottom"/>
          </w:tcPr>
          <w:p>
            <w:pPr>
              <w:spacing w:after="0"/>
              <w:rPr>
                <w:sz w:val="17"/>
                <w:szCs w:val="17"/>
                <w:color w:val="auto"/>
              </w:rPr>
            </w:pPr>
          </w:p>
        </w:tc>
        <w:tc>
          <w:tcPr>
            <w:tcW w:w="1100" w:type="dxa"/>
            <w:vAlign w:val="bottom"/>
          </w:tcPr>
          <w:p>
            <w:pPr>
              <w:jc w:val="center"/>
              <w:ind w:left="73"/>
              <w:spacing w:after="0" w:line="202" w:lineRule="exact"/>
              <w:rPr>
                <w:sz w:val="20"/>
                <w:szCs w:val="20"/>
                <w:color w:val="auto"/>
              </w:rPr>
            </w:pPr>
            <w:r>
              <w:rPr>
                <w:rFonts w:ascii="Arial" w:cs="Arial" w:eastAsia="Arial" w:hAnsi="Arial"/>
                <w:sz w:val="18"/>
                <w:szCs w:val="18"/>
                <w:color w:val="auto"/>
                <w:w w:val="98"/>
              </w:rPr>
              <w:t>37,470</w:t>
            </w:r>
          </w:p>
        </w:tc>
        <w:tc>
          <w:tcPr>
            <w:tcW w:w="0" w:type="dxa"/>
            <w:vAlign w:val="bottom"/>
          </w:tcPr>
          <w:p>
            <w:pPr>
              <w:spacing w:after="0"/>
              <w:rPr>
                <w:sz w:val="1"/>
                <w:szCs w:val="1"/>
                <w:color w:val="auto"/>
              </w:rPr>
            </w:pPr>
          </w:p>
        </w:tc>
      </w:tr>
      <w:tr>
        <w:trPr>
          <w:trHeight w:val="239"/>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income/(loss)</w:t>
            </w:r>
          </w:p>
        </w:tc>
        <w:tc>
          <w:tcPr>
            <w:tcW w:w="1100" w:type="dxa"/>
            <w:vAlign w:val="bottom"/>
          </w:tcPr>
          <w:p>
            <w:pPr>
              <w:jc w:val="right"/>
              <w:ind w:right="94"/>
              <w:spacing w:after="0"/>
              <w:rPr>
                <w:sz w:val="20"/>
                <w:szCs w:val="20"/>
                <w:color w:val="auto"/>
              </w:rPr>
            </w:pPr>
            <w:r>
              <w:rPr>
                <w:rFonts w:ascii="Arial" w:cs="Arial" w:eastAsia="Arial" w:hAnsi="Arial"/>
                <w:sz w:val="18"/>
                <w:szCs w:val="18"/>
                <w:b w:val="1"/>
                <w:bCs w:val="1"/>
                <w:color w:val="auto"/>
              </w:rPr>
              <w:t>55,520</w:t>
            </w:r>
          </w:p>
        </w:tc>
        <w:tc>
          <w:tcPr>
            <w:tcW w:w="420" w:type="dxa"/>
            <w:vAlign w:val="bottom"/>
          </w:tcPr>
          <w:p>
            <w:pPr>
              <w:spacing w:after="0"/>
              <w:rPr>
                <w:sz w:val="20"/>
                <w:szCs w:val="20"/>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16,647</w:t>
            </w:r>
          </w:p>
        </w:tc>
        <w:tc>
          <w:tcPr>
            <w:tcW w:w="400" w:type="dxa"/>
            <w:vAlign w:val="bottom"/>
          </w:tcPr>
          <w:p>
            <w:pPr>
              <w:spacing w:after="0"/>
              <w:rPr>
                <w:sz w:val="20"/>
                <w:szCs w:val="20"/>
                <w:color w:val="auto"/>
              </w:rPr>
            </w:pPr>
          </w:p>
        </w:tc>
        <w:tc>
          <w:tcPr>
            <w:tcW w:w="1100" w:type="dxa"/>
            <w:vAlign w:val="bottom"/>
          </w:tcPr>
          <w:p>
            <w:pPr>
              <w:jc w:val="center"/>
              <w:ind w:left="73"/>
              <w:spacing w:after="0"/>
              <w:rPr>
                <w:sz w:val="20"/>
                <w:szCs w:val="20"/>
                <w:color w:val="auto"/>
              </w:rPr>
            </w:pPr>
            <w:r>
              <w:rPr>
                <w:rFonts w:ascii="Arial" w:cs="Arial" w:eastAsia="Arial" w:hAnsi="Arial"/>
                <w:sz w:val="18"/>
                <w:szCs w:val="18"/>
                <w:color w:val="auto"/>
                <w:w w:val="98"/>
              </w:rPr>
              <w:t>(31,657)</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144" w:lineRule="exact"/>
        <w:rPr>
          <w:sz w:val="20"/>
          <w:szCs w:val="20"/>
          <w:color w:val="auto"/>
        </w:rPr>
      </w:pPr>
    </w:p>
    <w:p>
      <w:pPr>
        <w:ind w:left="600" w:right="80" w:hanging="214"/>
        <w:spacing w:after="0" w:line="213" w:lineRule="auto"/>
        <w:tabs>
          <w:tab w:leader="none" w:pos="600" w:val="left"/>
        </w:tabs>
        <w:numPr>
          <w:ilvl w:val="0"/>
          <w:numId w:val="26"/>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 Net sales increased 23.4%, primarily driven by growth in the LEAP, F-35, CH-53K and Boeing 787 programs.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131" w:lineRule="exact"/>
        <w:rPr>
          <w:sz w:val="20"/>
          <w:szCs w:val="20"/>
          <w:color w:val="auto"/>
        </w:rPr>
      </w:pPr>
    </w:p>
    <w:p>
      <w:pPr>
        <w:ind w:left="600" w:right="100" w:hanging="214"/>
        <w:spacing w:after="0" w:line="213" w:lineRule="auto"/>
        <w:tabs>
          <w:tab w:leader="none" w:pos="600" w:val="left"/>
        </w:tabs>
        <w:numPr>
          <w:ilvl w:val="0"/>
          <w:numId w:val="27"/>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 Net sales increased 34.7%. Excluding the impact of applying ASC 606 in 2018, but not 2017, Net sales increased 35.9%, primarily driven by growth in the LEAP, Boeing 787, F-35, and CH-53K programs.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AEC Gross profit in 2019 was principally due to the net effect of the following individually significant items:</w:t>
      </w:r>
    </w:p>
    <w:p>
      <w:pPr>
        <w:spacing w:after="0" w:line="131" w:lineRule="exact"/>
        <w:rPr>
          <w:sz w:val="20"/>
          <w:szCs w:val="20"/>
          <w:color w:val="auto"/>
        </w:rPr>
      </w:pPr>
    </w:p>
    <w:p>
      <w:pPr>
        <w:ind w:left="600" w:right="40" w:hanging="214"/>
        <w:spacing w:after="0" w:line="213" w:lineRule="auto"/>
        <w:tabs>
          <w:tab w:leader="none" w:pos="600" w:val="left"/>
        </w:tabs>
        <w:numPr>
          <w:ilvl w:val="0"/>
          <w:numId w:val="28"/>
        </w:numPr>
        <w:rPr>
          <w:rFonts w:ascii="Arial" w:cs="Arial" w:eastAsia="Arial" w:hAnsi="Arial"/>
          <w:sz w:val="23"/>
          <w:szCs w:val="23"/>
          <w:color w:val="auto"/>
        </w:rPr>
      </w:pPr>
      <w:r>
        <w:rPr>
          <w:rFonts w:ascii="Arial" w:cs="Arial" w:eastAsia="Arial" w:hAnsi="Arial"/>
          <w:sz w:val="18"/>
          <w:szCs w:val="18"/>
          <w:color w:val="auto"/>
        </w:rPr>
        <w:t>Favorable adjustments to the estimated profitability of long-term contracts increased Gross profit by $10.8 million in 2019, compared to a decrease of $2.0 million in 2018.</w:t>
      </w:r>
    </w:p>
    <w:p>
      <w:pPr>
        <w:spacing w:after="0" w:line="60" w:lineRule="exact"/>
        <w:rPr>
          <w:rFonts w:ascii="Arial" w:cs="Arial" w:eastAsia="Arial" w:hAnsi="Arial"/>
          <w:sz w:val="23"/>
          <w:szCs w:val="23"/>
          <w:color w:val="auto"/>
        </w:rPr>
      </w:pPr>
    </w:p>
    <w:p>
      <w:pPr>
        <w:ind w:left="600" w:hanging="214"/>
        <w:spacing w:after="0"/>
        <w:tabs>
          <w:tab w:leader="none" w:pos="600" w:val="left"/>
        </w:tabs>
        <w:numPr>
          <w:ilvl w:val="0"/>
          <w:numId w:val="28"/>
        </w:numPr>
        <w:rPr>
          <w:rFonts w:ascii="Arial" w:cs="Arial" w:eastAsia="Arial" w:hAnsi="Arial"/>
          <w:sz w:val="23"/>
          <w:szCs w:val="23"/>
          <w:color w:val="auto"/>
        </w:rPr>
      </w:pPr>
      <w:r>
        <w:rPr>
          <w:rFonts w:ascii="Arial" w:cs="Arial" w:eastAsia="Arial" w:hAnsi="Arial"/>
          <w:sz w:val="18"/>
          <w:szCs w:val="18"/>
          <w:color w:val="auto"/>
        </w:rPr>
        <w:t>The Net sales increase in 2019, as described above, increased Gross profit by approximately $12 million.</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28"/>
        </w:numPr>
        <w:rPr>
          <w:rFonts w:ascii="Arial" w:cs="Arial" w:eastAsia="Arial" w:hAnsi="Arial"/>
          <w:sz w:val="23"/>
          <w:szCs w:val="23"/>
          <w:color w:val="auto"/>
        </w:rPr>
      </w:pPr>
      <w:r>
        <w:rPr>
          <w:rFonts w:ascii="Arial" w:cs="Arial" w:eastAsia="Arial" w:hAnsi="Arial"/>
          <w:sz w:val="18"/>
          <w:szCs w:val="18"/>
          <w:color w:val="auto"/>
        </w:rPr>
        <w:t>AEC Gross profit was also increased in 2019 by productivity improvements.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AEC Gross profit in 2018 was principally due to the net effect of the following individually significant items:</w:t>
      </w:r>
    </w:p>
    <w:p>
      <w:pPr>
        <w:spacing w:after="0" w:line="131" w:lineRule="exact"/>
        <w:rPr>
          <w:sz w:val="20"/>
          <w:szCs w:val="20"/>
          <w:color w:val="auto"/>
        </w:rPr>
      </w:pPr>
    </w:p>
    <w:p>
      <w:pPr>
        <w:jc w:val="both"/>
        <w:ind w:left="600" w:right="360" w:hanging="214"/>
        <w:spacing w:after="0" w:line="224" w:lineRule="auto"/>
        <w:tabs>
          <w:tab w:leader="none" w:pos="600" w:val="left"/>
        </w:tabs>
        <w:numPr>
          <w:ilvl w:val="0"/>
          <w:numId w:val="29"/>
        </w:numPr>
        <w:rPr>
          <w:rFonts w:ascii="Arial" w:cs="Arial" w:eastAsia="Arial" w:hAnsi="Arial"/>
          <w:sz w:val="22"/>
          <w:szCs w:val="22"/>
          <w:color w:val="auto"/>
        </w:rPr>
      </w:pPr>
      <w:r>
        <w:rPr>
          <w:rFonts w:ascii="Arial" w:cs="Arial" w:eastAsia="Arial" w:hAnsi="Arial"/>
          <w:sz w:val="17"/>
          <w:szCs w:val="17"/>
          <w:color w:val="auto"/>
        </w:rPr>
        <w:t>Changes in the estimated profitability of long-term contracts decreased Gross profit by $2.0 million in 2018, and by $11.5 million in 2017. As further described below, the 2017 effect principally related to manufacturing contracts for the BR725 and A380 programs.</w:t>
      </w:r>
    </w:p>
    <w:p>
      <w:pPr>
        <w:spacing w:after="0" w:line="135" w:lineRule="exact"/>
        <w:rPr>
          <w:rFonts w:ascii="Arial" w:cs="Arial" w:eastAsia="Arial" w:hAnsi="Arial"/>
          <w:sz w:val="22"/>
          <w:szCs w:val="22"/>
          <w:color w:val="auto"/>
        </w:rPr>
      </w:pPr>
    </w:p>
    <w:p>
      <w:pPr>
        <w:ind w:left="600" w:hanging="214"/>
        <w:spacing w:after="0" w:line="209" w:lineRule="auto"/>
        <w:tabs>
          <w:tab w:leader="none" w:pos="600" w:val="left"/>
        </w:tabs>
        <w:numPr>
          <w:ilvl w:val="0"/>
          <w:numId w:val="29"/>
        </w:numPr>
        <w:rPr>
          <w:rFonts w:ascii="Arial" w:cs="Arial" w:eastAsia="Arial" w:hAnsi="Arial"/>
          <w:sz w:val="23"/>
          <w:szCs w:val="23"/>
          <w:color w:val="auto"/>
        </w:rPr>
      </w:pPr>
      <w:r>
        <w:rPr>
          <w:rFonts w:ascii="Arial" w:cs="Arial" w:eastAsia="Arial" w:hAnsi="Arial"/>
          <w:sz w:val="18"/>
          <w:szCs w:val="18"/>
          <w:color w:val="auto"/>
        </w:rPr>
        <w:t>During the third quarter of 2017, the Company decided to discontinue the Bear Claw</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line of hydraulic fracking components used in the oil and gas industry, which was part of the 2016 SLC acquisition. That decision resulted in a $2.8 million charge to Cost of goods sold for the write-off of inventory.</w:t>
      </w:r>
    </w:p>
    <w:p>
      <w:pPr>
        <w:spacing w:after="0" w:line="74" w:lineRule="exact"/>
        <w:rPr>
          <w:rFonts w:ascii="Arial" w:cs="Arial" w:eastAsia="Arial" w:hAnsi="Arial"/>
          <w:sz w:val="23"/>
          <w:szCs w:val="23"/>
          <w:color w:val="auto"/>
        </w:rPr>
      </w:pPr>
    </w:p>
    <w:p>
      <w:pPr>
        <w:ind w:left="600" w:hanging="214"/>
        <w:spacing w:after="0"/>
        <w:tabs>
          <w:tab w:leader="none" w:pos="600" w:val="left"/>
        </w:tabs>
        <w:numPr>
          <w:ilvl w:val="0"/>
          <w:numId w:val="29"/>
        </w:numPr>
        <w:rPr>
          <w:rFonts w:ascii="Arial" w:cs="Arial" w:eastAsia="Arial" w:hAnsi="Arial"/>
          <w:sz w:val="23"/>
          <w:szCs w:val="23"/>
          <w:color w:val="auto"/>
        </w:rPr>
      </w:pPr>
      <w:r>
        <w:rPr>
          <w:rFonts w:ascii="Arial" w:cs="Arial" w:eastAsia="Arial" w:hAnsi="Arial"/>
          <w:sz w:val="18"/>
          <w:szCs w:val="18"/>
          <w:color w:val="auto"/>
        </w:rPr>
        <w:t>The Net sales increase in 2018, as described above, increased Gross profit by approximately $10 million.</w:t>
      </w:r>
    </w:p>
    <w:p>
      <w:pPr>
        <w:spacing w:after="0" w:line="120" w:lineRule="exact"/>
        <w:rPr>
          <w:rFonts w:ascii="Arial" w:cs="Arial" w:eastAsia="Arial" w:hAnsi="Arial"/>
          <w:sz w:val="23"/>
          <w:szCs w:val="23"/>
          <w:color w:val="auto"/>
        </w:rPr>
      </w:pPr>
    </w:p>
    <w:p>
      <w:pPr>
        <w:ind w:left="600" w:right="100" w:hanging="214"/>
        <w:spacing w:after="0" w:line="224" w:lineRule="auto"/>
        <w:tabs>
          <w:tab w:leader="none" w:pos="600" w:val="left"/>
        </w:tabs>
        <w:numPr>
          <w:ilvl w:val="0"/>
          <w:numId w:val="29"/>
        </w:numPr>
        <w:rPr>
          <w:rFonts w:ascii="Arial" w:cs="Arial" w:eastAsia="Arial" w:hAnsi="Arial"/>
          <w:sz w:val="22"/>
          <w:szCs w:val="22"/>
          <w:color w:val="auto"/>
        </w:rPr>
      </w:pPr>
      <w:r>
        <w:rPr>
          <w:rFonts w:ascii="Arial" w:cs="Arial" w:eastAsia="Arial" w:hAnsi="Arial"/>
          <w:sz w:val="17"/>
          <w:szCs w:val="17"/>
          <w:color w:val="auto"/>
        </w:rPr>
        <w:t>The remaining 2018 increase in AEC Gross profit was principally due to improved productivity resulting from the deployment of a disciplined standardized operational system across AEC plants, as well as the favorable impact of continuous improvement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26" w:lineRule="exact"/>
        <w:rPr>
          <w:sz w:val="20"/>
          <w:szCs w:val="20"/>
          <w:color w:val="auto"/>
        </w:rPr>
      </w:pPr>
    </w:p>
    <w:p>
      <w:pPr>
        <w:ind w:right="100" w:firstLine="378"/>
        <w:spacing w:after="0" w:line="237"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arrangement. Revenue earned under these arrangements accounted for approximately 49 percent of segment revenue in 2019 and 2018, and 44 percent in 2017. LEAP engines are currently used on the Boeing 737 MAX, Airbus A320neo and COMAC aircraft. A number of countries, including the United States, have issued orders grounding Boeing 737 MAX aircraft. If these groundings cause a continued reduction in production of this aircraft, this would have an adverse impact on demand for our LEAP engine parts. Such a decrease could, in turn, trigger an increase in demand for A320neo aircraft, which could somewhat offset this negative impact.</w:t>
      </w:r>
    </w:p>
    <w:p>
      <w:pPr>
        <w:spacing w:after="0" w:line="97" w:lineRule="exact"/>
        <w:rPr>
          <w:sz w:val="20"/>
          <w:szCs w:val="20"/>
          <w:color w:val="auto"/>
        </w:rPr>
      </w:pPr>
    </w:p>
    <w:p>
      <w:pPr>
        <w:ind w:right="80" w:firstLine="378"/>
        <w:spacing w:after="0" w:line="236"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for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100" w:lineRule="exact"/>
        <w:rPr>
          <w:sz w:val="20"/>
          <w:szCs w:val="20"/>
          <w:color w:val="auto"/>
        </w:rPr>
      </w:pPr>
    </w:p>
    <w:p>
      <w:pPr>
        <w:jc w:val="both"/>
        <w:ind w:right="20" w:firstLine="378"/>
        <w:spacing w:after="0"/>
        <w:rPr>
          <w:sz w:val="20"/>
          <w:szCs w:val="20"/>
          <w:color w:val="auto"/>
        </w:rPr>
      </w:pPr>
      <w:r>
        <w:rPr>
          <w:rFonts w:ascii="Arial" w:cs="Arial" w:eastAsia="Arial" w:hAnsi="Arial"/>
          <w:sz w:val="18"/>
          <w:szCs w:val="18"/>
          <w:color w:val="auto"/>
        </w:rPr>
        <w:t>The sum of net adjustments to the estimated profitability of long-term contracts increased AEC operating income by $ 10.8 million in 2019, decreased AEC operating income by $2.0 million in 2018, and decreased AEC operating income by $11.5 million in 2017. The favorable effects in 2019 were largely attributable to efficiency improvements during the ramp-up of several programs.</w:t>
      </w:r>
    </w:p>
    <w:p>
      <w:pPr>
        <w:spacing w:after="0" w:line="95" w:lineRule="exact"/>
        <w:rPr>
          <w:sz w:val="20"/>
          <w:szCs w:val="20"/>
          <w:color w:val="auto"/>
        </w:rPr>
      </w:pPr>
    </w:p>
    <w:p>
      <w:pPr>
        <w:ind w:right="60" w:firstLine="378"/>
        <w:spacing w:after="0" w:line="236" w:lineRule="auto"/>
        <w:rPr>
          <w:sz w:val="20"/>
          <w:szCs w:val="20"/>
          <w:color w:val="auto"/>
        </w:rPr>
      </w:pPr>
      <w:r>
        <w:rPr>
          <w:rFonts w:ascii="Arial" w:cs="Arial" w:eastAsia="Arial" w:hAnsi="Arial"/>
          <w:sz w:val="18"/>
          <w:szCs w:val="18"/>
          <w:color w:val="auto"/>
        </w:rPr>
        <w:t>The unfavorable effect for 2017 was driven by an AEC contract for the manufacture of composite components for the Rolls-Royce BR725 engine, which powers Gulfstream’s G-650 business jet. The contract obligates AEC to supply these components for the life of the BR725 program. During the second quarter of 2017, the Company revised its estimate of the profitability of this contract and we recorded a charge of $10.2 million as a provision for anticipated losses through the end of the program. The charge was driven primarily by a reduction in the estimated future demand for these components. The SLC business had a contract for the manufacture of composite struts for the Airbus A380, under which it supplied composite wing box struts. During the second quarter of 2017, the Company revised its estimate of the profitability of this contract and determined that a charge of $5.6 million should be recorded as a provision for anticipated losses through contract completion. The revision was driven by a decrease in estimated demand for these components during the contract term, as well as by program inefficiencies. In the fourth quarter of 2017, we amended a long-term agreement with a licensor for the A380 program, which resulted in a $4.9 million decrease to Cost of goods sold.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STG&amp;R expenses decreased $2.2 million principally due to lower spending on research and development in 2019, as compared to 2018.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STG&amp;R expenses decreased $4.6 million principally due to restructuring and other organization changes.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in Operating income of $38.9 million in 2019 was principally due to the net effect of the following individually significant items:</w:t>
      </w:r>
    </w:p>
    <w:p>
      <w:pPr>
        <w:spacing w:after="0" w:line="97" w:lineRule="exact"/>
        <w:rPr>
          <w:sz w:val="20"/>
          <w:szCs w:val="20"/>
          <w:color w:val="auto"/>
        </w:rPr>
      </w:pPr>
    </w:p>
    <w:p>
      <w:pPr>
        <w:ind w:left="600" w:hanging="214"/>
        <w:spacing w:after="0"/>
        <w:tabs>
          <w:tab w:leader="none" w:pos="600" w:val="left"/>
        </w:tabs>
        <w:numPr>
          <w:ilvl w:val="0"/>
          <w:numId w:val="30"/>
        </w:numPr>
        <w:rPr>
          <w:rFonts w:ascii="Arial" w:cs="Arial" w:eastAsia="Arial" w:hAnsi="Arial"/>
          <w:sz w:val="23"/>
          <w:szCs w:val="23"/>
          <w:color w:val="auto"/>
        </w:rPr>
      </w:pPr>
      <w:r>
        <w:rPr>
          <w:rFonts w:ascii="Arial" w:cs="Arial" w:eastAsia="Arial" w:hAnsi="Arial"/>
          <w:sz w:val="18"/>
          <w:szCs w:val="18"/>
          <w:color w:val="auto"/>
        </w:rPr>
        <w:t>An increase in Net sales and strong productivity, as described above.</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30"/>
        </w:numPr>
        <w:rPr>
          <w:rFonts w:ascii="Arial" w:cs="Arial" w:eastAsia="Arial" w:hAnsi="Arial"/>
          <w:sz w:val="23"/>
          <w:szCs w:val="23"/>
          <w:color w:val="auto"/>
        </w:rPr>
      </w:pPr>
      <w:r>
        <w:rPr>
          <w:rFonts w:ascii="Arial" w:cs="Arial" w:eastAsia="Arial" w:hAnsi="Arial"/>
          <w:sz w:val="18"/>
          <w:szCs w:val="18"/>
          <w:color w:val="auto"/>
        </w:rPr>
        <w:t>A decrease of $1.2 million in Restructuring expenses, as described above.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increase in Operating income of $48.3 million in 2018 was principally due to the net effect of the following individually significant items:</w:t>
      </w:r>
    </w:p>
    <w:p>
      <w:pPr>
        <w:spacing w:after="0" w:line="108" w:lineRule="exact"/>
        <w:rPr>
          <w:sz w:val="20"/>
          <w:szCs w:val="20"/>
          <w:color w:val="auto"/>
        </w:rPr>
      </w:pPr>
    </w:p>
    <w:p>
      <w:pPr>
        <w:ind w:left="600" w:hanging="214"/>
        <w:spacing w:after="0"/>
        <w:tabs>
          <w:tab w:leader="none" w:pos="600" w:val="left"/>
        </w:tabs>
        <w:numPr>
          <w:ilvl w:val="0"/>
          <w:numId w:val="31"/>
        </w:numPr>
        <w:rPr>
          <w:rFonts w:ascii="Arial" w:cs="Arial" w:eastAsia="Arial" w:hAnsi="Arial"/>
          <w:sz w:val="23"/>
          <w:szCs w:val="23"/>
          <w:color w:val="auto"/>
        </w:rPr>
      </w:pPr>
      <w:r>
        <w:rPr>
          <w:rFonts w:ascii="Arial" w:cs="Arial" w:eastAsia="Arial" w:hAnsi="Arial"/>
          <w:sz w:val="18"/>
          <w:szCs w:val="18"/>
          <w:color w:val="auto"/>
        </w:rPr>
        <w:t>An increase in Net sales and strong productivity, as described above.</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31"/>
        </w:numPr>
        <w:rPr>
          <w:rFonts w:ascii="Arial" w:cs="Arial" w:eastAsia="Arial" w:hAnsi="Arial"/>
          <w:sz w:val="23"/>
          <w:szCs w:val="23"/>
          <w:color w:val="auto"/>
        </w:rPr>
      </w:pPr>
      <w:r>
        <w:rPr>
          <w:rFonts w:ascii="Arial" w:cs="Arial" w:eastAsia="Arial" w:hAnsi="Arial"/>
          <w:sz w:val="18"/>
          <w:szCs w:val="18"/>
          <w:color w:val="auto"/>
        </w:rPr>
        <w:t>The $15.8 million charge recorded in the second quarter of 2017, as described above.</w:t>
      </w:r>
    </w:p>
    <w:p>
      <w:pPr>
        <w:spacing w:after="0" w:line="73" w:lineRule="exact"/>
        <w:rPr>
          <w:rFonts w:ascii="Arial" w:cs="Arial" w:eastAsia="Arial" w:hAnsi="Arial"/>
          <w:sz w:val="23"/>
          <w:szCs w:val="23"/>
          <w:color w:val="auto"/>
        </w:rPr>
      </w:pPr>
    </w:p>
    <w:p>
      <w:pPr>
        <w:ind w:left="600" w:hanging="214"/>
        <w:spacing w:after="0"/>
        <w:tabs>
          <w:tab w:leader="none" w:pos="600" w:val="left"/>
        </w:tabs>
        <w:numPr>
          <w:ilvl w:val="0"/>
          <w:numId w:val="31"/>
        </w:numPr>
        <w:rPr>
          <w:rFonts w:ascii="Arial" w:cs="Arial" w:eastAsia="Arial" w:hAnsi="Arial"/>
          <w:sz w:val="23"/>
          <w:szCs w:val="23"/>
          <w:color w:val="auto"/>
        </w:rPr>
      </w:pPr>
      <w:r>
        <w:rPr>
          <w:rFonts w:ascii="Arial" w:cs="Arial" w:eastAsia="Arial" w:hAnsi="Arial"/>
          <w:sz w:val="18"/>
          <w:szCs w:val="18"/>
          <w:color w:val="auto"/>
        </w:rPr>
        <w:t>The $2.8 million charge to Cost of goods sold in 2017 for the write-off of Bear Claw® inventory.</w:t>
      </w:r>
    </w:p>
    <w:p>
      <w:pPr>
        <w:spacing w:after="0" w:line="86" w:lineRule="exact"/>
        <w:rPr>
          <w:rFonts w:ascii="Arial" w:cs="Arial" w:eastAsia="Arial" w:hAnsi="Arial"/>
          <w:sz w:val="23"/>
          <w:szCs w:val="23"/>
          <w:color w:val="auto"/>
        </w:rPr>
      </w:pPr>
    </w:p>
    <w:p>
      <w:pPr>
        <w:ind w:left="600" w:hanging="214"/>
        <w:spacing w:after="0"/>
        <w:tabs>
          <w:tab w:leader="none" w:pos="600" w:val="left"/>
        </w:tabs>
        <w:numPr>
          <w:ilvl w:val="0"/>
          <w:numId w:val="31"/>
        </w:numPr>
        <w:rPr>
          <w:rFonts w:ascii="Arial" w:cs="Arial" w:eastAsia="Arial" w:hAnsi="Arial"/>
          <w:sz w:val="23"/>
          <w:szCs w:val="23"/>
          <w:color w:val="auto"/>
        </w:rPr>
      </w:pPr>
      <w:r>
        <w:rPr>
          <w:rFonts w:ascii="Arial" w:cs="Arial" w:eastAsia="Arial" w:hAnsi="Arial"/>
          <w:sz w:val="18"/>
          <w:szCs w:val="18"/>
          <w:color w:val="auto"/>
        </w:rPr>
        <w:t>A decrease of $7.0 million in Restructuring expenses, as described above.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gridSpan w:val="2"/>
            <w:vMerge w:val="continue"/>
          </w:tcPr>
          <w:p>
            <w:pPr>
              <w:spacing w:after="0"/>
              <w:rPr>
                <w:sz w:val="14"/>
                <w:szCs w:val="14"/>
                <w:color w:val="auto"/>
              </w:rPr>
            </w:pPr>
          </w:p>
        </w:tc>
        <w:tc>
          <w:tcPr>
            <w:tcW w:w="1000" w:type="dxa"/>
            <w:vAlign w:val="bottom"/>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3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62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5"/>
                <w:szCs w:val="15"/>
                <w:color w:val="auto"/>
              </w:rPr>
            </w:pPr>
          </w:p>
        </w:tc>
        <w:tc>
          <w:tcPr>
            <w:tcW w:w="1000" w:type="dxa"/>
            <w:vAlign w:val="bottom"/>
            <w:tcBorders>
              <w:top w:val="single" w:sz="8" w:color="auto"/>
            </w:tcBorders>
          </w:tcPr>
          <w:p>
            <w:pPr>
              <w:jc w:val="right"/>
              <w:ind w:right="11"/>
              <w:spacing w:after="0" w:line="173" w:lineRule="exact"/>
              <w:rPr>
                <w:sz w:val="20"/>
                <w:szCs w:val="20"/>
                <w:color w:val="auto"/>
              </w:rPr>
            </w:pPr>
            <w:r>
              <w:rPr>
                <w:rFonts w:ascii="Arial" w:cs="Arial" w:eastAsia="Arial" w:hAnsi="Arial"/>
                <w:sz w:val="18"/>
                <w:szCs w:val="18"/>
                <w:b w:val="1"/>
                <w:bCs w:val="1"/>
                <w:color w:val="auto"/>
              </w:rPr>
              <w:t>$ 133,383</w:t>
            </w:r>
          </w:p>
        </w:tc>
        <w:tc>
          <w:tcPr>
            <w:tcW w:w="300" w:type="dxa"/>
            <w:vAlign w:val="bottom"/>
          </w:tcPr>
          <w:p>
            <w:pPr>
              <w:spacing w:after="0"/>
              <w:rPr>
                <w:sz w:val="15"/>
                <w:szCs w:val="15"/>
                <w:color w:val="auto"/>
              </w:rPr>
            </w:pPr>
          </w:p>
        </w:tc>
        <w:tc>
          <w:tcPr>
            <w:tcW w:w="100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color w:val="auto"/>
              </w:rPr>
              <w:t>$ 83,019</w:t>
            </w:r>
          </w:p>
        </w:tc>
        <w:tc>
          <w:tcPr>
            <w:tcW w:w="280" w:type="dxa"/>
            <w:vAlign w:val="bottom"/>
          </w:tcPr>
          <w:p>
            <w:pPr>
              <w:spacing w:after="0"/>
              <w:rPr>
                <w:sz w:val="15"/>
                <w:szCs w:val="15"/>
                <w:color w:val="auto"/>
              </w:rPr>
            </w:pPr>
          </w:p>
        </w:tc>
        <w:tc>
          <w:tcPr>
            <w:tcW w:w="920" w:type="dxa"/>
            <w:vAlign w:val="bottom"/>
            <w:tcBorders>
              <w:top w:val="single" w:sz="8" w:color="auto"/>
            </w:tcBorders>
          </w:tcPr>
          <w:p>
            <w:pPr>
              <w:jc w:val="right"/>
              <w:ind w:right="11"/>
              <w:spacing w:after="0" w:line="173" w:lineRule="exact"/>
              <w:rPr>
                <w:sz w:val="20"/>
                <w:szCs w:val="20"/>
                <w:color w:val="auto"/>
              </w:rPr>
            </w:pPr>
            <w:r>
              <w:rPr>
                <w:rFonts w:ascii="Arial" w:cs="Arial" w:eastAsia="Arial" w:hAnsi="Arial"/>
                <w:sz w:val="18"/>
                <w:szCs w:val="18"/>
                <w:color w:val="auto"/>
              </w:rPr>
              <w:t>$ 32,585</w:t>
            </w:r>
          </w:p>
        </w:tc>
        <w:tc>
          <w:tcPr>
            <w:tcW w:w="0" w:type="dxa"/>
            <w:vAlign w:val="bottom"/>
          </w:tcPr>
          <w:p>
            <w:pPr>
              <w:spacing w:after="0"/>
              <w:rPr>
                <w:sz w:val="1"/>
                <w:szCs w:val="1"/>
                <w:color w:val="auto"/>
              </w:rPr>
            </w:pPr>
          </w:p>
        </w:tc>
      </w:tr>
      <w:tr>
        <w:trPr>
          <w:trHeight w:val="225"/>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70,795</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79,036</w:t>
            </w: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71,956</w:t>
            </w:r>
          </w:p>
        </w:tc>
        <w:tc>
          <w:tcPr>
            <w:tcW w:w="0" w:type="dxa"/>
            <w:vAlign w:val="bottom"/>
          </w:tcPr>
          <w:p>
            <w:pPr>
              <w:spacing w:after="0"/>
              <w:rPr>
                <w:sz w:val="1"/>
                <w:szCs w:val="1"/>
                <w:color w:val="auto"/>
              </w:rPr>
            </w:pPr>
          </w:p>
        </w:tc>
      </w:tr>
      <w:tr>
        <w:trPr>
          <w:trHeight w:val="221"/>
        </w:trPr>
        <w:tc>
          <w:tcPr>
            <w:tcW w:w="6520" w:type="dxa"/>
            <w:vAlign w:val="bottom"/>
            <w:gridSpan w:val="2"/>
          </w:tcPr>
          <w:p>
            <w:pPr>
              <w:ind w:left="180"/>
              <w:spacing w:after="0" w:line="221" w:lineRule="exact"/>
              <w:rPr>
                <w:sz w:val="20"/>
                <w:szCs w:val="20"/>
                <w:color w:val="auto"/>
              </w:rPr>
            </w:pPr>
            <w:r>
              <w:rPr>
                <w:rFonts w:ascii="Arial" w:cs="Arial" w:eastAsia="Arial" w:hAnsi="Arial"/>
                <w:sz w:val="16"/>
                <w:szCs w:val="16"/>
                <w:color w:val="auto"/>
              </w:rPr>
              <w:t>Changes in working capital</w:t>
            </w:r>
            <w:r>
              <w:rPr>
                <w:rFonts w:ascii="Arial" w:cs="Arial" w:eastAsia="Arial" w:hAnsi="Arial"/>
                <w:sz w:val="25"/>
                <w:szCs w:val="25"/>
                <w:color w:val="auto"/>
                <w:vertAlign w:val="superscript"/>
              </w:rPr>
              <w:t>(a)</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(8,011)</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(21,034)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(15,859)</w:t>
            </w:r>
          </w:p>
        </w:tc>
        <w:tc>
          <w:tcPr>
            <w:tcW w:w="0" w:type="dxa"/>
            <w:vAlign w:val="bottom"/>
          </w:tcPr>
          <w:p>
            <w:pPr>
              <w:spacing w:after="0"/>
              <w:rPr>
                <w:sz w:val="1"/>
                <w:szCs w:val="1"/>
                <w:color w:val="auto"/>
              </w:rPr>
            </w:pPr>
          </w:p>
        </w:tc>
      </w:tr>
      <w:tr>
        <w:trPr>
          <w:trHeight w:val="203"/>
        </w:trPr>
        <w:tc>
          <w:tcPr>
            <w:tcW w:w="65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7,129</w:t>
            </w:r>
          </w:p>
        </w:tc>
        <w:tc>
          <w:tcPr>
            <w:tcW w:w="1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3,493</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03"/>
        </w:trPr>
        <w:tc>
          <w:tcPr>
            <w:tcW w:w="65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Write-off of pension liability adjustment due to settlement/curtailment</w:t>
            </w: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450</w:t>
            </w:r>
          </w:p>
        </w:tc>
        <w:tc>
          <w:tcPr>
            <w:tcW w:w="1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1,494</w:t>
            </w:r>
          </w:p>
        </w:tc>
        <w:tc>
          <w:tcPr>
            <w:tcW w:w="28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Write-off of intangible assets in a discontinued product line</w:t>
            </w:r>
          </w:p>
        </w:tc>
        <w:tc>
          <w:tcPr>
            <w:tcW w:w="100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2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25"/>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Other operating items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(3,394)</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(13,523)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(17,206)</w:t>
            </w:r>
          </w:p>
        </w:tc>
        <w:tc>
          <w:tcPr>
            <w:tcW w:w="0" w:type="dxa"/>
            <w:vAlign w:val="bottom"/>
          </w:tcPr>
          <w:p>
            <w:pPr>
              <w:spacing w:after="0"/>
              <w:rPr>
                <w:sz w:val="1"/>
                <w:szCs w:val="1"/>
                <w:color w:val="auto"/>
              </w:rPr>
            </w:pPr>
          </w:p>
        </w:tc>
      </w:tr>
      <w:tr>
        <w:trPr>
          <w:trHeight w:val="173"/>
        </w:trPr>
        <w:tc>
          <w:tcPr>
            <w:tcW w:w="6520" w:type="dxa"/>
            <w:vAlign w:val="bottom"/>
            <w:gridSpan w:val="2"/>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tcBorders>
          </w:tcPr>
          <w:p>
            <w:pPr>
              <w:jc w:val="right"/>
              <w:ind w:right="11"/>
              <w:spacing w:after="0" w:line="173" w:lineRule="exact"/>
              <w:rPr>
                <w:sz w:val="20"/>
                <w:szCs w:val="20"/>
                <w:color w:val="auto"/>
              </w:rPr>
            </w:pPr>
            <w:r>
              <w:rPr>
                <w:rFonts w:ascii="Arial" w:cs="Arial" w:eastAsia="Arial" w:hAnsi="Arial"/>
                <w:sz w:val="18"/>
                <w:szCs w:val="18"/>
                <w:b w:val="1"/>
                <w:bCs w:val="1"/>
                <w:color w:val="auto"/>
              </w:rPr>
              <w:t>200,352</w:t>
            </w:r>
          </w:p>
        </w:tc>
        <w:tc>
          <w:tcPr>
            <w:tcW w:w="300" w:type="dxa"/>
            <w:vAlign w:val="bottom"/>
          </w:tcPr>
          <w:p>
            <w:pPr>
              <w:spacing w:after="0"/>
              <w:rPr>
                <w:sz w:val="15"/>
                <w:szCs w:val="15"/>
                <w:color w:val="auto"/>
              </w:rPr>
            </w:pPr>
          </w:p>
        </w:tc>
        <w:tc>
          <w:tcPr>
            <w:tcW w:w="100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color w:val="auto"/>
              </w:rPr>
              <w:t>132,485</w:t>
            </w:r>
          </w:p>
        </w:tc>
        <w:tc>
          <w:tcPr>
            <w:tcW w:w="280" w:type="dxa"/>
            <w:vAlign w:val="bottom"/>
          </w:tcPr>
          <w:p>
            <w:pPr>
              <w:spacing w:after="0"/>
              <w:rPr>
                <w:sz w:val="15"/>
                <w:szCs w:val="15"/>
                <w:color w:val="auto"/>
              </w:rPr>
            </w:pPr>
          </w:p>
        </w:tc>
        <w:tc>
          <w:tcPr>
            <w:tcW w:w="920" w:type="dxa"/>
            <w:vAlign w:val="bottom"/>
            <w:tcBorders>
              <w:top w:val="single" w:sz="8" w:color="auto"/>
            </w:tcBorders>
          </w:tcPr>
          <w:p>
            <w:pPr>
              <w:jc w:val="right"/>
              <w:ind w:right="11"/>
              <w:spacing w:after="0" w:line="173" w:lineRule="exact"/>
              <w:rPr>
                <w:sz w:val="20"/>
                <w:szCs w:val="20"/>
                <w:color w:val="auto"/>
              </w:rPr>
            </w:pPr>
            <w:r>
              <w:rPr>
                <w:rFonts w:ascii="Arial" w:cs="Arial" w:eastAsia="Arial" w:hAnsi="Arial"/>
                <w:sz w:val="18"/>
                <w:szCs w:val="18"/>
                <w:color w:val="auto"/>
              </w:rPr>
              <w:t>64,216</w:t>
            </w: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(98,748)</w:t>
            </w: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(82,886)</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(87,637)</w:t>
            </w: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financing activities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(100,307)</w:t>
            </w: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(27,258)</w:t>
            </w:r>
          </w:p>
        </w:tc>
        <w:tc>
          <w:tcPr>
            <w:tcW w:w="28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12,867</w:t>
            </w:r>
          </w:p>
        </w:tc>
        <w:tc>
          <w:tcPr>
            <w:tcW w:w="0" w:type="dxa"/>
            <w:vAlign w:val="bottom"/>
          </w:tcPr>
          <w:p>
            <w:pPr>
              <w:spacing w:after="0"/>
              <w:rPr>
                <w:sz w:val="1"/>
                <w:szCs w:val="1"/>
                <w:color w:val="auto"/>
              </w:rPr>
            </w:pPr>
          </w:p>
        </w:tc>
      </w:tr>
      <w:tr>
        <w:trPr>
          <w:trHeight w:val="225"/>
        </w:trPr>
        <w:tc>
          <w:tcPr>
            <w:tcW w:w="65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(3,512)</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(8,313)</w:t>
            </w: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12,539</w:t>
            </w:r>
          </w:p>
        </w:tc>
        <w:tc>
          <w:tcPr>
            <w:tcW w:w="0" w:type="dxa"/>
            <w:vAlign w:val="bottom"/>
          </w:tcPr>
          <w:p>
            <w:pPr>
              <w:spacing w:after="0"/>
              <w:rPr>
                <w:sz w:val="1"/>
                <w:szCs w:val="1"/>
                <w:color w:val="auto"/>
              </w:rPr>
            </w:pPr>
          </w:p>
        </w:tc>
      </w:tr>
      <w:tr>
        <w:trPr>
          <w:trHeight w:val="173"/>
        </w:trPr>
        <w:tc>
          <w:tcPr>
            <w:tcW w:w="6520" w:type="dxa"/>
            <w:vAlign w:val="bottom"/>
            <w:gridSpan w:val="2"/>
          </w:tcPr>
          <w:p>
            <w:pPr>
              <w:spacing w:after="0" w:line="173" w:lineRule="exact"/>
              <w:rPr>
                <w:sz w:val="20"/>
                <w:szCs w:val="20"/>
                <w:color w:val="auto"/>
              </w:rPr>
            </w:pPr>
            <w:r>
              <w:rPr>
                <w:rFonts w:ascii="Arial" w:cs="Arial" w:eastAsia="Arial" w:hAnsi="Arial"/>
                <w:sz w:val="18"/>
                <w:szCs w:val="18"/>
                <w:color w:val="auto"/>
              </w:rPr>
              <w:t>Increase/(decrease) in cash and cash equivalents</w:t>
            </w: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(2,215)</w:t>
            </w:r>
          </w:p>
        </w:tc>
        <w:tc>
          <w:tcPr>
            <w:tcW w:w="300" w:type="dxa"/>
            <w:vAlign w:val="bottom"/>
          </w:tcPr>
          <w:p>
            <w:pPr>
              <w:spacing w:after="0"/>
              <w:rPr>
                <w:sz w:val="15"/>
                <w:szCs w:val="15"/>
                <w:color w:val="auto"/>
              </w:rPr>
            </w:pPr>
          </w:p>
        </w:tc>
        <w:tc>
          <w:tcPr>
            <w:tcW w:w="100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color w:val="auto"/>
              </w:rPr>
              <w:t>14,028</w:t>
            </w:r>
          </w:p>
        </w:tc>
        <w:tc>
          <w:tcPr>
            <w:tcW w:w="280" w:type="dxa"/>
            <w:vAlign w:val="bottom"/>
          </w:tcPr>
          <w:p>
            <w:pPr>
              <w:spacing w:after="0"/>
              <w:rPr>
                <w:sz w:val="15"/>
                <w:szCs w:val="15"/>
                <w:color w:val="auto"/>
              </w:rPr>
            </w:pPr>
          </w:p>
        </w:tc>
        <w:tc>
          <w:tcPr>
            <w:tcW w:w="920" w:type="dxa"/>
            <w:vAlign w:val="bottom"/>
            <w:tcBorders>
              <w:top w:val="single" w:sz="8" w:color="auto"/>
            </w:tcBorders>
          </w:tcPr>
          <w:p>
            <w:pPr>
              <w:jc w:val="right"/>
              <w:ind w:right="11"/>
              <w:spacing w:after="0" w:line="173" w:lineRule="exact"/>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25"/>
        </w:trPr>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197,755</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183,727</w:t>
            </w: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181,742</w:t>
            </w:r>
          </w:p>
        </w:tc>
        <w:tc>
          <w:tcPr>
            <w:tcW w:w="0" w:type="dxa"/>
            <w:vAlign w:val="bottom"/>
          </w:tcPr>
          <w:p>
            <w:pPr>
              <w:spacing w:after="0"/>
              <w:rPr>
                <w:sz w:val="1"/>
                <w:szCs w:val="1"/>
                <w:color w:val="auto"/>
              </w:rPr>
            </w:pPr>
          </w:p>
        </w:tc>
      </w:tr>
      <w:tr>
        <w:trPr>
          <w:trHeight w:val="196"/>
        </w:trPr>
        <w:tc>
          <w:tcPr>
            <w:tcW w:w="652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1000" w:type="dxa"/>
            <w:vAlign w:val="bottom"/>
            <w:tcBorders>
              <w:top w:val="single" w:sz="8" w:color="auto"/>
              <w:bottom w:val="single" w:sz="8" w:color="auto"/>
            </w:tcBorders>
          </w:tcPr>
          <w:p>
            <w:pPr>
              <w:jc w:val="right"/>
              <w:ind w:right="11"/>
              <w:spacing w:after="0" w:line="196" w:lineRule="exact"/>
              <w:rPr>
                <w:sz w:val="20"/>
                <w:szCs w:val="20"/>
                <w:color w:val="auto"/>
              </w:rPr>
            </w:pPr>
            <w:r>
              <w:rPr>
                <w:rFonts w:ascii="Arial" w:cs="Arial" w:eastAsia="Arial" w:hAnsi="Arial"/>
                <w:sz w:val="18"/>
                <w:szCs w:val="18"/>
                <w:b w:val="1"/>
                <w:bCs w:val="1"/>
                <w:color w:val="auto"/>
              </w:rPr>
              <w:t>$ 195,540</w:t>
            </w:r>
          </w:p>
        </w:tc>
        <w:tc>
          <w:tcPr>
            <w:tcW w:w="3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$197,755</w:t>
            </w:r>
          </w:p>
        </w:tc>
        <w:tc>
          <w:tcPr>
            <w:tcW w:w="2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156019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0195" cy="425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Accounts receivable, Contract assets, Inventories, and Accounts payable.</w:t>
      </w:r>
    </w:p>
    <w:p>
      <w:pPr>
        <w:spacing w:after="0" w:line="8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Cash provided by operating activities was $ 200.4 million in 2019, compared to $132.5 million in 2018, and $64.2 million in 2017. The net increase in cash provided by operating activities in 2019 was due to increased profitability in both MC and AEC. The growth in MC profitability was due to productivity improvements and cost-reduction initiatives. The growth in AEC profitability was due to an increase in Net sales and favorable adjustments to long-term contracts. Cash flow for Contract assets and Inventories was a use of $28.1 million principally due to a slowdown of production for the Boeing 737 MAX aircraft. Additionally, the Noncurrent receivables held by AEC resulted in a use of cash of $1.3 million in 2019, $12.2 million in 2018 and $ 18.8 million in 2017. Changes in long-term liabilities, deferred taxes and other liabilities resulted in an increase to cash flows of $7.1 million in 2019, $3.5 million in 2018, and a use of cash of $11.4 million in 2017. The amount reported for 2017 was principally due to an amendment to a long-term agreement with a licensor for the A380 program. That agreement resulted in a $3.0 million cash payment, plus a $4.9 million reduction in the present value of the obligation to the supplier. Cash paid for income taxes was $25.9 million, $28.1 million, and $23.7 million in 2019, 2018, and 2017, respectively.</w:t>
      </w:r>
    </w:p>
    <w:p>
      <w:pPr>
        <w:spacing w:after="0" w:line="98"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At December 31, 2019, the Company had $195.5 million of cash and cash equivalents, of which $156.9 million was held by subsidiaries outside of the United States. As disclosed in Note 7 of the Consolidated Financial Statements in Item 8, we determined that all but $94.4 million of this amount (which represents the amount of cumulative earnings expected to be repatriated to the United States at some point in the future) is intended to be utilized by these non-U.S. operations for an indefinite period of time. Our current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plans do not anticipate that we will need funds generated from foreign operations to fund our domestic operations or satisfy debt obligations in the United States. In the event that such funds were to be needed to fund operations in the U.S., and if associated accruals for taxes have not already been provided, we would be required to record additional tax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ind w:right="220" w:firstLine="378"/>
        <w:spacing w:after="0" w:line="238"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for net cash of $30.8 million. Total capital expenditures for continuing operations, including purchased software, were $68.0 million in 2019, compared to $82.9 million in 2018, and $87.6 million in 2017. In the AEC segment, capital expenditures were $48.8 million in 2019, compared to $60.1 million in 2018, and $63.9 million in 2017. We currently estimate capital expenditures to be $75 million to $85 million in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and Capital Resources</w:t>
      </w:r>
    </w:p>
    <w:p>
      <w:pPr>
        <w:spacing w:after="0" w:line="126" w:lineRule="exact"/>
        <w:rPr>
          <w:sz w:val="20"/>
          <w:szCs w:val="20"/>
          <w:color w:val="auto"/>
        </w:rPr>
      </w:pPr>
    </w:p>
    <w:p>
      <w:pPr>
        <w:ind w:right="180" w:firstLine="37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The majority of our cash balance at December 31, 2019 was held by non-U.S. subsidiaries. Based on cash on hand and credit facilities, we anticipate that the Company has sufficient capital resources to operate for the foreseeable future. We were in compliance with all debt covenants as of December 31, 2019.</w:t>
      </w:r>
    </w:p>
    <w:p>
      <w:pPr>
        <w:spacing w:after="0" w:line="95" w:lineRule="exact"/>
        <w:rPr>
          <w:sz w:val="20"/>
          <w:szCs w:val="20"/>
          <w:color w:val="auto"/>
        </w:rPr>
      </w:pPr>
    </w:p>
    <w:p>
      <w:pPr>
        <w:ind w:right="40" w:firstLine="378"/>
        <w:spacing w:after="0" w:line="234"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$424 million of borrowings were outstanding as of December 31, 2019. The applicable interest rate for borrowings was LIBOR plus a spread, based on our leverage ratio at the time of borrowing. At the time of the last borrowing on December 30, 2019, the spread was</w:t>
      </w:r>
    </w:p>
    <w:p>
      <w:pPr>
        <w:spacing w:after="0" w:line="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1.375%. The spread was based on a pricing grid, which ranged from 1.250% to 1.750%, based on our leverage ratio. Based on our maximum leverage ratio and our Consolidated EBITDA, and without modification to any other credit agreements, as of December 31, 2019, we would have been able to borrow an additional $261 million under the Agreement.</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more information, see Note 17 to the Consolidated Financial Statements in item 8, which is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we have no off-balance sheet arrangements required to be disclosed pursuant to Item 303(a)(4) of Regulation</w:t>
      </w:r>
    </w:p>
    <w:p>
      <w:pPr>
        <w:spacing w:after="0"/>
        <w:rPr>
          <w:sz w:val="20"/>
          <w:szCs w:val="20"/>
          <w:color w:val="auto"/>
        </w:rPr>
      </w:pPr>
      <w:r>
        <w:rPr>
          <w:rFonts w:ascii="Arial" w:cs="Arial" w:eastAsia="Arial" w:hAnsi="Arial"/>
          <w:sz w:val="18"/>
          <w:szCs w:val="18"/>
          <w:color w:val="auto"/>
        </w:rPr>
        <w:t>S-K.</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we have the following cash flow obligations: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102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Less than one</w:t>
            </w: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One to three</w:t>
            </w:r>
          </w:p>
        </w:tc>
        <w:tc>
          <w:tcPr>
            <w:tcW w:w="148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Three to five</w:t>
            </w: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After five</w:t>
            </w:r>
          </w:p>
        </w:tc>
      </w:tr>
      <w:tr>
        <w:trPr>
          <w:trHeight w:val="175"/>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years</w:t>
            </w: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years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Total debt</w:t>
            </w:r>
          </w:p>
        </w:tc>
        <w:tc>
          <w:tcPr>
            <w:tcW w:w="460" w:type="dxa"/>
            <w:vAlign w:val="bottom"/>
          </w:tcPr>
          <w:p>
            <w:pPr>
              <w:spacing w:after="0"/>
              <w:rPr>
                <w:sz w:val="16"/>
                <w:szCs w:val="16"/>
                <w:color w:val="auto"/>
              </w:rPr>
            </w:pPr>
          </w:p>
        </w:tc>
        <w:tc>
          <w:tcPr>
            <w:tcW w:w="1040" w:type="dxa"/>
            <w:vAlign w:val="bottom"/>
            <w:tcBorders>
              <w:top w:val="single" w:sz="8" w:color="auto"/>
            </w:tcBorders>
          </w:tcPr>
          <w:p>
            <w:pPr>
              <w:jc w:val="right"/>
              <w:ind w:right="152"/>
              <w:spacing w:after="0" w:line="195" w:lineRule="exact"/>
              <w:rPr>
                <w:sz w:val="20"/>
                <w:szCs w:val="20"/>
                <w:color w:val="auto"/>
              </w:rPr>
            </w:pPr>
            <w:r>
              <w:rPr>
                <w:rFonts w:ascii="Arial" w:cs="Arial" w:eastAsia="Arial" w:hAnsi="Arial"/>
                <w:sz w:val="18"/>
                <w:szCs w:val="18"/>
                <w:color w:val="auto"/>
              </w:rPr>
              <w:t>$424.0</w:t>
            </w:r>
          </w:p>
        </w:tc>
        <w:tc>
          <w:tcPr>
            <w:tcW w:w="460" w:type="dxa"/>
            <w:vAlign w:val="bottom"/>
          </w:tcPr>
          <w:p>
            <w:pPr>
              <w:spacing w:after="0"/>
              <w:rPr>
                <w:sz w:val="16"/>
                <w:szCs w:val="16"/>
                <w:color w:val="auto"/>
              </w:rPr>
            </w:pPr>
          </w:p>
        </w:tc>
        <w:tc>
          <w:tcPr>
            <w:tcW w:w="1040" w:type="dxa"/>
            <w:vAlign w:val="bottom"/>
            <w:tcBorders>
              <w:top w:val="single" w:sz="8" w:color="auto"/>
            </w:tcBorders>
          </w:tcPr>
          <w:p>
            <w:pPr>
              <w:jc w:val="right"/>
              <w:ind w:right="213"/>
              <w:spacing w:after="0" w:line="195" w:lineRule="exact"/>
              <w:rPr>
                <w:sz w:val="20"/>
                <w:szCs w:val="20"/>
                <w:color w:val="auto"/>
              </w:rPr>
            </w:pPr>
            <w:r>
              <w:rPr>
                <w:rFonts w:ascii="Arial" w:cs="Arial" w:eastAsia="Arial" w:hAnsi="Arial"/>
                <w:sz w:val="18"/>
                <w:szCs w:val="18"/>
                <w:color w:val="auto"/>
              </w:rPr>
              <w:t>$  —</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$424.0</w:t>
            </w:r>
          </w:p>
        </w:tc>
        <w:tc>
          <w:tcPr>
            <w:tcW w:w="440" w:type="dxa"/>
            <w:vAlign w:val="bottom"/>
          </w:tcPr>
          <w:p>
            <w:pPr>
              <w:spacing w:after="0"/>
              <w:rPr>
                <w:sz w:val="16"/>
                <w:szCs w:val="16"/>
                <w:color w:val="auto"/>
              </w:rPr>
            </w:pPr>
          </w:p>
        </w:tc>
        <w:tc>
          <w:tcPr>
            <w:tcW w:w="1020" w:type="dxa"/>
            <w:vAlign w:val="bottom"/>
            <w:tcBorders>
              <w:top w:val="single" w:sz="8" w:color="auto"/>
            </w:tcBorders>
          </w:tcPr>
          <w:p>
            <w:pPr>
              <w:jc w:val="right"/>
              <w:ind w:right="213"/>
              <w:spacing w:after="0" w:line="195" w:lineRule="exact"/>
              <w:rPr>
                <w:sz w:val="20"/>
                <w:szCs w:val="20"/>
                <w:color w:val="auto"/>
              </w:rPr>
            </w:pPr>
            <w:r>
              <w:rPr>
                <w:rFonts w:ascii="Arial" w:cs="Arial" w:eastAsia="Arial" w:hAnsi="Arial"/>
                <w:sz w:val="18"/>
                <w:szCs w:val="18"/>
                <w:color w:val="auto"/>
              </w:rPr>
              <w:t>$  —</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13"/>
              <w:spacing w:after="0" w:line="195" w:lineRule="exact"/>
              <w:rPr>
                <w:sz w:val="20"/>
                <w:szCs w:val="20"/>
                <w:color w:val="auto"/>
              </w:rPr>
            </w:pPr>
            <w:r>
              <w:rPr>
                <w:rFonts w:ascii="Arial" w:cs="Arial" w:eastAsia="Arial" w:hAnsi="Arial"/>
                <w:sz w:val="18"/>
                <w:szCs w:val="18"/>
                <w:color w:val="auto"/>
              </w:rPr>
              <w:t>$  —</w:t>
            </w:r>
          </w:p>
        </w:tc>
      </w:tr>
      <w:tr>
        <w:trPr>
          <w:trHeight w:val="243"/>
        </w:trPr>
        <w:tc>
          <w:tcPr>
            <w:tcW w:w="4460" w:type="dxa"/>
            <w:vAlign w:val="bottom"/>
            <w:gridSpan w:val="3"/>
          </w:tcPr>
          <w:p>
            <w:pPr>
              <w:spacing w:after="0" w:line="243" w:lineRule="exact"/>
              <w:rPr>
                <w:sz w:val="20"/>
                <w:szCs w:val="20"/>
                <w:color w:val="auto"/>
              </w:rPr>
            </w:pPr>
            <w:r>
              <w:rPr>
                <w:rFonts w:ascii="Arial" w:cs="Arial" w:eastAsia="Arial" w:hAnsi="Arial"/>
                <w:sz w:val="17"/>
                <w:szCs w:val="17"/>
                <w:color w:val="auto"/>
              </w:rPr>
              <w:t>Interest payments</w:t>
            </w:r>
            <w:r>
              <w:rPr>
                <w:rFonts w:ascii="Arial" w:cs="Arial" w:eastAsia="Arial" w:hAnsi="Arial"/>
                <w:sz w:val="28"/>
                <w:szCs w:val="28"/>
                <w:color w:val="auto"/>
                <w:vertAlign w:val="superscript"/>
              </w:rPr>
              <w:t>(a)</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41.4</w:t>
            </w:r>
          </w:p>
        </w:tc>
        <w:tc>
          <w:tcPr>
            <w:tcW w:w="460" w:type="dxa"/>
            <w:vAlign w:val="bottom"/>
          </w:tcPr>
          <w:p>
            <w:pPr>
              <w:spacing w:after="0"/>
              <w:rPr>
                <w:sz w:val="21"/>
                <w:szCs w:val="21"/>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14.8</w:t>
            </w:r>
          </w:p>
        </w:tc>
        <w:tc>
          <w:tcPr>
            <w:tcW w:w="440" w:type="dxa"/>
            <w:vAlign w:val="bottom"/>
          </w:tcPr>
          <w:p>
            <w:pPr>
              <w:spacing w:after="0"/>
              <w:rPr>
                <w:sz w:val="21"/>
                <w:szCs w:val="21"/>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26.6</w:t>
            </w:r>
          </w:p>
        </w:tc>
        <w:tc>
          <w:tcPr>
            <w:tcW w:w="440" w:type="dxa"/>
            <w:vAlign w:val="bottom"/>
          </w:tcPr>
          <w:p>
            <w:pPr>
              <w:spacing w:after="0"/>
              <w:rPr>
                <w:sz w:val="21"/>
                <w:szCs w:val="21"/>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3"/>
          </w:tcPr>
          <w:p>
            <w:pPr>
              <w:spacing w:after="0" w:line="243" w:lineRule="exact"/>
              <w:rPr>
                <w:sz w:val="20"/>
                <w:szCs w:val="20"/>
                <w:color w:val="auto"/>
              </w:rPr>
            </w:pPr>
            <w:r>
              <w:rPr>
                <w:rFonts w:ascii="Arial" w:cs="Arial" w:eastAsia="Arial" w:hAnsi="Arial"/>
                <w:sz w:val="17"/>
                <w:szCs w:val="17"/>
                <w:color w:val="auto"/>
              </w:rPr>
              <w:t>Pension plan contributions</w:t>
            </w:r>
            <w:r>
              <w:rPr>
                <w:rFonts w:ascii="Arial" w:cs="Arial" w:eastAsia="Arial" w:hAnsi="Arial"/>
                <w:sz w:val="28"/>
                <w:szCs w:val="28"/>
                <w:color w:val="auto"/>
                <w:vertAlign w:val="superscript"/>
              </w:rPr>
              <w:t>(b)</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1"/>
                <w:szCs w:val="21"/>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1"/>
                <w:szCs w:val="21"/>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3"/>
          </w:tcPr>
          <w:p>
            <w:pPr>
              <w:spacing w:after="0" w:line="243" w:lineRule="exact"/>
              <w:rPr>
                <w:sz w:val="20"/>
                <w:szCs w:val="20"/>
                <w:color w:val="auto"/>
              </w:rPr>
            </w:pPr>
            <w:r>
              <w:rPr>
                <w:rFonts w:ascii="Arial" w:cs="Arial" w:eastAsia="Arial" w:hAnsi="Arial"/>
                <w:sz w:val="17"/>
                <w:szCs w:val="17"/>
                <w:color w:val="auto"/>
              </w:rPr>
              <w:t>Other postretirement benefits</w:t>
            </w:r>
            <w:r>
              <w:rPr>
                <w:rFonts w:ascii="Arial" w:cs="Arial" w:eastAsia="Arial" w:hAnsi="Arial"/>
                <w:sz w:val="28"/>
                <w:szCs w:val="28"/>
                <w:color w:val="auto"/>
                <w:vertAlign w:val="superscript"/>
              </w:rPr>
              <w:t>(c)</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54.4</w:t>
            </w:r>
          </w:p>
        </w:tc>
        <w:tc>
          <w:tcPr>
            <w:tcW w:w="460" w:type="dxa"/>
            <w:vAlign w:val="bottom"/>
          </w:tcPr>
          <w:p>
            <w:pPr>
              <w:spacing w:after="0"/>
              <w:rPr>
                <w:sz w:val="21"/>
                <w:szCs w:val="21"/>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1"/>
                <w:szCs w:val="21"/>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1"/>
                <w:szCs w:val="21"/>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21"/>
                <w:szCs w:val="21"/>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36.0</w:t>
            </w:r>
          </w:p>
        </w:tc>
      </w:tr>
      <w:tr>
        <w:trPr>
          <w:trHeight w:val="203"/>
        </w:trPr>
        <w:tc>
          <w:tcPr>
            <w:tcW w:w="4460" w:type="dxa"/>
            <w:vAlign w:val="bottom"/>
            <w:gridSpan w:val="3"/>
          </w:tcPr>
          <w:p>
            <w:pPr>
              <w:spacing w:after="0" w:line="203" w:lineRule="exact"/>
              <w:rPr>
                <w:sz w:val="20"/>
                <w:szCs w:val="20"/>
                <w:color w:val="auto"/>
              </w:rPr>
            </w:pPr>
            <w:r>
              <w:rPr>
                <w:rFonts w:ascii="Arial" w:cs="Arial" w:eastAsia="Arial" w:hAnsi="Arial"/>
                <w:sz w:val="18"/>
                <w:szCs w:val="18"/>
                <w:color w:val="auto"/>
              </w:rPr>
              <w:t>Restructuring accruals</w:t>
            </w:r>
          </w:p>
        </w:tc>
        <w:tc>
          <w:tcPr>
            <w:tcW w:w="1040" w:type="dxa"/>
            <w:vAlign w:val="bottom"/>
          </w:tcPr>
          <w:p>
            <w:pPr>
              <w:jc w:val="right"/>
              <w:ind w:right="172"/>
              <w:spacing w:after="0" w:line="203" w:lineRule="exact"/>
              <w:rPr>
                <w:sz w:val="20"/>
                <w:szCs w:val="20"/>
                <w:color w:val="auto"/>
              </w:rPr>
            </w:pPr>
            <w:r>
              <w:rPr>
                <w:rFonts w:ascii="Arial" w:cs="Arial" w:eastAsia="Arial" w:hAnsi="Arial"/>
                <w:sz w:val="18"/>
                <w:szCs w:val="18"/>
                <w:color w:val="auto"/>
              </w:rPr>
              <w:t>2.0</w:t>
            </w:r>
          </w:p>
        </w:tc>
        <w:tc>
          <w:tcPr>
            <w:tcW w:w="460" w:type="dxa"/>
            <w:vAlign w:val="bottom"/>
          </w:tcPr>
          <w:p>
            <w:pPr>
              <w:spacing w:after="0"/>
              <w:rPr>
                <w:sz w:val="17"/>
                <w:szCs w:val="17"/>
                <w:color w:val="auto"/>
              </w:rPr>
            </w:pPr>
          </w:p>
        </w:tc>
        <w:tc>
          <w:tcPr>
            <w:tcW w:w="1040" w:type="dxa"/>
            <w:vAlign w:val="bottom"/>
          </w:tcPr>
          <w:p>
            <w:pPr>
              <w:jc w:val="right"/>
              <w:ind w:right="213"/>
              <w:spacing w:after="0" w:line="203" w:lineRule="exact"/>
              <w:rPr>
                <w:sz w:val="20"/>
                <w:szCs w:val="20"/>
                <w:color w:val="auto"/>
              </w:rPr>
            </w:pPr>
            <w:r>
              <w:rPr>
                <w:rFonts w:ascii="Arial" w:cs="Arial" w:eastAsia="Arial" w:hAnsi="Arial"/>
                <w:sz w:val="18"/>
                <w:szCs w:val="18"/>
                <w:color w:val="auto"/>
              </w:rPr>
              <w:t>1.3</w:t>
            </w:r>
          </w:p>
        </w:tc>
        <w:tc>
          <w:tcPr>
            <w:tcW w:w="440" w:type="dxa"/>
            <w:vAlign w:val="bottom"/>
          </w:tcPr>
          <w:p>
            <w:pPr>
              <w:spacing w:after="0"/>
              <w:rPr>
                <w:sz w:val="17"/>
                <w:szCs w:val="17"/>
                <w:color w:val="auto"/>
              </w:rPr>
            </w:pPr>
          </w:p>
        </w:tc>
        <w:tc>
          <w:tcPr>
            <w:tcW w:w="1040" w:type="dxa"/>
            <w:vAlign w:val="bottom"/>
          </w:tcPr>
          <w:p>
            <w:pPr>
              <w:jc w:val="right"/>
              <w:ind w:right="174"/>
              <w:spacing w:after="0" w:line="203" w:lineRule="exact"/>
              <w:rPr>
                <w:sz w:val="20"/>
                <w:szCs w:val="20"/>
                <w:color w:val="auto"/>
              </w:rPr>
            </w:pPr>
            <w:r>
              <w:rPr>
                <w:rFonts w:ascii="Arial" w:cs="Arial" w:eastAsia="Arial" w:hAnsi="Arial"/>
                <w:sz w:val="18"/>
                <w:szCs w:val="18"/>
                <w:color w:val="auto"/>
              </w:rPr>
              <w:t>0.7</w:t>
            </w:r>
          </w:p>
        </w:tc>
        <w:tc>
          <w:tcPr>
            <w:tcW w:w="440" w:type="dxa"/>
            <w:vAlign w:val="bottom"/>
          </w:tcPr>
          <w:p>
            <w:pPr>
              <w:spacing w:after="0"/>
              <w:rPr>
                <w:sz w:val="17"/>
                <w:szCs w:val="17"/>
                <w:color w:val="auto"/>
              </w:rPr>
            </w:pPr>
          </w:p>
        </w:tc>
        <w:tc>
          <w:tcPr>
            <w:tcW w:w="1480" w:type="dxa"/>
            <w:vAlign w:val="bottom"/>
            <w:gridSpan w:val="2"/>
          </w:tcPr>
          <w:p>
            <w:pPr>
              <w:ind w:left="54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line="203" w:lineRule="exact"/>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3"/>
          </w:tcPr>
          <w:p>
            <w:pPr>
              <w:spacing w:after="0" w:line="243" w:lineRule="exact"/>
              <w:rPr>
                <w:sz w:val="20"/>
                <w:szCs w:val="20"/>
                <w:color w:val="auto"/>
              </w:rPr>
            </w:pPr>
            <w:r>
              <w:rPr>
                <w:rFonts w:ascii="Arial" w:cs="Arial" w:eastAsia="Arial" w:hAnsi="Arial"/>
                <w:sz w:val="17"/>
                <w:szCs w:val="17"/>
                <w:color w:val="auto"/>
              </w:rPr>
              <w:t>Other noncurrent liabilities</w:t>
            </w:r>
            <w:r>
              <w:rPr>
                <w:rFonts w:ascii="Arial" w:cs="Arial" w:eastAsia="Arial" w:hAnsi="Arial"/>
                <w:sz w:val="28"/>
                <w:szCs w:val="28"/>
                <w:color w:val="auto"/>
                <w:vertAlign w:val="superscript"/>
              </w:rPr>
              <w:t>(d)</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03"/>
        </w:trPr>
        <w:tc>
          <w:tcPr>
            <w:tcW w:w="4460" w:type="dxa"/>
            <w:vAlign w:val="bottom"/>
            <w:gridSpan w:val="3"/>
          </w:tcPr>
          <w:p>
            <w:pPr>
              <w:spacing w:after="0" w:line="202" w:lineRule="exact"/>
              <w:rPr>
                <w:sz w:val="20"/>
                <w:szCs w:val="20"/>
                <w:color w:val="auto"/>
              </w:rPr>
            </w:pPr>
            <w:r>
              <w:rPr>
                <w:rFonts w:ascii="Arial" w:cs="Arial" w:eastAsia="Arial" w:hAnsi="Arial"/>
                <w:sz w:val="18"/>
                <w:szCs w:val="18"/>
                <w:color w:val="auto"/>
              </w:rPr>
              <w:t>Operating leases</w:t>
            </w: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21.3</w:t>
            </w:r>
          </w:p>
        </w:tc>
        <w:tc>
          <w:tcPr>
            <w:tcW w:w="46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5.2</w:t>
            </w:r>
          </w:p>
        </w:tc>
        <w:tc>
          <w:tcPr>
            <w:tcW w:w="440" w:type="dxa"/>
            <w:vAlign w:val="bottom"/>
          </w:tcPr>
          <w:p>
            <w:pPr>
              <w:spacing w:after="0"/>
              <w:rPr>
                <w:sz w:val="17"/>
                <w:szCs w:val="17"/>
                <w:color w:val="auto"/>
              </w:rPr>
            </w:pPr>
          </w:p>
        </w:tc>
        <w:tc>
          <w:tcPr>
            <w:tcW w:w="10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7.2</w:t>
            </w:r>
          </w:p>
        </w:tc>
        <w:tc>
          <w:tcPr>
            <w:tcW w:w="440" w:type="dxa"/>
            <w:vAlign w:val="bottom"/>
          </w:tcPr>
          <w:p>
            <w:pPr>
              <w:spacing w:after="0"/>
              <w:rPr>
                <w:sz w:val="17"/>
                <w:szCs w:val="17"/>
                <w:color w:val="auto"/>
              </w:rPr>
            </w:pPr>
          </w:p>
        </w:tc>
        <w:tc>
          <w:tcPr>
            <w:tcW w:w="10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3.6</w:t>
            </w:r>
          </w:p>
        </w:tc>
        <w:tc>
          <w:tcPr>
            <w:tcW w:w="460" w:type="dxa"/>
            <w:vAlign w:val="bottom"/>
          </w:tcPr>
          <w:p>
            <w:pPr>
              <w:spacing w:after="0"/>
              <w:rPr>
                <w:sz w:val="17"/>
                <w:szCs w:val="17"/>
                <w:color w:val="auto"/>
              </w:rPr>
            </w:pPr>
          </w:p>
        </w:tc>
        <w:tc>
          <w:tcPr>
            <w:tcW w:w="10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5.3</w:t>
            </w:r>
          </w:p>
        </w:tc>
      </w:tr>
      <w:tr>
        <w:trPr>
          <w:trHeight w:val="203"/>
        </w:trPr>
        <w:tc>
          <w:tcPr>
            <w:tcW w:w="4460" w:type="dxa"/>
            <w:vAlign w:val="bottom"/>
            <w:gridSpan w:val="3"/>
          </w:tcPr>
          <w:p>
            <w:pPr>
              <w:spacing w:after="0" w:line="203" w:lineRule="exact"/>
              <w:rPr>
                <w:sz w:val="20"/>
                <w:szCs w:val="20"/>
                <w:color w:val="auto"/>
              </w:rPr>
            </w:pPr>
            <w:r>
              <w:rPr>
                <w:rFonts w:ascii="Arial" w:cs="Arial" w:eastAsia="Arial" w:hAnsi="Arial"/>
                <w:sz w:val="18"/>
                <w:szCs w:val="18"/>
                <w:color w:val="auto"/>
              </w:rPr>
              <w:t>Finance leases</w:t>
            </w:r>
          </w:p>
        </w:tc>
        <w:tc>
          <w:tcPr>
            <w:tcW w:w="1040" w:type="dxa"/>
            <w:vAlign w:val="bottom"/>
            <w:tcBorders>
              <w:bottom w:val="single" w:sz="8" w:color="auto"/>
            </w:tcBorders>
          </w:tcPr>
          <w:p>
            <w:pPr>
              <w:jc w:val="right"/>
              <w:ind w:right="172"/>
              <w:spacing w:after="0" w:line="203" w:lineRule="exact"/>
              <w:rPr>
                <w:sz w:val="20"/>
                <w:szCs w:val="20"/>
                <w:color w:val="auto"/>
              </w:rPr>
            </w:pPr>
            <w:r>
              <w:rPr>
                <w:rFonts w:ascii="Arial" w:cs="Arial" w:eastAsia="Arial" w:hAnsi="Arial"/>
                <w:sz w:val="18"/>
                <w:szCs w:val="18"/>
                <w:color w:val="auto"/>
              </w:rPr>
              <w:t>32.9</w:t>
            </w:r>
          </w:p>
        </w:tc>
        <w:tc>
          <w:tcPr>
            <w:tcW w:w="460" w:type="dxa"/>
            <w:vAlign w:val="bottom"/>
          </w:tcPr>
          <w:p>
            <w:pPr>
              <w:spacing w:after="0"/>
              <w:rPr>
                <w:sz w:val="17"/>
                <w:szCs w:val="17"/>
                <w:color w:val="auto"/>
              </w:rPr>
            </w:pPr>
          </w:p>
        </w:tc>
        <w:tc>
          <w:tcPr>
            <w:tcW w:w="1040" w:type="dxa"/>
            <w:vAlign w:val="bottom"/>
            <w:tcBorders>
              <w:bottom w:val="single" w:sz="8" w:color="auto"/>
            </w:tcBorders>
          </w:tcPr>
          <w:p>
            <w:pPr>
              <w:jc w:val="right"/>
              <w:ind w:right="213"/>
              <w:spacing w:after="0" w:line="203" w:lineRule="exact"/>
              <w:rPr>
                <w:sz w:val="20"/>
                <w:szCs w:val="20"/>
                <w:color w:val="auto"/>
              </w:rPr>
            </w:pPr>
            <w:r>
              <w:rPr>
                <w:rFonts w:ascii="Arial" w:cs="Arial" w:eastAsia="Arial" w:hAnsi="Arial"/>
                <w:sz w:val="18"/>
                <w:szCs w:val="18"/>
                <w:color w:val="auto"/>
              </w:rPr>
              <w:t>3.3</w:t>
            </w:r>
          </w:p>
        </w:tc>
        <w:tc>
          <w:tcPr>
            <w:tcW w:w="440" w:type="dxa"/>
            <w:vAlign w:val="bottom"/>
          </w:tcPr>
          <w:p>
            <w:pPr>
              <w:spacing w:after="0"/>
              <w:rPr>
                <w:sz w:val="17"/>
                <w:szCs w:val="17"/>
                <w:color w:val="auto"/>
              </w:rPr>
            </w:pPr>
          </w:p>
        </w:tc>
        <w:tc>
          <w:tcPr>
            <w:tcW w:w="1040" w:type="dxa"/>
            <w:vAlign w:val="bottom"/>
            <w:tcBorders>
              <w:bottom w:val="single" w:sz="8" w:color="auto"/>
            </w:tcBorders>
          </w:tcPr>
          <w:p>
            <w:pPr>
              <w:jc w:val="right"/>
              <w:ind w:right="174"/>
              <w:spacing w:after="0" w:line="203" w:lineRule="exact"/>
              <w:rPr>
                <w:sz w:val="20"/>
                <w:szCs w:val="20"/>
                <w:color w:val="auto"/>
              </w:rPr>
            </w:pPr>
            <w:r>
              <w:rPr>
                <w:rFonts w:ascii="Arial" w:cs="Arial" w:eastAsia="Arial" w:hAnsi="Arial"/>
                <w:sz w:val="18"/>
                <w:szCs w:val="18"/>
                <w:color w:val="auto"/>
              </w:rPr>
              <w:t>6.7</w:t>
            </w:r>
          </w:p>
        </w:tc>
        <w:tc>
          <w:tcPr>
            <w:tcW w:w="440" w:type="dxa"/>
            <w:vAlign w:val="bottom"/>
          </w:tcPr>
          <w:p>
            <w:pPr>
              <w:spacing w:after="0"/>
              <w:rPr>
                <w:sz w:val="17"/>
                <w:szCs w:val="17"/>
                <w:color w:val="auto"/>
              </w:rPr>
            </w:pPr>
          </w:p>
        </w:tc>
        <w:tc>
          <w:tcPr>
            <w:tcW w:w="1020" w:type="dxa"/>
            <w:vAlign w:val="bottom"/>
            <w:tcBorders>
              <w:bottom w:val="single" w:sz="8" w:color="auto"/>
            </w:tcBorders>
          </w:tcPr>
          <w:p>
            <w:pPr>
              <w:jc w:val="right"/>
              <w:ind w:right="213"/>
              <w:spacing w:after="0" w:line="203" w:lineRule="exact"/>
              <w:rPr>
                <w:sz w:val="20"/>
                <w:szCs w:val="20"/>
                <w:color w:val="auto"/>
              </w:rPr>
            </w:pPr>
            <w:r>
              <w:rPr>
                <w:rFonts w:ascii="Arial" w:cs="Arial" w:eastAsia="Arial" w:hAnsi="Arial"/>
                <w:sz w:val="18"/>
                <w:szCs w:val="18"/>
                <w:color w:val="auto"/>
              </w:rPr>
              <w:t>7.1</w:t>
            </w:r>
          </w:p>
        </w:tc>
        <w:tc>
          <w:tcPr>
            <w:tcW w:w="460" w:type="dxa"/>
            <w:vAlign w:val="bottom"/>
          </w:tcPr>
          <w:p>
            <w:pPr>
              <w:spacing w:after="0"/>
              <w:rPr>
                <w:sz w:val="17"/>
                <w:szCs w:val="17"/>
                <w:color w:val="auto"/>
              </w:rPr>
            </w:pPr>
          </w:p>
        </w:tc>
        <w:tc>
          <w:tcPr>
            <w:tcW w:w="1020" w:type="dxa"/>
            <w:vAlign w:val="bottom"/>
            <w:tcBorders>
              <w:bottom w:val="single" w:sz="8" w:color="auto"/>
            </w:tcBorders>
          </w:tcPr>
          <w:p>
            <w:pPr>
              <w:jc w:val="right"/>
              <w:ind w:right="213"/>
              <w:spacing w:after="0" w:line="203" w:lineRule="exact"/>
              <w:rPr>
                <w:sz w:val="20"/>
                <w:szCs w:val="20"/>
                <w:color w:val="auto"/>
              </w:rPr>
            </w:pPr>
            <w:r>
              <w:rPr>
                <w:rFonts w:ascii="Arial" w:cs="Arial" w:eastAsia="Arial" w:hAnsi="Arial"/>
                <w:sz w:val="18"/>
                <w:szCs w:val="18"/>
                <w:color w:val="auto"/>
              </w:rPr>
              <w:t>15.8</w:t>
            </w:r>
          </w:p>
        </w:tc>
      </w:tr>
      <w:tr>
        <w:trPr>
          <w:trHeight w:val="196"/>
        </w:trPr>
        <w:tc>
          <w:tcPr>
            <w:tcW w:w="4460" w:type="dxa"/>
            <w:vAlign w:val="bottom"/>
            <w:gridSpan w:val="3"/>
          </w:tcPr>
          <w:p>
            <w:pPr>
              <w:spacing w:after="0" w:line="196" w:lineRule="exact"/>
              <w:rPr>
                <w:sz w:val="20"/>
                <w:szCs w:val="20"/>
                <w:color w:val="auto"/>
              </w:rPr>
            </w:pPr>
            <w:r>
              <w:rPr>
                <w:rFonts w:ascii="Arial" w:cs="Arial" w:eastAsia="Arial" w:hAnsi="Arial"/>
                <w:sz w:val="18"/>
                <w:szCs w:val="18"/>
                <w:color w:val="auto"/>
              </w:rPr>
              <w:t>Totals</w:t>
            </w:r>
          </w:p>
        </w:tc>
        <w:tc>
          <w:tcPr>
            <w:tcW w:w="10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rPr>
              <w:t>$578.4</w:t>
            </w:r>
          </w:p>
        </w:tc>
        <w:tc>
          <w:tcPr>
            <w:tcW w:w="46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$30.8</w:t>
            </w:r>
          </w:p>
        </w:tc>
        <w:tc>
          <w:tcPr>
            <w:tcW w:w="44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$472.6</w:t>
            </w:r>
          </w:p>
        </w:tc>
        <w:tc>
          <w:tcPr>
            <w:tcW w:w="440" w:type="dxa"/>
            <w:vAlign w:val="bottom"/>
          </w:tcPr>
          <w:p>
            <w:pPr>
              <w:spacing w:after="0"/>
              <w:rPr>
                <w:sz w:val="17"/>
                <w:szCs w:val="17"/>
                <w:color w:val="auto"/>
              </w:rPr>
            </w:pPr>
          </w:p>
        </w:tc>
        <w:tc>
          <w:tcPr>
            <w:tcW w:w="10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$17.9</w:t>
            </w:r>
          </w:p>
        </w:tc>
        <w:tc>
          <w:tcPr>
            <w:tcW w:w="460" w:type="dxa"/>
            <w:vAlign w:val="bottom"/>
          </w:tcPr>
          <w:p>
            <w:pPr>
              <w:spacing w:after="0"/>
              <w:rPr>
                <w:sz w:val="17"/>
                <w:szCs w:val="17"/>
                <w:color w:val="auto"/>
              </w:rPr>
            </w:pPr>
          </w:p>
        </w:tc>
        <w:tc>
          <w:tcPr>
            <w:tcW w:w="10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$57.1</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9861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60" w:hanging="452"/>
        <w:spacing w:after="0" w:line="23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variable-rate debt arrangements, including interest rates and maturities, are included in Note 17 of the Consolidated Financial Statements in Item 8. The interest payments are based on the assumption that we maintain $74 million of variable rate debt until the November 2017 Credit Agreement matures on November 7, 2022, and the rate as of December 31, 2019 (3.43%) continues until October 17, 2022, then continues at 3.19% until maturity. Both rates include the effects of interest rate hedging transactions.</w:t>
      </w:r>
    </w:p>
    <w:p>
      <w:pPr>
        <w:spacing w:after="0" w:line="3" w:lineRule="exact"/>
        <w:rPr>
          <w:rFonts w:ascii="Arial" w:cs="Arial" w:eastAsia="Arial" w:hAnsi="Arial"/>
          <w:sz w:val="18"/>
          <w:szCs w:val="18"/>
          <w:color w:val="auto"/>
        </w:rPr>
      </w:pPr>
    </w:p>
    <w:p>
      <w:pPr>
        <w:ind w:left="460" w:right="140" w:hanging="452"/>
        <w:spacing w:after="0" w:line="23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estimate the total of pension benefits to be paid directly by the Company and pension contributions to be $2.4 million in 2020. However, that estimate is subject to revision based on many factors. The Company may also make voluntary contributions to pension trusts that exist in certain countries. The amount of contributions after 2020 is subject to many variables, including return of pension plan assets, interest rates, and tax and employee benefit laws. Therefore, contributions beyond 2020 are not included in this schedule.</w:t>
      </w:r>
    </w:p>
    <w:p>
      <w:pPr>
        <w:spacing w:after="0" w:line="3" w:lineRule="exact"/>
        <w:rPr>
          <w:rFonts w:ascii="Arial" w:cs="Arial" w:eastAsia="Arial" w:hAnsi="Arial"/>
          <w:sz w:val="18"/>
          <w:szCs w:val="18"/>
          <w:color w:val="auto"/>
        </w:rPr>
      </w:pPr>
    </w:p>
    <w:p>
      <w:pPr>
        <w:ind w:left="460" w:right="60" w:hanging="452"/>
        <w:spacing w:after="0" w:line="23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Estimated cash outflow for other postretirement benefits is consistent with the expected benefit payments as presented in Note 4 of the Consolidated Financial Statements in Item 8 for the next five years. Beyond five years, expected benefit payments are not consistent with those presented in Note 4, due to the many variables associated with this estimate.</w:t>
      </w:r>
    </w:p>
    <w:p>
      <w:pPr>
        <w:spacing w:after="0" w:line="2" w:lineRule="exact"/>
        <w:rPr>
          <w:rFonts w:ascii="Arial" w:cs="Arial" w:eastAsia="Arial" w:hAnsi="Arial"/>
          <w:sz w:val="18"/>
          <w:szCs w:val="18"/>
          <w:color w:val="auto"/>
        </w:rPr>
      </w:pPr>
    </w:p>
    <w:p>
      <w:pPr>
        <w:ind w:left="460" w:right="180" w:hanging="452"/>
        <w:spacing w:after="0" w:line="23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Estimated payments for deferred compensation, interest rate swap agreements, and other noncurrent liabilities are not included in this table due to the uncertain timing of the ultimate cash settlement. Also, this table does not reflect unrecognized tax benefits, the timing of which is uncertain. Refer to Note 7 of the Consolidated Financial Statements in Item 8, for additional discussion on unrecognized tax benefits.</w:t>
      </w:r>
    </w:p>
    <w:p>
      <w:pPr>
        <w:spacing w:after="0" w:line="94" w:lineRule="exact"/>
        <w:rPr>
          <w:sz w:val="20"/>
          <w:szCs w:val="20"/>
          <w:color w:val="auto"/>
        </w:rPr>
      </w:pPr>
    </w:p>
    <w:p>
      <w:pPr>
        <w:ind w:right="20" w:firstLine="378"/>
        <w:spacing w:after="0" w:line="237" w:lineRule="auto"/>
        <w:rPr>
          <w:sz w:val="20"/>
          <w:szCs w:val="20"/>
          <w:color w:val="auto"/>
        </w:rPr>
      </w:pPr>
      <w:r>
        <w:rPr>
          <w:rFonts w:ascii="Arial" w:cs="Arial" w:eastAsia="Arial" w:hAnsi="Arial"/>
          <w:sz w:val="18"/>
          <w:szCs w:val="18"/>
          <w:color w:val="auto"/>
        </w:rPr>
        <w:t>The foregoing table should not be deemed to represent all of our future cash requirements, which will vary based on our future needs. While the cash required to satisfy the obligations set forth in the table is reasonably determinable in advance, many other cash needs, such as raw materials costs, payroll, and taxes, are dependent on future events and are harder to predict. In addition, while the contingencies described in Note 21 of the Consolidated Financial Statements in Item 8 are not currently anticipated to have a material adverse effect on our Company, there can be no assurance that this may not change. Subject to the foregoing, we currently expect that cash from operations and the other sources of liquidity described above will be sufficient to enable us to meet the foregoing cash obligations, as well as to meet our other cash requirements.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200" w:firstLine="378"/>
        <w:spacing w:after="0" w:line="246" w:lineRule="auto"/>
        <w:rPr>
          <w:sz w:val="20"/>
          <w:szCs w:val="20"/>
          <w:color w:val="auto"/>
        </w:rPr>
      </w:pPr>
      <w:r>
        <w:rPr>
          <w:rFonts w:ascii="Arial" w:cs="Arial" w:eastAsia="Arial" w:hAnsi="Arial"/>
          <w:sz w:val="18"/>
          <w:szCs w:val="18"/>
          <w:color w:val="auto"/>
        </w:rPr>
        <w:t>A discussion of recent accounting pronouncements is set forth in Item 8 Financial Statements and Supplementary Data, Note 1,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26" w:lineRule="exact"/>
        <w:rPr>
          <w:sz w:val="20"/>
          <w:szCs w:val="20"/>
          <w:color w:val="auto"/>
        </w:rPr>
      </w:pPr>
    </w:p>
    <w:p>
      <w:pPr>
        <w:ind w:right="100" w:firstLine="378"/>
        <w:spacing w:after="0" w:line="239" w:lineRule="auto"/>
        <w:rPr>
          <w:sz w:val="20"/>
          <w:szCs w:val="20"/>
          <w:color w:val="auto"/>
        </w:rPr>
      </w:pPr>
      <w:r>
        <w:rPr>
          <w:rFonts w:ascii="Arial" w:cs="Arial" w:eastAsia="Arial" w:hAnsi="Arial"/>
          <w:sz w:val="18"/>
          <w:szCs w:val="18"/>
          <w:color w:val="auto"/>
        </w:rPr>
        <w:t>For the discussion of our accounting policies, see Item 8 Financial Statements and Supplementary Data, Note 1, which is incorporated herein by reference. The preparation of financial statements in conformity with accounting principles generally accepted in the United States of America requires management to make assumptions and estimates that directly affect the amounts reported in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Each of these assumptions is subject to uncertainties and changes in those assumptions or judgments can affect our results of operations. In addition to the accounting policies stated in Item 8, financial statement amounts and disclosures are significantly influenced by market factors, judgments and estimates as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jc w:val="both"/>
        <w:ind w:right="520" w:firstLine="378"/>
        <w:spacing w:after="0" w:line="251"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standard replaces numerous requirements in U.S. GAAP, including industry-specific requirements, and provides companies with a single model for recognizing revenue from contracts with customers. See additional information in Item 8.</w:t>
      </w:r>
    </w:p>
    <w:p>
      <w:pPr>
        <w:spacing w:after="0" w:line="84" w:lineRule="exact"/>
        <w:rPr>
          <w:sz w:val="20"/>
          <w:szCs w:val="20"/>
          <w:color w:val="auto"/>
        </w:rPr>
      </w:pPr>
    </w:p>
    <w:p>
      <w:pPr>
        <w:ind w:right="920" w:firstLine="378"/>
        <w:spacing w:after="0" w:line="246" w:lineRule="auto"/>
        <w:rPr>
          <w:sz w:val="20"/>
          <w:szCs w:val="20"/>
          <w:color w:val="auto"/>
        </w:rPr>
      </w:pPr>
      <w:r>
        <w:rPr>
          <w:rFonts w:ascii="Arial" w:cs="Arial" w:eastAsia="Arial" w:hAnsi="Arial"/>
          <w:sz w:val="18"/>
          <w:szCs w:val="18"/>
          <w:color w:val="auto"/>
        </w:rPr>
        <w:t>Contracts with customers in the Machine Clothing segment have various terms that can affect the point in time when revenue is recognized. The contractual terms are closely monitored in order to ensure revenue is recognized in the proper period.</w:t>
      </w:r>
    </w:p>
    <w:p>
      <w:pPr>
        <w:spacing w:after="0" w:line="89" w:lineRule="exact"/>
        <w:rPr>
          <w:sz w:val="20"/>
          <w:szCs w:val="20"/>
          <w:color w:val="auto"/>
        </w:rPr>
      </w:pPr>
    </w:p>
    <w:p>
      <w:pPr>
        <w:jc w:val="both"/>
        <w:ind w:right="280" w:firstLine="378"/>
        <w:spacing w:after="0" w:line="239"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AEC’s largest source of revenue is derived from the LEAP contract under a cost-plus-fee agreement. Beginning in 2018, the fee is variable based on our success in achieving certain cost targets. Revenue is recognized over time as costs are incurred. Under this contract, there is significant judgment involved in determining applicable contract costs and the amount of revenue to be recognized.</w:t>
      </w:r>
    </w:p>
    <w:p>
      <w:pPr>
        <w:spacing w:after="0" w:line="94" w:lineRule="exact"/>
        <w:rPr>
          <w:sz w:val="20"/>
          <w:szCs w:val="20"/>
          <w:color w:val="auto"/>
        </w:rPr>
      </w:pPr>
    </w:p>
    <w:p>
      <w:pPr>
        <w:ind w:right="120" w:firstLine="378"/>
        <w:spacing w:after="0" w:line="239" w:lineRule="auto"/>
        <w:rPr>
          <w:sz w:val="20"/>
          <w:szCs w:val="20"/>
          <w:color w:val="auto"/>
        </w:rPr>
      </w:pPr>
      <w:r>
        <w:rPr>
          <w:rFonts w:ascii="Arial" w:cs="Arial" w:eastAsia="Arial" w:hAnsi="Arial"/>
          <w:sz w:val="18"/>
          <w:szCs w:val="18"/>
          <w:color w:val="auto"/>
        </w:rPr>
        <w:t>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94" w:lineRule="exact"/>
        <w:rPr>
          <w:sz w:val="20"/>
          <w:szCs w:val="20"/>
          <w:color w:val="auto"/>
        </w:rPr>
      </w:pPr>
    </w:p>
    <w:p>
      <w:pPr>
        <w:ind w:right="80" w:firstLine="378"/>
        <w:spacing w:after="0" w:line="237" w:lineRule="auto"/>
        <w:rPr>
          <w:sz w:val="20"/>
          <w:szCs w:val="20"/>
          <w:color w:val="auto"/>
        </w:rPr>
      </w:pPr>
      <w:r>
        <w:rPr>
          <w:rFonts w:ascii="Arial" w:cs="Arial" w:eastAsia="Arial" w:hAnsi="Arial"/>
          <w:sz w:val="18"/>
          <w:szCs w:val="18"/>
          <w:color w:val="auto"/>
        </w:rPr>
        <w:t>The Albany Engineered Composites segment also has some long-term aerospace contracts under which there are two phases: a phase during which the production part is designed and tested, and a phase of supplying production parts. During the design and testing phases, we perform pre-production or nonrecurring engineering services, which are normally considered a fulfillment activity, rather than a performance obligation. Fulfillment activities that create resources that will be used in satisfying performance obligations in the future, and are expected to be recovered, are capitalized in Other assets. The capitalized costs are amortized into Cost of goods sold over the period over which the asset is expected to contribute to future cash flows which includes anticipated renewal periods. Accumulated capitalized costs are written-off when those costs are determined to be unrecoverable.</w:t>
      </w:r>
    </w:p>
    <w:p>
      <w:pPr>
        <w:spacing w:after="0" w:line="95" w:lineRule="exact"/>
        <w:rPr>
          <w:sz w:val="20"/>
          <w:szCs w:val="20"/>
          <w:color w:val="auto"/>
        </w:rPr>
      </w:pPr>
    </w:p>
    <w:p>
      <w:pPr>
        <w:ind w:right="120" w:firstLine="378"/>
        <w:spacing w:after="0" w:line="236" w:lineRule="auto"/>
        <w:rPr>
          <w:sz w:val="20"/>
          <w:szCs w:val="20"/>
          <w:color w:val="auto"/>
        </w:rPr>
      </w:pPr>
      <w:r>
        <w:rPr>
          <w:rFonts w:ascii="Arial" w:cs="Arial" w:eastAsia="Arial" w:hAnsi="Arial"/>
          <w:sz w:val="18"/>
          <w:szCs w:val="18"/>
          <w:color w:val="auto"/>
        </w:rPr>
        <w:t xml:space="preserve">For contracts with anticipated losses, a provision for the entire amount of the estimated remaining loss is charged against income in the period in which the loss becomes known. Contract loss provisions include contract options that are probable of exercise, excluding any profitable options that might be expected to follow. Contract losses are determined considering all direct and indirect contract costs, exclusive of any selling, general or administrative cost allocations, which are treated as period expenses. Under the new standard, we are required to limit our estimate of contract values to the period of the legally enforceable contract, which in many cases is considerably shorter than the contract period used under the former standard. While certain contracts are expected to be profitable over the course of the program life when including expected renewals, under the new standard, our estimate of contract revenues and costs is limited to the estimated value of enforceable rights and obligations, excluding anticipated renewals. In some cases, this shorter contract period may result in a loss contract provision at the inception of the contract. Also, refer to information under </w:t>
      </w:r>
      <w:r>
        <w:rPr>
          <w:rFonts w:ascii="Arial" w:cs="Arial" w:eastAsia="Arial" w:hAnsi="Arial"/>
          <w:sz w:val="18"/>
          <w:szCs w:val="18"/>
          <w:i w:val="1"/>
          <w:iCs w:val="1"/>
          <w:color w:val="auto"/>
        </w:rPr>
        <w:t>Long-term Contracts</w:t>
      </w:r>
      <w:r>
        <w:rPr>
          <w:rFonts w:ascii="Arial" w:cs="Arial" w:eastAsia="Arial" w:hAnsi="Arial"/>
          <w:sz w:val="18"/>
          <w:szCs w:val="18"/>
          <w:color w:val="auto"/>
        </w:rPr>
        <w:t xml:space="preserve"> in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of this Form 10-K, which is incorporated herein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Liabilities</w:t>
      </w:r>
    </w:p>
    <w:p>
      <w:pPr>
        <w:spacing w:after="0" w:line="126" w:lineRule="exact"/>
        <w:rPr>
          <w:sz w:val="20"/>
          <w:szCs w:val="20"/>
          <w:color w:val="auto"/>
        </w:rPr>
      </w:pPr>
    </w:p>
    <w:p>
      <w:pPr>
        <w:ind w:right="140" w:firstLine="378"/>
        <w:spacing w:after="0" w:line="239" w:lineRule="auto"/>
        <w:rPr>
          <w:sz w:val="20"/>
          <w:szCs w:val="20"/>
          <w:color w:val="auto"/>
        </w:rPr>
      </w:pPr>
      <w:r>
        <w:rPr>
          <w:rFonts w:ascii="Arial" w:cs="Arial" w:eastAsia="Arial" w:hAnsi="Arial"/>
          <w:sz w:val="18"/>
          <w:szCs w:val="18"/>
          <w:color w:val="auto"/>
        </w:rPr>
        <w:t>The Company has pension and postretirement benefit costs and liabilities that are developed from actuarial valuations. Inherent in these valuations are key assumptions, including discount rates and expected return on plan assets, which are updated on an annual basis. As of December 31, 2019, total liabilities under our defined benefit pension plans (including unfunded plans) exceeded plan assets by $15.5 million, of which $8.0 million was for plans outside of the U.S. Additionally, at December 31, 2019, other postretirement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liabilities totaled $54.4 million, substantially all of which related to our U.S. plan. As of December 31, 2019, we have unrecognized pretax net losses of $63.9 million for pension plans and $10.7 million for other postretirement benefit plans that may be amortized into earnings in future periods.</w:t>
      </w:r>
    </w:p>
    <w:p>
      <w:pPr>
        <w:spacing w:after="0" w:line="176" w:lineRule="exact"/>
        <w:rPr>
          <w:sz w:val="20"/>
          <w:szCs w:val="20"/>
          <w:color w:val="auto"/>
        </w:rPr>
      </w:pPr>
    </w:p>
    <w:p>
      <w:pPr>
        <w:ind w:right="100" w:firstLine="378"/>
        <w:spacing w:after="0" w:line="237" w:lineRule="auto"/>
        <w:rPr>
          <w:sz w:val="20"/>
          <w:szCs w:val="20"/>
          <w:color w:val="auto"/>
        </w:rPr>
      </w:pPr>
      <w:r>
        <w:rPr>
          <w:rFonts w:ascii="Arial" w:cs="Arial" w:eastAsia="Arial" w:hAnsi="Arial"/>
          <w:sz w:val="18"/>
          <w:szCs w:val="18"/>
          <w:color w:val="auto"/>
        </w:rPr>
        <w:t>We are required to consider current market conditions, including changes in interest rates, in making these assumptions. For 2020, we anticipate pension contributions and direct payments to retirees to total $2.4 million, and payments for other postretirement benefit plans to be $3.8 million. Changes in the related pension and other postretirement benefit costs or credits may occur in the future due to changes in the assumptions. The amount of annual pension plan funding and annual expense is subject to many variables, including the investment return on pension plan assets and interest rates, and actual contributions could vary significantly. Assumptions used for determining pension and other postretirement plan liabilities and expenses are evaluated and updated at least annually.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right="120" w:firstLine="378"/>
        <w:spacing w:after="0" w:line="237" w:lineRule="auto"/>
        <w:rPr>
          <w:sz w:val="20"/>
          <w:szCs w:val="20"/>
          <w:color w:val="auto"/>
        </w:rPr>
      </w:pPr>
      <w:r>
        <w:rPr>
          <w:rFonts w:ascii="Arial" w:cs="Arial" w:eastAsia="Arial" w:hAnsi="Arial"/>
          <w:sz w:val="18"/>
          <w:szCs w:val="18"/>
          <w:color w:val="auto"/>
        </w:rPr>
        <w:t>In the ordinary course of business, there is inherent uncertainty in determining assets and liabilities related to income tax balances. We exercise significant judgment in order to estimate taxes payable or receivable in future periods. Tax-related balances may also be impacted by organizational changes or changes in the tax laws of any country in which we operate. We assess our income tax positions and record tax assets and liabilities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w:t>
      </w:r>
    </w:p>
    <w:p>
      <w:pPr>
        <w:spacing w:after="0" w:line="95" w:lineRule="exact"/>
        <w:rPr>
          <w:sz w:val="20"/>
          <w:szCs w:val="20"/>
          <w:color w:val="auto"/>
        </w:rPr>
      </w:pPr>
    </w:p>
    <w:p>
      <w:pPr>
        <w:ind w:firstLine="378"/>
        <w:spacing w:after="0"/>
        <w:rPr>
          <w:sz w:val="20"/>
          <w:szCs w:val="20"/>
          <w:color w:val="auto"/>
        </w:rPr>
      </w:pPr>
      <w:r>
        <w:rPr>
          <w:rFonts w:ascii="Arial" w:cs="Arial" w:eastAsia="Arial" w:hAnsi="Arial"/>
          <w:sz w:val="18"/>
          <w:szCs w:val="18"/>
          <w:color w:val="auto"/>
        </w:rPr>
        <w:t>Deferred tax assets are expected to be realized through the reversal of existing temporary differences and future taxable income.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95" w:lineRule="exact"/>
        <w:rPr>
          <w:sz w:val="20"/>
          <w:szCs w:val="20"/>
          <w:color w:val="auto"/>
        </w:rPr>
      </w:pPr>
    </w:p>
    <w:p>
      <w:pPr>
        <w:ind w:right="40" w:firstLine="378"/>
        <w:spacing w:after="0"/>
        <w:rPr>
          <w:sz w:val="20"/>
          <w:szCs w:val="20"/>
          <w:color w:val="auto"/>
        </w:rPr>
      </w:pPr>
      <w:r>
        <w:rPr>
          <w:rFonts w:ascii="Arial" w:cs="Arial" w:eastAsia="Arial" w:hAnsi="Arial"/>
          <w:sz w:val="18"/>
          <w:szCs w:val="18"/>
          <w:color w:val="auto"/>
        </w:rPr>
        <w:t>In late 2017, new tax legislation was enacted in the United States which resulted in significant charges to income tax expense. Charges associated with the Tax Reform Act were recorded in 2017 and represent the Company’s best estimates and provisional amounts. Adjustments recorded to the provisional amounts through the fourth quarter of 2018 are included in Income tax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6" w:lineRule="exact"/>
        <w:rPr>
          <w:sz w:val="20"/>
          <w:szCs w:val="20"/>
          <w:color w:val="auto"/>
        </w:rPr>
      </w:pPr>
    </w:p>
    <w:p>
      <w:pPr>
        <w:ind w:right="140" w:firstLine="378"/>
        <w:spacing w:after="0"/>
        <w:rPr>
          <w:sz w:val="20"/>
          <w:szCs w:val="20"/>
          <w:color w:val="auto"/>
        </w:rPr>
      </w:pPr>
      <w:r>
        <w:rPr>
          <w:rFonts w:ascii="Arial" w:cs="Arial" w:eastAsia="Arial" w:hAnsi="Arial"/>
          <w:sz w:val="18"/>
          <w:szCs w:val="18"/>
          <w:color w:val="auto"/>
        </w:rPr>
        <w:t>Goodwill is not amortized, but is tested for impairment at least annually. Estimating the fair value of reporting units requires the use of estimates and significant judgments that are based on a number of factors including expected future operating results. It is possible that these judgments and estimates could change in future periods.</w:t>
      </w:r>
    </w:p>
    <w:p>
      <w:pPr>
        <w:spacing w:after="0" w:line="95" w:lineRule="exact"/>
        <w:rPr>
          <w:sz w:val="20"/>
          <w:szCs w:val="20"/>
          <w:color w:val="auto"/>
        </w:rPr>
      </w:pPr>
    </w:p>
    <w:p>
      <w:pPr>
        <w:jc w:val="both"/>
        <w:ind w:right="240" w:firstLine="378"/>
        <w:spacing w:after="0"/>
        <w:rPr>
          <w:sz w:val="20"/>
          <w:szCs w:val="20"/>
          <w:color w:val="auto"/>
        </w:rPr>
      </w:pPr>
      <w:r>
        <w:rPr>
          <w:rFonts w:ascii="Arial" w:cs="Arial" w:eastAsia="Arial" w:hAnsi="Arial"/>
          <w:sz w:val="18"/>
          <w:szCs w:val="18"/>
          <w:color w:val="auto"/>
        </w:rPr>
        <w:t>The determination of the fair value of intangible assets acquired in a business acquisition, including the Company’s acquisitions in 2019 and 2016, is subject to many estimates and assumptions. We review amortizable intangible asset groups for impairment whenever events or changes in circumstances indicate that the related carrying amounts may not be recoverable.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6" w:lineRule="exact"/>
        <w:rPr>
          <w:sz w:val="20"/>
          <w:szCs w:val="20"/>
          <w:color w:val="auto"/>
        </w:rPr>
      </w:pPr>
    </w:p>
    <w:p>
      <w:pPr>
        <w:ind w:right="40" w:firstLine="378"/>
        <w:spacing w:after="0" w:line="238" w:lineRule="auto"/>
        <w:rPr>
          <w:sz w:val="20"/>
          <w:szCs w:val="20"/>
          <w:color w:val="auto"/>
        </w:rPr>
      </w:pPr>
      <w:r>
        <w:rPr>
          <w:rFonts w:ascii="Arial" w:cs="Arial" w:eastAsia="Arial" w:hAnsi="Arial"/>
          <w:sz w:val="18"/>
          <w:szCs w:val="18"/>
          <w:color w:val="auto"/>
        </w:rPr>
        <w:t>This Form 10-K contains certain non-GAAP metrics,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95" w:lineRule="exact"/>
        <w:rPr>
          <w:sz w:val="20"/>
          <w:szCs w:val="20"/>
          <w:color w:val="auto"/>
        </w:rPr>
      </w:pPr>
    </w:p>
    <w:p>
      <w:pPr>
        <w:ind w:right="40" w:firstLine="378"/>
        <w:spacing w:after="0" w:line="239" w:lineRule="auto"/>
        <w:rPr>
          <w:sz w:val="20"/>
          <w:szCs w:val="20"/>
          <w:color w:val="auto"/>
        </w:rPr>
      </w:pPr>
      <w:r>
        <w:rPr>
          <w:rFonts w:ascii="Arial" w:cs="Arial" w:eastAsia="Arial" w:hAnsi="Arial"/>
          <w:sz w:val="18"/>
          <w:szCs w:val="18"/>
          <w:color w:val="auto"/>
        </w:rPr>
        <w:t>Presenting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used, among other things, to analyze and compare core profitability between companies and industries because it eliminates effects due to differences in financing, asset bases and taxes. An understanding of the impact in a particular period of specific restructuring costs, acquisition and related retention agreement expenses,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periods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EBITDA, Adjusted EBITDA, and Adjusted earnings per share are performance measures that relate to the Company’s continuing operations.</w:t>
      </w:r>
    </w:p>
    <w:p>
      <w:pPr>
        <w:spacing w:after="0" w:line="180" w:lineRule="exact"/>
        <w:rPr>
          <w:sz w:val="20"/>
          <w:szCs w:val="20"/>
          <w:color w:val="auto"/>
        </w:rPr>
      </w:pPr>
    </w:p>
    <w:p>
      <w:pPr>
        <w:ind w:right="80" w:firstLine="378"/>
        <w:spacing w:after="0" w:line="236"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inventory write-offs associated with discontinued businesses, adding charges and credits related to pension plan settlements and curtailments; adding (or subtracting) revaluation losses (or gains); subtracting (or adding) gains (or losses) from the sale of buildings or investments; subtracting insurance recovery gains in excess of previously recorded losses; adding acquisition and related retention agreement expenses and subtracting (or adding) Income (or loss) attributable to the non-controlling interest in Albany Safran Composites (ASC). Adjusted earnings per share is calculated by adding to (or subtracting from) net income attributable to the Company per share, on an after-tax basis: restructuring charges; inventory write-offs associated with discontinued businesses; pension settlements/curtailments; the effect of changes in the income tax rate; foreign currency revaluation losses (or gains); acquisition-related expenses; and losses (or gains) from the sale of investments.</w:t>
      </w:r>
    </w:p>
    <w:p>
      <w:pPr>
        <w:spacing w:after="0" w:line="98" w:lineRule="exact"/>
        <w:rPr>
          <w:sz w:val="20"/>
          <w:szCs w:val="20"/>
          <w:color w:val="auto"/>
        </w:rPr>
      </w:pPr>
    </w:p>
    <w:p>
      <w:pPr>
        <w:ind w:right="60" w:firstLine="378"/>
        <w:spacing w:after="0"/>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Consolidated results</w:t>
            </w:r>
          </w:p>
        </w:tc>
        <w:tc>
          <w:tcPr>
            <w:tcW w:w="1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bottom w:val="single" w:sz="8" w:color="auto"/>
            </w:tcBorders>
          </w:tcPr>
          <w:p>
            <w:pPr>
              <w:spacing w:after="0"/>
              <w:rPr>
                <w:sz w:val="15"/>
                <w:szCs w:val="15"/>
                <w:color w:val="auto"/>
              </w:rPr>
            </w:pPr>
          </w:p>
        </w:tc>
      </w:tr>
      <w:tr>
        <w:trPr>
          <w:trHeight w:val="169"/>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1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r>
      <w:tr>
        <w:trPr>
          <w:trHeight w:val="173"/>
        </w:trPr>
        <w:tc>
          <w:tcPr>
            <w:tcW w:w="20" w:type="dxa"/>
            <w:vAlign w:val="bottom"/>
          </w:tcPr>
          <w:p>
            <w:pPr>
              <w:spacing w:after="0"/>
              <w:rPr>
                <w:sz w:val="15"/>
                <w:szCs w:val="15"/>
                <w:color w:val="auto"/>
              </w:rPr>
            </w:pPr>
          </w:p>
        </w:tc>
        <w:tc>
          <w:tcPr>
            <w:tcW w:w="696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Operating income (GAAP)</w:t>
            </w:r>
          </w:p>
        </w:tc>
        <w:tc>
          <w:tcPr>
            <w:tcW w:w="340" w:type="dxa"/>
            <w:vAlign w:val="bottom"/>
          </w:tcPr>
          <w:p>
            <w:pPr>
              <w:spacing w:after="0"/>
              <w:rPr>
                <w:sz w:val="15"/>
                <w:szCs w:val="15"/>
                <w:color w:val="auto"/>
              </w:rPr>
            </w:pPr>
          </w:p>
        </w:tc>
        <w:tc>
          <w:tcPr>
            <w:tcW w:w="11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$193,576</w:t>
            </w:r>
          </w:p>
        </w:tc>
        <w:tc>
          <w:tcPr>
            <w:tcW w:w="34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$137,408</w:t>
            </w:r>
          </w:p>
        </w:tc>
        <w:tc>
          <w:tcPr>
            <w:tcW w:w="340" w:type="dxa"/>
            <w:vAlign w:val="bottom"/>
          </w:tcPr>
          <w:p>
            <w:pPr>
              <w:spacing w:after="0"/>
              <w:rPr>
                <w:sz w:val="15"/>
                <w:szCs w:val="15"/>
                <w:color w:val="auto"/>
              </w:rPr>
            </w:pPr>
          </w:p>
        </w:tc>
        <w:tc>
          <w:tcPr>
            <w:tcW w:w="1140" w:type="dxa"/>
            <w:vAlign w:val="bottom"/>
            <w:tcBorders>
              <w:top w:val="single" w:sz="8" w:color="auto"/>
            </w:tcBorders>
          </w:tcPr>
          <w:p>
            <w:pPr>
              <w:jc w:val="right"/>
              <w:ind w:right="111"/>
              <w:spacing w:after="0" w:line="173" w:lineRule="exact"/>
              <w:rPr>
                <w:sz w:val="20"/>
                <w:szCs w:val="20"/>
                <w:color w:val="auto"/>
              </w:rPr>
            </w:pPr>
            <w:r>
              <w:rPr>
                <w:rFonts w:ascii="Arial" w:cs="Arial" w:eastAsia="Arial" w:hAnsi="Arial"/>
                <w:sz w:val="18"/>
                <w:szCs w:val="18"/>
                <w:color w:val="auto"/>
              </w:rPr>
              <w:t>$ 78,676</w:t>
            </w:r>
          </w:p>
        </w:tc>
      </w:tr>
      <w:tr>
        <w:trPr>
          <w:trHeight w:val="225"/>
        </w:trPr>
        <w:tc>
          <w:tcPr>
            <w:tcW w:w="7320" w:type="dxa"/>
            <w:vAlign w:val="bottom"/>
            <w:gridSpan w:val="3"/>
          </w:tcPr>
          <w:p>
            <w:pPr>
              <w:spacing w:after="0"/>
              <w:rPr>
                <w:sz w:val="20"/>
                <w:szCs w:val="20"/>
                <w:color w:val="auto"/>
              </w:rPr>
            </w:pPr>
            <w:r>
              <w:rPr>
                <w:rFonts w:ascii="Arial" w:cs="Arial" w:eastAsia="Arial" w:hAnsi="Arial"/>
                <w:sz w:val="18"/>
                <w:szCs w:val="18"/>
                <w:color w:val="auto"/>
              </w:rPr>
              <w:t>Interest, taxes, other income/(expense)</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(60,193)</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(54,389)</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(46,091)</w:t>
            </w:r>
          </w:p>
        </w:tc>
      </w:tr>
      <w:tr>
        <w:trPr>
          <w:trHeight w:val="173"/>
        </w:trPr>
        <w:tc>
          <w:tcPr>
            <w:tcW w:w="7320" w:type="dxa"/>
            <w:vAlign w:val="bottom"/>
            <w:gridSpan w:val="3"/>
          </w:tcPr>
          <w:p>
            <w:pPr>
              <w:spacing w:after="0" w:line="173" w:lineRule="exact"/>
              <w:rPr>
                <w:sz w:val="20"/>
                <w:szCs w:val="20"/>
                <w:color w:val="auto"/>
              </w:rPr>
            </w:pPr>
            <w:r>
              <w:rPr>
                <w:rFonts w:ascii="Arial" w:cs="Arial" w:eastAsia="Arial" w:hAnsi="Arial"/>
                <w:sz w:val="18"/>
                <w:szCs w:val="18"/>
                <w:color w:val="auto"/>
              </w:rPr>
              <w:t>Net income (GAAP)</w:t>
            </w:r>
          </w:p>
        </w:tc>
        <w:tc>
          <w:tcPr>
            <w:tcW w:w="1160" w:type="dxa"/>
            <w:vAlign w:val="bottom"/>
          </w:tcPr>
          <w:p>
            <w:pPr>
              <w:jc w:val="right"/>
              <w:ind w:right="131"/>
              <w:spacing w:after="0" w:line="173" w:lineRule="exact"/>
              <w:rPr>
                <w:sz w:val="20"/>
                <w:szCs w:val="20"/>
                <w:color w:val="auto"/>
              </w:rPr>
            </w:pPr>
            <w:r>
              <w:rPr>
                <w:rFonts w:ascii="Arial" w:cs="Arial" w:eastAsia="Arial" w:hAnsi="Arial"/>
                <w:sz w:val="18"/>
                <w:szCs w:val="18"/>
                <w:b w:val="1"/>
                <w:bCs w:val="1"/>
                <w:color w:val="auto"/>
              </w:rPr>
              <w:t>133,383</w:t>
            </w:r>
          </w:p>
        </w:tc>
        <w:tc>
          <w:tcPr>
            <w:tcW w:w="340" w:type="dxa"/>
            <w:vAlign w:val="bottom"/>
          </w:tcPr>
          <w:p>
            <w:pPr>
              <w:spacing w:after="0"/>
              <w:rPr>
                <w:sz w:val="15"/>
                <w:szCs w:val="15"/>
                <w:color w:val="auto"/>
              </w:rPr>
            </w:pPr>
          </w:p>
        </w:tc>
        <w:tc>
          <w:tcPr>
            <w:tcW w:w="1120" w:type="dxa"/>
            <w:vAlign w:val="bottom"/>
          </w:tcPr>
          <w:p>
            <w:pPr>
              <w:jc w:val="right"/>
              <w:ind w:right="112"/>
              <w:spacing w:after="0" w:line="173" w:lineRule="exact"/>
              <w:rPr>
                <w:sz w:val="20"/>
                <w:szCs w:val="20"/>
                <w:color w:val="auto"/>
              </w:rPr>
            </w:pPr>
            <w:r>
              <w:rPr>
                <w:rFonts w:ascii="Arial" w:cs="Arial" w:eastAsia="Arial" w:hAnsi="Arial"/>
                <w:sz w:val="18"/>
                <w:szCs w:val="18"/>
                <w:color w:val="auto"/>
              </w:rPr>
              <w:t>83,019</w:t>
            </w:r>
          </w:p>
        </w:tc>
        <w:tc>
          <w:tcPr>
            <w:tcW w:w="340" w:type="dxa"/>
            <w:vAlign w:val="bottom"/>
          </w:tcPr>
          <w:p>
            <w:pPr>
              <w:spacing w:after="0"/>
              <w:rPr>
                <w:sz w:val="15"/>
                <w:szCs w:val="15"/>
                <w:color w:val="auto"/>
              </w:rPr>
            </w:pPr>
          </w:p>
        </w:tc>
        <w:tc>
          <w:tcPr>
            <w:tcW w:w="1140" w:type="dxa"/>
            <w:vAlign w:val="bottom"/>
          </w:tcPr>
          <w:p>
            <w:pPr>
              <w:jc w:val="right"/>
              <w:ind w:right="111"/>
              <w:spacing w:after="0" w:line="173" w:lineRule="exact"/>
              <w:rPr>
                <w:sz w:val="20"/>
                <w:szCs w:val="20"/>
                <w:color w:val="auto"/>
              </w:rPr>
            </w:pPr>
            <w:r>
              <w:rPr>
                <w:rFonts w:ascii="Arial" w:cs="Arial" w:eastAsia="Arial" w:hAnsi="Arial"/>
                <w:sz w:val="18"/>
                <w:szCs w:val="18"/>
                <w:color w:val="auto"/>
              </w:rPr>
              <w:t>32,585</w:t>
            </w: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 net</w:t>
            </w:r>
          </w:p>
        </w:tc>
        <w:tc>
          <w:tcPr>
            <w:tcW w:w="116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16,921</w:t>
            </w:r>
          </w:p>
        </w:tc>
        <w:tc>
          <w:tcPr>
            <w:tcW w:w="340" w:type="dxa"/>
            <w:vAlign w:val="bottom"/>
          </w:tcPr>
          <w:p>
            <w:pPr>
              <w:spacing w:after="0"/>
              <w:rPr>
                <w:sz w:val="17"/>
                <w:szCs w:val="17"/>
                <w:color w:val="auto"/>
              </w:rPr>
            </w:pPr>
          </w:p>
        </w:tc>
        <w:tc>
          <w:tcPr>
            <w:tcW w:w="11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18,124</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17,091</w:t>
            </w: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Income tax expense</w:t>
            </w:r>
          </w:p>
        </w:tc>
        <w:tc>
          <w:tcPr>
            <w:tcW w:w="116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44,829</w:t>
            </w:r>
          </w:p>
        </w:tc>
        <w:tc>
          <w:tcPr>
            <w:tcW w:w="340" w:type="dxa"/>
            <w:vAlign w:val="bottom"/>
          </w:tcPr>
          <w:p>
            <w:pPr>
              <w:spacing w:after="0"/>
              <w:rPr>
                <w:sz w:val="17"/>
                <w:szCs w:val="17"/>
                <w:color w:val="auto"/>
              </w:rPr>
            </w:pPr>
          </w:p>
        </w:tc>
        <w:tc>
          <w:tcPr>
            <w:tcW w:w="11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32,228</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22,123</w:t>
            </w:r>
          </w:p>
        </w:tc>
      </w:tr>
      <w:tr>
        <w:trPr>
          <w:trHeight w:val="225"/>
        </w:trPr>
        <w:tc>
          <w:tcPr>
            <w:tcW w:w="7320" w:type="dxa"/>
            <w:vAlign w:val="bottom"/>
            <w:gridSpan w:val="3"/>
          </w:tcPr>
          <w:p>
            <w:pPr>
              <w:spacing w:after="0"/>
              <w:rPr>
                <w:sz w:val="20"/>
                <w:szCs w:val="20"/>
                <w:color w:val="auto"/>
              </w:rPr>
            </w:pPr>
            <w:r>
              <w:rPr>
                <w:rFonts w:ascii="Arial" w:cs="Arial" w:eastAsia="Arial" w:hAnsi="Arial"/>
                <w:sz w:val="18"/>
                <w:szCs w:val="18"/>
                <w:color w:val="auto"/>
              </w:rPr>
              <w:t>Depreciation and amortization expense</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70,795</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79,036</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71,956</w:t>
            </w:r>
          </w:p>
        </w:tc>
      </w:tr>
      <w:tr>
        <w:trPr>
          <w:trHeight w:val="173"/>
        </w:trPr>
        <w:tc>
          <w:tcPr>
            <w:tcW w:w="7320" w:type="dxa"/>
            <w:vAlign w:val="bottom"/>
            <w:gridSpan w:val="3"/>
          </w:tcPr>
          <w:p>
            <w:pPr>
              <w:spacing w:after="0" w:line="173" w:lineRule="exact"/>
              <w:rPr>
                <w:sz w:val="20"/>
                <w:szCs w:val="20"/>
                <w:color w:val="auto"/>
              </w:rPr>
            </w:pPr>
            <w:r>
              <w:rPr>
                <w:rFonts w:ascii="Arial" w:cs="Arial" w:eastAsia="Arial" w:hAnsi="Arial"/>
                <w:sz w:val="18"/>
                <w:szCs w:val="18"/>
                <w:color w:val="auto"/>
              </w:rPr>
              <w:t>EBITDA (non-GAAP)</w:t>
            </w:r>
          </w:p>
        </w:tc>
        <w:tc>
          <w:tcPr>
            <w:tcW w:w="1160" w:type="dxa"/>
            <w:vAlign w:val="bottom"/>
          </w:tcPr>
          <w:p>
            <w:pPr>
              <w:jc w:val="right"/>
              <w:ind w:right="131"/>
              <w:spacing w:after="0" w:line="173" w:lineRule="exact"/>
              <w:rPr>
                <w:sz w:val="20"/>
                <w:szCs w:val="20"/>
                <w:color w:val="auto"/>
              </w:rPr>
            </w:pPr>
            <w:r>
              <w:rPr>
                <w:rFonts w:ascii="Arial" w:cs="Arial" w:eastAsia="Arial" w:hAnsi="Arial"/>
                <w:sz w:val="18"/>
                <w:szCs w:val="18"/>
                <w:b w:val="1"/>
                <w:bCs w:val="1"/>
                <w:color w:val="auto"/>
              </w:rPr>
              <w:t>265,928</w:t>
            </w:r>
          </w:p>
        </w:tc>
        <w:tc>
          <w:tcPr>
            <w:tcW w:w="340" w:type="dxa"/>
            <w:vAlign w:val="bottom"/>
          </w:tcPr>
          <w:p>
            <w:pPr>
              <w:spacing w:after="0"/>
              <w:rPr>
                <w:sz w:val="15"/>
                <w:szCs w:val="15"/>
                <w:color w:val="auto"/>
              </w:rPr>
            </w:pPr>
          </w:p>
        </w:tc>
        <w:tc>
          <w:tcPr>
            <w:tcW w:w="1120" w:type="dxa"/>
            <w:vAlign w:val="bottom"/>
          </w:tcPr>
          <w:p>
            <w:pPr>
              <w:jc w:val="right"/>
              <w:ind w:right="112"/>
              <w:spacing w:after="0" w:line="173" w:lineRule="exact"/>
              <w:rPr>
                <w:sz w:val="20"/>
                <w:szCs w:val="20"/>
                <w:color w:val="auto"/>
              </w:rPr>
            </w:pPr>
            <w:r>
              <w:rPr>
                <w:rFonts w:ascii="Arial" w:cs="Arial" w:eastAsia="Arial" w:hAnsi="Arial"/>
                <w:sz w:val="18"/>
                <w:szCs w:val="18"/>
                <w:color w:val="auto"/>
              </w:rPr>
              <w:t>212,407</w:t>
            </w:r>
          </w:p>
        </w:tc>
        <w:tc>
          <w:tcPr>
            <w:tcW w:w="340" w:type="dxa"/>
            <w:vAlign w:val="bottom"/>
          </w:tcPr>
          <w:p>
            <w:pPr>
              <w:spacing w:after="0"/>
              <w:rPr>
                <w:sz w:val="15"/>
                <w:szCs w:val="15"/>
                <w:color w:val="auto"/>
              </w:rPr>
            </w:pPr>
          </w:p>
        </w:tc>
        <w:tc>
          <w:tcPr>
            <w:tcW w:w="1140" w:type="dxa"/>
            <w:vAlign w:val="bottom"/>
          </w:tcPr>
          <w:p>
            <w:pPr>
              <w:jc w:val="right"/>
              <w:ind w:right="111"/>
              <w:spacing w:after="0" w:line="173" w:lineRule="exact"/>
              <w:rPr>
                <w:sz w:val="20"/>
                <w:szCs w:val="20"/>
                <w:color w:val="auto"/>
              </w:rPr>
            </w:pPr>
            <w:r>
              <w:rPr>
                <w:rFonts w:ascii="Arial" w:cs="Arial" w:eastAsia="Arial" w:hAnsi="Arial"/>
                <w:sz w:val="18"/>
                <w:szCs w:val="18"/>
                <w:color w:val="auto"/>
              </w:rPr>
              <w:t>143,755</w:t>
            </w: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Restructuring expenses, net</w:t>
            </w:r>
          </w:p>
        </w:tc>
        <w:tc>
          <w:tcPr>
            <w:tcW w:w="116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2,905</w:t>
            </w:r>
          </w:p>
        </w:tc>
        <w:tc>
          <w:tcPr>
            <w:tcW w:w="340" w:type="dxa"/>
            <w:vAlign w:val="bottom"/>
          </w:tcPr>
          <w:p>
            <w:pPr>
              <w:spacing w:after="0"/>
              <w:rPr>
                <w:sz w:val="17"/>
                <w:szCs w:val="17"/>
                <w:color w:val="auto"/>
              </w:rPr>
            </w:pPr>
          </w:p>
        </w:tc>
        <w:tc>
          <w:tcPr>
            <w:tcW w:w="11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15,570</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13,491</w:t>
            </w: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16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(3,190)</w:t>
            </w:r>
          </w:p>
        </w:tc>
        <w:tc>
          <w:tcPr>
            <w:tcW w:w="340" w:type="dxa"/>
            <w:vAlign w:val="bottom"/>
          </w:tcPr>
          <w:p>
            <w:pPr>
              <w:spacing w:after="0"/>
              <w:rPr>
                <w:sz w:val="17"/>
                <w:szCs w:val="17"/>
                <w:color w:val="auto"/>
              </w:rPr>
            </w:pP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(341)</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8,761</w:t>
            </w: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Pension settlement/curtailment expense</w:t>
            </w:r>
          </w:p>
        </w:tc>
        <w:tc>
          <w:tcPr>
            <w:tcW w:w="116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478</w:t>
            </w:r>
          </w:p>
        </w:tc>
        <w:tc>
          <w:tcPr>
            <w:tcW w:w="340" w:type="dxa"/>
            <w:vAlign w:val="bottom"/>
          </w:tcPr>
          <w:p>
            <w:pPr>
              <w:spacing w:after="0"/>
              <w:rPr>
                <w:sz w:val="17"/>
                <w:szCs w:val="17"/>
                <w:color w:val="auto"/>
              </w:rPr>
            </w:pPr>
          </w:p>
        </w:tc>
        <w:tc>
          <w:tcPr>
            <w:tcW w:w="11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1,494</w:t>
            </w:r>
          </w:p>
        </w:tc>
        <w:tc>
          <w:tcPr>
            <w:tcW w:w="340" w:type="dxa"/>
            <w:vAlign w:val="bottom"/>
          </w:tcPr>
          <w:p>
            <w:pPr>
              <w:spacing w:after="0"/>
              <w:rPr>
                <w:sz w:val="17"/>
                <w:szCs w:val="17"/>
                <w:color w:val="auto"/>
              </w:rPr>
            </w:pP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Acquisition expenses</w:t>
            </w:r>
          </w:p>
        </w:tc>
        <w:tc>
          <w:tcPr>
            <w:tcW w:w="116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501</w:t>
            </w:r>
          </w:p>
        </w:tc>
        <w:tc>
          <w:tcPr>
            <w:tcW w:w="340" w:type="dxa"/>
            <w:vAlign w:val="bottom"/>
          </w:tcPr>
          <w:p>
            <w:pPr>
              <w:spacing w:after="0"/>
              <w:rPr>
                <w:sz w:val="17"/>
                <w:szCs w:val="17"/>
                <w:color w:val="auto"/>
              </w:rPr>
            </w:pPr>
          </w:p>
        </w:tc>
        <w:tc>
          <w:tcPr>
            <w:tcW w:w="14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Retention agreement expense</w:t>
            </w:r>
          </w:p>
        </w:tc>
        <w:tc>
          <w:tcPr>
            <w:tcW w:w="116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17"/>
                <w:szCs w:val="17"/>
                <w:color w:val="auto"/>
              </w:rPr>
            </w:pPr>
          </w:p>
        </w:tc>
        <w:tc>
          <w:tcPr>
            <w:tcW w:w="14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Write-off of inventory in a discontinued product line</w:t>
            </w:r>
          </w:p>
        </w:tc>
        <w:tc>
          <w:tcPr>
            <w:tcW w:w="150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2,800</w:t>
            </w:r>
          </w:p>
        </w:tc>
      </w:tr>
      <w:tr>
        <w:trPr>
          <w:trHeight w:val="225"/>
        </w:trPr>
        <w:tc>
          <w:tcPr>
            <w:tcW w:w="7320" w:type="dxa"/>
            <w:vAlign w:val="bottom"/>
            <w:gridSpan w:val="3"/>
          </w:tcPr>
          <w:p>
            <w:pPr>
              <w:spacing w:after="0"/>
              <w:rPr>
                <w:sz w:val="20"/>
                <w:szCs w:val="20"/>
                <w:color w:val="auto"/>
              </w:rPr>
            </w:pPr>
            <w:r>
              <w:rPr>
                <w:rFonts w:ascii="Arial" w:cs="Arial" w:eastAsia="Arial" w:hAnsi="Arial"/>
                <w:sz w:val="18"/>
                <w:szCs w:val="18"/>
                <w:color w:val="auto"/>
              </w:rPr>
              <w:t>Pre-tax (income)/loss attributable to noncontrolling interest in ASC</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(1,308)</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567</w:t>
            </w:r>
          </w:p>
        </w:tc>
      </w:tr>
      <w:tr>
        <w:trPr>
          <w:trHeight w:val="196"/>
        </w:trPr>
        <w:tc>
          <w:tcPr>
            <w:tcW w:w="7320" w:type="dxa"/>
            <w:vAlign w:val="bottom"/>
            <w:gridSpan w:val="3"/>
          </w:tcPr>
          <w:p>
            <w:pPr>
              <w:spacing w:after="0" w:line="196" w:lineRule="exact"/>
              <w:rPr>
                <w:sz w:val="20"/>
                <w:szCs w:val="20"/>
                <w:color w:val="auto"/>
              </w:rPr>
            </w:pPr>
            <w:r>
              <w:rPr>
                <w:rFonts w:ascii="Arial" w:cs="Arial" w:eastAsia="Arial" w:hAnsi="Arial"/>
                <w:sz w:val="18"/>
                <w:szCs w:val="18"/>
                <w:color w:val="auto"/>
              </w:rPr>
              <w:t>Adjusted EBITDA (non-GAAP)</w:t>
            </w:r>
          </w:p>
        </w:tc>
        <w:tc>
          <w:tcPr>
            <w:tcW w:w="11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$265,434</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$228,933</w:t>
            </w:r>
          </w:p>
        </w:tc>
        <w:tc>
          <w:tcPr>
            <w:tcW w:w="340" w:type="dxa"/>
            <w:vAlign w:val="bottom"/>
          </w:tcPr>
          <w:p>
            <w:pPr>
              <w:spacing w:after="0"/>
              <w:rPr>
                <w:sz w:val="17"/>
                <w:szCs w:val="17"/>
                <w:color w:val="auto"/>
              </w:rPr>
            </w:pPr>
          </w:p>
        </w:tc>
        <w:tc>
          <w:tcPr>
            <w:tcW w:w="114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$169,374</w:t>
            </w: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92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center"/>
              <w:ind w:right="600"/>
              <w:spacing w:after="0" w:line="143" w:lineRule="exact"/>
              <w:rPr>
                <w:sz w:val="20"/>
                <w:szCs w:val="20"/>
                <w:color w:val="auto"/>
              </w:rPr>
            </w:pPr>
            <w:r>
              <w:rPr>
                <w:rFonts w:ascii="Arial" w:cs="Arial" w:eastAsia="Arial" w:hAnsi="Arial"/>
                <w:sz w:val="14"/>
                <w:szCs w:val="14"/>
                <w:b w:val="1"/>
                <w:bCs w:val="1"/>
                <w:color w:val="auto"/>
              </w:rPr>
              <w:t>Corporate</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Albany Engineered</w:t>
            </w: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rPr>
              <w:t>expenses and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Machine Clothing</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Composites</w:t>
            </w:r>
          </w:p>
        </w:tc>
        <w:tc>
          <w:tcPr>
            <w:tcW w:w="260" w:type="dxa"/>
            <w:vAlign w:val="bottom"/>
          </w:tcPr>
          <w:p>
            <w:pPr>
              <w:spacing w:after="0"/>
              <w:rPr>
                <w:sz w:val="15"/>
                <w:szCs w:val="15"/>
                <w:color w:val="auto"/>
              </w:rPr>
            </w:pPr>
          </w:p>
        </w:tc>
        <w:tc>
          <w:tcPr>
            <w:tcW w:w="13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Borders>
              <w:top w:val="single" w:sz="8" w:color="auto"/>
            </w:tcBorders>
            <w:gridSpan w:val="3"/>
          </w:tcPr>
          <w:p>
            <w:pPr>
              <w:spacing w:after="0" w:line="173" w:lineRule="exact"/>
              <w:rPr>
                <w:sz w:val="20"/>
                <w:szCs w:val="20"/>
                <w:color w:val="auto"/>
              </w:rPr>
            </w:pPr>
            <w:r>
              <w:rPr>
                <w:rFonts w:ascii="Arial" w:cs="Arial" w:eastAsia="Arial" w:hAnsi="Arial"/>
                <w:sz w:val="18"/>
                <w:szCs w:val="18"/>
                <w:color w:val="auto"/>
              </w:rPr>
              <w:t>Operating income/(loss) (GAAP)</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top w:val="single" w:sz="8" w:color="auto"/>
            </w:tcBorders>
            <w:gridSpan w:val="2"/>
          </w:tcPr>
          <w:p>
            <w:pPr>
              <w:jc w:val="center"/>
              <w:spacing w:after="0" w:line="173" w:lineRule="exact"/>
              <w:rPr>
                <w:sz w:val="20"/>
                <w:szCs w:val="20"/>
                <w:color w:val="auto"/>
              </w:rPr>
            </w:pPr>
            <w:r>
              <w:rPr>
                <w:rFonts w:ascii="Arial" w:cs="Arial" w:eastAsia="Arial" w:hAnsi="Arial"/>
                <w:sz w:val="18"/>
                <w:szCs w:val="18"/>
                <w:b w:val="1"/>
                <w:bCs w:val="1"/>
                <w:color w:val="auto"/>
                <w:w w:val="98"/>
              </w:rPr>
              <w:t>$191,965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jc w:val="right"/>
              <w:ind w:right="55"/>
              <w:spacing w:after="0" w:line="173" w:lineRule="exact"/>
              <w:rPr>
                <w:sz w:val="20"/>
                <w:szCs w:val="20"/>
                <w:color w:val="auto"/>
              </w:rPr>
            </w:pPr>
            <w:r>
              <w:rPr>
                <w:rFonts w:ascii="Arial" w:cs="Arial" w:eastAsia="Arial" w:hAnsi="Arial"/>
                <w:sz w:val="18"/>
                <w:szCs w:val="18"/>
                <w:b w:val="1"/>
                <w:bCs w:val="1"/>
                <w:color w:val="auto"/>
              </w:rPr>
              <w:t>$ 55,520</w:t>
            </w: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ind w:left="160"/>
              <w:spacing w:after="0" w:line="173"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(53,909)</w:t>
            </w:r>
          </w:p>
        </w:tc>
        <w:tc>
          <w:tcPr>
            <w:tcW w:w="1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$193,576</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20" w:type="dxa"/>
            <w:vAlign w:val="bottom"/>
            <w:gridSpan w:val="4"/>
          </w:tcPr>
          <w:p>
            <w:pPr>
              <w:spacing w:after="0"/>
              <w:rPr>
                <w:sz w:val="20"/>
                <w:szCs w:val="20"/>
                <w:color w:val="auto"/>
              </w:rPr>
            </w:pPr>
            <w:r>
              <w:rPr>
                <w:rFonts w:ascii="Arial" w:cs="Arial" w:eastAsia="Arial" w:hAnsi="Arial"/>
                <w:sz w:val="18"/>
                <w:szCs w:val="18"/>
                <w:color w:val="auto"/>
              </w:rPr>
              <w:t>Interest, taxes, other income/(expense)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4"/>
          </w:tcPr>
          <w:p>
            <w:pPr>
              <w:ind w:left="8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(60,193)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920" w:type="dxa"/>
            <w:vAlign w:val="bottom"/>
            <w:gridSpan w:val="4"/>
          </w:tcPr>
          <w:p>
            <w:pPr>
              <w:spacing w:after="0" w:line="173" w:lineRule="exact"/>
              <w:rPr>
                <w:sz w:val="20"/>
                <w:szCs w:val="20"/>
                <w:color w:val="auto"/>
              </w:rPr>
            </w:pPr>
            <w:r>
              <w:rPr>
                <w:rFonts w:ascii="Arial" w:cs="Arial" w:eastAsia="Arial" w:hAnsi="Arial"/>
                <w:sz w:val="18"/>
                <w:szCs w:val="18"/>
                <w:color w:val="auto"/>
              </w:rPr>
              <w:t>Net income/(loss) (GAAP)</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top w:val="single" w:sz="8" w:color="auto"/>
            </w:tcBorders>
            <w:gridSpan w:val="2"/>
          </w:tcPr>
          <w:p>
            <w:pPr>
              <w:jc w:val="right"/>
              <w:ind w:right="260"/>
              <w:spacing w:after="0" w:line="173" w:lineRule="exact"/>
              <w:rPr>
                <w:sz w:val="20"/>
                <w:szCs w:val="20"/>
                <w:color w:val="auto"/>
              </w:rPr>
            </w:pPr>
            <w:r>
              <w:rPr>
                <w:rFonts w:ascii="Arial" w:cs="Arial" w:eastAsia="Arial" w:hAnsi="Arial"/>
                <w:sz w:val="18"/>
                <w:szCs w:val="18"/>
                <w:b w:val="1"/>
                <w:bCs w:val="1"/>
                <w:color w:val="auto"/>
              </w:rPr>
              <w:t>191,965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jc w:val="right"/>
              <w:ind w:right="55"/>
              <w:spacing w:after="0" w:line="173" w:lineRule="exact"/>
              <w:rPr>
                <w:sz w:val="20"/>
                <w:szCs w:val="20"/>
                <w:color w:val="auto"/>
              </w:rPr>
            </w:pPr>
            <w:r>
              <w:rPr>
                <w:rFonts w:ascii="Arial" w:cs="Arial" w:eastAsia="Arial" w:hAnsi="Arial"/>
                <w:sz w:val="18"/>
                <w:szCs w:val="18"/>
                <w:b w:val="1"/>
                <w:bCs w:val="1"/>
                <w:color w:val="auto"/>
              </w:rPr>
              <w:t>55,520</w:t>
            </w: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(114,102)</w:t>
            </w:r>
          </w:p>
        </w:tc>
        <w:tc>
          <w:tcPr>
            <w:tcW w:w="1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Borders>
              <w:top w:val="single" w:sz="8" w:color="auto"/>
            </w:tcBorders>
          </w:tcPr>
          <w:p>
            <w:pPr>
              <w:jc w:val="right"/>
              <w:ind w:right="32"/>
              <w:spacing w:after="0" w:line="173" w:lineRule="exact"/>
              <w:rPr>
                <w:sz w:val="20"/>
                <w:szCs w:val="20"/>
                <w:color w:val="auto"/>
              </w:rPr>
            </w:pPr>
            <w:r>
              <w:rPr>
                <w:rFonts w:ascii="Arial" w:cs="Arial" w:eastAsia="Arial" w:hAnsi="Arial"/>
                <w:sz w:val="18"/>
                <w:szCs w:val="18"/>
                <w:b w:val="1"/>
                <w:bCs w:val="1"/>
                <w:color w:val="auto"/>
              </w:rPr>
              <w:t>133,383</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16,921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16,921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44,829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44,829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20" w:type="dxa"/>
            <w:vAlign w:val="bottom"/>
            <w:gridSpan w:val="4"/>
          </w:tcPr>
          <w:p>
            <w:pPr>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21,876</w:t>
            </w:r>
          </w:p>
        </w:tc>
        <w:tc>
          <w:tcPr>
            <w:tcW w:w="1600" w:type="dxa"/>
            <w:vAlign w:val="bottom"/>
            <w:gridSpan w:val="3"/>
          </w:tcPr>
          <w:p>
            <w:pPr>
              <w:jc w:val="right"/>
              <w:ind w:right="55"/>
              <w:spacing w:after="0"/>
              <w:rPr>
                <w:sz w:val="20"/>
                <w:szCs w:val="20"/>
                <w:color w:val="auto"/>
              </w:rPr>
            </w:pPr>
            <w:r>
              <w:rPr>
                <w:rFonts w:ascii="Arial" w:cs="Arial" w:eastAsia="Arial" w:hAnsi="Arial"/>
                <w:sz w:val="18"/>
                <w:szCs w:val="18"/>
                <w:b w:val="1"/>
                <w:bCs w:val="1"/>
                <w:color w:val="auto"/>
              </w:rPr>
              <w:t>44,670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4,249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70,795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920" w:type="dxa"/>
            <w:vAlign w:val="bottom"/>
            <w:gridSpan w:val="4"/>
          </w:tcPr>
          <w:p>
            <w:pPr>
              <w:spacing w:after="0" w:line="173" w:lineRule="exact"/>
              <w:rPr>
                <w:sz w:val="20"/>
                <w:szCs w:val="20"/>
                <w:color w:val="auto"/>
              </w:rPr>
            </w:pPr>
            <w:r>
              <w:rPr>
                <w:rFonts w:ascii="Arial" w:cs="Arial" w:eastAsia="Arial" w:hAnsi="Arial"/>
                <w:sz w:val="18"/>
                <w:szCs w:val="18"/>
                <w:color w:val="auto"/>
              </w:rPr>
              <w:t>EBITDA (non-GAAP)</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top w:val="single" w:sz="8" w:color="auto"/>
            </w:tcBorders>
            <w:gridSpan w:val="2"/>
          </w:tcPr>
          <w:p>
            <w:pPr>
              <w:jc w:val="right"/>
              <w:ind w:right="260"/>
              <w:spacing w:after="0" w:line="173" w:lineRule="exact"/>
              <w:rPr>
                <w:sz w:val="20"/>
                <w:szCs w:val="20"/>
                <w:color w:val="auto"/>
              </w:rPr>
            </w:pPr>
            <w:r>
              <w:rPr>
                <w:rFonts w:ascii="Arial" w:cs="Arial" w:eastAsia="Arial" w:hAnsi="Arial"/>
                <w:sz w:val="18"/>
                <w:szCs w:val="18"/>
                <w:b w:val="1"/>
                <w:bCs w:val="1"/>
                <w:color w:val="auto"/>
              </w:rPr>
              <w:t>213,841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jc w:val="right"/>
              <w:ind w:right="55"/>
              <w:spacing w:after="0" w:line="173" w:lineRule="exact"/>
              <w:rPr>
                <w:sz w:val="20"/>
                <w:szCs w:val="20"/>
                <w:color w:val="auto"/>
              </w:rPr>
            </w:pPr>
            <w:r>
              <w:rPr>
                <w:rFonts w:ascii="Arial" w:cs="Arial" w:eastAsia="Arial" w:hAnsi="Arial"/>
                <w:sz w:val="18"/>
                <w:szCs w:val="18"/>
                <w:b w:val="1"/>
                <w:bCs w:val="1"/>
                <w:color w:val="auto"/>
              </w:rPr>
              <w:t>100,190</w:t>
            </w: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(48,103)</w:t>
            </w:r>
          </w:p>
        </w:tc>
        <w:tc>
          <w:tcPr>
            <w:tcW w:w="1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Borders>
              <w:top w:val="single" w:sz="8" w:color="auto"/>
            </w:tcBorders>
          </w:tcPr>
          <w:p>
            <w:pPr>
              <w:jc w:val="right"/>
              <w:ind w:right="32"/>
              <w:spacing w:after="0" w:line="173" w:lineRule="exact"/>
              <w:rPr>
                <w:sz w:val="20"/>
                <w:szCs w:val="20"/>
                <w:color w:val="auto"/>
              </w:rPr>
            </w:pPr>
            <w:r>
              <w:rPr>
                <w:rFonts w:ascii="Arial" w:cs="Arial" w:eastAsia="Arial" w:hAnsi="Arial"/>
                <w:sz w:val="18"/>
                <w:szCs w:val="18"/>
                <w:b w:val="1"/>
                <w:bCs w:val="1"/>
                <w:color w:val="auto"/>
              </w:rPr>
              <w:t>265,928</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Restructuring expenses, net</w:t>
            </w:r>
          </w:p>
        </w:tc>
        <w:tc>
          <w:tcPr>
            <w:tcW w:w="1720" w:type="dxa"/>
            <w:vAlign w:val="bottom"/>
            <w:gridSpan w:val="4"/>
          </w:tcPr>
          <w:p>
            <w:pPr>
              <w:jc w:val="right"/>
              <w:ind w:right="260"/>
              <w:spacing w:after="0" w:line="202" w:lineRule="exact"/>
              <w:rPr>
                <w:sz w:val="20"/>
                <w:szCs w:val="20"/>
                <w:color w:val="auto"/>
              </w:rPr>
            </w:pPr>
            <w:r>
              <w:rPr>
                <w:rFonts w:ascii="Arial" w:cs="Arial" w:eastAsia="Arial" w:hAnsi="Arial"/>
                <w:sz w:val="18"/>
                <w:szCs w:val="18"/>
                <w:b w:val="1"/>
                <w:bCs w:val="1"/>
                <w:color w:val="auto"/>
              </w:rPr>
              <w:t>1,129</w:t>
            </w:r>
          </w:p>
        </w:tc>
        <w:tc>
          <w:tcPr>
            <w:tcW w:w="1600" w:type="dxa"/>
            <w:vAlign w:val="bottom"/>
            <w:gridSpan w:val="3"/>
          </w:tcPr>
          <w:p>
            <w:pPr>
              <w:jc w:val="right"/>
              <w:ind w:right="55"/>
              <w:spacing w:after="0" w:line="202" w:lineRule="exact"/>
              <w:rPr>
                <w:sz w:val="20"/>
                <w:szCs w:val="20"/>
                <w:color w:val="auto"/>
              </w:rPr>
            </w:pPr>
            <w:r>
              <w:rPr>
                <w:rFonts w:ascii="Arial" w:cs="Arial" w:eastAsia="Arial" w:hAnsi="Arial"/>
                <w:sz w:val="18"/>
                <w:szCs w:val="18"/>
                <w:b w:val="1"/>
                <w:bCs w:val="1"/>
                <w:color w:val="auto"/>
              </w:rPr>
              <w:t>1,833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2,905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720" w:type="dxa"/>
            <w:vAlign w:val="bottom"/>
            <w:gridSpan w:val="4"/>
          </w:tcPr>
          <w:p>
            <w:pPr>
              <w:jc w:val="right"/>
              <w:ind w:right="280"/>
              <w:spacing w:after="0" w:line="202" w:lineRule="exact"/>
              <w:rPr>
                <w:sz w:val="20"/>
                <w:szCs w:val="20"/>
                <w:color w:val="auto"/>
              </w:rPr>
            </w:pPr>
            <w:r>
              <w:rPr>
                <w:rFonts w:ascii="Arial" w:cs="Arial" w:eastAsia="Arial" w:hAnsi="Arial"/>
                <w:sz w:val="18"/>
                <w:szCs w:val="18"/>
                <w:b w:val="1"/>
                <w:bCs w:val="1"/>
                <w:color w:val="auto"/>
              </w:rPr>
              <w:t>630</w:t>
            </w:r>
          </w:p>
        </w:tc>
        <w:tc>
          <w:tcPr>
            <w:tcW w:w="1600" w:type="dxa"/>
            <w:vAlign w:val="bottom"/>
            <w:gridSpan w:val="3"/>
          </w:tcPr>
          <w:p>
            <w:pPr>
              <w:jc w:val="right"/>
              <w:ind w:right="75"/>
              <w:spacing w:after="0" w:line="202" w:lineRule="exact"/>
              <w:rPr>
                <w:sz w:val="20"/>
                <w:szCs w:val="20"/>
                <w:color w:val="auto"/>
              </w:rPr>
            </w:pPr>
            <w:r>
              <w:rPr>
                <w:rFonts w:ascii="Arial" w:cs="Arial" w:eastAsia="Arial" w:hAnsi="Arial"/>
                <w:sz w:val="18"/>
                <w:szCs w:val="18"/>
                <w:b w:val="1"/>
                <w:bCs w:val="1"/>
                <w:color w:val="auto"/>
              </w:rPr>
              <w:t>643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Pension curtailment expense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478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478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Acquisition expenses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gridSpan w:val="3"/>
          </w:tcPr>
          <w:p>
            <w:pPr>
              <w:jc w:val="right"/>
              <w:ind w:right="75"/>
              <w:spacing w:after="0" w:line="202" w:lineRule="exact"/>
              <w:rPr>
                <w:sz w:val="20"/>
                <w:szCs w:val="20"/>
                <w:color w:val="auto"/>
              </w:rPr>
            </w:pPr>
            <w:r>
              <w:rPr>
                <w:rFonts w:ascii="Arial" w:cs="Arial" w:eastAsia="Arial" w:hAnsi="Arial"/>
                <w:sz w:val="18"/>
                <w:szCs w:val="18"/>
                <w:b w:val="1"/>
                <w:bCs w:val="1"/>
                <w:color w:val="auto"/>
              </w:rPr>
              <w:t>301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20" w:type="dxa"/>
            <w:vAlign w:val="bottom"/>
            <w:gridSpan w:val="4"/>
          </w:tcPr>
          <w:p>
            <w:pPr>
              <w:spacing w:after="0"/>
              <w:rPr>
                <w:sz w:val="20"/>
                <w:szCs w:val="20"/>
                <w:color w:val="auto"/>
              </w:rPr>
            </w:pPr>
            <w:r>
              <w:rPr>
                <w:rFonts w:ascii="Arial" w:cs="Arial" w:eastAsia="Arial" w:hAnsi="Arial"/>
                <w:sz w:val="18"/>
                <w:szCs w:val="18"/>
                <w:color w:val="auto"/>
              </w:rPr>
              <w:t>Retention agreement expense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3"/>
          </w:tcPr>
          <w:p>
            <w:pPr>
              <w:jc w:val="right"/>
              <w:ind w:right="75"/>
              <w:spacing w:after="0"/>
              <w:rPr>
                <w:sz w:val="20"/>
                <w:szCs w:val="20"/>
                <w:color w:val="auto"/>
              </w:rPr>
            </w:pPr>
            <w:r>
              <w:rPr>
                <w:rFonts w:ascii="Arial" w:cs="Arial" w:eastAsia="Arial" w:hAnsi="Arial"/>
                <w:sz w:val="18"/>
                <w:szCs w:val="18"/>
                <w:b w:val="1"/>
                <w:bCs w:val="1"/>
                <w:color w:val="auto"/>
              </w:rPr>
              <w:t>120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Pre-tax (income) attributable to noncontrolling interest in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3"/>
            <w:vMerge w:val="restart"/>
          </w:tcPr>
          <w:p>
            <w:pPr>
              <w:jc w:val="right"/>
              <w:ind w:right="15"/>
              <w:spacing w:after="0"/>
              <w:rPr>
                <w:sz w:val="20"/>
                <w:szCs w:val="20"/>
                <w:color w:val="auto"/>
              </w:rPr>
            </w:pPr>
            <w:r>
              <w:rPr>
                <w:rFonts w:ascii="Arial" w:cs="Arial" w:eastAsia="Arial" w:hAnsi="Arial"/>
                <w:sz w:val="18"/>
                <w:szCs w:val="18"/>
                <w:b w:val="1"/>
                <w:bCs w:val="1"/>
                <w:color w:val="auto"/>
              </w:rPr>
              <w:t>(1,308)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vMerge w:val="restart"/>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3"/>
          </w:tcPr>
          <w:p>
            <w:pPr>
              <w:ind w:left="160"/>
              <w:spacing w:after="0" w:line="203" w:lineRule="exact"/>
              <w:rPr>
                <w:sz w:val="20"/>
                <w:szCs w:val="20"/>
                <w:color w:val="auto"/>
              </w:rPr>
            </w:pPr>
            <w:r>
              <w:rPr>
                <w:rFonts w:ascii="Arial" w:cs="Arial" w:eastAsia="Arial" w:hAnsi="Arial"/>
                <w:sz w:val="18"/>
                <w:szCs w:val="18"/>
                <w:color w:val="auto"/>
              </w:rPr>
              <w:t>ASC</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4"/>
          </w:tcPr>
          <w:p>
            <w:pPr>
              <w:spacing w:after="0" w:line="196" w:lineRule="exact"/>
              <w:rPr>
                <w:sz w:val="20"/>
                <w:szCs w:val="20"/>
                <w:color w:val="auto"/>
              </w:rPr>
            </w:pPr>
            <w:r>
              <w:rPr>
                <w:rFonts w:ascii="Arial" w:cs="Arial" w:eastAsia="Arial" w:hAnsi="Arial"/>
                <w:sz w:val="18"/>
                <w:szCs w:val="18"/>
                <w:color w:val="auto"/>
              </w:rPr>
              <w:t>Adjusted EBITDA (non-GAAP)</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8"/>
              </w:rPr>
              <w:t>$215,600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ind w:left="135"/>
              <w:spacing w:after="0" w:line="196" w:lineRule="exact"/>
              <w:rPr>
                <w:sz w:val="20"/>
                <w:szCs w:val="20"/>
                <w:color w:val="auto"/>
              </w:rPr>
            </w:pPr>
            <w:r>
              <w:rPr>
                <w:rFonts w:ascii="Arial" w:cs="Arial" w:eastAsia="Arial" w:hAnsi="Arial"/>
                <w:sz w:val="18"/>
                <w:szCs w:val="18"/>
                <w:b w:val="1"/>
                <w:bCs w:val="1"/>
                <w:color w:val="auto"/>
                <w:w w:val="98"/>
              </w:rPr>
              <w:t>$101,779</w:t>
            </w:r>
          </w:p>
        </w:tc>
        <w:tc>
          <w:tcPr>
            <w:tcW w:w="2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(51,945)</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$265,434</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center"/>
              <w:ind w:right="600"/>
              <w:spacing w:after="0" w:line="143" w:lineRule="exact"/>
              <w:rPr>
                <w:sz w:val="20"/>
                <w:szCs w:val="20"/>
                <w:color w:val="auto"/>
              </w:rPr>
            </w:pPr>
            <w:r>
              <w:rPr>
                <w:rFonts w:ascii="Arial" w:cs="Arial" w:eastAsia="Arial" w:hAnsi="Arial"/>
                <w:sz w:val="14"/>
                <w:szCs w:val="14"/>
                <w:b w:val="1"/>
                <w:bCs w:val="1"/>
                <w:color w:val="auto"/>
              </w:rPr>
              <w:t>Corporate</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Albany Engineered</w:t>
            </w: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rPr>
              <w:t>expenses and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Machine Clothing</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Composites</w:t>
            </w:r>
          </w:p>
        </w:tc>
        <w:tc>
          <w:tcPr>
            <w:tcW w:w="260" w:type="dxa"/>
            <w:vAlign w:val="bottom"/>
          </w:tcPr>
          <w:p>
            <w:pPr>
              <w:spacing w:after="0"/>
              <w:rPr>
                <w:sz w:val="15"/>
                <w:szCs w:val="15"/>
                <w:color w:val="auto"/>
              </w:rPr>
            </w:pPr>
          </w:p>
        </w:tc>
        <w:tc>
          <w:tcPr>
            <w:tcW w:w="13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Operating income/(loss) (GAAP)</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8"/>
              </w:rPr>
              <w:t>$169,836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tcPr>
          <w:p>
            <w:pPr>
              <w:jc w:val="center"/>
              <w:ind w:left="135"/>
              <w:spacing w:after="0" w:line="195" w:lineRule="exact"/>
              <w:rPr>
                <w:sz w:val="20"/>
                <w:szCs w:val="20"/>
                <w:color w:val="auto"/>
              </w:rPr>
            </w:pPr>
            <w:r>
              <w:rPr>
                <w:rFonts w:ascii="Arial" w:cs="Arial" w:eastAsia="Arial" w:hAnsi="Arial"/>
                <w:sz w:val="18"/>
                <w:szCs w:val="18"/>
                <w:color w:val="auto"/>
              </w:rPr>
              <w:t>$16,647</w:t>
            </w: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(49,075)</w:t>
            </w:r>
          </w:p>
        </w:tc>
        <w:tc>
          <w:tcPr>
            <w:tcW w:w="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$137,408</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3" w:lineRule="exact"/>
              <w:rPr>
                <w:sz w:val="20"/>
                <w:szCs w:val="20"/>
                <w:color w:val="auto"/>
              </w:rPr>
            </w:pPr>
            <w:r>
              <w:rPr>
                <w:rFonts w:ascii="Arial" w:cs="Arial" w:eastAsia="Arial" w:hAnsi="Arial"/>
                <w:sz w:val="18"/>
                <w:szCs w:val="18"/>
                <w:color w:val="auto"/>
              </w:rPr>
              <w:t>Interest, taxes, other income/(expense)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right"/>
              <w:ind w:right="80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(54,389)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(54,389)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gridSpan w:val="4"/>
          </w:tcPr>
          <w:p>
            <w:pPr>
              <w:spacing w:after="0" w:line="195" w:lineRule="exact"/>
              <w:rPr>
                <w:sz w:val="20"/>
                <w:szCs w:val="20"/>
                <w:color w:val="auto"/>
              </w:rPr>
            </w:pPr>
            <w:r>
              <w:rPr>
                <w:rFonts w:ascii="Arial" w:cs="Arial" w:eastAsia="Arial" w:hAnsi="Arial"/>
                <w:sz w:val="18"/>
                <w:szCs w:val="18"/>
                <w:color w:val="auto"/>
              </w:rPr>
              <w:t>Net income/(loss) (GAAP)</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260"/>
              <w:spacing w:after="0" w:line="195" w:lineRule="exact"/>
              <w:rPr>
                <w:sz w:val="20"/>
                <w:szCs w:val="20"/>
                <w:color w:val="auto"/>
              </w:rPr>
            </w:pPr>
            <w:r>
              <w:rPr>
                <w:rFonts w:ascii="Arial" w:cs="Arial" w:eastAsia="Arial" w:hAnsi="Arial"/>
                <w:sz w:val="18"/>
                <w:szCs w:val="18"/>
                <w:color w:val="auto"/>
              </w:rPr>
              <w:t>169,836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tcPr>
          <w:p>
            <w:pPr>
              <w:jc w:val="right"/>
              <w:ind w:right="115"/>
              <w:spacing w:after="0" w:line="195" w:lineRule="exact"/>
              <w:rPr>
                <w:sz w:val="20"/>
                <w:szCs w:val="20"/>
                <w:color w:val="auto"/>
              </w:rPr>
            </w:pPr>
            <w:r>
              <w:rPr>
                <w:rFonts w:ascii="Arial" w:cs="Arial" w:eastAsia="Arial" w:hAnsi="Arial"/>
                <w:sz w:val="18"/>
                <w:szCs w:val="18"/>
                <w:color w:val="auto"/>
              </w:rPr>
              <w:t>16,647</w:t>
            </w: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(103,464)</w:t>
            </w:r>
          </w:p>
        </w:tc>
        <w:tc>
          <w:tcPr>
            <w:tcW w:w="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jc w:val="right"/>
              <w:ind w:right="32"/>
              <w:spacing w:after="0" w:line="195" w:lineRule="exact"/>
              <w:rPr>
                <w:sz w:val="20"/>
                <w:szCs w:val="20"/>
                <w:color w:val="auto"/>
              </w:rPr>
            </w:pPr>
            <w:r>
              <w:rPr>
                <w:rFonts w:ascii="Arial" w:cs="Arial" w:eastAsia="Arial" w:hAnsi="Arial"/>
                <w:sz w:val="18"/>
                <w:szCs w:val="18"/>
                <w:color w:val="auto"/>
              </w:rPr>
              <w:t>83,019</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18,124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32,228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3" w:lineRule="exact"/>
              <w:rPr>
                <w:sz w:val="20"/>
                <w:szCs w:val="20"/>
                <w:color w:val="auto"/>
              </w:rPr>
            </w:pPr>
            <w:r>
              <w:rPr>
                <w:rFonts w:ascii="Arial" w:cs="Arial" w:eastAsia="Arial" w:hAnsi="Arial"/>
                <w:sz w:val="18"/>
                <w:szCs w:val="18"/>
                <w:color w:val="auto"/>
              </w:rPr>
              <w:t>Depreciation and amortization expense</w:t>
            </w:r>
          </w:p>
        </w:tc>
        <w:tc>
          <w:tcPr>
            <w:tcW w:w="1720" w:type="dxa"/>
            <w:vAlign w:val="bottom"/>
            <w:gridSpan w:val="4"/>
          </w:tcPr>
          <w:p>
            <w:pPr>
              <w:jc w:val="right"/>
              <w:ind w:right="260"/>
              <w:spacing w:after="0" w:line="203" w:lineRule="exact"/>
              <w:rPr>
                <w:sz w:val="20"/>
                <w:szCs w:val="20"/>
                <w:color w:val="auto"/>
              </w:rPr>
            </w:pPr>
            <w:r>
              <w:rPr>
                <w:rFonts w:ascii="Arial" w:cs="Arial" w:eastAsia="Arial" w:hAnsi="Arial"/>
                <w:sz w:val="18"/>
                <w:szCs w:val="18"/>
                <w:color w:val="auto"/>
              </w:rPr>
              <w:t>30,813</w:t>
            </w:r>
          </w:p>
        </w:tc>
        <w:tc>
          <w:tcPr>
            <w:tcW w:w="1600" w:type="dxa"/>
            <w:vAlign w:val="bottom"/>
            <w:gridSpan w:val="3"/>
          </w:tcPr>
          <w:p>
            <w:pPr>
              <w:jc w:val="right"/>
              <w:ind w:right="115"/>
              <w:spacing w:after="0" w:line="203" w:lineRule="exact"/>
              <w:rPr>
                <w:sz w:val="20"/>
                <w:szCs w:val="20"/>
                <w:color w:val="auto"/>
              </w:rPr>
            </w:pPr>
            <w:r>
              <w:rPr>
                <w:rFonts w:ascii="Arial" w:cs="Arial" w:eastAsia="Arial" w:hAnsi="Arial"/>
                <w:sz w:val="18"/>
                <w:szCs w:val="18"/>
                <w:color w:val="auto"/>
              </w:rPr>
              <w:t>43,205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5,018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79,036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gridSpan w:val="4"/>
          </w:tcPr>
          <w:p>
            <w:pPr>
              <w:spacing w:after="0" w:line="195" w:lineRule="exact"/>
              <w:rPr>
                <w:sz w:val="20"/>
                <w:szCs w:val="20"/>
                <w:color w:val="auto"/>
              </w:rPr>
            </w:pPr>
            <w:r>
              <w:rPr>
                <w:rFonts w:ascii="Arial" w:cs="Arial" w:eastAsia="Arial" w:hAnsi="Arial"/>
                <w:sz w:val="18"/>
                <w:szCs w:val="18"/>
                <w:color w:val="auto"/>
              </w:rPr>
              <w:t>EBITDA (non-GAAP)</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260"/>
              <w:spacing w:after="0" w:line="195" w:lineRule="exact"/>
              <w:rPr>
                <w:sz w:val="20"/>
                <w:szCs w:val="20"/>
                <w:color w:val="auto"/>
              </w:rPr>
            </w:pPr>
            <w:r>
              <w:rPr>
                <w:rFonts w:ascii="Arial" w:cs="Arial" w:eastAsia="Arial" w:hAnsi="Arial"/>
                <w:sz w:val="18"/>
                <w:szCs w:val="18"/>
                <w:color w:val="auto"/>
              </w:rPr>
              <w:t>200,649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tcPr>
          <w:p>
            <w:pPr>
              <w:jc w:val="right"/>
              <w:ind w:right="115"/>
              <w:spacing w:after="0" w:line="195" w:lineRule="exact"/>
              <w:rPr>
                <w:sz w:val="20"/>
                <w:szCs w:val="20"/>
                <w:color w:val="auto"/>
              </w:rPr>
            </w:pPr>
            <w:r>
              <w:rPr>
                <w:rFonts w:ascii="Arial" w:cs="Arial" w:eastAsia="Arial" w:hAnsi="Arial"/>
                <w:sz w:val="18"/>
                <w:szCs w:val="18"/>
                <w:color w:val="auto"/>
              </w:rPr>
              <w:t>59,852</w:t>
            </w: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(48,094)</w:t>
            </w:r>
          </w:p>
        </w:tc>
        <w:tc>
          <w:tcPr>
            <w:tcW w:w="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jc w:val="right"/>
              <w:ind w:right="32"/>
              <w:spacing w:after="0" w:line="195" w:lineRule="exact"/>
              <w:rPr>
                <w:sz w:val="20"/>
                <w:szCs w:val="20"/>
                <w:color w:val="auto"/>
              </w:rPr>
            </w:pPr>
            <w:r>
              <w:rPr>
                <w:rFonts w:ascii="Arial" w:cs="Arial" w:eastAsia="Arial" w:hAnsi="Arial"/>
                <w:sz w:val="18"/>
                <w:szCs w:val="18"/>
                <w:color w:val="auto"/>
              </w:rPr>
              <w:t>212,407</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Restructuring expenses, net</w:t>
            </w:r>
          </w:p>
        </w:tc>
        <w:tc>
          <w:tcPr>
            <w:tcW w:w="172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12,278</w:t>
            </w:r>
          </w:p>
        </w:tc>
        <w:tc>
          <w:tcPr>
            <w:tcW w:w="1600" w:type="dxa"/>
            <w:vAlign w:val="bottom"/>
            <w:gridSpan w:val="3"/>
          </w:tcPr>
          <w:p>
            <w:pPr>
              <w:jc w:val="right"/>
              <w:ind w:right="115"/>
              <w:spacing w:after="0" w:line="202" w:lineRule="exact"/>
              <w:rPr>
                <w:sz w:val="20"/>
                <w:szCs w:val="20"/>
                <w:color w:val="auto"/>
              </w:rPr>
            </w:pPr>
            <w:r>
              <w:rPr>
                <w:rFonts w:ascii="Arial" w:cs="Arial" w:eastAsia="Arial" w:hAnsi="Arial"/>
                <w:sz w:val="18"/>
                <w:szCs w:val="18"/>
                <w:color w:val="auto"/>
              </w:rPr>
              <w:t>3,048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72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(826)</w:t>
            </w:r>
          </w:p>
        </w:tc>
        <w:tc>
          <w:tcPr>
            <w:tcW w:w="1600" w:type="dxa"/>
            <w:vAlign w:val="bottom"/>
            <w:gridSpan w:val="3"/>
          </w:tcPr>
          <w:p>
            <w:pPr>
              <w:jc w:val="right"/>
              <w:ind w:right="115"/>
              <w:spacing w:after="0" w:line="202" w:lineRule="exact"/>
              <w:rPr>
                <w:sz w:val="20"/>
                <w:szCs w:val="20"/>
                <w:color w:val="auto"/>
              </w:rPr>
            </w:pPr>
            <w:r>
              <w:rPr>
                <w:rFonts w:ascii="Arial" w:cs="Arial" w:eastAsia="Arial" w:hAnsi="Arial"/>
                <w:sz w:val="18"/>
                <w:szCs w:val="18"/>
                <w:color w:val="auto"/>
              </w:rPr>
              <w:t>547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Pension settlement/curtailment expense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Pretax (income) attributable to noncontrolling interest in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3"/>
          </w:tcPr>
          <w:p>
            <w:pPr>
              <w:ind w:left="160"/>
              <w:spacing w:after="0" w:line="203" w:lineRule="exact"/>
              <w:rPr>
                <w:sz w:val="20"/>
                <w:szCs w:val="20"/>
                <w:color w:val="auto"/>
              </w:rPr>
            </w:pPr>
            <w:r>
              <w:rPr>
                <w:rFonts w:ascii="Arial" w:cs="Arial" w:eastAsia="Arial" w:hAnsi="Arial"/>
                <w:sz w:val="18"/>
                <w:szCs w:val="18"/>
                <w:color w:val="auto"/>
              </w:rPr>
              <w:t>ASC</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5"/>
              <w:spacing w:after="0" w:line="203" w:lineRule="exact"/>
              <w:rPr>
                <w:sz w:val="20"/>
                <w:szCs w:val="20"/>
                <w:color w:val="auto"/>
              </w:rPr>
            </w:pPr>
            <w:r>
              <w:rPr>
                <w:rFonts w:ascii="Arial" w:cs="Arial" w:eastAsia="Arial" w:hAnsi="Arial"/>
                <w:sz w:val="18"/>
                <w:szCs w:val="18"/>
                <w:color w:val="auto"/>
              </w:rPr>
              <w:t>(197)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ind w:right="60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4"/>
          </w:tcPr>
          <w:p>
            <w:pPr>
              <w:spacing w:after="0" w:line="196" w:lineRule="exact"/>
              <w:rPr>
                <w:sz w:val="20"/>
                <w:szCs w:val="20"/>
                <w:color w:val="auto"/>
              </w:rPr>
            </w:pPr>
            <w:r>
              <w:rPr>
                <w:rFonts w:ascii="Arial" w:cs="Arial" w:eastAsia="Arial" w:hAnsi="Arial"/>
                <w:sz w:val="18"/>
                <w:szCs w:val="18"/>
                <w:color w:val="auto"/>
              </w:rPr>
              <w:t>Adjusted EBITDA (non-GAAP)</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8"/>
              </w:rPr>
              <w:t>$212,101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ind w:left="135"/>
              <w:spacing w:after="0" w:line="196" w:lineRule="exact"/>
              <w:rPr>
                <w:sz w:val="20"/>
                <w:szCs w:val="20"/>
                <w:color w:val="auto"/>
              </w:rPr>
            </w:pPr>
            <w:r>
              <w:rPr>
                <w:rFonts w:ascii="Arial" w:cs="Arial" w:eastAsia="Arial" w:hAnsi="Arial"/>
                <w:sz w:val="18"/>
                <w:szCs w:val="18"/>
                <w:color w:val="auto"/>
              </w:rPr>
              <w:t>$63,250</w:t>
            </w:r>
          </w:p>
        </w:tc>
        <w:tc>
          <w:tcPr>
            <w:tcW w:w="2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16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(46,418)</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$228,933</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ind w:left="160"/>
              <w:spacing w:after="0" w:line="143" w:lineRule="exact"/>
              <w:rPr>
                <w:sz w:val="20"/>
                <w:szCs w:val="20"/>
                <w:color w:val="auto"/>
              </w:rPr>
            </w:pPr>
            <w:r>
              <w:rPr>
                <w:rFonts w:ascii="Arial" w:cs="Arial" w:eastAsia="Arial" w:hAnsi="Arial"/>
                <w:sz w:val="14"/>
                <w:szCs w:val="14"/>
                <w:b w:val="1"/>
                <w:bCs w:val="1"/>
                <w:color w:val="auto"/>
              </w:rPr>
              <w:t>Corporate</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4"/>
                <w:szCs w:val="14"/>
                <w:b w:val="1"/>
                <w:bCs w:val="1"/>
                <w:color w:val="auto"/>
              </w:rPr>
              <w:t>Albany Engineered</w:t>
            </w:r>
          </w:p>
        </w:tc>
        <w:tc>
          <w:tcPr>
            <w:tcW w:w="15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expenses and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 2017</w:t>
            </w:r>
          </w:p>
        </w:tc>
        <w:tc>
          <w:tcPr>
            <w:tcW w:w="120" w:type="dxa"/>
            <w:vAlign w:val="bottom"/>
          </w:tcPr>
          <w:p>
            <w:pPr>
              <w:spacing w:after="0"/>
              <w:rPr>
                <w:sz w:val="15"/>
                <w:szCs w:val="15"/>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Machine Clothing</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4"/>
          </w:tcPr>
          <w:p>
            <w:pPr>
              <w:ind w:left="100"/>
              <w:spacing w:after="0"/>
              <w:rPr>
                <w:sz w:val="20"/>
                <w:szCs w:val="20"/>
                <w:color w:val="auto"/>
              </w:rPr>
            </w:pPr>
            <w:r>
              <w:rPr>
                <w:rFonts w:ascii="Arial" w:cs="Arial" w:eastAsia="Arial" w:hAnsi="Arial"/>
                <w:sz w:val="14"/>
                <w:szCs w:val="14"/>
                <w:b w:val="1"/>
                <w:bCs w:val="1"/>
                <w:color w:val="auto"/>
              </w:rPr>
              <w:t>Composites</w:t>
            </w:r>
          </w:p>
        </w:tc>
        <w:tc>
          <w:tcPr>
            <w:tcW w:w="260" w:type="dxa"/>
            <w:vAlign w:val="bottom"/>
          </w:tcPr>
          <w:p>
            <w:pPr>
              <w:spacing w:after="0"/>
              <w:rPr>
                <w:sz w:val="15"/>
                <w:szCs w:val="15"/>
                <w:color w:val="auto"/>
              </w:rPr>
            </w:pPr>
          </w:p>
        </w:tc>
        <w:tc>
          <w:tcPr>
            <w:tcW w:w="132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Operating income/(loss) (GAAP)</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171"/>
              <w:spacing w:after="0" w:line="195" w:lineRule="exact"/>
              <w:rPr>
                <w:sz w:val="20"/>
                <w:szCs w:val="20"/>
                <w:color w:val="auto"/>
              </w:rPr>
            </w:pPr>
            <w:r>
              <w:rPr>
                <w:rFonts w:ascii="Arial" w:cs="Arial" w:eastAsia="Arial" w:hAnsi="Arial"/>
                <w:sz w:val="18"/>
                <w:szCs w:val="18"/>
                <w:color w:val="auto"/>
              </w:rPr>
              <w:t>$153,980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235"/>
              <w:spacing w:after="0" w:line="195" w:lineRule="exact"/>
              <w:rPr>
                <w:sz w:val="20"/>
                <w:szCs w:val="20"/>
                <w:color w:val="auto"/>
              </w:rPr>
            </w:pPr>
            <w:r>
              <w:rPr>
                <w:rFonts w:ascii="Arial" w:cs="Arial" w:eastAsia="Arial" w:hAnsi="Arial"/>
                <w:sz w:val="18"/>
                <w:szCs w:val="18"/>
                <w:color w:val="auto"/>
              </w:rPr>
              <w:t>$(31,657)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112"/>
              <w:spacing w:after="0" w:line="195" w:lineRule="exact"/>
              <w:rPr>
                <w:sz w:val="20"/>
                <w:szCs w:val="20"/>
                <w:color w:val="auto"/>
              </w:rPr>
            </w:pPr>
            <w:r>
              <w:rPr>
                <w:rFonts w:ascii="Arial" w:cs="Arial" w:eastAsia="Arial" w:hAnsi="Arial"/>
                <w:sz w:val="18"/>
                <w:szCs w:val="18"/>
                <w:color w:val="auto"/>
              </w:rPr>
              <w:t>$(43,647)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jc w:val="right"/>
              <w:ind w:right="32"/>
              <w:spacing w:after="0" w:line="195" w:lineRule="exact"/>
              <w:rPr>
                <w:sz w:val="20"/>
                <w:szCs w:val="20"/>
                <w:color w:val="auto"/>
              </w:rPr>
            </w:pPr>
            <w:r>
              <w:rPr>
                <w:rFonts w:ascii="Arial" w:cs="Arial" w:eastAsia="Arial" w:hAnsi="Arial"/>
                <w:sz w:val="18"/>
                <w:szCs w:val="18"/>
                <w:color w:val="auto"/>
              </w:rPr>
              <w:t>$ 78,676</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3" w:lineRule="exact"/>
              <w:rPr>
                <w:sz w:val="20"/>
                <w:szCs w:val="20"/>
                <w:color w:val="auto"/>
              </w:rPr>
            </w:pPr>
            <w:r>
              <w:rPr>
                <w:rFonts w:ascii="Arial" w:cs="Arial" w:eastAsia="Arial" w:hAnsi="Arial"/>
                <w:sz w:val="18"/>
                <w:szCs w:val="18"/>
                <w:color w:val="auto"/>
              </w:rPr>
              <w:t>Interest, taxes, other income/(expense)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center"/>
              <w:ind w:right="36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32"/>
              <w:spacing w:after="0" w:line="203" w:lineRule="exact"/>
              <w:rPr>
                <w:sz w:val="20"/>
                <w:szCs w:val="20"/>
                <w:color w:val="auto"/>
              </w:rPr>
            </w:pPr>
            <w:r>
              <w:rPr>
                <w:rFonts w:ascii="Arial" w:cs="Arial" w:eastAsia="Arial" w:hAnsi="Arial"/>
                <w:sz w:val="18"/>
                <w:szCs w:val="18"/>
                <w:color w:val="auto"/>
              </w:rPr>
              <w:t>(46,091)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(46,091)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gridSpan w:val="4"/>
          </w:tcPr>
          <w:p>
            <w:pPr>
              <w:spacing w:after="0" w:line="195" w:lineRule="exact"/>
              <w:rPr>
                <w:sz w:val="20"/>
                <w:szCs w:val="20"/>
                <w:color w:val="auto"/>
              </w:rPr>
            </w:pPr>
            <w:r>
              <w:rPr>
                <w:rFonts w:ascii="Arial" w:cs="Arial" w:eastAsia="Arial" w:hAnsi="Arial"/>
                <w:sz w:val="18"/>
                <w:szCs w:val="18"/>
                <w:color w:val="auto"/>
              </w:rPr>
              <w:t>Net income/(loss) (GAAP)</w:t>
            </w:r>
          </w:p>
        </w:tc>
        <w:tc>
          <w:tcPr>
            <w:tcW w:w="12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171"/>
              <w:spacing w:after="0" w:line="195" w:lineRule="exact"/>
              <w:rPr>
                <w:sz w:val="20"/>
                <w:szCs w:val="20"/>
                <w:color w:val="auto"/>
              </w:rPr>
            </w:pPr>
            <w:r>
              <w:rPr>
                <w:rFonts w:ascii="Arial" w:cs="Arial" w:eastAsia="Arial" w:hAnsi="Arial"/>
                <w:sz w:val="18"/>
                <w:szCs w:val="18"/>
                <w:color w:val="auto"/>
              </w:rPr>
              <w:t>153,980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255"/>
              <w:spacing w:after="0" w:line="195" w:lineRule="exact"/>
              <w:rPr>
                <w:sz w:val="20"/>
                <w:szCs w:val="20"/>
                <w:color w:val="auto"/>
              </w:rPr>
            </w:pPr>
            <w:r>
              <w:rPr>
                <w:rFonts w:ascii="Arial" w:cs="Arial" w:eastAsia="Arial" w:hAnsi="Arial"/>
                <w:sz w:val="18"/>
                <w:szCs w:val="18"/>
                <w:color w:val="auto"/>
              </w:rPr>
              <w:t>(31,657)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132"/>
              <w:spacing w:after="0" w:line="195" w:lineRule="exact"/>
              <w:rPr>
                <w:sz w:val="20"/>
                <w:szCs w:val="20"/>
                <w:color w:val="auto"/>
              </w:rPr>
            </w:pPr>
            <w:r>
              <w:rPr>
                <w:rFonts w:ascii="Arial" w:cs="Arial" w:eastAsia="Arial" w:hAnsi="Arial"/>
                <w:sz w:val="18"/>
                <w:szCs w:val="18"/>
                <w:color w:val="auto"/>
              </w:rPr>
              <w:t>(89,738)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jc w:val="right"/>
              <w:ind w:right="32"/>
              <w:spacing w:after="0" w:line="195" w:lineRule="exact"/>
              <w:rPr>
                <w:sz w:val="20"/>
                <w:szCs w:val="20"/>
                <w:color w:val="auto"/>
              </w:rPr>
            </w:pPr>
            <w:r>
              <w:rPr>
                <w:rFonts w:ascii="Arial" w:cs="Arial" w:eastAsia="Arial" w:hAnsi="Arial"/>
                <w:sz w:val="18"/>
                <w:szCs w:val="18"/>
                <w:color w:val="auto"/>
              </w:rPr>
              <w:t>32,585</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center"/>
              <w:ind w:right="36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17,091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center"/>
              <w:ind w:right="36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22,123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3" w:lineRule="exact"/>
              <w:rPr>
                <w:sz w:val="20"/>
                <w:szCs w:val="20"/>
                <w:color w:val="auto"/>
              </w:rPr>
            </w:pPr>
            <w:r>
              <w:rPr>
                <w:rFonts w:ascii="Arial" w:cs="Arial" w:eastAsia="Arial" w:hAnsi="Arial"/>
                <w:sz w:val="18"/>
                <w:szCs w:val="18"/>
                <w:color w:val="auto"/>
              </w:rPr>
              <w:t>Depreciation and amortization expense</w:t>
            </w:r>
          </w:p>
        </w:tc>
        <w:tc>
          <w:tcPr>
            <w:tcW w:w="1380" w:type="dxa"/>
            <w:vAlign w:val="bottom"/>
            <w:gridSpan w:val="3"/>
          </w:tcPr>
          <w:p>
            <w:pPr>
              <w:jc w:val="right"/>
              <w:ind w:right="171"/>
              <w:spacing w:after="0" w:line="203" w:lineRule="exact"/>
              <w:rPr>
                <w:sz w:val="20"/>
                <w:szCs w:val="20"/>
                <w:color w:val="auto"/>
              </w:rPr>
            </w:pPr>
            <w:r>
              <w:rPr>
                <w:rFonts w:ascii="Arial" w:cs="Arial" w:eastAsia="Arial" w:hAnsi="Arial"/>
                <w:sz w:val="18"/>
                <w:szCs w:val="18"/>
                <w:color w:val="auto"/>
              </w:rPr>
              <w:t>33,527</w:t>
            </w:r>
          </w:p>
        </w:tc>
        <w:tc>
          <w:tcPr>
            <w:tcW w:w="340" w:type="dxa"/>
            <w:vAlign w:val="bottom"/>
          </w:tcPr>
          <w:p>
            <w:pPr>
              <w:spacing w:after="0"/>
              <w:rPr>
                <w:sz w:val="17"/>
                <w:szCs w:val="17"/>
                <w:color w:val="auto"/>
              </w:rPr>
            </w:pPr>
          </w:p>
        </w:tc>
        <w:tc>
          <w:tcPr>
            <w:tcW w:w="1600" w:type="dxa"/>
            <w:vAlign w:val="bottom"/>
            <w:gridSpan w:val="3"/>
          </w:tcPr>
          <w:p>
            <w:pPr>
              <w:jc w:val="right"/>
              <w:ind w:right="295"/>
              <w:spacing w:after="0" w:line="203" w:lineRule="exact"/>
              <w:rPr>
                <w:sz w:val="20"/>
                <w:szCs w:val="20"/>
                <w:color w:val="auto"/>
              </w:rPr>
            </w:pPr>
            <w:r>
              <w:rPr>
                <w:rFonts w:ascii="Arial" w:cs="Arial" w:eastAsia="Arial" w:hAnsi="Arial"/>
                <w:sz w:val="18"/>
                <w:szCs w:val="18"/>
                <w:color w:val="auto"/>
              </w:rPr>
              <w:t>33,533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2"/>
              <w:spacing w:after="0" w:line="203" w:lineRule="exact"/>
              <w:rPr>
                <w:sz w:val="20"/>
                <w:szCs w:val="20"/>
                <w:color w:val="auto"/>
              </w:rPr>
            </w:pPr>
            <w:r>
              <w:rPr>
                <w:rFonts w:ascii="Arial" w:cs="Arial" w:eastAsia="Arial" w:hAnsi="Arial"/>
                <w:sz w:val="18"/>
                <w:szCs w:val="18"/>
                <w:color w:val="auto"/>
              </w:rPr>
              <w:t>4,896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71,956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gridSpan w:val="4"/>
          </w:tcPr>
          <w:p>
            <w:pPr>
              <w:spacing w:after="0" w:line="195" w:lineRule="exact"/>
              <w:rPr>
                <w:sz w:val="20"/>
                <w:szCs w:val="20"/>
                <w:color w:val="auto"/>
              </w:rPr>
            </w:pPr>
            <w:r>
              <w:rPr>
                <w:rFonts w:ascii="Arial" w:cs="Arial" w:eastAsia="Arial" w:hAnsi="Arial"/>
                <w:sz w:val="18"/>
                <w:szCs w:val="18"/>
                <w:color w:val="auto"/>
              </w:rPr>
              <w:t>EBITDA (non-GAAP)</w:t>
            </w:r>
          </w:p>
        </w:tc>
        <w:tc>
          <w:tcPr>
            <w:tcW w:w="12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171"/>
              <w:spacing w:after="0" w:line="195" w:lineRule="exact"/>
              <w:rPr>
                <w:sz w:val="20"/>
                <w:szCs w:val="20"/>
                <w:color w:val="auto"/>
              </w:rPr>
            </w:pPr>
            <w:r>
              <w:rPr>
                <w:rFonts w:ascii="Arial" w:cs="Arial" w:eastAsia="Arial" w:hAnsi="Arial"/>
                <w:sz w:val="18"/>
                <w:szCs w:val="18"/>
                <w:color w:val="auto"/>
              </w:rPr>
              <w:t>187,507</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315"/>
              <w:spacing w:after="0" w:line="195" w:lineRule="exact"/>
              <w:rPr>
                <w:sz w:val="20"/>
                <w:szCs w:val="20"/>
                <w:color w:val="auto"/>
              </w:rPr>
            </w:pPr>
            <w:r>
              <w:rPr>
                <w:rFonts w:ascii="Arial" w:cs="Arial" w:eastAsia="Arial" w:hAnsi="Arial"/>
                <w:sz w:val="18"/>
                <w:szCs w:val="18"/>
                <w:color w:val="auto"/>
              </w:rPr>
              <w:t>1,876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132"/>
              <w:spacing w:after="0" w:line="195" w:lineRule="exact"/>
              <w:rPr>
                <w:sz w:val="20"/>
                <w:szCs w:val="20"/>
                <w:color w:val="auto"/>
              </w:rPr>
            </w:pPr>
            <w:r>
              <w:rPr>
                <w:rFonts w:ascii="Arial" w:cs="Arial" w:eastAsia="Arial" w:hAnsi="Arial"/>
                <w:sz w:val="18"/>
                <w:szCs w:val="18"/>
                <w:color w:val="auto"/>
              </w:rPr>
              <w:t>(45,628)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jc w:val="right"/>
              <w:ind w:right="32"/>
              <w:spacing w:after="0" w:line="195" w:lineRule="exact"/>
              <w:rPr>
                <w:sz w:val="20"/>
                <w:szCs w:val="20"/>
                <w:color w:val="auto"/>
              </w:rPr>
            </w:pPr>
            <w:r>
              <w:rPr>
                <w:rFonts w:ascii="Arial" w:cs="Arial" w:eastAsia="Arial" w:hAnsi="Arial"/>
                <w:sz w:val="18"/>
                <w:szCs w:val="18"/>
                <w:color w:val="auto"/>
              </w:rPr>
              <w:t>143,755</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Restructuring expenses, net</w:t>
            </w:r>
          </w:p>
        </w:tc>
        <w:tc>
          <w:tcPr>
            <w:tcW w:w="1380" w:type="dxa"/>
            <w:vAlign w:val="bottom"/>
            <w:gridSpan w:val="3"/>
          </w:tcPr>
          <w:p>
            <w:pPr>
              <w:jc w:val="right"/>
              <w:ind w:right="171"/>
              <w:spacing w:after="0" w:line="202" w:lineRule="exact"/>
              <w:rPr>
                <w:sz w:val="20"/>
                <w:szCs w:val="20"/>
                <w:color w:val="auto"/>
              </w:rPr>
            </w:pPr>
            <w:r>
              <w:rPr>
                <w:rFonts w:ascii="Arial" w:cs="Arial" w:eastAsia="Arial" w:hAnsi="Arial"/>
                <w:sz w:val="18"/>
                <w:szCs w:val="18"/>
                <w:color w:val="auto"/>
              </w:rPr>
              <w:t>3,429</w:t>
            </w:r>
          </w:p>
        </w:tc>
        <w:tc>
          <w:tcPr>
            <w:tcW w:w="340" w:type="dxa"/>
            <w:vAlign w:val="bottom"/>
          </w:tcPr>
          <w:p>
            <w:pPr>
              <w:spacing w:after="0"/>
              <w:rPr>
                <w:sz w:val="17"/>
                <w:szCs w:val="17"/>
                <w:color w:val="auto"/>
              </w:rPr>
            </w:pPr>
          </w:p>
        </w:tc>
        <w:tc>
          <w:tcPr>
            <w:tcW w:w="1600" w:type="dxa"/>
            <w:vAlign w:val="bottom"/>
            <w:gridSpan w:val="3"/>
          </w:tcPr>
          <w:p>
            <w:pPr>
              <w:jc w:val="right"/>
              <w:ind w:right="295"/>
              <w:spacing w:after="0" w:line="202" w:lineRule="exact"/>
              <w:rPr>
                <w:sz w:val="20"/>
                <w:szCs w:val="20"/>
                <w:color w:val="auto"/>
              </w:rPr>
            </w:pPr>
            <w:r>
              <w:rPr>
                <w:rFonts w:ascii="Arial" w:cs="Arial" w:eastAsia="Arial" w:hAnsi="Arial"/>
                <w:sz w:val="18"/>
                <w:szCs w:val="18"/>
                <w:color w:val="auto"/>
              </w:rPr>
              <w:t>10,062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13,491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1380" w:type="dxa"/>
            <w:vAlign w:val="bottom"/>
            <w:gridSpan w:val="3"/>
          </w:tcPr>
          <w:p>
            <w:pPr>
              <w:jc w:val="right"/>
              <w:ind w:right="171"/>
              <w:spacing w:after="0" w:line="202" w:lineRule="exact"/>
              <w:rPr>
                <w:sz w:val="20"/>
                <w:szCs w:val="20"/>
                <w:color w:val="auto"/>
              </w:rPr>
            </w:pPr>
            <w:r>
              <w:rPr>
                <w:rFonts w:ascii="Arial" w:cs="Arial" w:eastAsia="Arial" w:hAnsi="Arial"/>
                <w:sz w:val="18"/>
                <w:szCs w:val="18"/>
                <w:color w:val="auto"/>
              </w:rPr>
              <w:t>3,903</w:t>
            </w:r>
          </w:p>
        </w:tc>
        <w:tc>
          <w:tcPr>
            <w:tcW w:w="340" w:type="dxa"/>
            <w:vAlign w:val="bottom"/>
          </w:tcPr>
          <w:p>
            <w:pPr>
              <w:spacing w:after="0"/>
              <w:rPr>
                <w:sz w:val="17"/>
                <w:szCs w:val="17"/>
                <w:color w:val="auto"/>
              </w:rPr>
            </w:pPr>
          </w:p>
        </w:tc>
        <w:tc>
          <w:tcPr>
            <w:tcW w:w="1600" w:type="dxa"/>
            <w:vAlign w:val="bottom"/>
            <w:gridSpan w:val="3"/>
          </w:tcPr>
          <w:p>
            <w:pPr>
              <w:jc w:val="right"/>
              <w:ind w:right="315"/>
              <w:spacing w:after="0" w:line="202" w:lineRule="exact"/>
              <w:rPr>
                <w:sz w:val="20"/>
                <w:szCs w:val="20"/>
                <w:color w:val="auto"/>
              </w:rPr>
            </w:pPr>
            <w:r>
              <w:rPr>
                <w:rFonts w:ascii="Arial" w:cs="Arial" w:eastAsia="Arial" w:hAnsi="Arial"/>
                <w:sz w:val="18"/>
                <w:szCs w:val="18"/>
                <w:color w:val="auto"/>
              </w:rPr>
              <w:t>214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4,644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2" w:lineRule="exact"/>
              <w:rPr>
                <w:sz w:val="20"/>
                <w:szCs w:val="20"/>
                <w:color w:val="auto"/>
              </w:rPr>
            </w:pPr>
            <w:r>
              <w:rPr>
                <w:rFonts w:ascii="Arial" w:cs="Arial" w:eastAsia="Arial" w:hAnsi="Arial"/>
                <w:sz w:val="18"/>
                <w:szCs w:val="18"/>
                <w:color w:val="auto"/>
              </w:rPr>
              <w:t>Write-off of inventory in a discontinued product line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315"/>
              <w:spacing w:after="0" w:line="202" w:lineRule="exact"/>
              <w:rPr>
                <w:sz w:val="20"/>
                <w:szCs w:val="20"/>
                <w:color w:val="auto"/>
              </w:rPr>
            </w:pPr>
            <w:r>
              <w:rPr>
                <w:rFonts w:ascii="Arial" w:cs="Arial" w:eastAsia="Arial" w:hAnsi="Arial"/>
                <w:sz w:val="18"/>
                <w:szCs w:val="18"/>
                <w:color w:val="auto"/>
              </w:rPr>
              <w:t>2,800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spacing w:after="0" w:line="203" w:lineRule="exact"/>
              <w:rPr>
                <w:sz w:val="20"/>
                <w:szCs w:val="20"/>
                <w:color w:val="auto"/>
              </w:rPr>
            </w:pPr>
            <w:r>
              <w:rPr>
                <w:rFonts w:ascii="Arial" w:cs="Arial" w:eastAsia="Arial" w:hAnsi="Arial"/>
                <w:sz w:val="18"/>
                <w:szCs w:val="18"/>
                <w:color w:val="auto"/>
              </w:rPr>
              <w:t>Pre-tax loss attributable to noncontrolling interest in ASC</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315"/>
              <w:spacing w:after="0" w:line="203" w:lineRule="exact"/>
              <w:rPr>
                <w:sz w:val="20"/>
                <w:szCs w:val="20"/>
                <w:color w:val="auto"/>
              </w:rPr>
            </w:pPr>
            <w:r>
              <w:rPr>
                <w:rFonts w:ascii="Arial" w:cs="Arial" w:eastAsia="Arial" w:hAnsi="Arial"/>
                <w:sz w:val="18"/>
                <w:szCs w:val="18"/>
                <w:color w:val="auto"/>
              </w:rPr>
              <w:t>567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38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line="203" w:lineRule="exact"/>
              <w:rPr>
                <w:sz w:val="20"/>
                <w:szCs w:val="20"/>
                <w:color w:val="auto"/>
              </w:rPr>
            </w:pPr>
            <w:r>
              <w:rPr>
                <w:rFonts w:ascii="Arial" w:cs="Arial" w:eastAsia="Arial" w:hAnsi="Arial"/>
                <w:sz w:val="18"/>
                <w:szCs w:val="18"/>
                <w:color w:val="auto"/>
              </w:rPr>
              <w:t>567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4"/>
          </w:tcPr>
          <w:p>
            <w:pPr>
              <w:spacing w:after="0" w:line="196" w:lineRule="exact"/>
              <w:rPr>
                <w:sz w:val="20"/>
                <w:szCs w:val="20"/>
                <w:color w:val="auto"/>
              </w:rPr>
            </w:pPr>
            <w:r>
              <w:rPr>
                <w:rFonts w:ascii="Arial" w:cs="Arial" w:eastAsia="Arial" w:hAnsi="Arial"/>
                <w:sz w:val="18"/>
                <w:szCs w:val="18"/>
                <w:color w:val="auto"/>
              </w:rPr>
              <w:t>Adjusted EBITDA (non-GAAP)</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gridSpan w:val="2"/>
          </w:tcPr>
          <w:p>
            <w:pPr>
              <w:jc w:val="right"/>
              <w:ind w:right="171"/>
              <w:spacing w:after="0" w:line="196" w:lineRule="exact"/>
              <w:rPr>
                <w:sz w:val="20"/>
                <w:szCs w:val="20"/>
                <w:color w:val="auto"/>
              </w:rPr>
            </w:pPr>
            <w:r>
              <w:rPr>
                <w:rFonts w:ascii="Arial" w:cs="Arial" w:eastAsia="Arial" w:hAnsi="Arial"/>
                <w:sz w:val="18"/>
                <w:szCs w:val="18"/>
                <w:color w:val="auto"/>
              </w:rPr>
              <w:t>$194,839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bottom w:val="single" w:sz="8" w:color="auto"/>
            </w:tcBorders>
            <w:gridSpan w:val="2"/>
          </w:tcPr>
          <w:p>
            <w:pPr>
              <w:jc w:val="right"/>
              <w:ind w:right="295"/>
              <w:spacing w:after="0" w:line="196" w:lineRule="exact"/>
              <w:rPr>
                <w:sz w:val="20"/>
                <w:szCs w:val="20"/>
                <w:color w:val="auto"/>
              </w:rPr>
            </w:pPr>
            <w:r>
              <w:rPr>
                <w:rFonts w:ascii="Arial" w:cs="Arial" w:eastAsia="Arial" w:hAnsi="Arial"/>
                <w:sz w:val="18"/>
                <w:szCs w:val="18"/>
                <w:color w:val="auto"/>
              </w:rPr>
              <w:t>$ 15,519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ind w:right="112"/>
              <w:spacing w:after="0" w:line="196" w:lineRule="exact"/>
              <w:rPr>
                <w:sz w:val="20"/>
                <w:szCs w:val="20"/>
                <w:color w:val="auto"/>
              </w:rPr>
            </w:pPr>
            <w:r>
              <w:rPr>
                <w:rFonts w:ascii="Arial" w:cs="Arial" w:eastAsia="Arial" w:hAnsi="Arial"/>
                <w:sz w:val="18"/>
                <w:szCs w:val="18"/>
                <w:color w:val="auto"/>
              </w:rPr>
              <w:t>$(40,984)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$169,374</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vMerge w:val="restart"/>
          </w:tcPr>
          <w:p>
            <w:pPr>
              <w:spacing w:after="0"/>
              <w:rPr>
                <w:sz w:val="20"/>
                <w:szCs w:val="20"/>
                <w:color w:val="auto"/>
              </w:rPr>
            </w:pPr>
            <w:r>
              <w:rPr>
                <w:rFonts w:ascii="Arial" w:cs="Arial" w:eastAsia="Arial" w:hAnsi="Arial"/>
                <w:sz w:val="18"/>
                <w:szCs w:val="18"/>
                <w:color w:val="auto"/>
              </w:rPr>
              <w:t>40</w:t>
            </w:r>
          </w:p>
        </w:tc>
        <w:tc>
          <w:tcPr>
            <w:tcW w:w="4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 w:type="dxa"/>
            <w:vAlign w:val="bottom"/>
            <w:gridSpan w:val="2"/>
            <w:vMerge w:val="continue"/>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EEEEEE"/>
            </w:tcBorders>
          </w:tcPr>
          <w:p>
            <w:pPr>
              <w:spacing w:after="0"/>
              <w:rPr>
                <w:sz w:val="16"/>
                <w:szCs w:val="16"/>
                <w:color w:val="auto"/>
              </w:rPr>
            </w:pPr>
          </w:p>
        </w:tc>
        <w:tc>
          <w:tcPr>
            <w:tcW w:w="300" w:type="dxa"/>
            <w:vAlign w:val="bottom"/>
            <w:tcBorders>
              <w:bottom w:val="single" w:sz="8" w:color="EEEEEE"/>
            </w:tcBorders>
          </w:tcPr>
          <w:p>
            <w:pPr>
              <w:spacing w:after="0"/>
              <w:rPr>
                <w:sz w:val="16"/>
                <w:szCs w:val="16"/>
                <w:color w:val="auto"/>
              </w:rPr>
            </w:pPr>
          </w:p>
        </w:tc>
        <w:tc>
          <w:tcPr>
            <w:tcW w:w="426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92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124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26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1000" w:type="dxa"/>
            <w:vAlign w:val="bottom"/>
            <w:tcBorders>
              <w:bottom w:val="single" w:sz="8" w:color="EEEE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40" w:firstLine="37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 thousands, except per share amounts)</w:t>
            </w:r>
          </w:p>
        </w:tc>
        <w:tc>
          <w:tcPr>
            <w:tcW w:w="114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Pre tax</w:t>
            </w:r>
          </w:p>
        </w:tc>
        <w:tc>
          <w:tcPr>
            <w:tcW w:w="3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After tax</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2019</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Effect</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Effect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173"/>
        </w:trPr>
        <w:tc>
          <w:tcPr>
            <w:tcW w:w="20" w:type="dxa"/>
            <w:vAlign w:val="bottom"/>
          </w:tcPr>
          <w:p>
            <w:pPr>
              <w:spacing w:after="0"/>
              <w:rPr>
                <w:sz w:val="15"/>
                <w:szCs w:val="15"/>
                <w:color w:val="auto"/>
              </w:rPr>
            </w:pPr>
          </w:p>
        </w:tc>
        <w:tc>
          <w:tcPr>
            <w:tcW w:w="54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Restructuring expenses, net</w:t>
            </w:r>
          </w:p>
        </w:tc>
        <w:tc>
          <w:tcPr>
            <w:tcW w:w="340" w:type="dxa"/>
            <w:vAlign w:val="bottom"/>
          </w:tcPr>
          <w:p>
            <w:pPr>
              <w:spacing w:after="0"/>
              <w:rPr>
                <w:sz w:val="15"/>
                <w:szCs w:val="15"/>
                <w:color w:val="auto"/>
              </w:rPr>
            </w:pPr>
          </w:p>
        </w:tc>
        <w:tc>
          <w:tcPr>
            <w:tcW w:w="1160" w:type="dxa"/>
            <w:vAlign w:val="bottom"/>
            <w:tcBorders>
              <w:top w:val="single" w:sz="8" w:color="auto"/>
            </w:tcBorders>
          </w:tcPr>
          <w:p>
            <w:pPr>
              <w:jc w:val="right"/>
              <w:ind w:right="196"/>
              <w:spacing w:after="0" w:line="173" w:lineRule="exact"/>
              <w:rPr>
                <w:sz w:val="20"/>
                <w:szCs w:val="20"/>
                <w:color w:val="auto"/>
              </w:rPr>
            </w:pPr>
            <w:r>
              <w:rPr>
                <w:rFonts w:ascii="Arial" w:cs="Arial" w:eastAsia="Arial" w:hAnsi="Arial"/>
                <w:sz w:val="18"/>
                <w:szCs w:val="18"/>
                <w:b w:val="1"/>
                <w:bCs w:val="1"/>
                <w:color w:val="auto"/>
              </w:rPr>
              <w:t>$ 2,905</w:t>
            </w:r>
          </w:p>
        </w:tc>
        <w:tc>
          <w:tcPr>
            <w:tcW w:w="340" w:type="dxa"/>
            <w:vAlign w:val="bottom"/>
          </w:tcPr>
          <w:p>
            <w:pPr>
              <w:spacing w:after="0"/>
              <w:rPr>
                <w:sz w:val="15"/>
                <w:szCs w:val="15"/>
                <w:color w:val="auto"/>
              </w:rPr>
            </w:pPr>
          </w:p>
        </w:tc>
        <w:tc>
          <w:tcPr>
            <w:tcW w:w="1140" w:type="dxa"/>
            <w:vAlign w:val="bottom"/>
            <w:tcBorders>
              <w:top w:val="single" w:sz="8" w:color="auto"/>
            </w:tcBorders>
          </w:tcPr>
          <w:p>
            <w:pPr>
              <w:jc w:val="right"/>
              <w:ind w:right="262"/>
              <w:spacing w:after="0" w:line="173" w:lineRule="exact"/>
              <w:rPr>
                <w:sz w:val="20"/>
                <w:szCs w:val="20"/>
                <w:color w:val="auto"/>
              </w:rPr>
            </w:pPr>
            <w:r>
              <w:rPr>
                <w:rFonts w:ascii="Arial" w:cs="Arial" w:eastAsia="Arial" w:hAnsi="Arial"/>
                <w:sz w:val="18"/>
                <w:szCs w:val="18"/>
                <w:b w:val="1"/>
                <w:bCs w:val="1"/>
                <w:color w:val="auto"/>
              </w:rPr>
              <w:t>$ 824</w:t>
            </w:r>
          </w:p>
        </w:tc>
        <w:tc>
          <w:tcPr>
            <w:tcW w:w="340" w:type="dxa"/>
            <w:vAlign w:val="bottom"/>
          </w:tcPr>
          <w:p>
            <w:pPr>
              <w:spacing w:after="0"/>
              <w:rPr>
                <w:sz w:val="15"/>
                <w:szCs w:val="15"/>
                <w:color w:val="auto"/>
              </w:rPr>
            </w:pPr>
          </w:p>
        </w:tc>
        <w:tc>
          <w:tcPr>
            <w:tcW w:w="1120" w:type="dxa"/>
            <w:vAlign w:val="bottom"/>
            <w:tcBorders>
              <w:top w:val="single" w:sz="8" w:color="auto"/>
            </w:tcBorders>
          </w:tcPr>
          <w:p>
            <w:pPr>
              <w:jc w:val="right"/>
              <w:ind w:right="176"/>
              <w:spacing w:after="0" w:line="173" w:lineRule="exact"/>
              <w:rPr>
                <w:sz w:val="20"/>
                <w:szCs w:val="20"/>
                <w:color w:val="auto"/>
              </w:rPr>
            </w:pPr>
            <w:r>
              <w:rPr>
                <w:rFonts w:ascii="Arial" w:cs="Arial" w:eastAsia="Arial" w:hAnsi="Arial"/>
                <w:sz w:val="18"/>
                <w:szCs w:val="18"/>
                <w:b w:val="1"/>
                <w:bCs w:val="1"/>
                <w:color w:val="auto"/>
              </w:rPr>
              <w:t>$ 2,081</w:t>
            </w:r>
          </w:p>
        </w:tc>
        <w:tc>
          <w:tcPr>
            <w:tcW w:w="340" w:type="dxa"/>
            <w:vAlign w:val="bottom"/>
          </w:tcPr>
          <w:p>
            <w:pPr>
              <w:spacing w:after="0"/>
              <w:rPr>
                <w:sz w:val="15"/>
                <w:szCs w:val="15"/>
                <w:color w:val="auto"/>
              </w:rPr>
            </w:pPr>
          </w:p>
        </w:tc>
        <w:tc>
          <w:tcPr>
            <w:tcW w:w="1140" w:type="dxa"/>
            <w:vAlign w:val="bottom"/>
            <w:tcBorders>
              <w:top w:val="single" w:sz="8" w:color="auto"/>
            </w:tcBorders>
          </w:tcPr>
          <w:p>
            <w:pPr>
              <w:jc w:val="right"/>
              <w:ind w:right="236"/>
              <w:spacing w:after="0" w:line="173" w:lineRule="exact"/>
              <w:rPr>
                <w:sz w:val="20"/>
                <w:szCs w:val="20"/>
                <w:color w:val="auto"/>
              </w:rPr>
            </w:pPr>
            <w:r>
              <w:rPr>
                <w:rFonts w:ascii="Arial" w:cs="Arial" w:eastAsia="Arial" w:hAnsi="Arial"/>
                <w:sz w:val="18"/>
                <w:szCs w:val="18"/>
                <w:b w:val="1"/>
                <w:bCs w:val="1"/>
                <w:color w:val="auto"/>
              </w:rPr>
              <w:t>$ 0.06</w:t>
            </w:r>
          </w:p>
        </w:tc>
      </w:tr>
      <w:tr>
        <w:trPr>
          <w:trHeight w:val="203"/>
        </w:trPr>
        <w:tc>
          <w:tcPr>
            <w:tcW w:w="584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16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(3,190)</w:t>
            </w:r>
          </w:p>
        </w:tc>
        <w:tc>
          <w:tcPr>
            <w:tcW w:w="1480" w:type="dxa"/>
            <w:vAlign w:val="bottom"/>
            <w:gridSpan w:val="2"/>
          </w:tcPr>
          <w:p>
            <w:pPr>
              <w:jc w:val="right"/>
              <w:ind w:right="222"/>
              <w:spacing w:after="0" w:line="202" w:lineRule="exact"/>
              <w:rPr>
                <w:sz w:val="20"/>
                <w:szCs w:val="20"/>
                <w:color w:val="auto"/>
              </w:rPr>
            </w:pPr>
            <w:r>
              <w:rPr>
                <w:rFonts w:ascii="Arial" w:cs="Arial" w:eastAsia="Arial" w:hAnsi="Arial"/>
                <w:sz w:val="18"/>
                <w:szCs w:val="18"/>
                <w:b w:val="1"/>
                <w:bCs w:val="1"/>
                <w:color w:val="auto"/>
              </w:rPr>
              <w:t>(904)</w:t>
            </w:r>
          </w:p>
        </w:tc>
        <w:tc>
          <w:tcPr>
            <w:tcW w:w="340" w:type="dxa"/>
            <w:vAlign w:val="bottom"/>
          </w:tcPr>
          <w:p>
            <w:pPr>
              <w:spacing w:after="0"/>
              <w:rPr>
                <w:sz w:val="17"/>
                <w:szCs w:val="17"/>
                <w:color w:val="auto"/>
              </w:rPr>
            </w:pPr>
          </w:p>
        </w:tc>
        <w:tc>
          <w:tcPr>
            <w:tcW w:w="11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(2,286)</w:t>
            </w:r>
          </w:p>
        </w:tc>
        <w:tc>
          <w:tcPr>
            <w:tcW w:w="340" w:type="dxa"/>
            <w:vAlign w:val="bottom"/>
          </w:tcPr>
          <w:p>
            <w:pPr>
              <w:spacing w:after="0"/>
              <w:rPr>
                <w:sz w:val="17"/>
                <w:szCs w:val="17"/>
                <w:color w:val="auto"/>
              </w:rPr>
            </w:pPr>
          </w:p>
        </w:tc>
        <w:tc>
          <w:tcPr>
            <w:tcW w:w="1140" w:type="dxa"/>
            <w:vAlign w:val="bottom"/>
          </w:tcPr>
          <w:p>
            <w:pPr>
              <w:jc w:val="right"/>
              <w:ind w:right="176"/>
              <w:spacing w:after="0" w:line="202" w:lineRule="exact"/>
              <w:rPr>
                <w:sz w:val="20"/>
                <w:szCs w:val="20"/>
                <w:color w:val="auto"/>
              </w:rPr>
            </w:pPr>
            <w:r>
              <w:rPr>
                <w:rFonts w:ascii="Arial" w:cs="Arial" w:eastAsia="Arial" w:hAnsi="Arial"/>
                <w:sz w:val="18"/>
                <w:szCs w:val="18"/>
                <w:b w:val="1"/>
                <w:bCs w:val="1"/>
                <w:color w:val="auto"/>
              </w:rPr>
              <w:t>(0.07)</w:t>
            </w:r>
          </w:p>
        </w:tc>
      </w:tr>
      <w:tr>
        <w:trPr>
          <w:trHeight w:val="203"/>
        </w:trPr>
        <w:tc>
          <w:tcPr>
            <w:tcW w:w="5840" w:type="dxa"/>
            <w:vAlign w:val="bottom"/>
            <w:gridSpan w:val="3"/>
          </w:tcPr>
          <w:p>
            <w:pPr>
              <w:spacing w:after="0" w:line="202" w:lineRule="exact"/>
              <w:rPr>
                <w:sz w:val="20"/>
                <w:szCs w:val="20"/>
                <w:color w:val="auto"/>
              </w:rPr>
            </w:pPr>
            <w:r>
              <w:rPr>
                <w:rFonts w:ascii="Arial" w:cs="Arial" w:eastAsia="Arial" w:hAnsi="Arial"/>
                <w:sz w:val="18"/>
                <w:szCs w:val="18"/>
                <w:color w:val="auto"/>
              </w:rPr>
              <w:t>Pension curtailment charge</w:t>
            </w:r>
          </w:p>
        </w:tc>
        <w:tc>
          <w:tcPr>
            <w:tcW w:w="116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478</w:t>
            </w:r>
          </w:p>
        </w:tc>
        <w:tc>
          <w:tcPr>
            <w:tcW w:w="1480" w:type="dxa"/>
            <w:vAlign w:val="bottom"/>
            <w:gridSpan w:val="2"/>
          </w:tcPr>
          <w:p>
            <w:pPr>
              <w:jc w:val="right"/>
              <w:ind w:right="282"/>
              <w:spacing w:after="0" w:line="202" w:lineRule="exact"/>
              <w:rPr>
                <w:sz w:val="20"/>
                <w:szCs w:val="20"/>
                <w:color w:val="auto"/>
              </w:rPr>
            </w:pPr>
            <w:r>
              <w:rPr>
                <w:rFonts w:ascii="Arial" w:cs="Arial" w:eastAsia="Arial" w:hAnsi="Arial"/>
                <w:sz w:val="18"/>
                <w:szCs w:val="18"/>
                <w:b w:val="1"/>
                <w:bCs w:val="1"/>
                <w:color w:val="auto"/>
              </w:rPr>
              <w:t>91</w:t>
            </w:r>
          </w:p>
        </w:tc>
        <w:tc>
          <w:tcPr>
            <w:tcW w:w="340" w:type="dxa"/>
            <w:vAlign w:val="bottom"/>
          </w:tcPr>
          <w:p>
            <w:pPr>
              <w:spacing w:after="0"/>
              <w:rPr>
                <w:sz w:val="17"/>
                <w:szCs w:val="17"/>
                <w:color w:val="auto"/>
              </w:rPr>
            </w:pPr>
          </w:p>
        </w:tc>
        <w:tc>
          <w:tcPr>
            <w:tcW w:w="1120" w:type="dxa"/>
            <w:vAlign w:val="bottom"/>
          </w:tcPr>
          <w:p>
            <w:pPr>
              <w:jc w:val="right"/>
              <w:ind w:right="176"/>
              <w:spacing w:after="0" w:line="202" w:lineRule="exact"/>
              <w:rPr>
                <w:sz w:val="20"/>
                <w:szCs w:val="20"/>
                <w:color w:val="auto"/>
              </w:rPr>
            </w:pPr>
            <w:r>
              <w:rPr>
                <w:rFonts w:ascii="Arial" w:cs="Arial" w:eastAsia="Arial" w:hAnsi="Arial"/>
                <w:sz w:val="18"/>
                <w:szCs w:val="18"/>
                <w:b w:val="1"/>
                <w:bCs w:val="1"/>
                <w:color w:val="auto"/>
              </w:rPr>
              <w:t>387</w:t>
            </w:r>
          </w:p>
        </w:tc>
        <w:tc>
          <w:tcPr>
            <w:tcW w:w="340" w:type="dxa"/>
            <w:vAlign w:val="bottom"/>
          </w:tcPr>
          <w:p>
            <w:pPr>
              <w:spacing w:after="0"/>
              <w:rPr>
                <w:sz w:val="17"/>
                <w:szCs w:val="17"/>
                <w:color w:val="auto"/>
              </w:rPr>
            </w:pPr>
          </w:p>
        </w:tc>
        <w:tc>
          <w:tcPr>
            <w:tcW w:w="1140" w:type="dxa"/>
            <w:vAlign w:val="bottom"/>
          </w:tcPr>
          <w:p>
            <w:pPr>
              <w:jc w:val="right"/>
              <w:ind w:right="236"/>
              <w:spacing w:after="0" w:line="202" w:lineRule="exact"/>
              <w:rPr>
                <w:sz w:val="20"/>
                <w:szCs w:val="20"/>
                <w:color w:val="auto"/>
              </w:rPr>
            </w:pPr>
            <w:r>
              <w:rPr>
                <w:rFonts w:ascii="Arial" w:cs="Arial" w:eastAsia="Arial" w:hAnsi="Arial"/>
                <w:sz w:val="18"/>
                <w:szCs w:val="18"/>
                <w:b w:val="1"/>
                <w:bCs w:val="1"/>
                <w:color w:val="auto"/>
              </w:rPr>
              <w:t>0.01</w:t>
            </w:r>
          </w:p>
        </w:tc>
      </w:tr>
      <w:tr>
        <w:trPr>
          <w:trHeight w:val="203"/>
        </w:trPr>
        <w:tc>
          <w:tcPr>
            <w:tcW w:w="5840" w:type="dxa"/>
            <w:vAlign w:val="bottom"/>
            <w:gridSpan w:val="3"/>
          </w:tcPr>
          <w:p>
            <w:pPr>
              <w:spacing w:after="0" w:line="202" w:lineRule="exact"/>
              <w:rPr>
                <w:sz w:val="20"/>
                <w:szCs w:val="20"/>
                <w:color w:val="auto"/>
              </w:rPr>
            </w:pPr>
            <w:r>
              <w:rPr>
                <w:rFonts w:ascii="Arial" w:cs="Arial" w:eastAsia="Arial" w:hAnsi="Arial"/>
                <w:sz w:val="18"/>
                <w:szCs w:val="18"/>
                <w:color w:val="auto"/>
              </w:rPr>
              <w:t>Acquisition expenses</w:t>
            </w:r>
          </w:p>
        </w:tc>
        <w:tc>
          <w:tcPr>
            <w:tcW w:w="116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501</w:t>
            </w:r>
          </w:p>
        </w:tc>
        <w:tc>
          <w:tcPr>
            <w:tcW w:w="1480" w:type="dxa"/>
            <w:vAlign w:val="bottom"/>
            <w:gridSpan w:val="2"/>
          </w:tcPr>
          <w:p>
            <w:pPr>
              <w:jc w:val="right"/>
              <w:ind w:right="262"/>
              <w:spacing w:after="0" w:line="202" w:lineRule="exact"/>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17"/>
                <w:szCs w:val="17"/>
                <w:color w:val="auto"/>
              </w:rPr>
            </w:pPr>
          </w:p>
        </w:tc>
        <w:tc>
          <w:tcPr>
            <w:tcW w:w="1120" w:type="dxa"/>
            <w:vAlign w:val="bottom"/>
          </w:tcPr>
          <w:p>
            <w:pPr>
              <w:jc w:val="right"/>
              <w:ind w:right="176"/>
              <w:spacing w:after="0" w:line="202" w:lineRule="exact"/>
              <w:rPr>
                <w:sz w:val="20"/>
                <w:szCs w:val="20"/>
                <w:color w:val="auto"/>
              </w:rPr>
            </w:pPr>
            <w:r>
              <w:rPr>
                <w:rFonts w:ascii="Arial" w:cs="Arial" w:eastAsia="Arial" w:hAnsi="Arial"/>
                <w:sz w:val="18"/>
                <w:szCs w:val="18"/>
                <w:b w:val="1"/>
                <w:bCs w:val="1"/>
                <w:color w:val="auto"/>
              </w:rPr>
              <w:t>381</w:t>
            </w:r>
          </w:p>
        </w:tc>
        <w:tc>
          <w:tcPr>
            <w:tcW w:w="340" w:type="dxa"/>
            <w:vAlign w:val="bottom"/>
          </w:tcPr>
          <w:p>
            <w:pPr>
              <w:spacing w:after="0"/>
              <w:rPr>
                <w:sz w:val="17"/>
                <w:szCs w:val="17"/>
                <w:color w:val="auto"/>
              </w:rPr>
            </w:pPr>
          </w:p>
        </w:tc>
        <w:tc>
          <w:tcPr>
            <w:tcW w:w="1140" w:type="dxa"/>
            <w:vAlign w:val="bottom"/>
          </w:tcPr>
          <w:p>
            <w:pPr>
              <w:jc w:val="right"/>
              <w:ind w:right="236"/>
              <w:spacing w:after="0" w:line="202" w:lineRule="exact"/>
              <w:rPr>
                <w:sz w:val="20"/>
                <w:szCs w:val="20"/>
                <w:color w:val="auto"/>
              </w:rPr>
            </w:pPr>
            <w:r>
              <w:rPr>
                <w:rFonts w:ascii="Arial" w:cs="Arial" w:eastAsia="Arial" w:hAnsi="Arial"/>
                <w:sz w:val="18"/>
                <w:szCs w:val="18"/>
                <w:b w:val="1"/>
                <w:bCs w:val="1"/>
                <w:color w:val="auto"/>
              </w:rPr>
              <w:t>0.01</w:t>
            </w:r>
          </w:p>
        </w:tc>
      </w:tr>
      <w:tr>
        <w:trPr>
          <w:trHeight w:val="239"/>
        </w:trPr>
        <w:tc>
          <w:tcPr>
            <w:tcW w:w="5840" w:type="dxa"/>
            <w:vAlign w:val="bottom"/>
            <w:gridSpan w:val="3"/>
          </w:tcPr>
          <w:p>
            <w:pPr>
              <w:spacing w:after="0"/>
              <w:rPr>
                <w:sz w:val="20"/>
                <w:szCs w:val="20"/>
                <w:color w:val="auto"/>
              </w:rPr>
            </w:pPr>
            <w:r>
              <w:rPr>
                <w:rFonts w:ascii="Arial" w:cs="Arial" w:eastAsia="Arial" w:hAnsi="Arial"/>
                <w:sz w:val="18"/>
                <w:szCs w:val="18"/>
                <w:color w:val="auto"/>
              </w:rPr>
              <w:t>Retention agreement expense</w:t>
            </w:r>
          </w:p>
        </w:tc>
        <w:tc>
          <w:tcPr>
            <w:tcW w:w="1160" w:type="dxa"/>
            <w:vAlign w:val="bottom"/>
          </w:tcPr>
          <w:p>
            <w:pPr>
              <w:jc w:val="right"/>
              <w:ind w:right="216"/>
              <w:spacing w:after="0"/>
              <w:rPr>
                <w:sz w:val="20"/>
                <w:szCs w:val="20"/>
                <w:color w:val="auto"/>
              </w:rPr>
            </w:pPr>
            <w:r>
              <w:rPr>
                <w:rFonts w:ascii="Arial" w:cs="Arial" w:eastAsia="Arial" w:hAnsi="Arial"/>
                <w:sz w:val="18"/>
                <w:szCs w:val="18"/>
                <w:b w:val="1"/>
                <w:bCs w:val="1"/>
                <w:color w:val="auto"/>
              </w:rPr>
              <w:t>120</w:t>
            </w:r>
          </w:p>
        </w:tc>
        <w:tc>
          <w:tcPr>
            <w:tcW w:w="148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36</w:t>
            </w:r>
          </w:p>
        </w:tc>
        <w:tc>
          <w:tcPr>
            <w:tcW w:w="340" w:type="dxa"/>
            <w:vAlign w:val="bottom"/>
          </w:tcPr>
          <w:p>
            <w:pPr>
              <w:spacing w:after="0"/>
              <w:rPr>
                <w:sz w:val="20"/>
                <w:szCs w:val="20"/>
                <w:color w:val="auto"/>
              </w:rPr>
            </w:pPr>
          </w:p>
        </w:tc>
        <w:tc>
          <w:tcPr>
            <w:tcW w:w="1120" w:type="dxa"/>
            <w:vAlign w:val="bottom"/>
          </w:tcPr>
          <w:p>
            <w:pPr>
              <w:jc w:val="right"/>
              <w:ind w:right="196"/>
              <w:spacing w:after="0"/>
              <w:rPr>
                <w:sz w:val="20"/>
                <w:szCs w:val="20"/>
                <w:color w:val="auto"/>
              </w:rPr>
            </w:pPr>
            <w:r>
              <w:rPr>
                <w:rFonts w:ascii="Arial" w:cs="Arial" w:eastAsia="Arial" w:hAnsi="Arial"/>
                <w:sz w:val="18"/>
                <w:szCs w:val="18"/>
                <w:b w:val="1"/>
                <w:bCs w:val="1"/>
                <w:color w:val="auto"/>
              </w:rPr>
              <w:t>84</w:t>
            </w:r>
          </w:p>
        </w:tc>
        <w:tc>
          <w:tcPr>
            <w:tcW w:w="340" w:type="dxa"/>
            <w:vAlign w:val="bottom"/>
          </w:tcPr>
          <w:p>
            <w:pPr>
              <w:spacing w:after="0"/>
              <w:rPr>
                <w:sz w:val="20"/>
                <w:szCs w:val="20"/>
                <w:color w:val="auto"/>
              </w:rPr>
            </w:pPr>
          </w:p>
        </w:tc>
        <w:tc>
          <w:tcPr>
            <w:tcW w:w="114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r>
      <w:tr>
        <w:trPr>
          <w:trHeight w:val="33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 thousands, except per share amounts)</w:t>
            </w:r>
          </w:p>
        </w:tc>
        <w:tc>
          <w:tcPr>
            <w:tcW w:w="11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Pre tax</w:t>
            </w:r>
          </w:p>
        </w:tc>
        <w:tc>
          <w:tcPr>
            <w:tcW w:w="3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After tax</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2018</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Effect</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Effect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195"/>
        </w:trPr>
        <w:tc>
          <w:tcPr>
            <w:tcW w:w="2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expenses, net</w:t>
            </w:r>
          </w:p>
        </w:tc>
        <w:tc>
          <w:tcPr>
            <w:tcW w:w="340" w:type="dxa"/>
            <w:vAlign w:val="bottom"/>
          </w:tcPr>
          <w:p>
            <w:pPr>
              <w:spacing w:after="0"/>
              <w:rPr>
                <w:sz w:val="16"/>
                <w:szCs w:val="16"/>
                <w:color w:val="auto"/>
              </w:rPr>
            </w:pPr>
          </w:p>
        </w:tc>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$15,570</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$4,904</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ind w:right="156"/>
              <w:spacing w:after="0" w:line="195" w:lineRule="exact"/>
              <w:rPr>
                <w:sz w:val="20"/>
                <w:szCs w:val="20"/>
                <w:color w:val="auto"/>
              </w:rPr>
            </w:pPr>
            <w:r>
              <w:rPr>
                <w:rFonts w:ascii="Arial" w:cs="Arial" w:eastAsia="Arial" w:hAnsi="Arial"/>
                <w:sz w:val="18"/>
                <w:szCs w:val="18"/>
                <w:color w:val="auto"/>
              </w:rPr>
              <w:t>$10,666</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$ 0.34</w:t>
            </w:r>
          </w:p>
        </w:tc>
      </w:tr>
      <w:tr>
        <w:trPr>
          <w:trHeight w:val="203"/>
        </w:trPr>
        <w:tc>
          <w:tcPr>
            <w:tcW w:w="584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16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(341)</w:t>
            </w:r>
          </w:p>
        </w:tc>
        <w:tc>
          <w:tcPr>
            <w:tcW w:w="1480" w:type="dxa"/>
            <w:vAlign w:val="bottom"/>
            <w:gridSpan w:val="2"/>
          </w:tcPr>
          <w:p>
            <w:pPr>
              <w:jc w:val="right"/>
              <w:ind w:right="242"/>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1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(344)</w:t>
            </w:r>
          </w:p>
        </w:tc>
        <w:tc>
          <w:tcPr>
            <w:tcW w:w="340" w:type="dxa"/>
            <w:vAlign w:val="bottom"/>
          </w:tcPr>
          <w:p>
            <w:pPr>
              <w:spacing w:after="0"/>
              <w:rPr>
                <w:sz w:val="17"/>
                <w:szCs w:val="17"/>
                <w:color w:val="auto"/>
              </w:rPr>
            </w:pPr>
          </w:p>
        </w:tc>
        <w:tc>
          <w:tcPr>
            <w:tcW w:w="11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(0.01)</w:t>
            </w:r>
          </w:p>
        </w:tc>
      </w:tr>
      <w:tr>
        <w:trPr>
          <w:trHeight w:val="217"/>
        </w:trPr>
        <w:tc>
          <w:tcPr>
            <w:tcW w:w="5840" w:type="dxa"/>
            <w:vAlign w:val="bottom"/>
            <w:gridSpan w:val="3"/>
          </w:tcPr>
          <w:p>
            <w:pPr>
              <w:spacing w:after="0"/>
              <w:rPr>
                <w:sz w:val="20"/>
                <w:szCs w:val="20"/>
                <w:color w:val="auto"/>
              </w:rPr>
            </w:pPr>
            <w:r>
              <w:rPr>
                <w:rFonts w:ascii="Arial" w:cs="Arial" w:eastAsia="Arial" w:hAnsi="Arial"/>
                <w:sz w:val="18"/>
                <w:szCs w:val="18"/>
                <w:color w:val="auto"/>
              </w:rPr>
              <w:t>Net Pension settlement/curtailment charge</w:t>
            </w:r>
          </w:p>
        </w:tc>
        <w:tc>
          <w:tcPr>
            <w:tcW w:w="1160" w:type="dxa"/>
            <w:vAlign w:val="bottom"/>
          </w:tcPr>
          <w:p>
            <w:pPr>
              <w:jc w:val="right"/>
              <w:ind w:right="196"/>
              <w:spacing w:after="0"/>
              <w:rPr>
                <w:sz w:val="20"/>
                <w:szCs w:val="20"/>
                <w:color w:val="auto"/>
              </w:rPr>
            </w:pPr>
            <w:r>
              <w:rPr>
                <w:rFonts w:ascii="Arial" w:cs="Arial" w:eastAsia="Arial" w:hAnsi="Arial"/>
                <w:sz w:val="18"/>
                <w:szCs w:val="18"/>
                <w:color w:val="auto"/>
              </w:rPr>
              <w:t>1,494</w:t>
            </w:r>
          </w:p>
        </w:tc>
        <w:tc>
          <w:tcPr>
            <w:tcW w:w="1480" w:type="dxa"/>
            <w:vAlign w:val="bottom"/>
            <w:gridSpan w:val="2"/>
          </w:tcPr>
          <w:p>
            <w:pPr>
              <w:jc w:val="right"/>
              <w:ind w:right="242"/>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8"/>
                <w:szCs w:val="18"/>
                <w:color w:val="auto"/>
              </w:rPr>
            </w:pP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1,146</w:t>
            </w:r>
          </w:p>
        </w:tc>
        <w:tc>
          <w:tcPr>
            <w:tcW w:w="34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0.04</w:t>
            </w:r>
          </w:p>
        </w:tc>
      </w:tr>
      <w:tr>
        <w:trPr>
          <w:trHeight w:val="33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 thousands, except per share amounts)</w:t>
            </w:r>
          </w:p>
        </w:tc>
        <w:tc>
          <w:tcPr>
            <w:tcW w:w="11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Pre tax</w:t>
            </w:r>
          </w:p>
        </w:tc>
        <w:tc>
          <w:tcPr>
            <w:tcW w:w="3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After tax</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2017</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Effect</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Effect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195"/>
        </w:trPr>
        <w:tc>
          <w:tcPr>
            <w:tcW w:w="2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expenses, net</w:t>
            </w:r>
          </w:p>
        </w:tc>
        <w:tc>
          <w:tcPr>
            <w:tcW w:w="340" w:type="dxa"/>
            <w:vAlign w:val="bottom"/>
          </w:tcPr>
          <w:p>
            <w:pPr>
              <w:spacing w:after="0"/>
              <w:rPr>
                <w:sz w:val="16"/>
                <w:szCs w:val="16"/>
                <w:color w:val="auto"/>
              </w:rPr>
            </w:pPr>
          </w:p>
        </w:tc>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$13,491</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$4,768</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ind w:right="196"/>
              <w:spacing w:after="0" w:line="195" w:lineRule="exact"/>
              <w:rPr>
                <w:sz w:val="20"/>
                <w:szCs w:val="20"/>
                <w:color w:val="auto"/>
              </w:rPr>
            </w:pPr>
            <w:r>
              <w:rPr>
                <w:rFonts w:ascii="Arial" w:cs="Arial" w:eastAsia="Arial" w:hAnsi="Arial"/>
                <w:sz w:val="18"/>
                <w:szCs w:val="18"/>
                <w:color w:val="auto"/>
              </w:rPr>
              <w:t>$8,723</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right"/>
              <w:ind w:right="256"/>
              <w:spacing w:after="0" w:line="195" w:lineRule="exact"/>
              <w:rPr>
                <w:sz w:val="20"/>
                <w:szCs w:val="20"/>
                <w:color w:val="auto"/>
              </w:rPr>
            </w:pPr>
            <w:r>
              <w:rPr>
                <w:rFonts w:ascii="Arial" w:cs="Arial" w:eastAsia="Arial" w:hAnsi="Arial"/>
                <w:sz w:val="18"/>
                <w:szCs w:val="18"/>
                <w:color w:val="auto"/>
              </w:rPr>
              <w:t>$0.27</w:t>
            </w:r>
          </w:p>
        </w:tc>
      </w:tr>
      <w:tr>
        <w:trPr>
          <w:trHeight w:val="203"/>
        </w:trPr>
        <w:tc>
          <w:tcPr>
            <w:tcW w:w="584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1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8,761</w:t>
            </w:r>
          </w:p>
        </w:tc>
        <w:tc>
          <w:tcPr>
            <w:tcW w:w="1480" w:type="dxa"/>
            <w:vAlign w:val="bottom"/>
            <w:gridSpan w:val="2"/>
          </w:tcPr>
          <w:p>
            <w:pPr>
              <w:jc w:val="right"/>
              <w:ind w:right="222"/>
              <w:spacing w:after="0" w:line="202" w:lineRule="exact"/>
              <w:rPr>
                <w:sz w:val="20"/>
                <w:szCs w:val="20"/>
                <w:color w:val="auto"/>
              </w:rPr>
            </w:pPr>
            <w:r>
              <w:rPr>
                <w:rFonts w:ascii="Arial" w:cs="Arial" w:eastAsia="Arial" w:hAnsi="Arial"/>
                <w:sz w:val="18"/>
                <w:szCs w:val="18"/>
                <w:color w:val="auto"/>
              </w:rPr>
              <w:t>3,107</w:t>
            </w:r>
          </w:p>
        </w:tc>
        <w:tc>
          <w:tcPr>
            <w:tcW w:w="340" w:type="dxa"/>
            <w:vAlign w:val="bottom"/>
          </w:tcPr>
          <w:p>
            <w:pPr>
              <w:spacing w:after="0"/>
              <w:rPr>
                <w:sz w:val="17"/>
                <w:szCs w:val="17"/>
                <w:color w:val="auto"/>
              </w:rPr>
            </w:pPr>
          </w:p>
        </w:tc>
        <w:tc>
          <w:tcPr>
            <w:tcW w:w="11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5,654</w:t>
            </w:r>
          </w:p>
        </w:tc>
        <w:tc>
          <w:tcPr>
            <w:tcW w:w="340" w:type="dxa"/>
            <w:vAlign w:val="bottom"/>
          </w:tcPr>
          <w:p>
            <w:pPr>
              <w:spacing w:after="0"/>
              <w:rPr>
                <w:sz w:val="17"/>
                <w:szCs w:val="17"/>
                <w:color w:val="auto"/>
              </w:rPr>
            </w:pPr>
          </w:p>
        </w:tc>
        <w:tc>
          <w:tcPr>
            <w:tcW w:w="11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0.18</w:t>
            </w:r>
          </w:p>
        </w:tc>
      </w:tr>
      <w:tr>
        <w:trPr>
          <w:trHeight w:val="217"/>
        </w:trPr>
        <w:tc>
          <w:tcPr>
            <w:tcW w:w="5840" w:type="dxa"/>
            <w:vAlign w:val="bottom"/>
            <w:gridSpan w:val="3"/>
          </w:tcPr>
          <w:p>
            <w:pPr>
              <w:spacing w:after="0"/>
              <w:rPr>
                <w:sz w:val="20"/>
                <w:szCs w:val="20"/>
                <w:color w:val="auto"/>
              </w:rPr>
            </w:pPr>
            <w:r>
              <w:rPr>
                <w:rFonts w:ascii="Arial" w:cs="Arial" w:eastAsia="Arial" w:hAnsi="Arial"/>
                <w:sz w:val="18"/>
                <w:szCs w:val="18"/>
                <w:color w:val="auto"/>
              </w:rPr>
              <w:t>Write-off of inventory in a discontinued product line</w:t>
            </w:r>
          </w:p>
        </w:tc>
        <w:tc>
          <w:tcPr>
            <w:tcW w:w="1160" w:type="dxa"/>
            <w:vAlign w:val="bottom"/>
          </w:tcPr>
          <w:p>
            <w:pPr>
              <w:jc w:val="right"/>
              <w:ind w:right="196"/>
              <w:spacing w:after="0"/>
              <w:rPr>
                <w:sz w:val="20"/>
                <w:szCs w:val="20"/>
                <w:color w:val="auto"/>
              </w:rPr>
            </w:pPr>
            <w:r>
              <w:rPr>
                <w:rFonts w:ascii="Arial" w:cs="Arial" w:eastAsia="Arial" w:hAnsi="Arial"/>
                <w:sz w:val="18"/>
                <w:szCs w:val="18"/>
                <w:color w:val="auto"/>
              </w:rPr>
              <w:t>2,800</w:t>
            </w:r>
          </w:p>
        </w:tc>
        <w:tc>
          <w:tcPr>
            <w:tcW w:w="1480" w:type="dxa"/>
            <w:vAlign w:val="bottom"/>
            <w:gridSpan w:val="2"/>
          </w:tcPr>
          <w:p>
            <w:pPr>
              <w:jc w:val="right"/>
              <w:ind w:right="222"/>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18"/>
                <w:szCs w:val="18"/>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1,764</w:t>
            </w:r>
          </w:p>
        </w:tc>
        <w:tc>
          <w:tcPr>
            <w:tcW w:w="340" w:type="dxa"/>
            <w:vAlign w:val="bottom"/>
          </w:tcPr>
          <w:p>
            <w:pPr>
              <w:spacing w:after="0"/>
              <w:rPr>
                <w:sz w:val="18"/>
                <w:szCs w:val="18"/>
                <w:color w:val="auto"/>
              </w:rPr>
            </w:pPr>
          </w:p>
        </w:tc>
        <w:tc>
          <w:tcPr>
            <w:tcW w:w="1140" w:type="dxa"/>
            <w:vAlign w:val="bottom"/>
          </w:tcPr>
          <w:p>
            <w:pPr>
              <w:jc w:val="right"/>
              <w:ind w:right="276"/>
              <w:spacing w:after="0"/>
              <w:rPr>
                <w:sz w:val="20"/>
                <w:szCs w:val="20"/>
                <w:color w:val="auto"/>
              </w:rPr>
            </w:pPr>
            <w:r>
              <w:rPr>
                <w:rFonts w:ascii="Arial" w:cs="Arial" w:eastAsia="Arial" w:hAnsi="Arial"/>
                <w:sz w:val="18"/>
                <w:szCs w:val="18"/>
                <w:color w:val="auto"/>
              </w:rPr>
              <w:t>0.05</w:t>
            </w: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contains the calculation of full-year Adjusted EPS, excluding adjustments: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64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Per share amounts (Basic)</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6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26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61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Earnings per share (GAAP)</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$ 4.10</w:t>
            </w:r>
          </w:p>
        </w:tc>
        <w:tc>
          <w:tcPr>
            <w:tcW w:w="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$ 2.57</w:t>
            </w:r>
          </w:p>
        </w:tc>
        <w:tc>
          <w:tcPr>
            <w:tcW w:w="2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rPr>
              <w:t>$1.03</w:t>
            </w:r>
          </w:p>
        </w:tc>
        <w:tc>
          <w:tcPr>
            <w:tcW w:w="28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6420" w:type="dxa"/>
            <w:vAlign w:val="bottom"/>
            <w:gridSpan w:val="5"/>
          </w:tcPr>
          <w:p>
            <w:pPr>
              <w:spacing w:after="0" w:line="202" w:lineRule="exact"/>
              <w:rPr>
                <w:sz w:val="20"/>
                <w:szCs w:val="20"/>
                <w:color w:val="auto"/>
              </w:rPr>
            </w:pPr>
            <w:r>
              <w:rPr>
                <w:rFonts w:ascii="Arial" w:cs="Arial" w:eastAsia="Arial" w:hAnsi="Arial"/>
                <w:sz w:val="18"/>
                <w:szCs w:val="18"/>
                <w:color w:val="auto"/>
              </w:rPr>
              <w:t>Adjustments, after tax:</w:t>
            </w:r>
          </w:p>
        </w:tc>
        <w:tc>
          <w:tcPr>
            <w:tcW w:w="1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420" w:type="dxa"/>
            <w:vAlign w:val="bottom"/>
            <w:gridSpan w:val="5"/>
          </w:tcPr>
          <w:p>
            <w:pPr>
              <w:spacing w:after="0" w:line="181" w:lineRule="exact"/>
              <w:rPr>
                <w:sz w:val="20"/>
                <w:szCs w:val="20"/>
                <w:color w:val="auto"/>
              </w:rPr>
            </w:pPr>
            <w:r>
              <w:rPr>
                <w:rFonts w:ascii="Arial" w:cs="Arial" w:eastAsia="Arial" w:hAnsi="Arial"/>
                <w:sz w:val="18"/>
                <w:szCs w:val="18"/>
                <w:color w:val="auto"/>
              </w:rPr>
              <w:t>Restructuring expenses, net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60" w:type="dxa"/>
            <w:vAlign w:val="bottom"/>
            <w:gridSpan w:val="5"/>
          </w:tcPr>
          <w:p>
            <w:pPr>
              <w:jc w:val="right"/>
              <w:spacing w:after="0" w:line="181" w:lineRule="exact"/>
              <w:rPr>
                <w:sz w:val="20"/>
                <w:szCs w:val="20"/>
                <w:color w:val="auto"/>
              </w:rPr>
            </w:pPr>
            <w:r>
              <w:rPr>
                <w:rFonts w:ascii="Arial" w:cs="Arial" w:eastAsia="Arial" w:hAnsi="Arial"/>
                <w:sz w:val="18"/>
                <w:szCs w:val="18"/>
                <w:color w:val="auto"/>
              </w:rPr>
              <w:t>0.34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0.27</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6420" w:type="dxa"/>
            <w:vAlign w:val="bottom"/>
            <w:gridSpan w:val="5"/>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(0.07)</w:t>
            </w:r>
          </w:p>
        </w:tc>
        <w:tc>
          <w:tcPr>
            <w:tcW w:w="12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(0.01)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6420" w:type="dxa"/>
            <w:vAlign w:val="bottom"/>
            <w:gridSpan w:val="5"/>
          </w:tcPr>
          <w:p>
            <w:pPr>
              <w:spacing w:after="0" w:line="202" w:lineRule="exact"/>
              <w:rPr>
                <w:sz w:val="20"/>
                <w:szCs w:val="20"/>
                <w:color w:val="auto"/>
              </w:rPr>
            </w:pPr>
            <w:r>
              <w:rPr>
                <w:rFonts w:ascii="Arial" w:cs="Arial" w:eastAsia="Arial" w:hAnsi="Arial"/>
                <w:sz w:val="18"/>
                <w:szCs w:val="18"/>
                <w:color w:val="auto"/>
              </w:rPr>
              <w:t>Write-off of inventory in a discontinued product line</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center"/>
              <w:ind w:left="353"/>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0.05</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6420" w:type="dxa"/>
            <w:vAlign w:val="bottom"/>
            <w:gridSpan w:val="5"/>
          </w:tcPr>
          <w:p>
            <w:pPr>
              <w:spacing w:after="0" w:line="202" w:lineRule="exact"/>
              <w:rPr>
                <w:sz w:val="20"/>
                <w:szCs w:val="20"/>
                <w:color w:val="auto"/>
              </w:rPr>
            </w:pPr>
            <w:r>
              <w:rPr>
                <w:rFonts w:ascii="Arial" w:cs="Arial" w:eastAsia="Arial" w:hAnsi="Arial"/>
                <w:sz w:val="18"/>
                <w:szCs w:val="18"/>
                <w:color w:val="auto"/>
              </w:rPr>
              <w:t>Pension settlement/curtailment charge</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0.01</w:t>
            </w:r>
          </w:p>
        </w:tc>
        <w:tc>
          <w:tcPr>
            <w:tcW w:w="12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0.04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Arial" w:cs="Arial" w:eastAsia="Arial" w:hAnsi="Arial"/>
                <w:sz w:val="18"/>
                <w:szCs w:val="18"/>
                <w:color w:val="auto"/>
              </w:rPr>
              <w:t>Acquisition expenses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420" w:type="dxa"/>
            <w:vAlign w:val="bottom"/>
            <w:gridSpan w:val="5"/>
          </w:tcPr>
          <w:p>
            <w:pPr>
              <w:spacing w:after="0" w:line="196" w:lineRule="exact"/>
              <w:rPr>
                <w:sz w:val="20"/>
                <w:szCs w:val="20"/>
                <w:color w:val="auto"/>
              </w:rPr>
            </w:pPr>
            <w:r>
              <w:rPr>
                <w:rFonts w:ascii="Arial" w:cs="Arial" w:eastAsia="Arial" w:hAnsi="Arial"/>
                <w:sz w:val="18"/>
                <w:szCs w:val="18"/>
                <w:color w:val="auto"/>
              </w:rPr>
              <w:t>Adjusted earnings per share (non-GAAP)</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$ 4.11</w:t>
            </w:r>
          </w:p>
        </w:tc>
        <w:tc>
          <w:tcPr>
            <w:tcW w:w="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$ 2.94</w:t>
            </w:r>
          </w:p>
        </w:tc>
        <w:tc>
          <w:tcPr>
            <w:tcW w:w="2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$1.53</w:t>
            </w:r>
          </w:p>
        </w:tc>
        <w:tc>
          <w:tcPr>
            <w:tcW w:w="2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gridSpan w:val="6"/>
            <w:vMerge w:val="restart"/>
          </w:tcPr>
          <w:p>
            <w:pPr>
              <w:spacing w:after="0"/>
              <w:rPr>
                <w:sz w:val="20"/>
                <w:szCs w:val="20"/>
                <w:color w:val="auto"/>
              </w:rPr>
            </w:pPr>
            <w:r>
              <w:rPr>
                <w:rFonts w:ascii="Arial" w:cs="Arial" w:eastAsia="Arial" w:hAnsi="Arial"/>
                <w:sz w:val="18"/>
                <w:szCs w:val="18"/>
                <w:color w:val="auto"/>
              </w:rPr>
              <w:t>The following table contains the calculation of net debt: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0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642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Notes and loans payable</w:t>
            </w:r>
          </w:p>
        </w:tc>
        <w:tc>
          <w:tcPr>
            <w:tcW w:w="340" w:type="dxa"/>
            <w:vAlign w:val="bottom"/>
            <w:gridSpan w:val="2"/>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ind w:right="33"/>
              <w:spacing w:after="0" w:line="173"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780" w:type="dxa"/>
            <w:vAlign w:val="bottom"/>
            <w:tcBorders>
              <w:top w:val="single" w:sz="8" w:color="auto"/>
            </w:tcBorders>
          </w:tcPr>
          <w:p>
            <w:pPr>
              <w:jc w:val="right"/>
              <w:ind w:right="313"/>
              <w:spacing w:after="0" w:line="17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tcPr>
          <w:p>
            <w:pPr>
              <w:jc w:val="right"/>
              <w:ind w:right="280"/>
              <w:spacing w:after="0" w:line="173" w:lineRule="exact"/>
              <w:rPr>
                <w:sz w:val="20"/>
                <w:szCs w:val="20"/>
                <w:color w:val="auto"/>
              </w:rPr>
            </w:pPr>
            <w:r>
              <w:rPr>
                <w:rFonts w:ascii="Arial" w:cs="Arial" w:eastAsia="Arial" w:hAnsi="Arial"/>
                <w:sz w:val="18"/>
                <w:szCs w:val="18"/>
                <w:color w:val="auto"/>
                <w:w w:val="88"/>
              </w:rPr>
              <w:t>—</w:t>
            </w: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tcPr>
          <w:p>
            <w:pPr>
              <w:jc w:val="right"/>
              <w:ind w:right="280"/>
              <w:spacing w:after="0" w:line="173"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6420" w:type="dxa"/>
            <w:vAlign w:val="bottom"/>
            <w:gridSpan w:val="5"/>
          </w:tcPr>
          <w:p>
            <w:pPr>
              <w:ind w:left="14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7"/>
                <w:szCs w:val="17"/>
                <w:color w:val="auto"/>
              </w:rPr>
            </w:pPr>
          </w:p>
        </w:tc>
        <w:tc>
          <w:tcPr>
            <w:tcW w:w="6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20</w:t>
            </w:r>
          </w:p>
        </w:tc>
        <w:tc>
          <w:tcPr>
            <w:tcW w:w="1720" w:type="dxa"/>
            <w:vAlign w:val="bottom"/>
            <w:gridSpan w:val="7"/>
          </w:tcPr>
          <w:p>
            <w:pPr>
              <w:jc w:val="right"/>
              <w:ind w:right="260"/>
              <w:spacing w:after="0" w:line="202" w:lineRule="exact"/>
              <w:rPr>
                <w:sz w:val="20"/>
                <w:szCs w:val="20"/>
                <w:color w:val="auto"/>
              </w:rPr>
            </w:pPr>
            <w:r>
              <w:rPr>
                <w:rFonts w:ascii="Arial" w:cs="Arial" w:eastAsia="Arial" w:hAnsi="Arial"/>
                <w:sz w:val="18"/>
                <w:szCs w:val="18"/>
                <w:color w:val="auto"/>
              </w:rPr>
              <w:t>1,224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6420" w:type="dxa"/>
            <w:vAlign w:val="bottom"/>
            <w:gridSpan w:val="5"/>
          </w:tcPr>
          <w:p>
            <w:pPr>
              <w:ind w:left="140"/>
              <w:spacing w:after="0"/>
              <w:rPr>
                <w:sz w:val="20"/>
                <w:szCs w:val="20"/>
                <w:color w:val="auto"/>
              </w:rPr>
            </w:pPr>
            <w:r>
              <w:rPr>
                <w:rFonts w:ascii="Arial" w:cs="Arial" w:eastAsia="Arial" w:hAnsi="Arial"/>
                <w:sz w:val="18"/>
                <w:szCs w:val="18"/>
                <w:color w:val="auto"/>
              </w:rPr>
              <w:t>Long-term debt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424,009</w:t>
            </w:r>
          </w:p>
        </w:tc>
        <w:tc>
          <w:tcPr>
            <w:tcW w:w="1720" w:type="dxa"/>
            <w:vAlign w:val="bottom"/>
            <w:gridSpan w:val="7"/>
          </w:tcPr>
          <w:p>
            <w:pPr>
              <w:jc w:val="right"/>
              <w:ind w:right="260"/>
              <w:spacing w:after="0"/>
              <w:rPr>
                <w:sz w:val="20"/>
                <w:szCs w:val="20"/>
                <w:color w:val="auto"/>
              </w:rPr>
            </w:pPr>
            <w:r>
              <w:rPr>
                <w:rFonts w:ascii="Arial" w:cs="Arial" w:eastAsia="Arial" w:hAnsi="Arial"/>
                <w:sz w:val="18"/>
                <w:szCs w:val="18"/>
                <w:color w:val="auto"/>
              </w:rPr>
              <w:t>523,707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color w:val="auto"/>
              </w:rPr>
              <w:t>514,120</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gridSpan w:val="4"/>
          </w:tcPr>
          <w:p>
            <w:pPr>
              <w:ind w:left="140"/>
              <w:spacing w:after="0" w:line="173" w:lineRule="exact"/>
              <w:rPr>
                <w:sz w:val="20"/>
                <w:szCs w:val="20"/>
                <w:color w:val="auto"/>
              </w:rPr>
            </w:pPr>
            <w:r>
              <w:rPr>
                <w:rFonts w:ascii="Arial" w:cs="Arial" w:eastAsia="Arial" w:hAnsi="Arial"/>
                <w:sz w:val="18"/>
                <w:szCs w:val="18"/>
                <w:b w:val="1"/>
                <w:bCs w:val="1"/>
                <w:color w:val="auto"/>
              </w:rPr>
              <w:t>Total debt</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8"/>
                <w:szCs w:val="18"/>
                <w:b w:val="1"/>
                <w:bCs w:val="1"/>
                <w:color w:val="auto"/>
              </w:rPr>
              <w:t>424,029</w:t>
            </w:r>
          </w:p>
        </w:tc>
        <w:tc>
          <w:tcPr>
            <w:tcW w:w="180" w:type="dxa"/>
            <w:vAlign w:val="bottom"/>
            <w:tcBorders>
              <w:top w:val="single" w:sz="8" w:color="auto"/>
            </w:tcBorders>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1240" w:type="dxa"/>
            <w:vAlign w:val="bottom"/>
            <w:tcBorders>
              <w:top w:val="single" w:sz="8" w:color="auto"/>
            </w:tcBorders>
            <w:gridSpan w:val="3"/>
          </w:tcPr>
          <w:p>
            <w:pPr>
              <w:jc w:val="right"/>
              <w:ind w:right="260"/>
              <w:spacing w:after="0" w:line="173" w:lineRule="exact"/>
              <w:rPr>
                <w:sz w:val="20"/>
                <w:szCs w:val="20"/>
                <w:color w:val="auto"/>
              </w:rPr>
            </w:pPr>
            <w:r>
              <w:rPr>
                <w:rFonts w:ascii="Arial" w:cs="Arial" w:eastAsia="Arial" w:hAnsi="Arial"/>
                <w:sz w:val="18"/>
                <w:szCs w:val="18"/>
                <w:color w:val="auto"/>
              </w:rPr>
              <w:t>524,931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gridSpan w:val="3"/>
          </w:tcPr>
          <w:p>
            <w:pPr>
              <w:jc w:val="right"/>
              <w:ind w:right="260"/>
              <w:spacing w:after="0" w:line="173" w:lineRule="exact"/>
              <w:rPr>
                <w:sz w:val="20"/>
                <w:szCs w:val="20"/>
                <w:color w:val="auto"/>
              </w:rPr>
            </w:pPr>
            <w:r>
              <w:rPr>
                <w:rFonts w:ascii="Arial" w:cs="Arial" w:eastAsia="Arial" w:hAnsi="Arial"/>
                <w:sz w:val="18"/>
                <w:szCs w:val="18"/>
                <w:color w:val="auto"/>
              </w:rPr>
              <w:t>516,181</w:t>
            </w: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6420" w:type="dxa"/>
            <w:vAlign w:val="bottom"/>
            <w:gridSpan w:val="5"/>
          </w:tcPr>
          <w:p>
            <w:pPr>
              <w:ind w:left="1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195,540</w:t>
            </w:r>
          </w:p>
        </w:tc>
        <w:tc>
          <w:tcPr>
            <w:tcW w:w="1720" w:type="dxa"/>
            <w:vAlign w:val="bottom"/>
            <w:gridSpan w:val="7"/>
          </w:tcPr>
          <w:p>
            <w:pPr>
              <w:jc w:val="right"/>
              <w:ind w:right="260"/>
              <w:spacing w:after="0"/>
              <w:rPr>
                <w:sz w:val="20"/>
                <w:szCs w:val="20"/>
                <w:color w:val="auto"/>
              </w:rPr>
            </w:pPr>
            <w:r>
              <w:rPr>
                <w:rFonts w:ascii="Arial" w:cs="Arial" w:eastAsia="Arial" w:hAnsi="Arial"/>
                <w:sz w:val="18"/>
                <w:szCs w:val="18"/>
                <w:color w:val="auto"/>
              </w:rPr>
              <w:t>197,755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200" w:type="dxa"/>
            <w:vAlign w:val="bottom"/>
            <w:gridSpan w:val="4"/>
          </w:tcPr>
          <w:p>
            <w:pPr>
              <w:ind w:left="140"/>
              <w:spacing w:after="0" w:line="196" w:lineRule="exact"/>
              <w:rPr>
                <w:sz w:val="20"/>
                <w:szCs w:val="20"/>
                <w:color w:val="auto"/>
              </w:rPr>
            </w:pPr>
            <w:r>
              <w:rPr>
                <w:rFonts w:ascii="Arial" w:cs="Arial" w:eastAsia="Arial" w:hAnsi="Arial"/>
                <w:sz w:val="18"/>
                <w:szCs w:val="18"/>
                <w:b w:val="1"/>
                <w:bCs w:val="1"/>
                <w:color w:val="auto"/>
              </w:rPr>
              <w:t>Net debt</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8"/>
              </w:rPr>
              <w:t>$228,489</w:t>
            </w:r>
          </w:p>
        </w:tc>
        <w:tc>
          <w:tcPr>
            <w:tcW w:w="180" w:type="dxa"/>
            <w:vAlign w:val="bottom"/>
            <w:tcBorders>
              <w:top w:val="single" w:sz="8" w:color="auto"/>
              <w:bottom w:val="single" w:sz="8" w:color="auto"/>
            </w:tcBorders>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4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rPr>
              <w:t>$327,176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gridSpan w:val="3"/>
          </w:tcPr>
          <w:p>
            <w:pPr>
              <w:ind w:left="240"/>
              <w:spacing w:after="0" w:line="196" w:lineRule="exact"/>
              <w:rPr>
                <w:sz w:val="20"/>
                <w:szCs w:val="20"/>
                <w:color w:val="auto"/>
              </w:rPr>
            </w:pPr>
            <w:r>
              <w:rPr>
                <w:rFonts w:ascii="Arial" w:cs="Arial" w:eastAsia="Arial" w:hAnsi="Arial"/>
                <w:sz w:val="18"/>
                <w:szCs w:val="18"/>
                <w:color w:val="auto"/>
              </w:rPr>
              <w:t>$332,454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26" w:lineRule="exact"/>
        <w:rPr>
          <w:sz w:val="20"/>
          <w:szCs w:val="20"/>
          <w:color w:val="auto"/>
        </w:rPr>
      </w:pPr>
    </w:p>
    <w:p>
      <w:pPr>
        <w:ind w:right="160" w:firstLine="37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6" w:lineRule="exact"/>
        <w:rPr>
          <w:sz w:val="20"/>
          <w:szCs w:val="20"/>
          <w:color w:val="auto"/>
        </w:rPr>
      </w:pPr>
    </w:p>
    <w:p>
      <w:pPr>
        <w:ind w:right="100" w:firstLine="37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$570.2 million. The potential loss in fair value resulting from a hypothetical 10 percent adverse change in quoted foreign currency exchange rates amounts to $57.0 million. Furthermore, related to foreign currency transactions, we have exposure to various nonfunctional currency balances totaling $77.9 million. This amount includes, on an absolute basis, exposures to assets and liabilities held in currencies other than our local entity’s functional currency. On a net basis, we had $25.4 million of foreign currency assets as of December 31, 2019. As currency rates change, these nonfunctional currency balances are revalued, and the corresponding adjustment is recorded in the income statement. A hypothetical change of 10 percent in currency rates could result in an adjustment to the income statement of approximately $2.5 million. Actual results may differ.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December 31, 2019, we had the following variable rate debt: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(in thousands, except interest rates)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Long-term debt</w:t>
      </w:r>
    </w:p>
    <w:tbl>
      <w:tblPr>
        <w:tblLayout w:type="fixed"/>
        <w:tblInd w:w="520" w:type="dxa"/>
        <w:tblCellMar>
          <w:top w:w="0" w:type="dxa"/>
          <w:left w:w="0" w:type="dxa"/>
          <w:bottom w:w="0" w:type="dxa"/>
          <w:right w:w="0" w:type="dxa"/>
        </w:tblCellMar>
      </w:tblP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 3.185%</w:t>
            </w:r>
          </w:p>
        </w:tc>
        <w:tc>
          <w:tcPr>
            <w:tcW w:w="1040" w:type="dxa"/>
            <w:vAlign w:val="bottom"/>
          </w:tcPr>
          <w:p>
            <w:pPr>
              <w:spacing w:after="0"/>
              <w:rPr>
                <w:sz w:val="17"/>
                <w:szCs w:val="17"/>
                <w:color w:val="auto"/>
              </w:rPr>
            </w:pPr>
          </w:p>
        </w:tc>
      </w:tr>
      <w:tr>
        <w:trPr>
          <w:trHeight w:val="203"/>
        </w:trPr>
        <w:tc>
          <w:tcPr>
            <w:tcW w:w="9360" w:type="dxa"/>
            <w:vAlign w:val="bottom"/>
          </w:tcPr>
          <w:p>
            <w:pPr>
              <w:ind w:left="180"/>
              <w:spacing w:after="0" w:line="203" w:lineRule="exact"/>
              <w:rPr>
                <w:sz w:val="20"/>
                <w:szCs w:val="20"/>
                <w:color w:val="auto"/>
              </w:rPr>
            </w:pPr>
            <w:r>
              <w:rPr>
                <w:rFonts w:ascii="Arial" w:cs="Arial" w:eastAsia="Arial" w:hAnsi="Arial"/>
                <w:sz w:val="18"/>
                <w:szCs w:val="18"/>
                <w:color w:val="auto"/>
              </w:rPr>
              <w:t>in 2019, due in 2022</w:t>
            </w:r>
          </w:p>
        </w:tc>
        <w:tc>
          <w:tcPr>
            <w:tcW w:w="10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$74,000</w:t>
            </w:r>
          </w:p>
        </w:tc>
      </w:tr>
      <w:tr>
        <w:trPr>
          <w:trHeight w:val="196"/>
        </w:trPr>
        <w:tc>
          <w:tcPr>
            <w:tcW w:w="93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$74,000</w:t>
            </w:r>
          </w:p>
        </w:tc>
      </w:tr>
    </w:tbl>
    <w:p>
      <w:pPr>
        <w:spacing w:after="0" w:line="188"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increase/decrease interest expense by $0.7 million. To manage interest rate risk, we may periodically enter into interest rate swap agreements to effectively fix the interest rates on variable debt to a specific rate for a period of time. (See Note 18 to the Consolidated Financial Statements in Item 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7"/>
          </w:tcPr>
          <w:p>
            <w:pPr>
              <w:ind w:left="18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0" w:type="dxa"/>
            <w:vAlign w:val="bottom"/>
          </w:tcPr>
          <w:p>
            <w:pPr>
              <w:spacing w:after="0"/>
              <w:rPr>
                <w:sz w:val="24"/>
                <w:szCs w:val="24"/>
                <w:color w:val="auto"/>
              </w:rPr>
            </w:pPr>
          </w:p>
        </w:tc>
      </w:tr>
      <w:tr>
        <w:trPr>
          <w:trHeight w:val="311"/>
        </w:trPr>
        <w:tc>
          <w:tcPr>
            <w:tcW w:w="1098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00" w:type="dxa"/>
            <w:vAlign w:val="bottom"/>
          </w:tcPr>
          <w:p>
            <w:pPr>
              <w:spacing w:after="0"/>
              <w:rPr>
                <w:sz w:val="24"/>
                <w:szCs w:val="24"/>
                <w:color w:val="auto"/>
              </w:rPr>
            </w:pPr>
          </w:p>
        </w:tc>
      </w:tr>
      <w:tr>
        <w:trPr>
          <w:trHeight w:val="567"/>
        </w:trPr>
        <w:tc>
          <w:tcPr>
            <w:tcW w:w="1098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Reports of Independent Registered Public Accounting Firm</w:t>
              </w:r>
            </w:hyperlink>
          </w:p>
        </w:tc>
        <w:tc>
          <w:tcPr>
            <w:tcW w:w="200" w:type="dxa"/>
            <w:vAlign w:val="bottom"/>
          </w:tcPr>
          <w:p>
            <w:pPr>
              <w:jc w:val="right"/>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r>
      <w:tr>
        <w:trPr>
          <w:trHeight w:val="20"/>
        </w:trPr>
        <w:tc>
          <w:tcPr>
            <w:tcW w:w="352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58"/>
        </w:trPr>
        <w:tc>
          <w:tcPr>
            <w:tcW w:w="1098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Income for the years ended December 31, 2019, 2018, and 2017</w:t>
              </w:r>
            </w:hyperlink>
          </w:p>
        </w:tc>
        <w:tc>
          <w:tcPr>
            <w:tcW w:w="200" w:type="dxa"/>
            <w:vAlign w:val="bottom"/>
          </w:tcPr>
          <w:p>
            <w:pPr>
              <w:jc w:val="right"/>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r>
      <w:tr>
        <w:trPr>
          <w:trHeight w:val="20"/>
        </w:trPr>
        <w:tc>
          <w:tcPr>
            <w:tcW w:w="3520" w:type="dxa"/>
            <w:vAlign w:val="bottom"/>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58"/>
        </w:trPr>
        <w:tc>
          <w:tcPr>
            <w:tcW w:w="1098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 xml:space="preserve">Consolidated Statements of Comprehensive Income for the years ended December 31, </w:t>
              </w:r>
            </w:hyperlink>
            <w:r>
              <w:rPr>
                <w:rFonts w:ascii="Arial" w:cs="Arial" w:eastAsia="Arial" w:hAnsi="Arial"/>
                <w:sz w:val="18"/>
                <w:szCs w:val="18"/>
                <w:color w:val="0000EE"/>
              </w:rPr>
              <w:t xml:space="preserve">2019,2018, </w:t>
            </w:r>
            <w:hyperlink w:anchor="page49">
              <w:r>
                <w:rPr>
                  <w:rFonts w:ascii="Arial" w:cs="Arial" w:eastAsia="Arial" w:hAnsi="Arial"/>
                  <w:sz w:val="18"/>
                  <w:szCs w:val="18"/>
                  <w:color w:val="0000EE"/>
                </w:rPr>
                <w:t>and 2017</w:t>
              </w:r>
            </w:hyperlink>
          </w:p>
        </w:tc>
        <w:tc>
          <w:tcPr>
            <w:tcW w:w="200" w:type="dxa"/>
            <w:vAlign w:val="bottom"/>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r>
      <w:tr>
        <w:trPr>
          <w:trHeight w:val="358"/>
        </w:trPr>
        <w:tc>
          <w:tcPr>
            <w:tcW w:w="8700" w:type="dxa"/>
            <w:vAlign w:val="bottom"/>
            <w:tcBorders>
              <w:top w:val="single" w:sz="8" w:color="0000EE"/>
            </w:tcBorders>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2019 and 2018</w:t>
              </w:r>
            </w:hyperlink>
          </w:p>
        </w:tc>
        <w:tc>
          <w:tcPr>
            <w:tcW w:w="2280" w:type="dxa"/>
            <w:vAlign w:val="bottom"/>
          </w:tcPr>
          <w:p>
            <w:pPr>
              <w:spacing w:after="0"/>
              <w:rPr>
                <w:sz w:val="24"/>
                <w:szCs w:val="24"/>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r>
      <w:tr>
        <w:trPr>
          <w:trHeight w:val="20"/>
        </w:trPr>
        <w:tc>
          <w:tcPr>
            <w:tcW w:w="3520" w:type="dxa"/>
            <w:vAlign w:val="bottom"/>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58"/>
        </w:trPr>
        <w:tc>
          <w:tcPr>
            <w:tcW w:w="78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Consolidated Statements of Cash Flows for the years ended December 31, 2019, 2018, and 2017</w:t>
              </w:r>
            </w:hyperlink>
          </w:p>
        </w:tc>
        <w:tc>
          <w:tcPr>
            <w:tcW w:w="3180" w:type="dxa"/>
            <w:vAlign w:val="bottom"/>
            <w:gridSpan w:val="2"/>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r>
      <w:tr>
        <w:trPr>
          <w:trHeight w:val="358"/>
        </w:trPr>
        <w:tc>
          <w:tcPr>
            <w:tcW w:w="35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Notes to Consolidated Financial Statements</w:t>
              </w:r>
            </w:hyperlink>
          </w:p>
        </w:tc>
        <w:tc>
          <w:tcPr>
            <w:tcW w:w="7460" w:type="dxa"/>
            <w:vAlign w:val="bottom"/>
            <w:gridSpan w:val="6"/>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rPr>
          <w:sz w:val="20"/>
          <w:szCs w:val="20"/>
          <w:color w:val="auto"/>
        </w:rPr>
      </w:pPr>
      <w:r>
        <w:rPr>
          <w:rFonts w:ascii="Arial" w:cs="Arial" w:eastAsia="Arial" w:hAnsi="Arial"/>
          <w:sz w:val="18"/>
          <w:szCs w:val="18"/>
          <w:color w:val="auto"/>
        </w:rPr>
        <w:t>Albany International Corp.: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audited the accompanying consolidated balance sheets of Albany International Corp. and subsidiaries (the Company) as of December 31, 2019 and 2018, the related consolidated statements of income, comprehensive income, and cash flows for each of the years in the three-year period ended December 31, 2019,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97" w:lineRule="exact"/>
        <w:rPr>
          <w:sz w:val="20"/>
          <w:szCs w:val="20"/>
          <w:color w:val="auto"/>
        </w:rPr>
      </w:pPr>
    </w:p>
    <w:p>
      <w:pPr>
        <w:jc w:val="both"/>
        <w:ind w:right="400"/>
        <w:spacing w:after="0" w:line="23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effectiveness of the Company’s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2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 xml:space="preserve">As discussed in Notes 1 and 2 to the consolidated financial statements, the Company has changed its method of accounting for revenue as of January 1, 2018 due to the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2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Evaluation of estimated total contract costs at completion for Albany Engineered Composites revenue recognition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discussed in Note 2 to the consolidated financial statements, the Albany Engineered Composites (AEC) segment had net sales of</w:t>
      </w:r>
    </w:p>
    <w:p>
      <w:pPr>
        <w:ind w:left="380" w:right="60"/>
        <w:spacing w:after="0" w:line="239" w:lineRule="auto"/>
        <w:rPr>
          <w:sz w:val="20"/>
          <w:szCs w:val="20"/>
          <w:color w:val="auto"/>
        </w:rPr>
      </w:pPr>
      <w:r>
        <w:rPr>
          <w:rFonts w:ascii="Arial" w:cs="Arial" w:eastAsia="Arial" w:hAnsi="Arial"/>
          <w:sz w:val="18"/>
          <w:szCs w:val="18"/>
          <w:color w:val="auto"/>
        </w:rPr>
        <w:t>$452.9 million for the year ended December 31, 2019 of which $424.3 million was recognized over time as costs are incurred.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w:t>
      </w:r>
    </w:p>
    <w:p>
      <w:pPr>
        <w:spacing w:after="0" w:line="94" w:lineRule="exact"/>
        <w:rPr>
          <w:sz w:val="20"/>
          <w:szCs w:val="20"/>
          <w:color w:val="auto"/>
        </w:rPr>
      </w:pPr>
    </w:p>
    <w:p>
      <w:pPr>
        <w:ind w:left="380" w:right="240"/>
        <w:spacing w:after="0"/>
        <w:rPr>
          <w:sz w:val="20"/>
          <w:szCs w:val="20"/>
          <w:color w:val="auto"/>
        </w:rPr>
      </w:pPr>
      <w:r>
        <w:rPr>
          <w:rFonts w:ascii="Arial" w:cs="Arial" w:eastAsia="Arial" w:hAnsi="Arial"/>
          <w:sz w:val="18"/>
          <w:szCs w:val="18"/>
          <w:color w:val="auto"/>
        </w:rPr>
        <w:t>We identified the evaluation of estimated total contract costs at completion to recognize revenue for certain AEC contracts as a critical audit matter because of the varied nature and inherent complexities of the contractual performance obligations. A high degree of auditor judgment was required to evaluate the estimates of total contract costs, primarily material and labor, at completion for those contracts.</w:t>
      </w:r>
    </w:p>
    <w:p>
      <w:pPr>
        <w:spacing w:after="0" w:line="95"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controls over the Company’s estimated costs at completion process, including controls related to developing forecasted material and labor costs. We read relevant agreements, including amendments, to identify significant contract terms and compared the terms to the Company’s recognition of revenue for these contracts. We inspected the Company’s analysis of the contract’s status, including forecasted costs, which we compared against historical costs, and assessed changes to gross margin.</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Evaluation of the Machine Clothing revenue recognized at a point in time</w:t>
      </w:r>
    </w:p>
    <w:p>
      <w:pPr>
        <w:spacing w:after="0" w:line="122" w:lineRule="exact"/>
        <w:rPr>
          <w:sz w:val="20"/>
          <w:szCs w:val="20"/>
          <w:color w:val="auto"/>
        </w:rPr>
      </w:pPr>
    </w:p>
    <w:p>
      <w:pPr>
        <w:ind w:left="380" w:right="140"/>
        <w:spacing w:after="0" w:line="237" w:lineRule="auto"/>
        <w:rPr>
          <w:sz w:val="20"/>
          <w:szCs w:val="20"/>
          <w:color w:val="auto"/>
        </w:rPr>
      </w:pPr>
      <w:r>
        <w:rPr>
          <w:rFonts w:ascii="Arial" w:cs="Arial" w:eastAsia="Arial" w:hAnsi="Arial"/>
          <w:sz w:val="18"/>
          <w:szCs w:val="18"/>
          <w:color w:val="auto"/>
        </w:rPr>
        <w:t>As discussed in Note 2 to the consolidated financial statements, the Machine Clothing (MC) segment had net sales of $601.3 million for the year ended December 31, 2019. Contracts with customers in the MC segment have various terms that can affect the point-in-time when revenue is recognized. The Company recognizes revenue within the MC segment when the performance obligation related to the manufacture and delivery of a product has been satisfied, generally determined based on arrival at the location specified by the customer in accordance with the contract terms. The contractual terms must be closely monitored by the Company in order to ensure revenue is recognized in the proper period.</w:t>
      </w:r>
    </w:p>
    <w:p>
      <w:pPr>
        <w:spacing w:after="0" w:line="97" w:lineRule="exact"/>
        <w:rPr>
          <w:sz w:val="20"/>
          <w:szCs w:val="20"/>
          <w:color w:val="auto"/>
        </w:rPr>
      </w:pPr>
    </w:p>
    <w:p>
      <w:pPr>
        <w:ind w:left="380" w:right="120"/>
        <w:spacing w:after="0" w:line="237" w:lineRule="auto"/>
        <w:rPr>
          <w:sz w:val="20"/>
          <w:szCs w:val="20"/>
          <w:color w:val="auto"/>
        </w:rPr>
      </w:pPr>
      <w:r>
        <w:rPr>
          <w:rFonts w:ascii="Arial" w:cs="Arial" w:eastAsia="Arial" w:hAnsi="Arial"/>
          <w:sz w:val="18"/>
          <w:szCs w:val="18"/>
          <w:color w:val="auto"/>
        </w:rPr>
        <w:t>We identified the evaluation of the MC segment revenue recognized at a point-in-time for certain contracts as a critical audit matter. While our report dated February 28, 2020 expressed an unqualified opinion on the effectiveness of the Company’s internal control over financial reporting as of December 31, 2019, during a portion of the year, controls over certain point-in-time revenue transactions were ineffective. As a result, a high degree of auditor judgment was required to evaluate when revenue should be recognized due to the variability of contractual terms affecting when the performance obligation has been satisfied, specifically when the satisfaction of the performance obligation occurs close to the end of the reporting period.</w:t>
      </w:r>
    </w:p>
    <w:p>
      <w:pPr>
        <w:spacing w:after="0" w:line="97" w:lineRule="exact"/>
        <w:rPr>
          <w:sz w:val="20"/>
          <w:szCs w:val="20"/>
          <w:color w:val="auto"/>
        </w:rPr>
      </w:pPr>
    </w:p>
    <w:p>
      <w:pPr>
        <w:ind w:left="380" w:right="140"/>
        <w:spacing w:after="0" w:line="237"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MC segment revenue process, including controls related to assessing when performance obligations have been satisfied. Specifically, we tested controls over sales orders for the relevance and reliability of certain financial information and review of proof of delivery. We evaluated the timing of revenue recognition by examining a sample of MC segment revenue transactions and comparing relevant information to source documentation, such as proof of delivery. We confirmed the location and existence of certain MC segment products held at third parties to assess when the Company had satisfied its performance obligations.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rPr>
          <w:sz w:val="20"/>
          <w:szCs w:val="20"/>
          <w:color w:val="auto"/>
        </w:rPr>
      </w:pPr>
      <w:r>
        <w:rPr>
          <w:rFonts w:ascii="Arial" w:cs="Arial" w:eastAsia="Arial" w:hAnsi="Arial"/>
          <w:sz w:val="18"/>
          <w:szCs w:val="18"/>
          <w:color w:val="auto"/>
        </w:rPr>
        <w:t>February 28, 2020</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rPr>
          <w:sz w:val="20"/>
          <w:szCs w:val="20"/>
          <w:color w:val="auto"/>
        </w:rPr>
      </w:pPr>
      <w:r>
        <w:rPr>
          <w:rFonts w:ascii="Arial" w:cs="Arial" w:eastAsia="Arial" w:hAnsi="Arial"/>
          <w:sz w:val="18"/>
          <w:szCs w:val="18"/>
          <w:color w:val="auto"/>
        </w:rPr>
        <w:t>Albany International Corp.: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We have audited Albany International Corp. and subsidiaries’ (the Company)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and cash flows for each of the years in the three-year period ended December 31, 2019, and the related notes and financial statement Schedule II – Valuation and Qualifying Accounts (collectively, the consolidated financial statements), and our report dated February 28, 2020 expressed an unqualified opinion on those consolidated financial statements.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acquired CirComp GmbH (CirComp) during 2019, and management excluded from its assessment of the effectiveness of the Company’s internal control over financial reporting as of December 31, 2019, CirComp’s internal control over financial reporting associated with total assets of $41.1 million and total net sales of $0.5 million included in the consolidated financial statements of the Company as of and for the year ended December 31, 2019. Our audit of internal control over financial reporting of the Company also excluded an evaluation of the internal control over financial reporting of CirComp.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rPr>
          <w:sz w:val="20"/>
          <w:szCs w:val="20"/>
          <w:color w:val="auto"/>
        </w:rPr>
      </w:pPr>
      <w:r>
        <w:rPr>
          <w:rFonts w:ascii="Arial" w:cs="Arial" w:eastAsia="Arial" w:hAnsi="Arial"/>
          <w:sz w:val="18"/>
          <w:szCs w:val="18"/>
          <w:color w:val="auto"/>
        </w:rPr>
        <w:t>February 28, 2020</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Albany International Corp.</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7320" w:type="dxa"/>
            <w:vAlign w:val="bottom"/>
            <w:vMerge w:val="continue"/>
          </w:tcPr>
          <w:p>
            <w:pPr>
              <w:spacing w:after="0"/>
              <w:rPr>
                <w:sz w:val="15"/>
                <w:szCs w:val="15"/>
                <w:color w:val="auto"/>
              </w:rPr>
            </w:pPr>
          </w:p>
        </w:tc>
        <w:tc>
          <w:tcPr>
            <w:tcW w:w="1140" w:type="dxa"/>
            <w:vAlign w:val="bottom"/>
            <w:gridSpan w:val="2"/>
          </w:tcPr>
          <w:p>
            <w:pPr>
              <w:jc w:val="right"/>
              <w:ind w:right="31"/>
              <w:spacing w:after="0" w:line="173" w:lineRule="exact"/>
              <w:rPr>
                <w:sz w:val="20"/>
                <w:szCs w:val="20"/>
                <w:color w:val="auto"/>
              </w:rPr>
            </w:pPr>
            <w:r>
              <w:rPr>
                <w:rFonts w:ascii="Arial" w:cs="Arial" w:eastAsia="Arial" w:hAnsi="Arial"/>
                <w:sz w:val="18"/>
                <w:szCs w:val="18"/>
                <w:b w:val="1"/>
                <w:bCs w:val="1"/>
                <w:color w:val="auto"/>
              </w:rPr>
              <w:t>$1,054,132</w:t>
            </w:r>
          </w:p>
        </w:tc>
        <w:tc>
          <w:tcPr>
            <w:tcW w:w="360" w:type="dxa"/>
            <w:vAlign w:val="bottom"/>
          </w:tcPr>
          <w:p>
            <w:pPr>
              <w:spacing w:after="0"/>
              <w:rPr>
                <w:sz w:val="15"/>
                <w:szCs w:val="15"/>
                <w:color w:val="auto"/>
              </w:rPr>
            </w:pPr>
          </w:p>
        </w:tc>
        <w:tc>
          <w:tcPr>
            <w:tcW w:w="1120" w:type="dxa"/>
            <w:vAlign w:val="bottom"/>
            <w:gridSpan w:val="2"/>
          </w:tcPr>
          <w:p>
            <w:pPr>
              <w:jc w:val="right"/>
              <w:ind w:right="91"/>
              <w:spacing w:after="0" w:line="173" w:lineRule="exact"/>
              <w:rPr>
                <w:sz w:val="20"/>
                <w:szCs w:val="20"/>
                <w:color w:val="auto"/>
              </w:rPr>
            </w:pPr>
            <w:r>
              <w:rPr>
                <w:rFonts w:ascii="Arial" w:cs="Arial" w:eastAsia="Arial" w:hAnsi="Arial"/>
                <w:sz w:val="18"/>
                <w:szCs w:val="18"/>
                <w:color w:val="auto"/>
              </w:rPr>
              <w:t>$982,479</w:t>
            </w:r>
          </w:p>
        </w:tc>
        <w:tc>
          <w:tcPr>
            <w:tcW w:w="340" w:type="dxa"/>
            <w:vAlign w:val="bottom"/>
          </w:tcPr>
          <w:p>
            <w:pPr>
              <w:spacing w:after="0"/>
              <w:rPr>
                <w:sz w:val="15"/>
                <w:szCs w:val="15"/>
                <w:color w:val="auto"/>
              </w:rPr>
            </w:pPr>
          </w:p>
        </w:tc>
        <w:tc>
          <w:tcPr>
            <w:tcW w:w="1140" w:type="dxa"/>
            <w:vAlign w:val="bottom"/>
            <w:gridSpan w:val="2"/>
          </w:tcPr>
          <w:p>
            <w:pPr>
              <w:jc w:val="right"/>
              <w:ind w:right="111"/>
              <w:spacing w:after="0" w:line="173" w:lineRule="exact"/>
              <w:rPr>
                <w:sz w:val="20"/>
                <w:szCs w:val="20"/>
                <w:color w:val="auto"/>
              </w:rPr>
            </w:pPr>
            <w:r>
              <w:rPr>
                <w:rFonts w:ascii="Arial" w:cs="Arial" w:eastAsia="Arial" w:hAnsi="Arial"/>
                <w:sz w:val="18"/>
                <w:szCs w:val="18"/>
                <w:color w:val="auto"/>
              </w:rPr>
              <w:t>$863,717</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656,431</w:t>
            </w:r>
          </w:p>
        </w:tc>
        <w:tc>
          <w:tcPr>
            <w:tcW w:w="36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8"/>
                <w:szCs w:val="18"/>
                <w:color w:val="auto"/>
              </w:rPr>
              <w:t>632,730</w:t>
            </w:r>
          </w:p>
        </w:tc>
        <w:tc>
          <w:tcPr>
            <w:tcW w:w="34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8"/>
                <w:szCs w:val="18"/>
                <w:color w:val="auto"/>
              </w:rPr>
              <w:t>567,434</w:t>
            </w:r>
          </w:p>
        </w:tc>
        <w:tc>
          <w:tcPr>
            <w:tcW w:w="0" w:type="dxa"/>
            <w:vAlign w:val="bottom"/>
          </w:tcPr>
          <w:p>
            <w:pPr>
              <w:spacing w:after="0"/>
              <w:rPr>
                <w:sz w:val="1"/>
                <w:szCs w:val="1"/>
                <w:color w:val="auto"/>
              </w:rPr>
            </w:pPr>
          </w:p>
        </w:tc>
      </w:tr>
      <w:tr>
        <w:trPr>
          <w:trHeight w:val="173"/>
        </w:trPr>
        <w:tc>
          <w:tcPr>
            <w:tcW w:w="7320" w:type="dxa"/>
            <w:vAlign w:val="bottom"/>
          </w:tcPr>
          <w:p>
            <w:pPr>
              <w:ind w:left="180"/>
              <w:spacing w:after="0" w:line="173" w:lineRule="exact"/>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5"/>
                <w:szCs w:val="15"/>
                <w:color w:val="auto"/>
              </w:rPr>
            </w:pPr>
          </w:p>
        </w:tc>
        <w:tc>
          <w:tcPr>
            <w:tcW w:w="840" w:type="dxa"/>
            <w:vAlign w:val="bottom"/>
          </w:tcPr>
          <w:p>
            <w:pPr>
              <w:jc w:val="right"/>
              <w:ind w:right="51"/>
              <w:spacing w:after="0" w:line="173" w:lineRule="exact"/>
              <w:rPr>
                <w:sz w:val="20"/>
                <w:szCs w:val="20"/>
                <w:color w:val="auto"/>
              </w:rPr>
            </w:pPr>
            <w:r>
              <w:rPr>
                <w:rFonts w:ascii="Arial" w:cs="Arial" w:eastAsia="Arial" w:hAnsi="Arial"/>
                <w:sz w:val="18"/>
                <w:szCs w:val="18"/>
                <w:b w:val="1"/>
                <w:bCs w:val="1"/>
                <w:color w:val="auto"/>
              </w:rPr>
              <w:t>397,701</w:t>
            </w:r>
          </w:p>
        </w:tc>
        <w:tc>
          <w:tcPr>
            <w:tcW w:w="360" w:type="dxa"/>
            <w:vAlign w:val="bottom"/>
          </w:tcPr>
          <w:p>
            <w:pPr>
              <w:spacing w:after="0"/>
              <w:rPr>
                <w:sz w:val="15"/>
                <w:szCs w:val="15"/>
                <w:color w:val="auto"/>
              </w:rPr>
            </w:pPr>
          </w:p>
        </w:tc>
        <w:tc>
          <w:tcPr>
            <w:tcW w:w="1120" w:type="dxa"/>
            <w:vAlign w:val="bottom"/>
            <w:gridSpan w:val="2"/>
          </w:tcPr>
          <w:p>
            <w:pPr>
              <w:jc w:val="right"/>
              <w:ind w:right="111"/>
              <w:spacing w:after="0" w:line="173" w:lineRule="exact"/>
              <w:rPr>
                <w:sz w:val="20"/>
                <w:szCs w:val="20"/>
                <w:color w:val="auto"/>
              </w:rPr>
            </w:pPr>
            <w:r>
              <w:rPr>
                <w:rFonts w:ascii="Arial" w:cs="Arial" w:eastAsia="Arial" w:hAnsi="Arial"/>
                <w:sz w:val="18"/>
                <w:szCs w:val="18"/>
                <w:color w:val="auto"/>
              </w:rPr>
              <w:t>349,749</w:t>
            </w:r>
          </w:p>
        </w:tc>
        <w:tc>
          <w:tcPr>
            <w:tcW w:w="340" w:type="dxa"/>
            <w:vAlign w:val="bottom"/>
          </w:tcPr>
          <w:p>
            <w:pPr>
              <w:spacing w:after="0"/>
              <w:rPr>
                <w:sz w:val="15"/>
                <w:szCs w:val="15"/>
                <w:color w:val="auto"/>
              </w:rPr>
            </w:pPr>
          </w:p>
        </w:tc>
        <w:tc>
          <w:tcPr>
            <w:tcW w:w="1140" w:type="dxa"/>
            <w:vAlign w:val="bottom"/>
            <w:gridSpan w:val="2"/>
          </w:tcPr>
          <w:p>
            <w:pPr>
              <w:jc w:val="right"/>
              <w:ind w:right="111"/>
              <w:spacing w:after="0" w:line="173" w:lineRule="exact"/>
              <w:rPr>
                <w:sz w:val="20"/>
                <w:szCs w:val="20"/>
                <w:color w:val="auto"/>
              </w:rPr>
            </w:pPr>
            <w:r>
              <w:rPr>
                <w:rFonts w:ascii="Arial" w:cs="Arial" w:eastAsia="Arial" w:hAnsi="Arial"/>
                <w:sz w:val="18"/>
                <w:szCs w:val="18"/>
                <w:color w:val="auto"/>
              </w:rPr>
              <w:t>296,283</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163,651</w:t>
            </w:r>
          </w:p>
        </w:tc>
        <w:tc>
          <w:tcPr>
            <w:tcW w:w="360" w:type="dxa"/>
            <w:vAlign w:val="bottom"/>
          </w:tcPr>
          <w:p>
            <w:pPr>
              <w:spacing w:after="0"/>
              <w:rPr>
                <w:sz w:val="17"/>
                <w:szCs w:val="17"/>
                <w:color w:val="auto"/>
              </w:rPr>
            </w:pPr>
          </w:p>
        </w:tc>
        <w:tc>
          <w:tcPr>
            <w:tcW w:w="1120" w:type="dxa"/>
            <w:vAlign w:val="bottom"/>
            <w:gridSpan w:val="2"/>
          </w:tcPr>
          <w:p>
            <w:pPr>
              <w:jc w:val="right"/>
              <w:ind w:right="111"/>
              <w:spacing w:after="0" w:line="202" w:lineRule="exact"/>
              <w:rPr>
                <w:sz w:val="20"/>
                <w:szCs w:val="20"/>
                <w:color w:val="auto"/>
              </w:rPr>
            </w:pPr>
            <w:r>
              <w:rPr>
                <w:rFonts w:ascii="Arial" w:cs="Arial" w:eastAsia="Arial" w:hAnsi="Arial"/>
                <w:sz w:val="18"/>
                <w:szCs w:val="18"/>
                <w:color w:val="auto"/>
              </w:rPr>
              <w:t>156,189</w:t>
            </w:r>
          </w:p>
        </w:tc>
        <w:tc>
          <w:tcPr>
            <w:tcW w:w="340" w:type="dxa"/>
            <w:vAlign w:val="bottom"/>
          </w:tcPr>
          <w:p>
            <w:pPr>
              <w:spacing w:after="0"/>
              <w:rPr>
                <w:sz w:val="17"/>
                <w:szCs w:val="17"/>
                <w:color w:val="auto"/>
              </w:rPr>
            </w:pPr>
          </w:p>
        </w:tc>
        <w:tc>
          <w:tcPr>
            <w:tcW w:w="1140" w:type="dxa"/>
            <w:vAlign w:val="bottom"/>
            <w:gridSpan w:val="2"/>
          </w:tcPr>
          <w:p>
            <w:pPr>
              <w:jc w:val="right"/>
              <w:ind w:right="111"/>
              <w:spacing w:after="0" w:line="202" w:lineRule="exact"/>
              <w:rPr>
                <w:sz w:val="20"/>
                <w:szCs w:val="20"/>
                <w:color w:val="auto"/>
              </w:rPr>
            </w:pPr>
            <w:r>
              <w:rPr>
                <w:rFonts w:ascii="Arial" w:cs="Arial" w:eastAsia="Arial" w:hAnsi="Arial"/>
                <w:sz w:val="18"/>
                <w:szCs w:val="18"/>
                <w:color w:val="auto"/>
              </w:rPr>
              <w:t>162,942</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Technical and research expenses</w:t>
            </w:r>
          </w:p>
        </w:tc>
        <w:tc>
          <w:tcPr>
            <w:tcW w:w="30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37,569</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40,582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41,174</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8"/>
                <w:szCs w:val="18"/>
                <w:color w:val="auto"/>
              </w:rPr>
              <w:t>Restructuring expenses, net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2,905</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15,570</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13,491</w:t>
            </w:r>
          </w:p>
        </w:tc>
        <w:tc>
          <w:tcPr>
            <w:tcW w:w="0" w:type="dxa"/>
            <w:vAlign w:val="bottom"/>
          </w:tcPr>
          <w:p>
            <w:pPr>
              <w:spacing w:after="0"/>
              <w:rPr>
                <w:sz w:val="1"/>
                <w:szCs w:val="1"/>
                <w:color w:val="auto"/>
              </w:rPr>
            </w:pPr>
          </w:p>
        </w:tc>
      </w:tr>
      <w:tr>
        <w:trPr>
          <w:trHeight w:val="173"/>
        </w:trPr>
        <w:tc>
          <w:tcPr>
            <w:tcW w:w="7320" w:type="dxa"/>
            <w:vAlign w:val="bottom"/>
          </w:tcPr>
          <w:p>
            <w:pPr>
              <w:ind w:left="180"/>
              <w:spacing w:after="0" w:line="173" w:lineRule="exact"/>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5"/>
                <w:szCs w:val="15"/>
                <w:color w:val="auto"/>
              </w:rPr>
            </w:pPr>
          </w:p>
        </w:tc>
        <w:tc>
          <w:tcPr>
            <w:tcW w:w="840" w:type="dxa"/>
            <w:vAlign w:val="bottom"/>
          </w:tcPr>
          <w:p>
            <w:pPr>
              <w:jc w:val="right"/>
              <w:ind w:right="51"/>
              <w:spacing w:after="0" w:line="173" w:lineRule="exact"/>
              <w:rPr>
                <w:sz w:val="20"/>
                <w:szCs w:val="20"/>
                <w:color w:val="auto"/>
              </w:rPr>
            </w:pPr>
            <w:r>
              <w:rPr>
                <w:rFonts w:ascii="Arial" w:cs="Arial" w:eastAsia="Arial" w:hAnsi="Arial"/>
                <w:sz w:val="18"/>
                <w:szCs w:val="18"/>
                <w:b w:val="1"/>
                <w:bCs w:val="1"/>
                <w:color w:val="auto"/>
              </w:rPr>
              <w:t>193,576</w:t>
            </w:r>
          </w:p>
        </w:tc>
        <w:tc>
          <w:tcPr>
            <w:tcW w:w="360" w:type="dxa"/>
            <w:vAlign w:val="bottom"/>
          </w:tcPr>
          <w:p>
            <w:pPr>
              <w:spacing w:after="0"/>
              <w:rPr>
                <w:sz w:val="15"/>
                <w:szCs w:val="15"/>
                <w:color w:val="auto"/>
              </w:rPr>
            </w:pPr>
          </w:p>
        </w:tc>
        <w:tc>
          <w:tcPr>
            <w:tcW w:w="1120" w:type="dxa"/>
            <w:vAlign w:val="bottom"/>
            <w:gridSpan w:val="2"/>
          </w:tcPr>
          <w:p>
            <w:pPr>
              <w:jc w:val="right"/>
              <w:ind w:right="111"/>
              <w:spacing w:after="0" w:line="173" w:lineRule="exact"/>
              <w:rPr>
                <w:sz w:val="20"/>
                <w:szCs w:val="20"/>
                <w:color w:val="auto"/>
              </w:rPr>
            </w:pPr>
            <w:r>
              <w:rPr>
                <w:rFonts w:ascii="Arial" w:cs="Arial" w:eastAsia="Arial" w:hAnsi="Arial"/>
                <w:sz w:val="18"/>
                <w:szCs w:val="18"/>
                <w:color w:val="auto"/>
              </w:rPr>
              <w:t>137,408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11"/>
              <w:spacing w:after="0" w:line="173" w:lineRule="exact"/>
              <w:rPr>
                <w:sz w:val="20"/>
                <w:szCs w:val="20"/>
                <w:color w:val="auto"/>
              </w:rPr>
            </w:pPr>
            <w:r>
              <w:rPr>
                <w:rFonts w:ascii="Arial" w:cs="Arial" w:eastAsia="Arial" w:hAnsi="Arial"/>
                <w:sz w:val="18"/>
                <w:szCs w:val="18"/>
                <w:color w:val="auto"/>
              </w:rPr>
              <w:t>78,676</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(2,729)</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(2,118)</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19,650</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20,242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(1,557)</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4,037</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173"/>
        </w:trPr>
        <w:tc>
          <w:tcPr>
            <w:tcW w:w="7320" w:type="dxa"/>
            <w:vAlign w:val="bottom"/>
          </w:tcPr>
          <w:p>
            <w:pPr>
              <w:ind w:left="180"/>
              <w:spacing w:after="0" w:line="173" w:lineRule="exact"/>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5"/>
                <w:szCs w:val="15"/>
                <w:color w:val="auto"/>
              </w:rPr>
            </w:pPr>
          </w:p>
        </w:tc>
        <w:tc>
          <w:tcPr>
            <w:tcW w:w="840" w:type="dxa"/>
            <w:vAlign w:val="bottom"/>
          </w:tcPr>
          <w:p>
            <w:pPr>
              <w:jc w:val="right"/>
              <w:ind w:right="51"/>
              <w:spacing w:after="0" w:line="173" w:lineRule="exact"/>
              <w:rPr>
                <w:sz w:val="20"/>
                <w:szCs w:val="20"/>
                <w:color w:val="auto"/>
              </w:rPr>
            </w:pPr>
            <w:r>
              <w:rPr>
                <w:rFonts w:ascii="Arial" w:cs="Arial" w:eastAsia="Arial" w:hAnsi="Arial"/>
                <w:sz w:val="18"/>
                <w:szCs w:val="18"/>
                <w:b w:val="1"/>
                <w:bCs w:val="1"/>
                <w:color w:val="auto"/>
              </w:rPr>
              <w:t>178,212</w:t>
            </w:r>
          </w:p>
        </w:tc>
        <w:tc>
          <w:tcPr>
            <w:tcW w:w="360" w:type="dxa"/>
            <w:vAlign w:val="bottom"/>
          </w:tcPr>
          <w:p>
            <w:pPr>
              <w:spacing w:after="0"/>
              <w:rPr>
                <w:sz w:val="15"/>
                <w:szCs w:val="15"/>
                <w:color w:val="auto"/>
              </w:rPr>
            </w:pPr>
          </w:p>
        </w:tc>
        <w:tc>
          <w:tcPr>
            <w:tcW w:w="1120" w:type="dxa"/>
            <w:vAlign w:val="bottom"/>
            <w:gridSpan w:val="2"/>
          </w:tcPr>
          <w:p>
            <w:pPr>
              <w:jc w:val="right"/>
              <w:ind w:right="111"/>
              <w:spacing w:after="0" w:line="173" w:lineRule="exact"/>
              <w:rPr>
                <w:sz w:val="20"/>
                <w:szCs w:val="20"/>
                <w:color w:val="auto"/>
              </w:rPr>
            </w:pPr>
            <w:r>
              <w:rPr>
                <w:rFonts w:ascii="Arial" w:cs="Arial" w:eastAsia="Arial" w:hAnsi="Arial"/>
                <w:sz w:val="18"/>
                <w:szCs w:val="18"/>
                <w:color w:val="auto"/>
              </w:rPr>
              <w:t>115,247</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11"/>
              <w:spacing w:after="0" w:line="173" w:lineRule="exact"/>
              <w:rPr>
                <w:sz w:val="20"/>
                <w:szCs w:val="20"/>
                <w:color w:val="auto"/>
              </w:rPr>
            </w:pPr>
            <w:r>
              <w:rPr>
                <w:rFonts w:ascii="Arial" w:cs="Arial" w:eastAsia="Arial" w:hAnsi="Arial"/>
                <w:sz w:val="18"/>
                <w:szCs w:val="18"/>
                <w:color w:val="auto"/>
              </w:rPr>
              <w:t>54,708</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44,829</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32,228</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173"/>
        </w:trPr>
        <w:tc>
          <w:tcPr>
            <w:tcW w:w="7320" w:type="dxa"/>
            <w:vAlign w:val="bottom"/>
          </w:tcPr>
          <w:p>
            <w:pPr>
              <w:spacing w:after="0" w:line="173"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5"/>
                <w:szCs w:val="15"/>
                <w:color w:val="auto"/>
              </w:rPr>
            </w:pPr>
          </w:p>
        </w:tc>
        <w:tc>
          <w:tcPr>
            <w:tcW w:w="840" w:type="dxa"/>
            <w:vAlign w:val="bottom"/>
          </w:tcPr>
          <w:p>
            <w:pPr>
              <w:jc w:val="right"/>
              <w:ind w:right="51"/>
              <w:spacing w:after="0" w:line="173" w:lineRule="exact"/>
              <w:rPr>
                <w:sz w:val="20"/>
                <w:szCs w:val="20"/>
                <w:color w:val="auto"/>
              </w:rPr>
            </w:pPr>
            <w:r>
              <w:rPr>
                <w:rFonts w:ascii="Arial" w:cs="Arial" w:eastAsia="Arial" w:hAnsi="Arial"/>
                <w:sz w:val="18"/>
                <w:szCs w:val="18"/>
                <w:b w:val="1"/>
                <w:bCs w:val="1"/>
                <w:color w:val="auto"/>
              </w:rPr>
              <w:t>133,383</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111"/>
              <w:spacing w:after="0" w:line="173" w:lineRule="exact"/>
              <w:rPr>
                <w:sz w:val="20"/>
                <w:szCs w:val="20"/>
                <w:color w:val="auto"/>
              </w:rPr>
            </w:pPr>
            <w:r>
              <w:rPr>
                <w:rFonts w:ascii="Arial" w:cs="Arial" w:eastAsia="Arial" w:hAnsi="Arial"/>
                <w:sz w:val="18"/>
                <w:szCs w:val="18"/>
                <w:color w:val="auto"/>
              </w:rPr>
              <w:t>83,019</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11"/>
              <w:spacing w:after="0" w:line="173" w:lineRule="exact"/>
              <w:rPr>
                <w:sz w:val="20"/>
                <w:szCs w:val="20"/>
                <w:color w:val="auto"/>
              </w:rPr>
            </w:pPr>
            <w:r>
              <w:rPr>
                <w:rFonts w:ascii="Arial" w:cs="Arial" w:eastAsia="Arial" w:hAnsi="Arial"/>
                <w:sz w:val="18"/>
                <w:szCs w:val="18"/>
                <w:color w:val="auto"/>
              </w:rPr>
              <w:t>32,585</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8"/>
                <w:szCs w:val="18"/>
                <w:color w:val="auto"/>
              </w:rPr>
              <w:t>Net income/(loss) attributable to the noncontrolling interest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985</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196"/>
        </w:trPr>
        <w:tc>
          <w:tcPr>
            <w:tcW w:w="7320" w:type="dxa"/>
            <w:vAlign w:val="bottom"/>
          </w:tcPr>
          <w:p>
            <w:pPr>
              <w:spacing w:after="0" w:line="196" w:lineRule="exact"/>
              <w:rPr>
                <w:sz w:val="20"/>
                <w:szCs w:val="20"/>
                <w:color w:val="auto"/>
              </w:rPr>
            </w:pPr>
            <w:r>
              <w:rPr>
                <w:rFonts w:ascii="Arial" w:cs="Arial" w:eastAsia="Arial" w:hAnsi="Arial"/>
                <w:sz w:val="18"/>
                <w:szCs w:val="18"/>
                <w:color w:val="auto"/>
              </w:rPr>
              <w:t>Net income attributable to the Company</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132,398</w:t>
            </w:r>
          </w:p>
        </w:tc>
        <w:tc>
          <w:tcPr>
            <w:tcW w:w="36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111"/>
              <w:spacing w:after="0" w:line="196" w:lineRule="exact"/>
              <w:rPr>
                <w:sz w:val="20"/>
                <w:szCs w:val="20"/>
                <w:color w:val="auto"/>
              </w:rPr>
            </w:pPr>
            <w:r>
              <w:rPr>
                <w:rFonts w:ascii="Arial" w:cs="Arial" w:eastAsia="Arial" w:hAnsi="Arial"/>
                <w:sz w:val="18"/>
                <w:szCs w:val="18"/>
                <w:color w:val="auto"/>
              </w:rPr>
              <w:t>$ 82,891</w:t>
            </w:r>
          </w:p>
        </w:tc>
        <w:tc>
          <w:tcPr>
            <w:tcW w:w="34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111"/>
              <w:spacing w:after="0" w:line="196" w:lineRule="exact"/>
              <w:rPr>
                <w:sz w:val="20"/>
                <w:szCs w:val="20"/>
                <w:color w:val="auto"/>
              </w:rPr>
            </w:pPr>
            <w:r>
              <w:rPr>
                <w:rFonts w:ascii="Arial" w:cs="Arial" w:eastAsia="Arial" w:hAnsi="Arial"/>
                <w:sz w:val="18"/>
                <w:szCs w:val="18"/>
                <w:color w:val="auto"/>
              </w:rPr>
              <w:t>$ 33,111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320" w:type="dxa"/>
            <w:vAlign w:val="bottom"/>
          </w:tcPr>
          <w:p>
            <w:pPr>
              <w:spacing w:after="0"/>
              <w:rPr>
                <w:sz w:val="20"/>
                <w:szCs w:val="20"/>
                <w:color w:val="auto"/>
              </w:rPr>
            </w:pPr>
            <w:r>
              <w:rPr>
                <w:rFonts w:ascii="Arial" w:cs="Arial" w:eastAsia="Arial" w:hAnsi="Arial"/>
                <w:sz w:val="18"/>
                <w:szCs w:val="18"/>
                <w:color w:val="auto"/>
              </w:rPr>
              <w:t>Earnings per share attributable to Company shareholders — Basic</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4.10</w:t>
            </w:r>
          </w:p>
        </w:tc>
        <w:tc>
          <w:tcPr>
            <w:tcW w:w="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Earnings per share attributable to Company shareholders — Diluted</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4.10</w:t>
            </w:r>
          </w:p>
        </w:tc>
        <w:tc>
          <w:tcPr>
            <w:tcW w:w="3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2.57</w:t>
            </w:r>
          </w:p>
        </w:tc>
        <w:tc>
          <w:tcPr>
            <w:tcW w:w="3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9"/>
        </w:trPr>
        <w:tc>
          <w:tcPr>
            <w:tcW w:w="7320" w:type="dxa"/>
            <w:vAlign w:val="bottom"/>
          </w:tcPr>
          <w:p>
            <w:pPr>
              <w:spacing w:after="0"/>
              <w:rPr>
                <w:sz w:val="20"/>
                <w:szCs w:val="20"/>
                <w:color w:val="auto"/>
              </w:rPr>
            </w:pPr>
            <w:r>
              <w:rPr>
                <w:rFonts w:ascii="Arial" w:cs="Arial" w:eastAsia="Arial" w:hAnsi="Arial"/>
                <w:sz w:val="18"/>
                <w:szCs w:val="18"/>
                <w:color w:val="auto"/>
              </w:rPr>
              <w:t>Dividends declared per share, Class A and Class B</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0.73</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0.69</w:t>
            </w: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Albany International Corp.</w:t>
      </w:r>
    </w:p>
    <w:p>
      <w:pPr>
        <w:spacing w:after="0" w:line="10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7660" w:type="dxa"/>
            <w:vAlign w:val="bottom"/>
            <w:vMerge w:val="continue"/>
          </w:tcPr>
          <w:p>
            <w:pPr>
              <w:spacing w:after="0"/>
              <w:rPr>
                <w:sz w:val="16"/>
                <w:szCs w:val="16"/>
                <w:color w:val="auto"/>
              </w:rPr>
            </w:pPr>
          </w:p>
        </w:tc>
        <w:tc>
          <w:tcPr>
            <w:tcW w:w="1040" w:type="dxa"/>
            <w:vAlign w:val="bottom"/>
          </w:tcPr>
          <w:p>
            <w:pPr>
              <w:jc w:val="right"/>
              <w:ind w:right="51"/>
              <w:spacing w:after="0" w:line="195" w:lineRule="exact"/>
              <w:rPr>
                <w:sz w:val="20"/>
                <w:szCs w:val="20"/>
                <w:color w:val="auto"/>
              </w:rPr>
            </w:pPr>
            <w:r>
              <w:rPr>
                <w:rFonts w:ascii="Arial" w:cs="Arial" w:eastAsia="Arial" w:hAnsi="Arial"/>
                <w:sz w:val="18"/>
                <w:szCs w:val="18"/>
                <w:b w:val="1"/>
                <w:bCs w:val="1"/>
                <w:color w:val="auto"/>
              </w:rPr>
              <w:t>$133,383</w:t>
            </w:r>
          </w:p>
        </w:tc>
        <w:tc>
          <w:tcPr>
            <w:tcW w:w="320" w:type="dxa"/>
            <w:vAlign w:val="bottom"/>
          </w:tcPr>
          <w:p>
            <w:pPr>
              <w:spacing w:after="0"/>
              <w:rPr>
                <w:sz w:val="16"/>
                <w:szCs w:val="16"/>
                <w:color w:val="auto"/>
              </w:rPr>
            </w:pPr>
          </w:p>
        </w:tc>
        <w:tc>
          <w:tcPr>
            <w:tcW w:w="1040" w:type="dxa"/>
            <w:vAlign w:val="bottom"/>
          </w:tcPr>
          <w:p>
            <w:pPr>
              <w:jc w:val="right"/>
              <w:ind w:right="71"/>
              <w:spacing w:after="0" w:line="195" w:lineRule="exact"/>
              <w:rPr>
                <w:sz w:val="20"/>
                <w:szCs w:val="20"/>
                <w:color w:val="auto"/>
              </w:rPr>
            </w:pPr>
            <w:r>
              <w:rPr>
                <w:rFonts w:ascii="Arial" w:cs="Arial" w:eastAsia="Arial" w:hAnsi="Arial"/>
                <w:sz w:val="18"/>
                <w:szCs w:val="18"/>
                <w:color w:val="auto"/>
              </w:rPr>
              <w:t>$ 83,019</w:t>
            </w:r>
          </w:p>
        </w:tc>
        <w:tc>
          <w:tcPr>
            <w:tcW w:w="34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rPr>
              <w:t>$32,585</w:t>
            </w:r>
          </w:p>
        </w:tc>
        <w:tc>
          <w:tcPr>
            <w:tcW w:w="0" w:type="dxa"/>
            <w:vAlign w:val="bottom"/>
          </w:tcPr>
          <w:p>
            <w:pPr>
              <w:spacing w:after="0"/>
              <w:rPr>
                <w:sz w:val="1"/>
                <w:szCs w:val="1"/>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(8,747)</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tcPr>
          <w:p>
            <w:pPr>
              <w:ind w:left="180"/>
              <w:spacing w:after="0" w:line="181" w:lineRule="exact"/>
              <w:rPr>
                <w:sz w:val="20"/>
                <w:szCs w:val="20"/>
                <w:color w:val="auto"/>
              </w:rPr>
            </w:pPr>
            <w:r>
              <w:rPr>
                <w:rFonts w:ascii="Arial" w:cs="Arial" w:eastAsia="Arial" w:hAnsi="Arial"/>
                <w:sz w:val="18"/>
                <w:szCs w:val="18"/>
                <w:color w:val="auto"/>
              </w:rPr>
              <w:t>Foreign currency translation and other adjustments</w:t>
            </w: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1"/>
              <w:spacing w:after="0" w:line="181" w:lineRule="exact"/>
              <w:rPr>
                <w:sz w:val="20"/>
                <w:szCs w:val="20"/>
                <w:color w:val="auto"/>
              </w:rPr>
            </w:pPr>
            <w:r>
              <w:rPr>
                <w:rFonts w:ascii="Arial" w:cs="Arial" w:eastAsia="Arial" w:hAnsi="Arial"/>
                <w:sz w:val="18"/>
                <w:szCs w:val="18"/>
                <w:color w:val="auto"/>
              </w:rPr>
              <w:t>(27,383)</w:t>
            </w:r>
          </w:p>
        </w:tc>
        <w:tc>
          <w:tcPr>
            <w:tcW w:w="340" w:type="dxa"/>
            <w:vAlign w:val="bottom"/>
          </w:tcPr>
          <w:p>
            <w:pPr>
              <w:spacing w:after="0"/>
              <w:rPr>
                <w:sz w:val="15"/>
                <w:szCs w:val="15"/>
                <w:color w:val="auto"/>
              </w:rPr>
            </w:pPr>
          </w:p>
        </w:tc>
        <w:tc>
          <w:tcPr>
            <w:tcW w:w="1020" w:type="dxa"/>
            <w:vAlign w:val="bottom"/>
          </w:tcPr>
          <w:p>
            <w:pPr>
              <w:jc w:val="right"/>
              <w:ind w:right="111"/>
              <w:spacing w:after="0" w:line="181" w:lineRule="exact"/>
              <w:rPr>
                <w:sz w:val="20"/>
                <w:szCs w:val="20"/>
                <w:color w:val="auto"/>
              </w:rPr>
            </w:pPr>
            <w:r>
              <w:rPr>
                <w:rFonts w:ascii="Arial" w:cs="Arial" w:eastAsia="Arial" w:hAnsi="Arial"/>
                <w:sz w:val="18"/>
                <w:szCs w:val="18"/>
                <w:color w:val="auto"/>
              </w:rPr>
              <w:t>44,162</w:t>
            </w:r>
          </w:p>
        </w:tc>
        <w:tc>
          <w:tcPr>
            <w:tcW w:w="0" w:type="dxa"/>
            <w:vAlign w:val="bottom"/>
          </w:tcPr>
          <w:p>
            <w:pPr>
              <w:spacing w:after="0"/>
              <w:rPr>
                <w:sz w:val="1"/>
                <w:szCs w:val="1"/>
                <w:color w:val="auto"/>
              </w:rPr>
            </w:pPr>
          </w:p>
        </w:tc>
      </w:tr>
      <w:tr>
        <w:trPr>
          <w:trHeight w:val="203"/>
        </w:trPr>
        <w:tc>
          <w:tcPr>
            <w:tcW w:w="7660" w:type="dxa"/>
            <w:vAlign w:val="bottom"/>
          </w:tcPr>
          <w:p>
            <w:pPr>
              <w:ind w:left="180"/>
              <w:spacing w:after="0" w:line="202" w:lineRule="exact"/>
              <w:rPr>
                <w:sz w:val="20"/>
                <w:szCs w:val="20"/>
                <w:color w:val="auto"/>
              </w:rPr>
            </w:pPr>
            <w:r>
              <w:rPr>
                <w:rFonts w:ascii="Arial" w:cs="Arial" w:eastAsia="Arial" w:hAnsi="Arial"/>
                <w:sz w:val="18"/>
                <w:szCs w:val="18"/>
                <w:color w:val="auto"/>
              </w:rPr>
              <w:t>Pension settlements and curtailments</w:t>
            </w:r>
          </w:p>
        </w:tc>
        <w:tc>
          <w:tcPr>
            <w:tcW w:w="104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450</w:t>
            </w:r>
          </w:p>
        </w:tc>
        <w:tc>
          <w:tcPr>
            <w:tcW w:w="320" w:type="dxa"/>
            <w:vAlign w:val="bottom"/>
          </w:tcPr>
          <w:p>
            <w:pPr>
              <w:spacing w:after="0"/>
              <w:rPr>
                <w:sz w:val="17"/>
                <w:szCs w:val="17"/>
                <w:color w:val="auto"/>
              </w:rPr>
            </w:pPr>
          </w:p>
        </w:tc>
        <w:tc>
          <w:tcPr>
            <w:tcW w:w="10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1,494</w:t>
            </w:r>
          </w:p>
        </w:tc>
        <w:tc>
          <w:tcPr>
            <w:tcW w:w="340" w:type="dxa"/>
            <w:vAlign w:val="bottom"/>
          </w:tcPr>
          <w:p>
            <w:pPr>
              <w:spacing w:after="0"/>
              <w:rPr>
                <w:sz w:val="17"/>
                <w:szCs w:val="17"/>
                <w:color w:val="auto"/>
              </w:rPr>
            </w:pPr>
          </w:p>
        </w:tc>
        <w:tc>
          <w:tcPr>
            <w:tcW w:w="10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660" w:type="dxa"/>
            <w:vAlign w:val="bottom"/>
          </w:tcPr>
          <w:p>
            <w:pPr>
              <w:ind w:left="180"/>
              <w:spacing w:after="0"/>
              <w:rPr>
                <w:sz w:val="20"/>
                <w:szCs w:val="20"/>
                <w:color w:val="auto"/>
              </w:rPr>
            </w:pPr>
            <w:r>
              <w:rPr>
                <w:rFonts w:ascii="Arial" w:cs="Arial" w:eastAsia="Arial" w:hAnsi="Arial"/>
                <w:sz w:val="18"/>
                <w:szCs w:val="18"/>
                <w:color w:val="auto"/>
              </w:rPr>
              <w:t>Pension/postretirement plan remeasurement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(1,796)</w:t>
            </w: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851</w:t>
            </w:r>
          </w:p>
        </w:tc>
        <w:tc>
          <w:tcPr>
            <w:tcW w:w="34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03"/>
        </w:trPr>
        <w:tc>
          <w:tcPr>
            <w:tcW w:w="766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pension and postretirement liability adjustments:</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(4,420)</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tcPr>
          <w:p>
            <w:pPr>
              <w:ind w:left="360"/>
              <w:spacing w:after="0" w:line="181" w:lineRule="exact"/>
              <w:rPr>
                <w:sz w:val="20"/>
                <w:szCs w:val="20"/>
                <w:color w:val="auto"/>
              </w:rPr>
            </w:pPr>
            <w:r>
              <w:rPr>
                <w:rFonts w:ascii="Arial" w:cs="Arial" w:eastAsia="Arial" w:hAnsi="Arial"/>
                <w:sz w:val="18"/>
                <w:szCs w:val="18"/>
                <w:color w:val="auto"/>
              </w:rPr>
              <w:t>Prior service credit</w:t>
            </w: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1"/>
              <w:spacing w:after="0" w:line="181" w:lineRule="exact"/>
              <w:rPr>
                <w:sz w:val="20"/>
                <w:szCs w:val="20"/>
                <w:color w:val="auto"/>
              </w:rPr>
            </w:pPr>
            <w:r>
              <w:rPr>
                <w:rFonts w:ascii="Arial" w:cs="Arial" w:eastAsia="Arial" w:hAnsi="Arial"/>
                <w:sz w:val="18"/>
                <w:szCs w:val="18"/>
                <w:color w:val="auto"/>
              </w:rPr>
              <w:t>(4,454)</w:t>
            </w:r>
          </w:p>
        </w:tc>
        <w:tc>
          <w:tcPr>
            <w:tcW w:w="340" w:type="dxa"/>
            <w:vAlign w:val="bottom"/>
          </w:tcPr>
          <w:p>
            <w:pPr>
              <w:spacing w:after="0"/>
              <w:rPr>
                <w:sz w:val="15"/>
                <w:szCs w:val="15"/>
                <w:color w:val="auto"/>
              </w:rPr>
            </w:pPr>
          </w:p>
        </w:tc>
        <w:tc>
          <w:tcPr>
            <w:tcW w:w="1020" w:type="dxa"/>
            <w:vAlign w:val="bottom"/>
          </w:tcPr>
          <w:p>
            <w:pPr>
              <w:jc w:val="right"/>
              <w:ind w:right="51"/>
              <w:spacing w:after="0" w:line="181" w:lineRule="exact"/>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03"/>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Net actuarial loss</w:t>
            </w:r>
          </w:p>
        </w:tc>
        <w:tc>
          <w:tcPr>
            <w:tcW w:w="104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4,480</w:t>
            </w:r>
          </w:p>
        </w:tc>
        <w:tc>
          <w:tcPr>
            <w:tcW w:w="320" w:type="dxa"/>
            <w:vAlign w:val="bottom"/>
          </w:tcPr>
          <w:p>
            <w:pPr>
              <w:spacing w:after="0"/>
              <w:rPr>
                <w:sz w:val="17"/>
                <w:szCs w:val="17"/>
                <w:color w:val="auto"/>
              </w:rPr>
            </w:pPr>
          </w:p>
        </w:tc>
        <w:tc>
          <w:tcPr>
            <w:tcW w:w="10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5,175</w:t>
            </w:r>
          </w:p>
        </w:tc>
        <w:tc>
          <w:tcPr>
            <w:tcW w:w="340" w:type="dxa"/>
            <w:vAlign w:val="bottom"/>
          </w:tcPr>
          <w:p>
            <w:pPr>
              <w:spacing w:after="0"/>
              <w:rPr>
                <w:sz w:val="17"/>
                <w:szCs w:val="17"/>
                <w:color w:val="auto"/>
              </w:rPr>
            </w:pPr>
          </w:p>
        </w:tc>
        <w:tc>
          <w:tcPr>
            <w:tcW w:w="10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03"/>
        </w:trPr>
        <w:tc>
          <w:tcPr>
            <w:tcW w:w="7660" w:type="dxa"/>
            <w:vAlign w:val="bottom"/>
          </w:tcPr>
          <w:p>
            <w:pPr>
              <w:ind w:left="180"/>
              <w:spacing w:after="0" w:line="202" w:lineRule="exact"/>
              <w:rPr>
                <w:sz w:val="20"/>
                <w:szCs w:val="20"/>
                <w:color w:val="auto"/>
              </w:rPr>
            </w:pPr>
            <w:r>
              <w:rPr>
                <w:rFonts w:ascii="Arial" w:cs="Arial" w:eastAsia="Arial" w:hAnsi="Arial"/>
                <w:sz w:val="18"/>
                <w:szCs w:val="18"/>
                <w:color w:val="auto"/>
              </w:rPr>
              <w:t>Payments and amortization related to interest rate swaps included in earnings</w:t>
            </w: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(1,011)</w:t>
            </w:r>
          </w:p>
        </w:tc>
        <w:tc>
          <w:tcPr>
            <w:tcW w:w="32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(146)</w:t>
            </w:r>
          </w:p>
        </w:tc>
        <w:tc>
          <w:tcPr>
            <w:tcW w:w="340" w:type="dxa"/>
            <w:vAlign w:val="bottom"/>
          </w:tcPr>
          <w:p>
            <w:pPr>
              <w:spacing w:after="0"/>
              <w:rPr>
                <w:sz w:val="17"/>
                <w:szCs w:val="17"/>
                <w:color w:val="auto"/>
              </w:rPr>
            </w:pPr>
          </w:p>
        </w:tc>
        <w:tc>
          <w:tcPr>
            <w:tcW w:w="10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5"/>
        </w:trPr>
        <w:tc>
          <w:tcPr>
            <w:tcW w:w="7660" w:type="dxa"/>
            <w:vAlign w:val="bottom"/>
          </w:tcPr>
          <w:p>
            <w:pPr>
              <w:ind w:left="180"/>
              <w:spacing w:after="0"/>
              <w:rPr>
                <w:sz w:val="20"/>
                <w:szCs w:val="20"/>
                <w:color w:val="auto"/>
              </w:rPr>
            </w:pPr>
            <w:r>
              <w:rPr>
                <w:rFonts w:ascii="Arial" w:cs="Arial" w:eastAsia="Arial" w:hAnsi="Arial"/>
                <w:sz w:val="18"/>
                <w:szCs w:val="18"/>
                <w:color w:val="auto"/>
              </w:rPr>
              <w:t>Derivative valuation adjustment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(9,512)</w:t>
            </w: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3,832</w:t>
            </w:r>
          </w:p>
        </w:tc>
        <w:tc>
          <w:tcPr>
            <w:tcW w:w="34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Income taxes related to items of other comprehensive income/(loss):</w:t>
            </w: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(74)</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tcPr>
          <w:p>
            <w:pPr>
              <w:ind w:left="180"/>
              <w:spacing w:after="0" w:line="181" w:lineRule="exact"/>
              <w:rPr>
                <w:sz w:val="20"/>
                <w:szCs w:val="20"/>
                <w:color w:val="auto"/>
              </w:rPr>
            </w:pPr>
            <w:r>
              <w:rPr>
                <w:rFonts w:ascii="Arial" w:cs="Arial" w:eastAsia="Arial" w:hAnsi="Arial"/>
                <w:sz w:val="18"/>
                <w:szCs w:val="18"/>
                <w:color w:val="auto"/>
              </w:rPr>
              <w:t>Pension settlements and curtailments</w:t>
            </w: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1"/>
              <w:spacing w:after="0" w:line="181" w:lineRule="exact"/>
              <w:rPr>
                <w:sz w:val="20"/>
                <w:szCs w:val="20"/>
                <w:color w:val="auto"/>
              </w:rPr>
            </w:pPr>
            <w:r>
              <w:rPr>
                <w:rFonts w:ascii="Arial" w:cs="Arial" w:eastAsia="Arial" w:hAnsi="Arial"/>
                <w:sz w:val="18"/>
                <w:szCs w:val="18"/>
                <w:color w:val="auto"/>
              </w:rPr>
              <w:t>(348)</w:t>
            </w:r>
          </w:p>
        </w:tc>
        <w:tc>
          <w:tcPr>
            <w:tcW w:w="340" w:type="dxa"/>
            <w:vAlign w:val="bottom"/>
          </w:tcPr>
          <w:p>
            <w:pPr>
              <w:spacing w:after="0"/>
              <w:rPr>
                <w:sz w:val="15"/>
                <w:szCs w:val="15"/>
                <w:color w:val="auto"/>
              </w:rPr>
            </w:pPr>
          </w:p>
        </w:tc>
        <w:tc>
          <w:tcPr>
            <w:tcW w:w="1020" w:type="dxa"/>
            <w:vAlign w:val="bottom"/>
          </w:tcPr>
          <w:p>
            <w:pPr>
              <w:jc w:val="right"/>
              <w:ind w:right="131"/>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18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04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359</w:t>
            </w:r>
          </w:p>
        </w:tc>
        <w:tc>
          <w:tcPr>
            <w:tcW w:w="32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(408)</w:t>
            </w:r>
          </w:p>
        </w:tc>
        <w:tc>
          <w:tcPr>
            <w:tcW w:w="3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3"/>
        </w:trPr>
        <w:tc>
          <w:tcPr>
            <w:tcW w:w="766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pension and postretirement liability adjustments</w:t>
            </w: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(158)</w:t>
            </w:r>
          </w:p>
        </w:tc>
        <w:tc>
          <w:tcPr>
            <w:tcW w:w="3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7660" w:type="dxa"/>
            <w:vAlign w:val="bottom"/>
          </w:tcPr>
          <w:p>
            <w:pPr>
              <w:ind w:left="180"/>
              <w:spacing w:after="0" w:line="202" w:lineRule="exact"/>
              <w:rPr>
                <w:sz w:val="20"/>
                <w:szCs w:val="20"/>
                <w:color w:val="auto"/>
              </w:rPr>
            </w:pPr>
            <w:r>
              <w:rPr>
                <w:rFonts w:ascii="Arial" w:cs="Arial" w:eastAsia="Arial" w:hAnsi="Arial"/>
                <w:sz w:val="18"/>
                <w:szCs w:val="18"/>
                <w:color w:val="auto"/>
              </w:rPr>
              <w:t>Payments and amortization related to interest rate swaps included in earnings</w:t>
            </w:r>
          </w:p>
        </w:tc>
        <w:tc>
          <w:tcPr>
            <w:tcW w:w="104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259</w:t>
            </w:r>
          </w:p>
        </w:tc>
        <w:tc>
          <w:tcPr>
            <w:tcW w:w="320" w:type="dxa"/>
            <w:vAlign w:val="bottom"/>
          </w:tcPr>
          <w:p>
            <w:pPr>
              <w:spacing w:after="0"/>
              <w:rPr>
                <w:sz w:val="17"/>
                <w:szCs w:val="17"/>
                <w:color w:val="auto"/>
              </w:rPr>
            </w:pPr>
          </w:p>
        </w:tc>
        <w:tc>
          <w:tcPr>
            <w:tcW w:w="10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37</w:t>
            </w:r>
          </w:p>
        </w:tc>
        <w:tc>
          <w:tcPr>
            <w:tcW w:w="3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5"/>
        </w:trPr>
        <w:tc>
          <w:tcPr>
            <w:tcW w:w="7660" w:type="dxa"/>
            <w:vAlign w:val="bottom"/>
          </w:tcPr>
          <w:p>
            <w:pPr>
              <w:ind w:left="180"/>
              <w:spacing w:after="0"/>
              <w:rPr>
                <w:sz w:val="20"/>
                <w:szCs w:val="20"/>
                <w:color w:val="auto"/>
              </w:rPr>
            </w:pPr>
            <w:r>
              <w:rPr>
                <w:rFonts w:ascii="Arial" w:cs="Arial" w:eastAsia="Arial" w:hAnsi="Arial"/>
                <w:sz w:val="18"/>
                <w:szCs w:val="18"/>
                <w:color w:val="auto"/>
              </w:rPr>
              <w:t>Derivative valuation adjustment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2,432</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(979)</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73"/>
        </w:trPr>
        <w:tc>
          <w:tcPr>
            <w:tcW w:w="7660" w:type="dxa"/>
            <w:vAlign w:val="bottom"/>
          </w:tcPr>
          <w:p>
            <w:pPr>
              <w:spacing w:after="0" w:line="173" w:lineRule="exact"/>
              <w:rPr>
                <w:sz w:val="20"/>
                <w:szCs w:val="20"/>
                <w:color w:val="auto"/>
              </w:rPr>
            </w:pPr>
            <w:r>
              <w:rPr>
                <w:rFonts w:ascii="Arial" w:cs="Arial" w:eastAsia="Arial" w:hAnsi="Arial"/>
                <w:sz w:val="18"/>
                <w:szCs w:val="18"/>
                <w:color w:val="auto"/>
              </w:rPr>
              <w:t>Comprehensive income</w:t>
            </w:r>
          </w:p>
        </w:tc>
        <w:tc>
          <w:tcPr>
            <w:tcW w:w="1040" w:type="dxa"/>
            <w:vAlign w:val="bottom"/>
          </w:tcPr>
          <w:p>
            <w:pPr>
              <w:jc w:val="right"/>
              <w:ind w:right="51"/>
              <w:spacing w:after="0" w:line="173" w:lineRule="exact"/>
              <w:rPr>
                <w:sz w:val="20"/>
                <w:szCs w:val="20"/>
                <w:color w:val="auto"/>
              </w:rPr>
            </w:pPr>
            <w:r>
              <w:rPr>
                <w:rFonts w:ascii="Arial" w:cs="Arial" w:eastAsia="Arial" w:hAnsi="Arial"/>
                <w:sz w:val="18"/>
                <w:szCs w:val="18"/>
                <w:b w:val="1"/>
                <w:bCs w:val="1"/>
                <w:color w:val="auto"/>
              </w:rPr>
              <w:t>115,790</w:t>
            </w:r>
          </w:p>
        </w:tc>
        <w:tc>
          <w:tcPr>
            <w:tcW w:w="320" w:type="dxa"/>
            <w:vAlign w:val="bottom"/>
          </w:tcPr>
          <w:p>
            <w:pPr>
              <w:spacing w:after="0"/>
              <w:rPr>
                <w:sz w:val="15"/>
                <w:szCs w:val="15"/>
                <w:color w:val="auto"/>
              </w:rPr>
            </w:pPr>
          </w:p>
        </w:tc>
        <w:tc>
          <w:tcPr>
            <w:tcW w:w="1040" w:type="dxa"/>
            <w:vAlign w:val="bottom"/>
          </w:tcPr>
          <w:p>
            <w:pPr>
              <w:jc w:val="right"/>
              <w:ind w:right="71"/>
              <w:spacing w:after="0" w:line="173" w:lineRule="exact"/>
              <w:rPr>
                <w:sz w:val="20"/>
                <w:szCs w:val="20"/>
                <w:color w:val="auto"/>
              </w:rPr>
            </w:pPr>
            <w:r>
              <w:rPr>
                <w:rFonts w:ascii="Arial" w:cs="Arial" w:eastAsia="Arial" w:hAnsi="Arial"/>
                <w:sz w:val="18"/>
                <w:szCs w:val="18"/>
                <w:color w:val="auto"/>
              </w:rPr>
              <w:t>60,532</w:t>
            </w:r>
          </w:p>
        </w:tc>
        <w:tc>
          <w:tcPr>
            <w:tcW w:w="340" w:type="dxa"/>
            <w:vAlign w:val="bottom"/>
          </w:tcPr>
          <w:p>
            <w:pPr>
              <w:spacing w:after="0"/>
              <w:rPr>
                <w:sz w:val="15"/>
                <w:szCs w:val="15"/>
                <w:color w:val="auto"/>
              </w:rPr>
            </w:pPr>
          </w:p>
        </w:tc>
        <w:tc>
          <w:tcPr>
            <w:tcW w:w="1020" w:type="dxa"/>
            <w:vAlign w:val="bottom"/>
          </w:tcPr>
          <w:p>
            <w:pPr>
              <w:jc w:val="right"/>
              <w:ind w:right="111"/>
              <w:spacing w:after="0" w:line="173" w:lineRule="exact"/>
              <w:rPr>
                <w:sz w:val="20"/>
                <w:szCs w:val="20"/>
                <w:color w:val="auto"/>
              </w:rPr>
            </w:pPr>
            <w:r>
              <w:rPr>
                <w:rFonts w:ascii="Arial" w:cs="Arial" w:eastAsia="Arial" w:hAnsi="Arial"/>
                <w:sz w:val="18"/>
                <w:szCs w:val="18"/>
                <w:color w:val="auto"/>
              </w:rPr>
              <w:t>80,873</w:t>
            </w:r>
          </w:p>
        </w:tc>
        <w:tc>
          <w:tcPr>
            <w:tcW w:w="0" w:type="dxa"/>
            <w:vAlign w:val="bottom"/>
          </w:tcPr>
          <w:p>
            <w:pPr>
              <w:spacing w:after="0"/>
              <w:rPr>
                <w:sz w:val="1"/>
                <w:szCs w:val="1"/>
                <w:color w:val="auto"/>
              </w:rPr>
            </w:pPr>
          </w:p>
        </w:tc>
      </w:tr>
      <w:tr>
        <w:trPr>
          <w:trHeight w:val="225"/>
        </w:trPr>
        <w:tc>
          <w:tcPr>
            <w:tcW w:w="7660" w:type="dxa"/>
            <w:vAlign w:val="bottom"/>
          </w:tcPr>
          <w:p>
            <w:pPr>
              <w:spacing w:after="0"/>
              <w:rPr>
                <w:sz w:val="20"/>
                <w:szCs w:val="20"/>
                <w:color w:val="auto"/>
              </w:rPr>
            </w:pPr>
            <w:r>
              <w:rPr>
                <w:rFonts w:ascii="Arial" w:cs="Arial" w:eastAsia="Arial" w:hAnsi="Arial"/>
                <w:sz w:val="18"/>
                <w:szCs w:val="18"/>
                <w:color w:val="auto"/>
              </w:rPr>
              <w:t>Comprehensive income/(loss) attributable to the noncontrolling interest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975</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196"/>
        </w:trPr>
        <w:tc>
          <w:tcPr>
            <w:tcW w:w="7660" w:type="dxa"/>
            <w:vAlign w:val="bottom"/>
          </w:tcPr>
          <w:p>
            <w:pPr>
              <w:spacing w:after="0" w:line="196" w:lineRule="exact"/>
              <w:rPr>
                <w:sz w:val="20"/>
                <w:szCs w:val="20"/>
                <w:color w:val="auto"/>
              </w:rPr>
            </w:pPr>
            <w:r>
              <w:rPr>
                <w:rFonts w:ascii="Arial" w:cs="Arial" w:eastAsia="Arial" w:hAnsi="Arial"/>
                <w:sz w:val="18"/>
                <w:szCs w:val="18"/>
                <w:color w:val="auto"/>
              </w:rPr>
              <w:t>Comprehensive income attributable to the Company</w:t>
            </w:r>
          </w:p>
        </w:tc>
        <w:tc>
          <w:tcPr>
            <w:tcW w:w="104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$114,815</w:t>
            </w:r>
          </w:p>
        </w:tc>
        <w:tc>
          <w:tcPr>
            <w:tcW w:w="320" w:type="dxa"/>
            <w:vAlign w:val="bottom"/>
          </w:tcPr>
          <w:p>
            <w:pPr>
              <w:spacing w:after="0"/>
              <w:rPr>
                <w:sz w:val="17"/>
                <w:szCs w:val="17"/>
                <w:color w:val="auto"/>
              </w:rPr>
            </w:pPr>
          </w:p>
        </w:tc>
        <w:tc>
          <w:tcPr>
            <w:tcW w:w="104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$ 60,421</w:t>
            </w:r>
          </w:p>
        </w:tc>
        <w:tc>
          <w:tcPr>
            <w:tcW w:w="340" w:type="dxa"/>
            <w:vAlign w:val="bottom"/>
          </w:tcPr>
          <w:p>
            <w:pPr>
              <w:spacing w:after="0"/>
              <w:rPr>
                <w:sz w:val="17"/>
                <w:szCs w:val="17"/>
                <w:color w:val="auto"/>
              </w:rPr>
            </w:pPr>
          </w:p>
        </w:tc>
        <w:tc>
          <w:tcPr>
            <w:tcW w:w="10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$81,393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Albany International Corp.</w:t>
      </w:r>
    </w:p>
    <w:p>
      <w:pPr>
        <w:spacing w:after="0" w:line="10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5"/>
        </w:trPr>
        <w:tc>
          <w:tcPr>
            <w:tcW w:w="8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195,540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180"/>
              <w:spacing w:after="0" w:line="181" w:lineRule="exact"/>
              <w:rPr>
                <w:sz w:val="20"/>
                <w:szCs w:val="20"/>
                <w:color w:val="auto"/>
              </w:rPr>
            </w:pPr>
            <w:r>
              <w:rPr>
                <w:rFonts w:ascii="Arial" w:cs="Arial" w:eastAsia="Arial" w:hAnsi="Arial"/>
                <w:sz w:val="18"/>
                <w:szCs w:val="18"/>
                <w:color w:val="auto"/>
              </w:rPr>
              <w:t>Cash and cash equivalents</w:t>
            </w:r>
          </w:p>
        </w:tc>
        <w:tc>
          <w:tcPr>
            <w:tcW w:w="2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line="181" w:lineRule="exact"/>
              <w:rPr>
                <w:sz w:val="20"/>
                <w:szCs w:val="20"/>
                <w:color w:val="auto"/>
              </w:rPr>
            </w:pPr>
            <w:r>
              <w:rPr>
                <w:rFonts w:ascii="Arial" w:cs="Arial" w:eastAsia="Arial" w:hAnsi="Arial"/>
                <w:sz w:val="18"/>
                <w:szCs w:val="18"/>
                <w:color w:val="auto"/>
              </w:rPr>
              <w:t>197,755</w:t>
            </w: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218,271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223,176</w:t>
            </w: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79,070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57,447</w:t>
            </w: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95,149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85,904</w:t>
            </w: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prepaid and receivable</w:t>
            </w:r>
          </w:p>
        </w:tc>
        <w:tc>
          <w:tcPr>
            <w:tcW w:w="26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6,162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25"/>
        </w:trPr>
        <w:tc>
          <w:tcPr>
            <w:tcW w:w="8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24,142</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21,294</w:t>
            </w:r>
          </w:p>
        </w:tc>
        <w:tc>
          <w:tcPr>
            <w:tcW w:w="0" w:type="dxa"/>
            <w:vAlign w:val="bottom"/>
          </w:tcPr>
          <w:p>
            <w:pPr>
              <w:spacing w:after="0"/>
              <w:rPr>
                <w:sz w:val="1"/>
                <w:szCs w:val="1"/>
                <w:color w:val="auto"/>
              </w:rPr>
            </w:pPr>
          </w:p>
        </w:tc>
      </w:tr>
      <w:tr>
        <w:trPr>
          <w:trHeight w:val="214"/>
        </w:trPr>
        <w:tc>
          <w:tcPr>
            <w:tcW w:w="88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618,334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593,049</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466,462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462,055</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52,892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49,206</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180,934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164,382</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51,621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62,622</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Noncurrent receivables</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41,234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45,061</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62,891</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41,617</w:t>
            </w:r>
          </w:p>
        </w:tc>
        <w:tc>
          <w:tcPr>
            <w:tcW w:w="0" w:type="dxa"/>
            <w:vAlign w:val="bottom"/>
          </w:tcPr>
          <w:p>
            <w:pPr>
              <w:spacing w:after="0"/>
              <w:rPr>
                <w:sz w:val="1"/>
                <w:szCs w:val="1"/>
                <w:color w:val="auto"/>
              </w:rPr>
            </w:pPr>
          </w:p>
        </w:tc>
      </w:tr>
      <w:tr>
        <w:trPr>
          <w:trHeight w:val="196"/>
        </w:trPr>
        <w:tc>
          <w:tcPr>
            <w:tcW w:w="8820" w:type="dxa"/>
            <w:vAlign w:val="bottom"/>
          </w:tcPr>
          <w:p>
            <w:pPr>
              <w:ind w:left="180"/>
              <w:spacing w:after="0" w:line="196" w:lineRule="exact"/>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9"/>
              </w:rPr>
              <w:t>$1,474,368</w:t>
            </w:r>
          </w:p>
        </w:tc>
        <w:tc>
          <w:tcPr>
            <w:tcW w:w="34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9"/>
              </w:rPr>
              <w:t>$1,417,992</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65,203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180"/>
              <w:spacing w:after="0" w:line="181"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line="181" w:lineRule="exact"/>
              <w:rPr>
                <w:sz w:val="20"/>
                <w:szCs w:val="20"/>
                <w:color w:val="auto"/>
              </w:rPr>
            </w:pPr>
            <w:r>
              <w:rPr>
                <w:rFonts w:ascii="Arial" w:cs="Arial" w:eastAsia="Arial" w:hAnsi="Arial"/>
                <w:sz w:val="18"/>
                <w:szCs w:val="18"/>
                <w:color w:val="auto"/>
              </w:rPr>
              <w:t>52,246</w:t>
            </w: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125,885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129,030</w:t>
            </w: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5"/>
        </w:trPr>
        <w:tc>
          <w:tcPr>
            <w:tcW w:w="88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11,611</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4"/>
        </w:trPr>
        <w:tc>
          <w:tcPr>
            <w:tcW w:w="88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202,719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189,306</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424,009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523,707</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132,725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88,277</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20"/>
                <w:szCs w:val="20"/>
                <w:color w:val="auto"/>
              </w:rPr>
            </w:pPr>
            <w:r>
              <w:rPr>
                <w:rFonts w:ascii="Arial" w:cs="Arial" w:eastAsia="Arial" w:hAnsi="Arial"/>
                <w:sz w:val="18"/>
                <w:szCs w:val="18"/>
                <w:color w:val="auto"/>
              </w:rPr>
              <w:t>Deferred taxes and other liabilities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12,226</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196"/>
        </w:trPr>
        <w:tc>
          <w:tcPr>
            <w:tcW w:w="882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771,679</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809,712</w:t>
            </w:r>
          </w:p>
        </w:tc>
        <w:tc>
          <w:tcPr>
            <w:tcW w:w="0" w:type="dxa"/>
            <w:vAlign w:val="bottom"/>
          </w:tcPr>
          <w:p>
            <w:pPr>
              <w:spacing w:after="0"/>
              <w:rPr>
                <w:sz w:val="1"/>
                <w:szCs w:val="1"/>
                <w:color w:val="auto"/>
              </w:rPr>
            </w:pPr>
          </w:p>
        </w:tc>
      </w:tr>
      <w:tr>
        <w:trPr>
          <w:trHeight w:val="250"/>
        </w:trPr>
        <w:tc>
          <w:tcPr>
            <w:tcW w:w="88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9"/>
                <w:szCs w:val="19"/>
                <w:color w:val="auto"/>
              </w:rPr>
            </w:pPr>
          </w:p>
        </w:tc>
        <w:tc>
          <w:tcPr>
            <w:tcW w:w="120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Preferred stock, par value $5.00 per share; authorized 2,000,000 shares; none issued</w:t>
            </w: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Class A Common Stock, par value $.001 per share; authorized 100,000,000 shares; issued 39,098,792 in</w:t>
            </w:r>
          </w:p>
        </w:tc>
        <w:tc>
          <w:tcPr>
            <w:tcW w:w="260" w:type="dxa"/>
            <w:vAlign w:val="bottom"/>
          </w:tcPr>
          <w:p>
            <w:pPr>
              <w:spacing w:after="0"/>
              <w:rPr>
                <w:sz w:val="17"/>
                <w:szCs w:val="17"/>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39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2019 and 37,450,329 in 2018</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Class B Common Stock, par value $.001 per share; authorized 25,000,000 shares; issued and</w:t>
            </w:r>
          </w:p>
        </w:tc>
        <w:tc>
          <w:tcPr>
            <w:tcW w:w="260" w:type="dxa"/>
            <w:vAlign w:val="bottom"/>
          </w:tcPr>
          <w:p>
            <w:pPr>
              <w:spacing w:after="0"/>
              <w:rPr>
                <w:sz w:val="17"/>
                <w:szCs w:val="17"/>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180"/>
              <w:spacing w:after="0" w:line="181" w:lineRule="exact"/>
              <w:rPr>
                <w:sz w:val="20"/>
                <w:szCs w:val="20"/>
                <w:color w:val="auto"/>
              </w:rPr>
            </w:pPr>
            <w:r>
              <w:rPr>
                <w:rFonts w:ascii="Arial" w:cs="Arial" w:eastAsia="Arial" w:hAnsi="Arial"/>
                <w:sz w:val="18"/>
                <w:szCs w:val="18"/>
                <w:color w:val="auto"/>
              </w:rPr>
              <w:t>outstanding 1,617,998 in 2019 and 3,233,998 in 2018</w:t>
            </w: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1"/>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432,518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430,555</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698,496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589,645</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(122,852)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180"/>
              <w:spacing w:after="0" w:line="181" w:lineRule="exact"/>
              <w:rPr>
                <w:sz w:val="20"/>
                <w:szCs w:val="20"/>
                <w:color w:val="auto"/>
              </w:rPr>
            </w:pPr>
            <w:r>
              <w:rPr>
                <w:rFonts w:ascii="Arial" w:cs="Arial" w:eastAsia="Arial" w:hAnsi="Arial"/>
                <w:sz w:val="18"/>
                <w:szCs w:val="18"/>
                <w:color w:val="auto"/>
              </w:rPr>
              <w:t>Translation adjustments</w:t>
            </w: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(115,976)</w:t>
            </w: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(49,994)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(47,109)</w:t>
            </w:r>
          </w:p>
        </w:tc>
        <w:tc>
          <w:tcPr>
            <w:tcW w:w="0" w:type="dxa"/>
            <w:vAlign w:val="bottom"/>
          </w:tcPr>
          <w:p>
            <w:pPr>
              <w:spacing w:after="0"/>
              <w:rPr>
                <w:sz w:val="1"/>
                <w:szCs w:val="1"/>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(3,135)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20"/>
                <w:szCs w:val="20"/>
                <w:color w:val="auto"/>
              </w:rPr>
            </w:pPr>
            <w:r>
              <w:rPr>
                <w:rFonts w:ascii="Arial" w:cs="Arial" w:eastAsia="Arial" w:hAnsi="Arial"/>
                <w:sz w:val="18"/>
                <w:szCs w:val="18"/>
                <w:color w:val="auto"/>
              </w:rPr>
              <w:t>Treasury stock (Class A), at cost; 8,408,770 shares in 2019 and 8,418,620 shares in 2018</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(256,391)</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(256,603)</w:t>
            </w:r>
          </w:p>
        </w:tc>
        <w:tc>
          <w:tcPr>
            <w:tcW w:w="0" w:type="dxa"/>
            <w:vAlign w:val="bottom"/>
          </w:tcPr>
          <w:p>
            <w:pPr>
              <w:spacing w:after="0"/>
              <w:rPr>
                <w:sz w:val="1"/>
                <w:szCs w:val="1"/>
                <w:color w:val="auto"/>
              </w:rPr>
            </w:pPr>
          </w:p>
        </w:tc>
      </w:tr>
      <w:tr>
        <w:trPr>
          <w:trHeight w:val="173"/>
        </w:trPr>
        <w:tc>
          <w:tcPr>
            <w:tcW w:w="8820" w:type="dxa"/>
            <w:vAlign w:val="bottom"/>
          </w:tcPr>
          <w:p>
            <w:pPr>
              <w:ind w:left="360"/>
              <w:spacing w:after="0" w:line="173" w:lineRule="exact"/>
              <w:rPr>
                <w:sz w:val="20"/>
                <w:szCs w:val="20"/>
                <w:color w:val="auto"/>
              </w:rPr>
            </w:pPr>
            <w:r>
              <w:rPr>
                <w:rFonts w:ascii="Arial" w:cs="Arial" w:eastAsia="Arial" w:hAnsi="Arial"/>
                <w:sz w:val="18"/>
                <w:szCs w:val="18"/>
                <w:color w:val="auto"/>
              </w:rPr>
              <w:t>Total Company shareholders’ equity</w:t>
            </w:r>
          </w:p>
        </w:tc>
        <w:tc>
          <w:tcPr>
            <w:tcW w:w="260" w:type="dxa"/>
            <w:vAlign w:val="bottom"/>
          </w:tcPr>
          <w:p>
            <w:pPr>
              <w:spacing w:after="0"/>
              <w:rPr>
                <w:sz w:val="15"/>
                <w:szCs w:val="15"/>
                <w:color w:val="auto"/>
              </w:rPr>
            </w:pPr>
          </w:p>
        </w:tc>
        <w:tc>
          <w:tcPr>
            <w:tcW w:w="860" w:type="dxa"/>
            <w:vAlign w:val="bottom"/>
          </w:tcPr>
          <w:p>
            <w:pPr>
              <w:jc w:val="right"/>
              <w:ind w:right="31"/>
              <w:spacing w:after="0" w:line="173" w:lineRule="exact"/>
              <w:rPr>
                <w:sz w:val="20"/>
                <w:szCs w:val="20"/>
                <w:color w:val="auto"/>
              </w:rPr>
            </w:pPr>
            <w:r>
              <w:rPr>
                <w:rFonts w:ascii="Arial" w:cs="Arial" w:eastAsia="Arial" w:hAnsi="Arial"/>
                <w:sz w:val="18"/>
                <w:szCs w:val="18"/>
                <w:b w:val="1"/>
                <w:bCs w:val="1"/>
                <w:color w:val="auto"/>
              </w:rPr>
              <w:t>698,683</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1"/>
              <w:spacing w:after="0" w:line="173" w:lineRule="exact"/>
              <w:rPr>
                <w:sz w:val="20"/>
                <w:szCs w:val="20"/>
                <w:color w:val="auto"/>
              </w:rPr>
            </w:pPr>
            <w:r>
              <w:rPr>
                <w:rFonts w:ascii="Arial" w:cs="Arial" w:eastAsia="Arial" w:hAnsi="Arial"/>
                <w:sz w:val="18"/>
                <w:szCs w:val="18"/>
                <w:color w:val="auto"/>
              </w:rPr>
              <w:t>605,249</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4,006</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196"/>
        </w:trPr>
        <w:tc>
          <w:tcPr>
            <w:tcW w:w="8820" w:type="dxa"/>
            <w:vAlign w:val="bottom"/>
          </w:tcPr>
          <w:p>
            <w:pPr>
              <w:spacing w:after="0" w:line="196" w:lineRule="exact"/>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702,689</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608,280</w:t>
            </w:r>
          </w:p>
        </w:tc>
        <w:tc>
          <w:tcPr>
            <w:tcW w:w="0" w:type="dxa"/>
            <w:vAlign w:val="bottom"/>
          </w:tcPr>
          <w:p>
            <w:pPr>
              <w:spacing w:after="0"/>
              <w:rPr>
                <w:sz w:val="1"/>
                <w:szCs w:val="1"/>
                <w:color w:val="auto"/>
              </w:rPr>
            </w:pPr>
          </w:p>
        </w:tc>
      </w:tr>
      <w:tr>
        <w:trPr>
          <w:trHeight w:val="196"/>
        </w:trPr>
        <w:tc>
          <w:tcPr>
            <w:tcW w:w="882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12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9"/>
              </w:rPr>
              <w:t>$1,474,368</w:t>
            </w:r>
          </w:p>
        </w:tc>
        <w:tc>
          <w:tcPr>
            <w:tcW w:w="34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9"/>
              </w:rPr>
              <w:t>$1,417,992</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Albany International Corp.</w:t>
      </w:r>
    </w:p>
    <w:p>
      <w:pPr>
        <w:spacing w:after="0" w:line="10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color w:val="auto"/>
        </w:rPr>
        <w:t>For the years ended December 31,</w:t>
      </w:r>
    </w:p>
    <w:p>
      <w:pPr>
        <w:jc w:val="center"/>
        <w:ind w:left="1480"/>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5"/>
        </w:trPr>
        <w:tc>
          <w:tcPr>
            <w:tcW w:w="7320" w:type="dxa"/>
            <w:vAlign w:val="bottom"/>
            <w:vMerge w:val="continue"/>
          </w:tcPr>
          <w:p>
            <w:pPr>
              <w:spacing w:after="0"/>
              <w:rPr>
                <w:sz w:val="16"/>
                <w:szCs w:val="16"/>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$ 133,383</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$ 83,019</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62,085</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180"/>
              <w:spacing w:after="0" w:line="181" w:lineRule="exact"/>
              <w:rPr>
                <w:sz w:val="20"/>
                <w:szCs w:val="20"/>
                <w:color w:val="auto"/>
              </w:rPr>
            </w:pPr>
            <w:r>
              <w:rPr>
                <w:rFonts w:ascii="Arial" w:cs="Arial" w:eastAsia="Arial" w:hAnsi="Arial"/>
                <w:sz w:val="18"/>
                <w:szCs w:val="18"/>
                <w:color w:val="auto"/>
              </w:rPr>
              <w:t>Depreciation</w:t>
            </w:r>
          </w:p>
        </w:tc>
        <w:tc>
          <w:tcPr>
            <w:tcW w:w="1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68,800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Amortization</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8,710</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10,236</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1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13,702</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1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3,119</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Non-cash interest expense</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605</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Write-off of pension liability adjustment due to settlement/curtailment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450</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2,063</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Write-off of intangible assets in a discontinued product line</w:t>
            </w:r>
          </w:p>
        </w:tc>
        <w:tc>
          <w:tcPr>
            <w:tcW w:w="150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 that provided/(used) cash, net of impact of</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business acquisition:</w:t>
            </w: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9,587</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180"/>
              <w:spacing w:after="0" w:line="181" w:lineRule="exact"/>
              <w:rPr>
                <w:sz w:val="20"/>
                <w:szCs w:val="20"/>
                <w:color w:val="auto"/>
              </w:rPr>
            </w:pPr>
            <w:r>
              <w:rPr>
                <w:rFonts w:ascii="Arial" w:cs="Arial" w:eastAsia="Arial" w:hAnsi="Arial"/>
                <w:sz w:val="18"/>
                <w:szCs w:val="18"/>
                <w:color w:val="auto"/>
              </w:rPr>
              <w:t>Accounts receivable</w:t>
            </w:r>
          </w:p>
        </w:tc>
        <w:tc>
          <w:tcPr>
            <w:tcW w:w="1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(19,139)</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Contract assets</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(19,199)</w:t>
            </w:r>
          </w:p>
        </w:tc>
        <w:tc>
          <w:tcPr>
            <w:tcW w:w="34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(8,923)</w:t>
            </w:r>
          </w:p>
        </w:tc>
        <w:tc>
          <w:tcPr>
            <w:tcW w:w="340" w:type="dxa"/>
            <w:vAlign w:val="bottom"/>
          </w:tcPr>
          <w:p>
            <w:pPr>
              <w:spacing w:after="0"/>
              <w:rPr>
                <w:sz w:val="17"/>
                <w:szCs w:val="17"/>
                <w:color w:val="auto"/>
              </w:rPr>
            </w:pP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(2,291)</w:t>
            </w:r>
          </w:p>
        </w:tc>
        <w:tc>
          <w:tcPr>
            <w:tcW w:w="34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prepaid and receivable</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1,390</w:t>
            </w:r>
          </w:p>
        </w:tc>
        <w:tc>
          <w:tcPr>
            <w:tcW w:w="34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1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10,524</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(7,393)</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payable</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3,979</w:t>
            </w:r>
          </w:p>
        </w:tc>
        <w:tc>
          <w:tcPr>
            <w:tcW w:w="340" w:type="dxa"/>
            <w:vAlign w:val="bottom"/>
          </w:tcPr>
          <w:p>
            <w:pPr>
              <w:spacing w:after="0"/>
              <w:rPr>
                <w:sz w:val="17"/>
                <w:szCs w:val="17"/>
                <w:color w:val="auto"/>
              </w:rPr>
            </w:pP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Noncurrent receivables</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(1,341)</w:t>
            </w:r>
          </w:p>
        </w:tc>
        <w:tc>
          <w:tcPr>
            <w:tcW w:w="34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Other noncurrent liabilities</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(6,573)</w:t>
            </w:r>
          </w:p>
        </w:tc>
        <w:tc>
          <w:tcPr>
            <w:tcW w:w="34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(3,525)</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196"/>
        </w:trPr>
        <w:tc>
          <w:tcPr>
            <w:tcW w:w="7320" w:type="dxa"/>
            <w:vAlign w:val="bottom"/>
          </w:tcPr>
          <w:p>
            <w:pPr>
              <w:ind w:left="1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200,352</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132,485</w:t>
            </w:r>
          </w:p>
        </w:tc>
        <w:tc>
          <w:tcPr>
            <w:tcW w:w="0" w:type="dxa"/>
            <w:vAlign w:val="bottom"/>
          </w:tcPr>
          <w:p>
            <w:pPr>
              <w:spacing w:after="0"/>
              <w:rPr>
                <w:sz w:val="1"/>
                <w:szCs w:val="1"/>
                <w:color w:val="auto"/>
              </w:rPr>
            </w:pPr>
          </w:p>
        </w:tc>
      </w:tr>
      <w:tr>
        <w:trPr>
          <w:trHeight w:val="195"/>
        </w:trPr>
        <w:tc>
          <w:tcPr>
            <w:tcW w:w="7320" w:type="dxa"/>
            <w:vAlign w:val="bottom"/>
          </w:tcPr>
          <w:p>
            <w:pPr>
              <w:spacing w:after="0" w:line="195" w:lineRule="exact"/>
              <w:rPr>
                <w:sz w:val="20"/>
                <w:szCs w:val="20"/>
                <w:color w:val="auto"/>
              </w:rPr>
            </w:pPr>
            <w:r>
              <w:rPr>
                <w:rFonts w:ascii="Arial" w:cs="Arial" w:eastAsia="Arial" w:hAnsi="Arial"/>
                <w:sz w:val="18"/>
                <w:szCs w:val="18"/>
                <w:b w:val="1"/>
                <w:bCs w:val="1"/>
                <w:color w:val="auto"/>
              </w:rPr>
              <w:t>Investing Activities</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(30,793)</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180"/>
              <w:spacing w:after="0" w:line="181" w:lineRule="exact"/>
              <w:rPr>
                <w:sz w:val="20"/>
                <w:szCs w:val="20"/>
                <w:color w:val="auto"/>
              </w:rPr>
            </w:pPr>
            <w:r>
              <w:rPr>
                <w:rFonts w:ascii="Arial" w:cs="Arial" w:eastAsia="Arial" w:hAnsi="Arial"/>
                <w:sz w:val="18"/>
                <w:szCs w:val="18"/>
                <w:color w:val="auto"/>
              </w:rPr>
              <w:t>Purchase of business, net of cash acquired</w:t>
            </w:r>
          </w:p>
        </w:tc>
        <w:tc>
          <w:tcPr>
            <w:tcW w:w="1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(67,358)</w:t>
            </w:r>
          </w:p>
        </w:tc>
        <w:tc>
          <w:tcPr>
            <w:tcW w:w="34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(81,579)</w:t>
            </w:r>
          </w:p>
        </w:tc>
        <w:tc>
          <w:tcPr>
            <w:tcW w:w="0" w:type="dxa"/>
            <w:vAlign w:val="bottom"/>
          </w:tcPr>
          <w:p>
            <w:pPr>
              <w:spacing w:after="0"/>
              <w:rPr>
                <w:sz w:val="1"/>
                <w:szCs w:val="1"/>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Purchased software</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(597)</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196"/>
        </w:trPr>
        <w:tc>
          <w:tcPr>
            <w:tcW w:w="7320" w:type="dxa"/>
            <w:vAlign w:val="bottom"/>
          </w:tcPr>
          <w:p>
            <w:pPr>
              <w:ind w:left="180"/>
              <w:spacing w:after="0" w:line="196" w:lineRule="exact"/>
              <w:rPr>
                <w:sz w:val="20"/>
                <w:szCs w:val="20"/>
                <w:color w:val="auto"/>
              </w:rPr>
            </w:pPr>
            <w:r>
              <w:rPr>
                <w:rFonts w:ascii="Arial" w:cs="Arial" w:eastAsia="Arial" w:hAnsi="Arial"/>
                <w:sz w:val="18"/>
                <w:szCs w:val="18"/>
                <w:color w:val="auto"/>
              </w:rPr>
              <w:t>Net cash used in investing activities</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(98,748)</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(82,886)</w:t>
            </w:r>
          </w:p>
        </w:tc>
        <w:tc>
          <w:tcPr>
            <w:tcW w:w="0" w:type="dxa"/>
            <w:vAlign w:val="bottom"/>
          </w:tcPr>
          <w:p>
            <w:pPr>
              <w:spacing w:after="0"/>
              <w:rPr>
                <w:sz w:val="1"/>
                <w:szCs w:val="1"/>
                <w:color w:val="auto"/>
              </w:rPr>
            </w:pPr>
          </w:p>
        </w:tc>
      </w:tr>
      <w:tr>
        <w:trPr>
          <w:trHeight w:val="195"/>
        </w:trPr>
        <w:tc>
          <w:tcPr>
            <w:tcW w:w="7320" w:type="dxa"/>
            <w:vAlign w:val="bottom"/>
          </w:tcPr>
          <w:p>
            <w:pPr>
              <w:spacing w:after="0" w:line="195" w:lineRule="exact"/>
              <w:rPr>
                <w:sz w:val="20"/>
                <w:szCs w:val="20"/>
                <w:color w:val="auto"/>
              </w:rPr>
            </w:pPr>
            <w:r>
              <w:rPr>
                <w:rFonts w:ascii="Arial" w:cs="Arial" w:eastAsia="Arial" w:hAnsi="Arial"/>
                <w:sz w:val="18"/>
                <w:szCs w:val="18"/>
                <w:b w:val="1"/>
                <w:bCs w:val="1"/>
                <w:color w:val="auto"/>
              </w:rPr>
              <w:t>Financing Activities</w:t>
            </w: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45,000</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180"/>
              <w:spacing w:after="0" w:line="181" w:lineRule="exact"/>
              <w:rPr>
                <w:sz w:val="20"/>
                <w:szCs w:val="20"/>
                <w:color w:val="auto"/>
              </w:rPr>
            </w:pPr>
            <w:r>
              <w:rPr>
                <w:rFonts w:ascii="Arial" w:cs="Arial" w:eastAsia="Arial" w:hAnsi="Arial"/>
                <w:sz w:val="18"/>
                <w:szCs w:val="18"/>
                <w:color w:val="auto"/>
              </w:rPr>
              <w:t>Proceeds from borrowings</w:t>
            </w:r>
          </w:p>
        </w:tc>
        <w:tc>
          <w:tcPr>
            <w:tcW w:w="1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26,031</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Principal payments on debt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(120,017)</w:t>
            </w:r>
          </w:p>
        </w:tc>
        <w:tc>
          <w:tcPr>
            <w:tcW w:w="34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(29,913)</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Principal payments on finance lease liabilities</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(1,180)</w:t>
            </w:r>
          </w:p>
        </w:tc>
        <w:tc>
          <w:tcPr>
            <w:tcW w:w="340" w:type="dxa"/>
            <w:vAlign w:val="bottom"/>
          </w:tcPr>
          <w:p>
            <w:pPr>
              <w:spacing w:after="0"/>
              <w:rPr>
                <w:sz w:val="17"/>
                <w:szCs w:val="17"/>
                <w:color w:val="auto"/>
              </w:rPr>
            </w:pP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Debt acquisition costs</w:t>
            </w:r>
          </w:p>
        </w:tc>
        <w:tc>
          <w:tcPr>
            <w:tcW w:w="150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Cash received to settle swap agreements</w:t>
            </w:r>
          </w:p>
        </w:tc>
        <w:tc>
          <w:tcPr>
            <w:tcW w:w="150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Taxes paid in lieu of share issuance</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(971)</w:t>
            </w:r>
          </w:p>
        </w:tc>
        <w:tc>
          <w:tcPr>
            <w:tcW w:w="34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Proceeds from options exercised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112</w:t>
            </w:r>
          </w:p>
        </w:tc>
        <w:tc>
          <w:tcPr>
            <w:tcW w:w="3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(23,251)</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(21,926)</w:t>
            </w:r>
          </w:p>
        </w:tc>
        <w:tc>
          <w:tcPr>
            <w:tcW w:w="0" w:type="dxa"/>
            <w:vAlign w:val="bottom"/>
          </w:tcPr>
          <w:p>
            <w:pPr>
              <w:spacing w:after="0"/>
              <w:rPr>
                <w:sz w:val="1"/>
                <w:szCs w:val="1"/>
                <w:color w:val="auto"/>
              </w:rPr>
            </w:pPr>
          </w:p>
        </w:tc>
      </w:tr>
      <w:tr>
        <w:trPr>
          <w:trHeight w:val="196"/>
        </w:trPr>
        <w:tc>
          <w:tcPr>
            <w:tcW w:w="7320" w:type="dxa"/>
            <w:vAlign w:val="bottom"/>
          </w:tcPr>
          <w:p>
            <w:pPr>
              <w:ind w:left="180"/>
              <w:spacing w:after="0" w:line="196" w:lineRule="exact"/>
              <w:rPr>
                <w:sz w:val="20"/>
                <w:szCs w:val="20"/>
                <w:color w:val="auto"/>
              </w:rPr>
            </w:pPr>
            <w:r>
              <w:rPr>
                <w:rFonts w:ascii="Arial" w:cs="Arial" w:eastAsia="Arial" w:hAnsi="Arial"/>
                <w:sz w:val="18"/>
                <w:szCs w:val="18"/>
                <w:color w:val="auto"/>
              </w:rPr>
              <w:t>Net cash (used in)/provided by financing activities</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(100,307)</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196"/>
        </w:trPr>
        <w:tc>
          <w:tcPr>
            <w:tcW w:w="7320" w:type="dxa"/>
            <w:vAlign w:val="bottom"/>
          </w:tcPr>
          <w:p>
            <w:pPr>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(3,512)</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173"/>
        </w:trPr>
        <w:tc>
          <w:tcPr>
            <w:tcW w:w="7320" w:type="dxa"/>
            <w:vAlign w:val="bottom"/>
          </w:tcPr>
          <w:p>
            <w:pPr>
              <w:spacing w:after="0" w:line="173" w:lineRule="exact"/>
              <w:rPr>
                <w:sz w:val="20"/>
                <w:szCs w:val="20"/>
                <w:color w:val="auto"/>
              </w:rPr>
            </w:pPr>
            <w:r>
              <w:rPr>
                <w:rFonts w:ascii="Arial" w:cs="Arial" w:eastAsia="Arial" w:hAnsi="Arial"/>
                <w:sz w:val="18"/>
                <w:szCs w:val="18"/>
                <w:color w:val="auto"/>
              </w:rPr>
              <w:t>(Decrease)/increase in cash and cash equivalents</w:t>
            </w:r>
          </w:p>
        </w:tc>
        <w:tc>
          <w:tcPr>
            <w:tcW w:w="116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(2,215)</w:t>
            </w:r>
          </w:p>
        </w:tc>
        <w:tc>
          <w:tcPr>
            <w:tcW w:w="340" w:type="dxa"/>
            <w:vAlign w:val="bottom"/>
          </w:tcPr>
          <w:p>
            <w:pPr>
              <w:spacing w:after="0"/>
              <w:rPr>
                <w:sz w:val="15"/>
                <w:szCs w:val="15"/>
                <w:color w:val="auto"/>
              </w:rPr>
            </w:pPr>
          </w:p>
        </w:tc>
        <w:tc>
          <w:tcPr>
            <w:tcW w:w="112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14,028</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197,755</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196"/>
        </w:trPr>
        <w:tc>
          <w:tcPr>
            <w:tcW w:w="7320" w:type="dxa"/>
            <w:vAlign w:val="bottom"/>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11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$ 195,540</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$197,755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7202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8890</wp:posOffset>
            </wp:positionV>
            <wp:extent cx="7200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0" w:lineRule="exact"/>
        <w:rPr>
          <w:sz w:val="20"/>
          <w:szCs w:val="20"/>
          <w:color w:val="auto"/>
        </w:rPr>
      </w:pPr>
    </w:p>
    <w:p>
      <w:pPr>
        <w:ind w:left="180" w:hanging="173"/>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32,585</w:t>
      </w:r>
    </w:p>
    <w:p>
      <w:pPr>
        <w:spacing w:after="0" w:line="19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61,517</w:t>
      </w:r>
    </w:p>
    <w:p>
      <w:pPr>
        <w:ind w:left="180"/>
        <w:spacing w:after="0" w:line="234" w:lineRule="auto"/>
        <w:rPr>
          <w:rFonts w:ascii="Arial" w:cs="Arial" w:eastAsia="Arial" w:hAnsi="Arial"/>
          <w:sz w:val="18"/>
          <w:szCs w:val="18"/>
          <w:color w:val="auto"/>
        </w:rPr>
      </w:pPr>
      <w:r>
        <w:rPr>
          <w:rFonts w:ascii="Arial" w:cs="Arial" w:eastAsia="Arial" w:hAnsi="Arial"/>
          <w:sz w:val="18"/>
          <w:szCs w:val="18"/>
          <w:color w:val="auto"/>
        </w:rPr>
        <w:t>10,439</w:t>
      </w:r>
    </w:p>
    <w:p>
      <w:pPr>
        <w:ind w:left="220"/>
        <w:spacing w:after="0" w:line="234" w:lineRule="auto"/>
        <w:rPr>
          <w:rFonts w:ascii="Arial" w:cs="Arial" w:eastAsia="Arial" w:hAnsi="Arial"/>
          <w:sz w:val="18"/>
          <w:szCs w:val="18"/>
          <w:color w:val="auto"/>
        </w:rPr>
      </w:pPr>
      <w:r>
        <w:rPr>
          <w:rFonts w:ascii="Arial" w:cs="Arial" w:eastAsia="Arial" w:hAnsi="Arial"/>
          <w:sz w:val="18"/>
          <w:szCs w:val="18"/>
          <w:color w:val="auto"/>
        </w:rPr>
        <w:t>(1,264)</w:t>
      </w:r>
    </w:p>
    <w:p>
      <w:pPr>
        <w:ind w:left="280"/>
        <w:spacing w:after="0" w:line="234" w:lineRule="auto"/>
        <w:rPr>
          <w:rFonts w:ascii="Arial" w:cs="Arial" w:eastAsia="Arial" w:hAnsi="Arial"/>
          <w:sz w:val="18"/>
          <w:szCs w:val="18"/>
          <w:color w:val="auto"/>
        </w:rPr>
      </w:pPr>
      <w:r>
        <w:rPr>
          <w:rFonts w:ascii="Arial" w:cs="Arial" w:eastAsia="Arial" w:hAnsi="Arial"/>
          <w:sz w:val="18"/>
          <w:szCs w:val="18"/>
          <w:color w:val="auto"/>
        </w:rPr>
        <w:t>2,870</w:t>
      </w:r>
    </w:p>
    <w:p>
      <w:pPr>
        <w:ind w:left="420"/>
        <w:spacing w:after="0" w:line="234" w:lineRule="auto"/>
        <w:rPr>
          <w:rFonts w:ascii="Arial" w:cs="Arial" w:eastAsia="Arial" w:hAnsi="Arial"/>
          <w:sz w:val="18"/>
          <w:szCs w:val="18"/>
          <w:color w:val="auto"/>
        </w:rPr>
      </w:pPr>
      <w:r>
        <w:rPr>
          <w:rFonts w:ascii="Arial" w:cs="Arial" w:eastAsia="Arial" w:hAnsi="Arial"/>
          <w:sz w:val="18"/>
          <w:szCs w:val="18"/>
          <w:color w:val="auto"/>
        </w:rPr>
        <w:t>660</w:t>
      </w:r>
    </w:p>
    <w:p>
      <w:pPr>
        <w:ind w:left="520"/>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280"/>
        <w:spacing w:after="0" w:line="234" w:lineRule="auto"/>
        <w:rPr>
          <w:rFonts w:ascii="Arial" w:cs="Arial" w:eastAsia="Arial" w:hAnsi="Arial"/>
          <w:sz w:val="18"/>
          <w:szCs w:val="18"/>
          <w:color w:val="auto"/>
        </w:rPr>
      </w:pPr>
      <w:r>
        <w:rPr>
          <w:rFonts w:ascii="Arial" w:cs="Arial" w:eastAsia="Arial" w:hAnsi="Arial"/>
          <w:sz w:val="18"/>
          <w:szCs w:val="18"/>
          <w:color w:val="auto"/>
        </w:rPr>
        <w:t>2,133</w:t>
      </w:r>
    </w:p>
    <w:p>
      <w:pPr>
        <w:ind w:left="280"/>
        <w:spacing w:after="0"/>
        <w:rPr>
          <w:rFonts w:ascii="Arial" w:cs="Arial" w:eastAsia="Arial" w:hAnsi="Arial"/>
          <w:sz w:val="18"/>
          <w:szCs w:val="18"/>
          <w:color w:val="auto"/>
        </w:rPr>
      </w:pPr>
      <w:r>
        <w:rPr>
          <w:rFonts w:ascii="Arial" w:cs="Arial" w:eastAsia="Arial" w:hAnsi="Arial"/>
          <w:sz w:val="18"/>
          <w:szCs w:val="18"/>
          <w:color w:val="auto"/>
        </w:rPr>
        <w:t>4,149</w:t>
      </w:r>
    </w:p>
    <w:p>
      <w:pPr>
        <w:spacing w:after="0" w:line="3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(21,859)</w:t>
      </w:r>
    </w:p>
    <w:p>
      <w:pPr>
        <w:ind w:left="520"/>
        <w:spacing w:after="0" w:line="234" w:lineRule="auto"/>
        <w:rPr>
          <w:sz w:val="20"/>
          <w:szCs w:val="20"/>
          <w:color w:val="auto"/>
        </w:rPr>
      </w:pPr>
      <w:r>
        <w:rPr>
          <w:rFonts w:ascii="Arial" w:cs="Arial" w:eastAsia="Arial" w:hAnsi="Arial"/>
          <w:sz w:val="18"/>
          <w:szCs w:val="18"/>
          <w:color w:val="auto"/>
        </w:rPr>
        <w:t>—</w:t>
      </w:r>
    </w:p>
    <w:p>
      <w:pPr>
        <w:ind w:left="280"/>
        <w:spacing w:after="0" w:line="235" w:lineRule="auto"/>
        <w:rPr>
          <w:sz w:val="20"/>
          <w:szCs w:val="20"/>
          <w:color w:val="auto"/>
        </w:rPr>
      </w:pPr>
      <w:r>
        <w:rPr>
          <w:rFonts w:ascii="Arial" w:cs="Arial" w:eastAsia="Arial" w:hAnsi="Arial"/>
          <w:sz w:val="18"/>
          <w:szCs w:val="18"/>
          <w:color w:val="auto"/>
        </w:rPr>
        <w:t>3,090</w:t>
      </w:r>
    </w:p>
    <w:p>
      <w:pPr>
        <w:ind w:left="220"/>
        <w:spacing w:after="0" w:line="235" w:lineRule="auto"/>
        <w:rPr>
          <w:sz w:val="20"/>
          <w:szCs w:val="20"/>
          <w:color w:val="auto"/>
        </w:rPr>
      </w:pPr>
      <w:r>
        <w:rPr>
          <w:rFonts w:ascii="Arial" w:cs="Arial" w:eastAsia="Arial" w:hAnsi="Arial"/>
          <w:sz w:val="18"/>
          <w:szCs w:val="18"/>
          <w:color w:val="auto"/>
        </w:rPr>
        <w:t>(4,989)</w:t>
      </w:r>
    </w:p>
    <w:p>
      <w:pPr>
        <w:ind w:left="360"/>
        <w:spacing w:after="0" w:line="235" w:lineRule="auto"/>
        <w:rPr>
          <w:sz w:val="20"/>
          <w:szCs w:val="20"/>
          <w:color w:val="auto"/>
        </w:rPr>
      </w:pPr>
      <w:r>
        <w:rPr>
          <w:rFonts w:ascii="Arial" w:cs="Arial" w:eastAsia="Arial" w:hAnsi="Arial"/>
          <w:sz w:val="18"/>
          <w:szCs w:val="18"/>
          <w:color w:val="auto"/>
        </w:rPr>
        <w:t>(941)</w:t>
      </w:r>
    </w:p>
    <w:p>
      <w:pPr>
        <w:ind w:left="280"/>
        <w:spacing w:after="0" w:line="235" w:lineRule="auto"/>
        <w:rPr>
          <w:sz w:val="20"/>
          <w:szCs w:val="20"/>
          <w:color w:val="auto"/>
        </w:rPr>
      </w:pPr>
      <w:r>
        <w:rPr>
          <w:rFonts w:ascii="Arial" w:cs="Arial" w:eastAsia="Arial" w:hAnsi="Arial"/>
          <w:sz w:val="18"/>
          <w:szCs w:val="18"/>
          <w:color w:val="auto"/>
        </w:rPr>
        <w:t>2,910</w:t>
      </w:r>
    </w:p>
    <w:p>
      <w:pPr>
        <w:ind w:left="280"/>
        <w:spacing w:after="0" w:line="235" w:lineRule="auto"/>
        <w:rPr>
          <w:sz w:val="20"/>
          <w:szCs w:val="20"/>
          <w:color w:val="auto"/>
        </w:rPr>
      </w:pPr>
      <w:r>
        <w:rPr>
          <w:rFonts w:ascii="Arial" w:cs="Arial" w:eastAsia="Arial" w:hAnsi="Arial"/>
          <w:sz w:val="18"/>
          <w:szCs w:val="18"/>
          <w:color w:val="auto"/>
        </w:rPr>
        <w:t>5,303</w:t>
      </w:r>
    </w:p>
    <w:p>
      <w:pPr>
        <w:ind w:left="360"/>
        <w:spacing w:after="0" w:line="235" w:lineRule="auto"/>
        <w:rPr>
          <w:sz w:val="20"/>
          <w:szCs w:val="20"/>
          <w:color w:val="auto"/>
        </w:rPr>
      </w:pPr>
      <w:r>
        <w:rPr>
          <w:rFonts w:ascii="Arial" w:cs="Arial" w:eastAsia="Arial" w:hAnsi="Arial"/>
          <w:sz w:val="18"/>
          <w:szCs w:val="18"/>
          <w:color w:val="auto"/>
        </w:rPr>
        <w:t>(799)</w:t>
      </w:r>
    </w:p>
    <w:p>
      <w:pPr>
        <w:ind w:left="120"/>
        <w:spacing w:after="0" w:line="235" w:lineRule="auto"/>
        <w:rPr>
          <w:sz w:val="20"/>
          <w:szCs w:val="20"/>
          <w:color w:val="auto"/>
        </w:rPr>
      </w:pPr>
      <w:r>
        <w:rPr>
          <w:rFonts w:ascii="Arial" w:cs="Arial" w:eastAsia="Arial" w:hAnsi="Arial"/>
          <w:sz w:val="18"/>
          <w:szCs w:val="18"/>
          <w:color w:val="auto"/>
        </w:rPr>
        <w:t>(18,766)</w:t>
      </w:r>
    </w:p>
    <w:p>
      <w:pPr>
        <w:ind w:left="120"/>
        <w:spacing w:after="0" w:line="235" w:lineRule="auto"/>
        <w:rPr>
          <w:sz w:val="20"/>
          <w:szCs w:val="20"/>
          <w:color w:val="auto"/>
        </w:rPr>
      </w:pPr>
      <w:r>
        <w:rPr>
          <w:rFonts w:ascii="Arial" w:cs="Arial" w:eastAsia="Arial" w:hAnsi="Arial"/>
          <w:sz w:val="18"/>
          <w:szCs w:val="18"/>
          <w:color w:val="auto"/>
        </w:rPr>
        <w:t>(10,145)</w:t>
      </w:r>
    </w:p>
    <w:p>
      <w:pPr>
        <w:ind w:left="220"/>
        <w:spacing w:after="0"/>
        <w:rPr>
          <w:sz w:val="20"/>
          <w:szCs w:val="20"/>
          <w:color w:val="auto"/>
        </w:rPr>
      </w:pPr>
      <w:r>
        <w:rPr>
          <w:rFonts w:ascii="Arial" w:cs="Arial" w:eastAsia="Arial" w:hAnsi="Arial"/>
          <w:sz w:val="18"/>
          <w:szCs w:val="18"/>
          <w:color w:val="auto"/>
        </w:rPr>
        <w:t>(2,677)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64,216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ind w:left="120"/>
        <w:spacing w:after="0" w:line="234" w:lineRule="auto"/>
        <w:rPr>
          <w:sz w:val="20"/>
          <w:szCs w:val="20"/>
          <w:color w:val="auto"/>
        </w:rPr>
      </w:pPr>
      <w:r>
        <w:rPr>
          <w:rFonts w:ascii="Arial" w:cs="Arial" w:eastAsia="Arial" w:hAnsi="Arial"/>
          <w:sz w:val="18"/>
          <w:szCs w:val="18"/>
          <w:color w:val="auto"/>
        </w:rPr>
        <w:t>(85,510)</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(87,637)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115,334</w:t>
      </w:r>
    </w:p>
    <w:p>
      <w:pPr>
        <w:ind w:left="120"/>
        <w:spacing w:after="0" w:line="234" w:lineRule="auto"/>
        <w:rPr>
          <w:sz w:val="20"/>
          <w:szCs w:val="20"/>
          <w:color w:val="auto"/>
        </w:rPr>
      </w:pPr>
      <w:r>
        <w:rPr>
          <w:rFonts w:ascii="Arial" w:cs="Arial" w:eastAsia="Arial" w:hAnsi="Arial"/>
          <w:sz w:val="18"/>
          <w:szCs w:val="18"/>
          <w:color w:val="auto"/>
        </w:rPr>
        <w:t>(84,047)</w:t>
      </w:r>
    </w:p>
    <w:p>
      <w:pPr>
        <w:ind w:left="520"/>
        <w:spacing w:after="0" w:line="235" w:lineRule="auto"/>
        <w:rPr>
          <w:sz w:val="20"/>
          <w:szCs w:val="20"/>
          <w:color w:val="auto"/>
        </w:rPr>
      </w:pPr>
      <w:r>
        <w:rPr>
          <w:rFonts w:ascii="Arial" w:cs="Arial" w:eastAsia="Arial" w:hAnsi="Arial"/>
          <w:sz w:val="18"/>
          <w:szCs w:val="18"/>
          <w:color w:val="auto"/>
        </w:rPr>
        <w:t>—</w:t>
      </w:r>
    </w:p>
    <w:p>
      <w:pPr>
        <w:ind w:left="220"/>
        <w:spacing w:after="0" w:line="235" w:lineRule="auto"/>
        <w:rPr>
          <w:sz w:val="20"/>
          <w:szCs w:val="20"/>
          <w:color w:val="auto"/>
        </w:rPr>
      </w:pPr>
      <w:r>
        <w:rPr>
          <w:rFonts w:ascii="Arial" w:cs="Arial" w:eastAsia="Arial" w:hAnsi="Arial"/>
          <w:sz w:val="18"/>
          <w:szCs w:val="18"/>
          <w:color w:val="auto"/>
        </w:rPr>
        <w:t>(2,130)</w:t>
      </w:r>
    </w:p>
    <w:p>
      <w:pPr>
        <w:ind w:left="280"/>
        <w:spacing w:after="0" w:line="235" w:lineRule="auto"/>
        <w:rPr>
          <w:sz w:val="20"/>
          <w:szCs w:val="20"/>
          <w:color w:val="auto"/>
        </w:rPr>
      </w:pPr>
      <w:r>
        <w:rPr>
          <w:rFonts w:ascii="Arial" w:cs="Arial" w:eastAsia="Arial" w:hAnsi="Arial"/>
          <w:sz w:val="18"/>
          <w:szCs w:val="18"/>
          <w:color w:val="auto"/>
        </w:rPr>
        <w:t>6,346</w:t>
      </w:r>
    </w:p>
    <w:p>
      <w:pPr>
        <w:ind w:left="220"/>
        <w:spacing w:after="0" w:line="235" w:lineRule="auto"/>
        <w:rPr>
          <w:sz w:val="20"/>
          <w:szCs w:val="20"/>
          <w:color w:val="auto"/>
        </w:rPr>
      </w:pPr>
      <w:r>
        <w:rPr>
          <w:rFonts w:ascii="Arial" w:cs="Arial" w:eastAsia="Arial" w:hAnsi="Arial"/>
          <w:sz w:val="18"/>
          <w:szCs w:val="18"/>
          <w:color w:val="auto"/>
        </w:rPr>
        <w:t>(1,364)</w:t>
      </w:r>
    </w:p>
    <w:p>
      <w:pPr>
        <w:ind w:left="420"/>
        <w:spacing w:after="0" w:line="235" w:lineRule="auto"/>
        <w:rPr>
          <w:sz w:val="20"/>
          <w:szCs w:val="20"/>
          <w:color w:val="auto"/>
        </w:rPr>
      </w:pPr>
      <w:r>
        <w:rPr>
          <w:rFonts w:ascii="Arial" w:cs="Arial" w:eastAsia="Arial" w:hAnsi="Arial"/>
          <w:sz w:val="18"/>
          <w:szCs w:val="18"/>
          <w:color w:val="auto"/>
        </w:rPr>
        <w:t>597</w:t>
      </w:r>
    </w:p>
    <w:p>
      <w:pPr>
        <w:ind w:left="120"/>
        <w:spacing w:after="0"/>
        <w:rPr>
          <w:sz w:val="20"/>
          <w:szCs w:val="20"/>
          <w:color w:val="auto"/>
        </w:rPr>
      </w:pPr>
      <w:r>
        <w:rPr>
          <w:rFonts w:ascii="Arial" w:cs="Arial" w:eastAsia="Arial" w:hAnsi="Arial"/>
          <w:sz w:val="18"/>
          <w:szCs w:val="18"/>
          <w:color w:val="auto"/>
        </w:rPr>
        <w:t>(21,869)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12,867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12,539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1,985</w:t>
      </w:r>
    </w:p>
    <w:p>
      <w:pPr>
        <w:ind w:left="80"/>
        <w:spacing w:after="0"/>
        <w:rPr>
          <w:sz w:val="20"/>
          <w:szCs w:val="20"/>
          <w:color w:val="auto"/>
        </w:rPr>
      </w:pPr>
      <w:r>
        <w:rPr>
          <w:rFonts w:ascii="Arial" w:cs="Arial" w:eastAsia="Arial" w:hAnsi="Arial"/>
          <w:sz w:val="18"/>
          <w:szCs w:val="18"/>
          <w:color w:val="auto"/>
        </w:rPr>
        <w:t>181,742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$183,727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7200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14605</wp:posOffset>
            </wp:positionV>
            <wp:extent cx="7200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ectPr>
          <w:pgSz w:w="11900" w:h="16838" w:orient="portrait"/>
          <w:cols w:equalWidth="0" w:num="2">
            <w:col w:w="9940" w:space="540"/>
            <w:col w:w="940"/>
          </w:cols>
          <w:pgMar w:left="240" w:top="269"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jc w:val="both"/>
        <w:ind w:right="9460" w:firstLine="8"/>
        <w:spacing w:after="0" w:line="372" w:lineRule="auto"/>
        <w:tabs>
          <w:tab w:leader="none" w:pos="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Basis of Consolidation</w:t>
      </w:r>
    </w:p>
    <w:p>
      <w:pPr>
        <w:spacing w:after="0" w:line="2" w:lineRule="exact"/>
        <w:rPr>
          <w:sz w:val="20"/>
          <w:szCs w:val="20"/>
          <w:color w:val="auto"/>
        </w:rPr>
      </w:pPr>
    </w:p>
    <w:p>
      <w:pPr>
        <w:ind w:right="240" w:firstLine="378"/>
        <w:spacing w:after="0" w:line="261" w:lineRule="auto"/>
        <w:rPr>
          <w:sz w:val="20"/>
          <w:szCs w:val="20"/>
          <w:color w:val="auto"/>
        </w:rPr>
      </w:pPr>
      <w:r>
        <w:rPr>
          <w:rFonts w:ascii="Arial" w:cs="Arial" w:eastAsia="Arial" w:hAnsi="Arial"/>
          <w:sz w:val="17"/>
          <w:szCs w:val="17"/>
          <w:color w:val="auto"/>
        </w:rPr>
        <w:t>The consolidated financial statements include the accounts of Albany International Corp. and its subsidiaries (the Company, Albany, we, us, or our) after elimination of intercompany transactions. We have a 50 percent interest in an entity in Russia. The consolidated financial statements include our original investment in the entity, plus our share of undistributed earnings or losses, in the account “Other Assets.”</w:t>
      </w:r>
    </w:p>
    <w:p>
      <w:pPr>
        <w:spacing w:after="0" w:line="78" w:lineRule="exact"/>
        <w:rPr>
          <w:sz w:val="20"/>
          <w:szCs w:val="20"/>
          <w:color w:val="auto"/>
        </w:rPr>
      </w:pPr>
    </w:p>
    <w:p>
      <w:pPr>
        <w:ind w:right="580" w:firstLine="378"/>
        <w:spacing w:after="0" w:line="246" w:lineRule="auto"/>
        <w:rPr>
          <w:sz w:val="20"/>
          <w:szCs w:val="20"/>
          <w:color w:val="auto"/>
        </w:rPr>
      </w:pPr>
      <w:r>
        <w:rPr>
          <w:rFonts w:ascii="Arial" w:cs="Arial" w:eastAsia="Arial" w:hAnsi="Arial"/>
          <w:sz w:val="18"/>
          <w:szCs w:val="18"/>
          <w:color w:val="auto"/>
        </w:rPr>
        <w:t>The Company owns 90 percent of the common equity of Albany Safran Composites, LLC (ASC) which is reported within the Albany Engineered Composites (AEC) segment. Additional information regarding that entity is included in Note 10.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126"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revenue recognition, contract profitability, allowances for doubtful accounts, rebates and sales allowances, inventory allowances, pension benefits, goodwill and intangible assets, contingencies, income tax related balances,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160" w:firstLine="378"/>
        <w:spacing w:after="0" w:line="241"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were not restated and the cumulative effect of initially applying the new standard was recorded as an adjustment to Retained earnings at January 1, 2018. The standard replaces numerous requirements in U.S. GAAP, including industry-specific requirements, and provides companies with a single model for recognizing revenue from contracts with customers. We applied the new accounting standard to contracts which were not completed by December 31, 2017.</w:t>
      </w:r>
    </w:p>
    <w:p>
      <w:pPr>
        <w:spacing w:after="0" w:line="94" w:lineRule="exact"/>
        <w:rPr>
          <w:sz w:val="20"/>
          <w:szCs w:val="20"/>
          <w:color w:val="auto"/>
        </w:rPr>
      </w:pPr>
    </w:p>
    <w:p>
      <w:pPr>
        <w:ind w:right="20" w:firstLine="378"/>
        <w:spacing w:after="0" w:line="239" w:lineRule="auto"/>
        <w:rPr>
          <w:sz w:val="20"/>
          <w:szCs w:val="20"/>
          <w:color w:val="auto"/>
        </w:rPr>
      </w:pPr>
      <w:r>
        <w:rPr>
          <w:rFonts w:ascii="Arial" w:cs="Arial" w:eastAsia="Arial" w:hAnsi="Arial"/>
          <w:sz w:val="18"/>
          <w:szCs w:val="18"/>
          <w:color w:val="auto"/>
        </w:rPr>
        <w:t>In our Machine Clothing (MC) business segment, prior to 2018, we recorded revenue from the sale of a product when persuasive evidence of an arrangement existed, delivery had occurred, title was transferred, the selling price was fixed, and collectability was reasonably assured. Under the new standard, we recognize MC revenue when we satisfy our performance obligations related to the manufacture and delivery of a product, which, in certain cases, results in earlier recognition of revenue associated with these contracts.</w:t>
      </w:r>
    </w:p>
    <w:p>
      <w:pPr>
        <w:spacing w:after="0" w:line="94" w:lineRule="exact"/>
        <w:rPr>
          <w:sz w:val="20"/>
          <w:szCs w:val="20"/>
          <w:color w:val="auto"/>
        </w:rPr>
      </w:pPr>
    </w:p>
    <w:p>
      <w:pPr>
        <w:ind w:right="60" w:firstLine="378"/>
        <w:spacing w:after="0" w:line="236" w:lineRule="auto"/>
        <w:rPr>
          <w:sz w:val="20"/>
          <w:szCs w:val="20"/>
          <w:color w:val="auto"/>
        </w:rPr>
      </w:pPr>
      <w:r>
        <w:rPr>
          <w:rFonts w:ascii="Arial" w:cs="Arial" w:eastAsia="Arial" w:hAnsi="Arial"/>
          <w:sz w:val="18"/>
          <w:szCs w:val="18"/>
          <w:color w:val="auto"/>
        </w:rPr>
        <w:t>In our Albany Engineered Composites (AEC) business segment, revenue from a number of long-term contracts was, prior to 2018, recorded on the basis of the units-of-delivery method, which is considered an output method. Under the new standard, revenue from most of these contracts is recognized over time using an input method as the measure of progress, which generally results in earlier recognition of revenue. Prior to adoption of the new standard, the classification of revenue in excess of progress billings on long -term contracts was included in Accounts receivable. Under the new standard, such assets are considered Contract assets, which are rights to consideration that are conditional on something other than the passage of time, such as completion of remaining performance obligations. As a result of adoption of the new standard, such assets were reclassified at transition from Accounts receivable to Contract assets. In addition, under the new standard, we are required to limit our estimate of contract values to the period of the legally enforceable contract, which in many cases is considerably shorter than the contract period used under the former standard. While certain contracts are expected to be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profitable over the course of the program life when including expected renewals, under the new standard, our estimate of contract revenues and costs is limited to the estimated value of enforceable rights and obligations, excluding anticipated renewals. In some cases, this shorter contract period may result in a loss contract provision at contract inception. Expected losses on projects include losses on contract options that are probable of exercise, excluding profitable options that often follow.</w:t>
      </w:r>
    </w:p>
    <w:p>
      <w:pPr>
        <w:spacing w:after="0" w:line="94" w:lineRule="exact"/>
        <w:rPr>
          <w:sz w:val="20"/>
          <w:szCs w:val="20"/>
          <w:color w:val="auto"/>
        </w:rPr>
      </w:pPr>
    </w:p>
    <w:p>
      <w:pPr>
        <w:ind w:right="60" w:firstLine="378"/>
        <w:spacing w:after="0" w:line="236"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cost-plus-fee agreement.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The sum of net adjustments to the estimated profitability of long-term contracts increased AEC operating income by $10.8 million in 2019, decreased AEC operating income by $2.0 million in 2018, and decreased AEC operating income by $11.5 million in 2017. The favorable effects in 2019 were largely attributable to efficiency improvements during the ramp-up of several programs. The unfavorable effects in 2017 included charges on the BR725 and A380 programs.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accounting policies related to revenue from contracts with customers are set forth in Note 2.</w:t>
      </w:r>
    </w:p>
    <w:p>
      <w:pPr>
        <w:spacing w:after="0" w:line="104" w:lineRule="exact"/>
        <w:rPr>
          <w:sz w:val="20"/>
          <w:szCs w:val="20"/>
          <w:color w:val="auto"/>
        </w:rPr>
      </w:pPr>
    </w:p>
    <w:p>
      <w:pPr>
        <w:ind w:right="180" w:firstLine="378"/>
        <w:spacing w:after="0"/>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26" w:lineRule="exact"/>
        <w:rPr>
          <w:sz w:val="20"/>
          <w:szCs w:val="20"/>
          <w:color w:val="auto"/>
        </w:rPr>
      </w:pPr>
    </w:p>
    <w:p>
      <w:pPr>
        <w:ind w:right="420" w:firstLine="378"/>
        <w:spacing w:after="0"/>
        <w:rPr>
          <w:sz w:val="20"/>
          <w:szCs w:val="20"/>
          <w:color w:val="auto"/>
        </w:rPr>
      </w:pPr>
      <w:r>
        <w:rPr>
          <w:rFonts w:ascii="Arial" w:cs="Arial" w:eastAsia="Arial" w:hAnsi="Arial"/>
          <w:sz w:val="18"/>
          <w:szCs w:val="18"/>
          <w:color w:val="auto"/>
        </w:rPr>
        <w:t>Cost of goods sold includes the cost of materials, provisions for obsolete inventories, labor and supplies, shipping and handling costs, depreciation of manufacturing facilities and equipment, purchasing, receiving, warehousing, and other expenses. Cost of goods sold also includes provisions for loss contracts and charges for the write-off of inventories that result from an exit activity.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Administrative, Technical, and Research Expenses</w:t>
      </w:r>
    </w:p>
    <w:p>
      <w:pPr>
        <w:spacing w:after="0" w:line="126" w:lineRule="exact"/>
        <w:rPr>
          <w:sz w:val="20"/>
          <w:szCs w:val="20"/>
          <w:color w:val="auto"/>
        </w:rPr>
      </w:pPr>
    </w:p>
    <w:p>
      <w:pPr>
        <w:ind w:right="20" w:firstLine="378"/>
        <w:spacing w:after="0" w:line="238" w:lineRule="auto"/>
        <w:rPr>
          <w:sz w:val="20"/>
          <w:szCs w:val="20"/>
          <w:color w:val="auto"/>
        </w:rPr>
      </w:pPr>
      <w:r>
        <w:rPr>
          <w:rFonts w:ascii="Arial" w:cs="Arial" w:eastAsia="Arial" w:hAnsi="Arial"/>
          <w:sz w:val="18"/>
          <w:szCs w:val="18"/>
          <w:color w:val="auto"/>
        </w:rPr>
        <w:t>Selling, general, administrative, and technical expenses are primarily comprised of wages, benefits, travel, professional fees, revaluation of trade foreign currency balances, and other costs, and are expensed as incurred. Selling expense includes provisions for bad debts and costs related to contract acquisition. Research expenses are charged to operations as incurred and consist primarily of compensation, supplies, and professional fees incurred in connection with intellectual property. Total company research expense was $26.9 million in 2019, $29.8 million in 2018, and $30.7 million in 2017.</w:t>
      </w:r>
    </w:p>
    <w:p>
      <w:pPr>
        <w:spacing w:after="0" w:line="95" w:lineRule="exact"/>
        <w:rPr>
          <w:sz w:val="20"/>
          <w:szCs w:val="20"/>
          <w:color w:val="auto"/>
        </w:rPr>
      </w:pPr>
    </w:p>
    <w:p>
      <w:pPr>
        <w:ind w:right="60" w:firstLine="378"/>
        <w:spacing w:after="0" w:line="237" w:lineRule="auto"/>
        <w:rPr>
          <w:sz w:val="20"/>
          <w:szCs w:val="20"/>
          <w:color w:val="auto"/>
        </w:rPr>
      </w:pPr>
      <w:r>
        <w:rPr>
          <w:rFonts w:ascii="Arial" w:cs="Arial" w:eastAsia="Arial" w:hAnsi="Arial"/>
          <w:sz w:val="18"/>
          <w:szCs w:val="18"/>
          <w:color w:val="auto"/>
        </w:rPr>
        <w:t>The Albany Engineered Composites segment participates in both company-sponsored, and customer-funded research and development. Some customer-funded research and development may be on a cost-sharing basis and considered to be a collaborative arrangement, in which case both parties are active participants and are exposed to the risks and rewards dependent on the success of the activity. In such cases, amounts charged to the collaborating entity are credited against research and development expense. For customer-funded research and development in which we anticipate funding to exceed expenses, we include amounts charged to the customer in Net sales, while expenses are included in Cost of goods sold.</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8240" w:firstLine="8"/>
        <w:spacing w:after="0" w:line="372" w:lineRule="auto"/>
        <w:tabs>
          <w:tab w:leader="none" w:pos="2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 (continued) Restructuring Expense</w:t>
      </w:r>
    </w:p>
    <w:p>
      <w:pPr>
        <w:spacing w:after="0" w:line="2" w:lineRule="exact"/>
        <w:rPr>
          <w:sz w:val="20"/>
          <w:szCs w:val="20"/>
          <w:color w:val="auto"/>
        </w:rPr>
      </w:pPr>
    </w:p>
    <w:p>
      <w:pPr>
        <w:ind w:right="120" w:firstLine="378"/>
        <w:spacing w:after="0" w:line="237" w:lineRule="auto"/>
        <w:rPr>
          <w:sz w:val="20"/>
          <w:szCs w:val="20"/>
          <w:color w:val="auto"/>
        </w:rPr>
      </w:pPr>
      <w:r>
        <w:rPr>
          <w:rFonts w:ascii="Arial" w:cs="Arial" w:eastAsia="Arial" w:hAnsi="Arial"/>
          <w:sz w:val="18"/>
          <w:szCs w:val="18"/>
          <w:color w:val="auto"/>
        </w:rPr>
        <w:t>We may incur expenses related to exiting a line of business or restructuring of our operations, which could include employee termination costs, costs to consolidate or close facilities, or costs to terminate contractual relationships. Restructuring expenses may also include impairment of Property, plant and equipment, as described below under “Property, Plant and Equipment”. Employee termination costs include the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firstLine="378"/>
        <w:spacing w:after="0" w:line="238" w:lineRule="auto"/>
        <w:rPr>
          <w:sz w:val="20"/>
          <w:szCs w:val="20"/>
          <w:color w:val="auto"/>
        </w:rPr>
      </w:pPr>
      <w:r>
        <w:rPr>
          <w:rFonts w:ascii="Arial" w:cs="Arial" w:eastAsia="Arial" w:hAnsi="Arial"/>
          <w:sz w:val="18"/>
          <w:szCs w:val="18"/>
          <w:color w:val="auto"/>
        </w:rPr>
        <w:t>Deferred income taxes are recognized for the tax consequences of temporary differences and tax attributes by applying enacted statutory tax rates applicable for future years to differences between existing assets and liabilities for financial reporting and income tax return purposes. The effect of tax rate changes on deferred taxes is recognized in the income tax provision in the period that includes the enactment date.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95" w:lineRule="exact"/>
        <w:rPr>
          <w:sz w:val="20"/>
          <w:szCs w:val="20"/>
          <w:color w:val="auto"/>
        </w:rPr>
      </w:pPr>
    </w:p>
    <w:p>
      <w:pPr>
        <w:ind w:right="60" w:firstLine="378"/>
        <w:spacing w:after="0" w:line="236"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60" w:firstLine="378"/>
        <w:spacing w:after="0"/>
        <w:rPr>
          <w:sz w:val="20"/>
          <w:szCs w:val="20"/>
          <w:color w:val="auto"/>
        </w:rPr>
      </w:pPr>
      <w:r>
        <w:rPr>
          <w:rFonts w:ascii="Arial" w:cs="Arial" w:eastAsia="Arial" w:hAnsi="Arial"/>
          <w:sz w:val="18"/>
          <w:szCs w:val="18"/>
          <w:color w:val="auto"/>
        </w:rPr>
        <w:t>Basic 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is equal to the basic earnings per share calculation.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Financial Statements</w:t>
      </w:r>
    </w:p>
    <w:p>
      <w:pPr>
        <w:spacing w:after="0" w:line="126" w:lineRule="exact"/>
        <w:rPr>
          <w:sz w:val="20"/>
          <w:szCs w:val="20"/>
          <w:color w:val="auto"/>
        </w:rPr>
      </w:pPr>
    </w:p>
    <w:p>
      <w:pPr>
        <w:ind w:right="300" w:firstLine="378"/>
        <w:spacing w:after="0"/>
        <w:rPr>
          <w:sz w:val="20"/>
          <w:szCs w:val="20"/>
          <w:color w:val="auto"/>
        </w:rPr>
      </w:pPr>
      <w:r>
        <w:rPr>
          <w:rFonts w:ascii="Arial" w:cs="Arial" w:eastAsia="Arial" w:hAnsi="Arial"/>
          <w:sz w:val="18"/>
          <w:szCs w:val="18"/>
          <w:color w:val="auto"/>
        </w:rPr>
        <w:t>Assets and liabilities of non-U.S. operations are translated at year-end rates of exchange, and the income statement accounts are translated at average exchange rates. Gains or losses resulting from translating non-U.S. currency financial statements into U.S. dollars are recorded in other comprehensive income and accumulated in Shareholders’ equity in the caption “Translation adjustments”.</w:t>
      </w:r>
    </w:p>
    <w:p>
      <w:pPr>
        <w:spacing w:after="0" w:line="95" w:lineRule="exact"/>
        <w:rPr>
          <w:sz w:val="20"/>
          <w:szCs w:val="20"/>
          <w:color w:val="auto"/>
        </w:rPr>
      </w:pPr>
    </w:p>
    <w:p>
      <w:pPr>
        <w:ind w:right="120" w:firstLine="378"/>
        <w:spacing w:after="0" w:line="238" w:lineRule="auto"/>
        <w:rPr>
          <w:sz w:val="20"/>
          <w:szCs w:val="20"/>
          <w:color w:val="auto"/>
        </w:rPr>
      </w:pPr>
      <w:r>
        <w:rPr>
          <w:rFonts w:ascii="Arial" w:cs="Arial" w:eastAsia="Arial" w:hAnsi="Arial"/>
          <w:sz w:val="18"/>
          <w:szCs w:val="18"/>
          <w:color w:val="auto"/>
        </w:rPr>
        <w:t>Selling, general, and administrative expenses include foreign currency gains and losses resulting from third party balances, such as receivables and payables, which are denominated in a currency other than the entity’s functional currency. Gains or losses resulting from cash and short-term intercompany loans and balances denominated in a currency other than the entity’s functional currency, and foreign currency options are generally included in Other expense, net. Gains and losses on long-term intercompany loans not intended to be repaid in the foreseeable future are recorded in other comprehensive income. There were no such intercompany loans during 2019 and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foreign currency transaction gains and losses recognized in the income statement:</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04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(Gains)/losses included in:</w:t>
            </w:r>
          </w:p>
        </w:tc>
        <w:tc>
          <w:tcPr>
            <w:tcW w:w="320" w:type="dxa"/>
            <w:vAlign w:val="bottom"/>
          </w:tcPr>
          <w:p>
            <w:pPr>
              <w:spacing w:after="0"/>
              <w:rPr>
                <w:sz w:val="16"/>
                <w:szCs w:val="16"/>
                <w:color w:val="auto"/>
              </w:rPr>
            </w:pPr>
          </w:p>
        </w:tc>
        <w:tc>
          <w:tcPr>
            <w:tcW w:w="1040" w:type="dxa"/>
            <w:vAlign w:val="bottom"/>
            <w:tcBorders>
              <w:top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$ 1,281</w:t>
            </w:r>
          </w:p>
        </w:tc>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4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Selling, general, and administrative expenses</w:t>
            </w:r>
          </w:p>
        </w:tc>
        <w:tc>
          <w:tcPr>
            <w:tcW w:w="1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54"/>
              <w:spacing w:after="0" w:line="181" w:lineRule="exact"/>
              <w:rPr>
                <w:sz w:val="20"/>
                <w:szCs w:val="20"/>
                <w:color w:val="auto"/>
              </w:rPr>
            </w:pPr>
            <w:r>
              <w:rPr>
                <w:rFonts w:ascii="Arial" w:cs="Arial" w:eastAsia="Arial" w:hAnsi="Arial"/>
                <w:sz w:val="18"/>
                <w:szCs w:val="18"/>
                <w:color w:val="auto"/>
              </w:rPr>
              <w:t>$(274)</w:t>
            </w:r>
          </w:p>
        </w:tc>
        <w:tc>
          <w:tcPr>
            <w:tcW w:w="32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Other expense, net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(4,471)</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196"/>
        </w:trPr>
        <w:tc>
          <w:tcPr>
            <w:tcW w:w="6760" w:type="dxa"/>
            <w:vAlign w:val="bottom"/>
            <w:gridSpan w:val="3"/>
          </w:tcPr>
          <w:p>
            <w:pPr>
              <w:spacing w:after="0" w:line="196" w:lineRule="exact"/>
              <w:rPr>
                <w:sz w:val="20"/>
                <w:szCs w:val="20"/>
                <w:color w:val="auto"/>
              </w:rPr>
            </w:pPr>
            <w:r>
              <w:rPr>
                <w:rFonts w:ascii="Arial" w:cs="Arial" w:eastAsia="Arial" w:hAnsi="Arial"/>
                <w:sz w:val="18"/>
                <w:szCs w:val="18"/>
                <w:color w:val="auto"/>
              </w:rPr>
              <w:t>Total transaction (gains)/losses</w:t>
            </w:r>
          </w:p>
        </w:tc>
        <w:tc>
          <w:tcPr>
            <w:tcW w:w="10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b w:val="1"/>
                <w:bCs w:val="1"/>
                <w:color w:val="auto"/>
              </w:rPr>
              <w:t>$(3,190)</w:t>
            </w:r>
          </w:p>
        </w:tc>
        <w:tc>
          <w:tcPr>
            <w:tcW w:w="300" w:type="dxa"/>
            <w:vAlign w:val="bottom"/>
          </w:tcPr>
          <w:p>
            <w:pPr>
              <w:spacing w:after="0"/>
              <w:rPr>
                <w:sz w:val="17"/>
                <w:szCs w:val="17"/>
                <w:color w:val="auto"/>
              </w:rPr>
            </w:pPr>
          </w:p>
        </w:tc>
        <w:tc>
          <w:tcPr>
            <w:tcW w:w="104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$(341)</w:t>
            </w:r>
          </w:p>
        </w:tc>
        <w:tc>
          <w:tcPr>
            <w:tcW w:w="320" w:type="dxa"/>
            <w:vAlign w:val="bottom"/>
          </w:tcPr>
          <w:p>
            <w:pPr>
              <w:spacing w:after="0"/>
              <w:rPr>
                <w:sz w:val="17"/>
                <w:szCs w:val="17"/>
                <w:color w:val="auto"/>
              </w:rPr>
            </w:pPr>
          </w:p>
        </w:tc>
        <w:tc>
          <w:tcPr>
            <w:tcW w:w="9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20" w:firstLine="378"/>
        <w:spacing w:after="0" w:line="246" w:lineRule="auto"/>
        <w:rPr>
          <w:sz w:val="20"/>
          <w:szCs w:val="20"/>
          <w:color w:val="auto"/>
        </w:rPr>
      </w:pPr>
      <w:r>
        <w:rPr>
          <w:rFonts w:ascii="Arial" w:cs="Arial" w:eastAsia="Arial" w:hAnsi="Arial"/>
          <w:sz w:val="18"/>
          <w:szCs w:val="18"/>
          <w:color w:val="auto"/>
        </w:rPr>
        <w:t>The following table presents foreign currency gains on long-term intercompany loans that were recognized in Other comprehensive income:</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04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Gain on long-term intercompany loans</w:t>
            </w:r>
          </w:p>
        </w:tc>
        <w:tc>
          <w:tcPr>
            <w:tcW w:w="3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9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$1,867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and cash equivalents consist of cash and highly liquid short-term investments with original maturities of three months or less.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6" w:lineRule="exact"/>
        <w:rPr>
          <w:sz w:val="20"/>
          <w:szCs w:val="20"/>
          <w:color w:val="auto"/>
        </w:rPr>
      </w:pPr>
    </w:p>
    <w:p>
      <w:pPr>
        <w:ind w:right="140" w:firstLine="378"/>
        <w:spacing w:after="0" w:line="246" w:lineRule="auto"/>
        <w:rPr>
          <w:sz w:val="20"/>
          <w:szCs w:val="20"/>
          <w:color w:val="auto"/>
        </w:rPr>
      </w:pPr>
      <w:r>
        <w:rPr>
          <w:rFonts w:ascii="Arial" w:cs="Arial" w:eastAsia="Arial" w:hAnsi="Arial"/>
          <w:sz w:val="18"/>
          <w:szCs w:val="18"/>
          <w:color w:val="auto"/>
        </w:rPr>
        <w:t>Accounts receivable includes trade receivables and bank promissory notes. In connection with certain sales in Asia Pacific, the Company accepts a bank promissory note as customer payment. The notes may be presented for payment at maturity, which is less than one year.</w:t>
      </w:r>
    </w:p>
    <w:p>
      <w:pPr>
        <w:spacing w:after="0" w:line="89" w:lineRule="exact"/>
        <w:rPr>
          <w:sz w:val="20"/>
          <w:szCs w:val="20"/>
          <w:color w:val="auto"/>
        </w:rPr>
      </w:pPr>
    </w:p>
    <w:p>
      <w:pPr>
        <w:ind w:right="320" w:firstLine="378"/>
        <w:spacing w:after="0" w:line="239" w:lineRule="auto"/>
        <w:rPr>
          <w:sz w:val="20"/>
          <w:szCs w:val="20"/>
          <w:color w:val="auto"/>
        </w:rPr>
      </w:pPr>
      <w:r>
        <w:rPr>
          <w:rFonts w:ascii="Arial" w:cs="Arial" w:eastAsia="Arial" w:hAnsi="Arial"/>
          <w:sz w:val="18"/>
          <w:szCs w:val="18"/>
          <w:color w:val="auto"/>
        </w:rPr>
        <w:t>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could be required.</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also has Noncurrent receivables in the AEC segment that represent revenue earned which have extended payment terms.</w:t>
      </w:r>
    </w:p>
    <w:p>
      <w:pPr>
        <w:spacing w:after="0"/>
        <w:rPr>
          <w:sz w:val="20"/>
          <w:szCs w:val="20"/>
          <w:color w:val="auto"/>
        </w:rPr>
      </w:pPr>
      <w:r>
        <w:rPr>
          <w:rFonts w:ascii="Arial" w:cs="Arial" w:eastAsia="Arial" w:hAnsi="Arial"/>
          <w:sz w:val="18"/>
          <w:szCs w:val="18"/>
          <w:color w:val="auto"/>
        </w:rPr>
        <w:t>The Noncurrent receivables will be invoiced to the customer, with 2% interest, over a 10-year period starting in 2020.</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additional information set forth in Notes 2 and 11.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126"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payment becomes unconditional. Contract liabilities include advance payments and billings in excess of revenue recognized. Contract liabilities are included in Accrued liabilities in the Consolidated Balance Sheet.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additional information set forth in Notes 2 and 12.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6" w:lineRule="exact"/>
        <w:rPr>
          <w:sz w:val="20"/>
          <w:szCs w:val="20"/>
          <w:color w:val="auto"/>
        </w:rPr>
      </w:pPr>
    </w:p>
    <w:p>
      <w:pPr>
        <w:ind w:right="100" w:firstLine="378"/>
        <w:spacing w:after="0" w:line="23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Write-downs of inventories are charged to Cost of goods sold.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additional information set forth in Notes 2 and 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right="20" w:firstLine="378"/>
        <w:spacing w:after="0"/>
        <w:rPr>
          <w:sz w:val="20"/>
          <w:szCs w:val="20"/>
          <w:color w:val="auto"/>
        </w:rPr>
      </w:pPr>
      <w:r>
        <w:rPr>
          <w:rFonts w:ascii="Arial" w:cs="Arial" w:eastAsia="Arial" w:hAnsi="Arial"/>
          <w:sz w:val="18"/>
          <w:szCs w:val="18"/>
          <w:color w:val="auto"/>
        </w:rPr>
        <w:t>Effective January 1, 2019, we adopted the provisions of ASC 842, Leases, using the effective date (or modified retrospective) approach for transition. Under this transition method, periods prior to 2019 have not been restated, and the cumulative effect of initially applying the new standard was recorded as an adjustment to Retained earnings at January 1, 2019.</w:t>
      </w:r>
    </w:p>
    <w:p>
      <w:pPr>
        <w:spacing w:after="0" w:line="95" w:lineRule="exact"/>
        <w:rPr>
          <w:sz w:val="20"/>
          <w:szCs w:val="20"/>
          <w:color w:val="auto"/>
        </w:rPr>
      </w:pPr>
    </w:p>
    <w:p>
      <w:pPr>
        <w:ind w:right="20" w:firstLine="378"/>
        <w:spacing w:after="0" w:line="238" w:lineRule="auto"/>
        <w:rPr>
          <w:sz w:val="20"/>
          <w:szCs w:val="20"/>
          <w:color w:val="auto"/>
        </w:rPr>
      </w:pPr>
      <w:r>
        <w:rPr>
          <w:rFonts w:ascii="Arial" w:cs="Arial" w:eastAsia="Arial" w:hAnsi="Arial"/>
          <w:sz w:val="18"/>
          <w:szCs w:val="18"/>
          <w:color w:val="auto"/>
        </w:rPr>
        <w:t>The new standard is intended to increase transparency and comparability among organizations by requiring the recognition of right of use (“ROU”) assets and lease liabilities on the balance sheet. Most prominent among the changes under the new standard is the recognition of ROU assets and lease liabilities by lessees for those leases classified as operating leases. Under the new standard, disclosures are required to meet the objective of enabling users of financial statements to assess the amount, timing, and uncertainty of cash flows arising from leases. We applied the new accounting standard to leases existing at the date of initial application of January 1, 2019.</w:t>
      </w:r>
    </w:p>
    <w:p>
      <w:pPr>
        <w:spacing w:after="0" w:line="95" w:lineRule="exact"/>
        <w:rPr>
          <w:sz w:val="20"/>
          <w:szCs w:val="20"/>
          <w:color w:val="auto"/>
        </w:rPr>
      </w:pPr>
    </w:p>
    <w:p>
      <w:pPr>
        <w:ind w:right="280" w:firstLine="378"/>
        <w:spacing w:after="0"/>
        <w:rPr>
          <w:sz w:val="20"/>
          <w:szCs w:val="20"/>
          <w:color w:val="auto"/>
        </w:rPr>
      </w:pPr>
      <w:r>
        <w:rPr>
          <w:rFonts w:ascii="Arial" w:cs="Arial" w:eastAsia="Arial" w:hAnsi="Arial"/>
          <w:sz w:val="18"/>
          <w:szCs w:val="18"/>
          <w:color w:val="auto"/>
        </w:rPr>
        <w:t>We elected the available package of practical expedients, which permitted us to not reassess under the new standard our prior conclusions about lease identification, lease classification and initial direct costs. We implemented processes and internal controls to enable the preparation of financial information related to this standard.</w:t>
      </w:r>
    </w:p>
    <w:p>
      <w:pPr>
        <w:spacing w:after="0" w:line="95"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The most significant impacts resulting from the adoption of the new standard was the recognition of ROU assets and lease liabilities for operating leases on our balance sheet for our real estate and automobile operating leases, as well as to the derecognition and reassessment of assets and liabilities related to our primary manufacturing facility in Salt Lake City, Utah (SLC lease), which had been accounted for as a build-to-suit lease with a failed sale-leaseback. For that lease, transitional guidance required the derecognition of existing assets and liabilities and a reassessment of lease classification. We determined that the lease met the criteria for recording as a finance lease and we determined the January 1, 2019 values of the ROU asset and lease liability on the basis of that reassessment. The change in the SLC lease-related assets and liabilities resulted in a $0.3 million pre-tax reduction to Retained earnings at the date of adoption.</w:t>
      </w:r>
    </w:p>
    <w:p>
      <w:pPr>
        <w:spacing w:after="0" w:line="95" w:lineRule="exact"/>
        <w:rPr>
          <w:sz w:val="20"/>
          <w:szCs w:val="20"/>
          <w:color w:val="auto"/>
        </w:rPr>
      </w:pPr>
    </w:p>
    <w:p>
      <w:pPr>
        <w:ind w:right="100" w:firstLine="378"/>
        <w:spacing w:after="0" w:line="237" w:lineRule="auto"/>
        <w:rPr>
          <w:sz w:val="20"/>
          <w:szCs w:val="20"/>
          <w:color w:val="auto"/>
        </w:rPr>
      </w:pPr>
      <w:r>
        <w:rPr>
          <w:rFonts w:ascii="Arial" w:cs="Arial" w:eastAsia="Arial" w:hAnsi="Arial"/>
          <w:sz w:val="18"/>
          <w:szCs w:val="18"/>
          <w:color w:val="auto"/>
        </w:rPr>
        <w:t>We have certain lease agreements with lease and non-lease components. For most of these leases, we account for the lease and non-lease components as a single lease component, in accordance with the practical expedient that is available for ongoing accounting. Additionally, for certain other leases, such as for vehicles, we apply a portfolio approach. Such new leases are classified as financing or operating, with classification affecting the pattern and classification of expense recognition in the income statement. Expenses related to operating leases are recognized on a straight-line basis, while those determined to be financing leases are recognized following a front-loaded expense profile, in which interest and amortization are presented separately in the income statement.</w:t>
      </w:r>
    </w:p>
    <w:p>
      <w:pPr>
        <w:spacing w:after="0" w:line="97" w:lineRule="exact"/>
        <w:rPr>
          <w:sz w:val="20"/>
          <w:szCs w:val="20"/>
          <w:color w:val="auto"/>
        </w:rPr>
      </w:pPr>
    </w:p>
    <w:p>
      <w:pPr>
        <w:ind w:right="360" w:firstLine="378"/>
        <w:spacing w:after="0"/>
        <w:rPr>
          <w:sz w:val="20"/>
          <w:szCs w:val="20"/>
          <w:color w:val="auto"/>
        </w:rPr>
      </w:pPr>
      <w:r>
        <w:rPr>
          <w:rFonts w:ascii="Arial" w:cs="Arial" w:eastAsia="Arial" w:hAnsi="Arial"/>
          <w:sz w:val="18"/>
          <w:szCs w:val="18"/>
          <w:color w:val="auto"/>
        </w:rPr>
        <w:t>Operating lease ROU assets are included in Other assets in the Consolidated Balance Sheets, while finance lease ROU assets are included in Property, plant, and equipment, net. Lease liabilities for both operating and finance leases are included in Accrued liabilities and Other noncurrent liabilities in the Consolidated Balance Sheets.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additional information set forth in Note 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8240" w:firstLine="8"/>
        <w:spacing w:after="0" w:line="394" w:lineRule="auto"/>
        <w:tabs>
          <w:tab w:leader="none" w:pos="20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 (continued) Property, Plant and Equipment</w:t>
      </w:r>
    </w:p>
    <w:p>
      <w:pPr>
        <w:spacing w:after="0" w:line="1" w:lineRule="exact"/>
        <w:rPr>
          <w:sz w:val="20"/>
          <w:szCs w:val="20"/>
          <w:color w:val="auto"/>
        </w:rPr>
      </w:pPr>
    </w:p>
    <w:p>
      <w:pPr>
        <w:ind w:right="40" w:firstLine="378"/>
        <w:spacing w:after="0" w:line="238" w:lineRule="auto"/>
        <w:rPr>
          <w:sz w:val="20"/>
          <w:szCs w:val="20"/>
          <w:color w:val="auto"/>
        </w:rPr>
      </w:pPr>
      <w:r>
        <w:rPr>
          <w:rFonts w:ascii="Arial" w:cs="Arial" w:eastAsia="Arial" w:hAnsi="Arial"/>
          <w:sz w:val="18"/>
          <w:szCs w:val="18"/>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95" w:lineRule="exact"/>
        <w:rPr>
          <w:sz w:val="20"/>
          <w:szCs w:val="20"/>
          <w:color w:val="auto"/>
        </w:rPr>
      </w:pPr>
    </w:p>
    <w:p>
      <w:pPr>
        <w:ind w:right="80" w:firstLine="378"/>
        <w:spacing w:after="0" w:line="239" w:lineRule="auto"/>
        <w:rPr>
          <w:sz w:val="20"/>
          <w:szCs w:val="20"/>
          <w:color w:val="auto"/>
        </w:rPr>
      </w:pPr>
      <w:r>
        <w:rPr>
          <w:rFonts w:ascii="Arial" w:cs="Arial" w:eastAsia="Arial" w:hAnsi="Arial"/>
          <w:sz w:val="18"/>
          <w:szCs w:val="18"/>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were immaterial in 2019 and 2018.</w:t>
      </w:r>
    </w:p>
    <w:p>
      <w:pPr>
        <w:spacing w:after="0" w:line="94" w:lineRule="exact"/>
        <w:rPr>
          <w:sz w:val="20"/>
          <w:szCs w:val="20"/>
          <w:color w:val="auto"/>
        </w:rPr>
      </w:pPr>
    </w:p>
    <w:p>
      <w:pPr>
        <w:ind w:right="480" w:firstLine="378"/>
        <w:spacing w:after="0"/>
        <w:rPr>
          <w:sz w:val="20"/>
          <w:szCs w:val="20"/>
          <w:color w:val="auto"/>
        </w:rPr>
      </w:pPr>
      <w:r>
        <w:rPr>
          <w:rFonts w:ascii="Arial" w:cs="Arial" w:eastAsia="Arial" w:hAnsi="Arial"/>
          <w:sz w:val="18"/>
          <w:szCs w:val="18"/>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additional information set forth in Note 14.</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126" w:lineRule="exact"/>
        <w:rPr>
          <w:sz w:val="20"/>
          <w:szCs w:val="20"/>
          <w:color w:val="auto"/>
        </w:rPr>
      </w:pPr>
    </w:p>
    <w:p>
      <w:pPr>
        <w:ind w:right="180" w:firstLine="37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 See additional information set forth in Note 15.</w:t>
      </w:r>
    </w:p>
    <w:p>
      <w:pPr>
        <w:spacing w:after="0" w:line="95" w:lineRule="exact"/>
        <w:rPr>
          <w:sz w:val="20"/>
          <w:szCs w:val="20"/>
          <w:color w:val="auto"/>
        </w:rPr>
      </w:pPr>
    </w:p>
    <w:p>
      <w:pPr>
        <w:ind w:right="160" w:firstLine="378"/>
        <w:spacing w:after="0"/>
        <w:rPr>
          <w:sz w:val="20"/>
          <w:szCs w:val="20"/>
          <w:color w:val="auto"/>
        </w:rPr>
      </w:pPr>
      <w:r>
        <w:rPr>
          <w:rFonts w:ascii="Arial" w:cs="Arial" w:eastAsia="Arial" w:hAnsi="Arial"/>
          <w:sz w:val="18"/>
          <w:szCs w:val="18"/>
          <w:color w:val="auto"/>
        </w:rPr>
        <w:t>Intangible assets acquired in a business combination are recognized at fair value and amortized to Cost of goods sold or Selling, general and administrative expenses over the estimated useful lives of the assets. We review amortizable intangible asset groups for impairment whenever events or changes in circumstances indicate that the related carrying amounts may not be recoverable.</w:t>
      </w:r>
    </w:p>
    <w:p>
      <w:pPr>
        <w:spacing w:after="0" w:line="95"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We have an investment in a company in Russia that is accounted for under the equity method of accounting and is included in Other assets, amounting to $0.5 million in 2019 and $0.4 million in 2018. We perform regular reviews of the financial condition of the investee to determine if our investment is other than temporarily impaired. If the financial condition of the investee were to no longer support their valuation, we would record an impairment provision.</w:t>
      </w:r>
    </w:p>
    <w:p>
      <w:pPr>
        <w:spacing w:after="0" w:line="94" w:lineRule="exact"/>
        <w:rPr>
          <w:sz w:val="20"/>
          <w:szCs w:val="20"/>
          <w:color w:val="auto"/>
        </w:rPr>
      </w:pPr>
    </w:p>
    <w:p>
      <w:pPr>
        <w:ind w:right="140" w:firstLine="378"/>
        <w:spacing w:after="0" w:line="238" w:lineRule="auto"/>
        <w:rPr>
          <w:sz w:val="20"/>
          <w:szCs w:val="20"/>
          <w:color w:val="auto"/>
        </w:rPr>
      </w:pPr>
      <w:r>
        <w:rPr>
          <w:rFonts w:ascii="Arial" w:cs="Arial" w:eastAsia="Arial" w:hAnsi="Arial"/>
          <w:sz w:val="18"/>
          <w:szCs w:val="18"/>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 which includes anticipated renewal periods.</w:t>
      </w:r>
    </w:p>
    <w:p>
      <w:pPr>
        <w:spacing w:after="0" w:line="95" w:lineRule="exact"/>
        <w:rPr>
          <w:sz w:val="20"/>
          <w:szCs w:val="20"/>
          <w:color w:val="auto"/>
        </w:rPr>
      </w:pPr>
    </w:p>
    <w:p>
      <w:pPr>
        <w:ind w:right="80" w:firstLine="378"/>
        <w:spacing w:after="0"/>
        <w:rPr>
          <w:sz w:val="20"/>
          <w:szCs w:val="20"/>
          <w:color w:val="auto"/>
        </w:rPr>
      </w:pPr>
      <w:r>
        <w:rPr>
          <w:rFonts w:ascii="Arial" w:cs="Arial" w:eastAsia="Arial" w:hAnsi="Arial"/>
          <w:sz w:val="18"/>
          <w:szCs w:val="18"/>
          <w:color w:val="auto"/>
        </w:rPr>
        <w:t>Included in Other assets is $21.3 million in 2019 and $14.2 million in 2018 for defined benefit pension plans where plan assets exceed the projected benefit obligations. Other assets also includes financial assets of $0.8 million in 2019 and $5.3 million in 2018. See additional information set forth in Note 18.</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8200" w:firstLine="8"/>
        <w:spacing w:after="0" w:line="394" w:lineRule="auto"/>
        <w:tabs>
          <w:tab w:leader="none" w:pos="2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 (continued) Stock-Based Compensation</w:t>
      </w:r>
    </w:p>
    <w:p>
      <w:pPr>
        <w:spacing w:after="0" w:line="1" w:lineRule="exact"/>
        <w:rPr>
          <w:sz w:val="20"/>
          <w:szCs w:val="20"/>
          <w:color w:val="auto"/>
        </w:rPr>
      </w:pPr>
    </w:p>
    <w:p>
      <w:pPr>
        <w:jc w:val="both"/>
        <w:ind w:firstLine="378"/>
        <w:spacing w:after="0"/>
        <w:rPr>
          <w:sz w:val="20"/>
          <w:szCs w:val="20"/>
          <w:color w:val="auto"/>
        </w:rPr>
      </w:pPr>
      <w:r>
        <w:rPr>
          <w:rFonts w:ascii="Arial" w:cs="Arial" w:eastAsia="Arial" w:hAnsi="Arial"/>
          <w:sz w:val="18"/>
          <w:szCs w:val="18"/>
          <w:color w:val="auto"/>
        </w:rPr>
        <w:t>We have stock-based compensation plans for key employees. Stock options are accounted for in accordance with applicable guidance for the modified prospective transition method of share-based payments. No options have been granted since 2002. See additional information set forth in Note 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6" w:lineRule="exact"/>
        <w:rPr>
          <w:sz w:val="20"/>
          <w:szCs w:val="20"/>
          <w:color w:val="auto"/>
        </w:rPr>
      </w:pPr>
    </w:p>
    <w:p>
      <w:pPr>
        <w:ind w:right="140" w:firstLine="378"/>
        <w:spacing w:after="0"/>
        <w:rPr>
          <w:sz w:val="20"/>
          <w:szCs w:val="20"/>
          <w:color w:val="auto"/>
        </w:rPr>
      </w:pPr>
      <w:r>
        <w:rPr>
          <w:rFonts w:ascii="Arial" w:cs="Arial" w:eastAsia="Arial" w:hAnsi="Arial"/>
          <w:sz w:val="18"/>
          <w:szCs w:val="18"/>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95"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We may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95" w:lineRule="exact"/>
        <w:rPr>
          <w:sz w:val="20"/>
          <w:szCs w:val="20"/>
          <w:color w:val="auto"/>
        </w:rPr>
      </w:pPr>
    </w:p>
    <w:p>
      <w:pPr>
        <w:ind w:right="120" w:firstLine="378"/>
        <w:spacing w:after="0"/>
        <w:rPr>
          <w:sz w:val="20"/>
          <w:szCs w:val="20"/>
          <w:color w:val="auto"/>
        </w:rPr>
      </w:pPr>
      <w:r>
        <w:rPr>
          <w:rFonts w:ascii="Arial" w:cs="Arial" w:eastAsia="Arial" w:hAnsi="Arial"/>
          <w:sz w:val="18"/>
          <w:szCs w:val="18"/>
          <w:color w:val="auto"/>
        </w:rPr>
        <w:t>All derivative contracts are recorded at fair value, as a net asset or a net liability. Changes in the fair value of the hedge are recorded, net of tax, in other comprehensive income. For transactions that are designated as hedges, we perform an evaluation of the effectiveness of the hedge. We measure the effectiveness of hedging relationships both at inception and on an ongoing basis.</w:t>
      </w:r>
    </w:p>
    <w:p>
      <w:pPr>
        <w:spacing w:after="0" w:line="95" w:lineRule="exact"/>
        <w:rPr>
          <w:sz w:val="20"/>
          <w:szCs w:val="20"/>
          <w:color w:val="auto"/>
        </w:rPr>
      </w:pPr>
    </w:p>
    <w:p>
      <w:pPr>
        <w:ind w:right="60" w:firstLine="378"/>
        <w:spacing w:after="0" w:line="246" w:lineRule="auto"/>
        <w:rPr>
          <w:sz w:val="20"/>
          <w:szCs w:val="20"/>
          <w:color w:val="auto"/>
        </w:rPr>
      </w:pPr>
      <w:r>
        <w:rPr>
          <w:rFonts w:ascii="Arial" w:cs="Arial" w:eastAsia="Arial" w:hAnsi="Arial"/>
          <w:sz w:val="18"/>
          <w:szCs w:val="18"/>
          <w:color w:val="auto"/>
        </w:rPr>
        <w:t>For derivatives that are designated and qualify as hedges of net investments in subsidiaries located outside the United States, changes in the fair value of derivatives are reported in other comprehensive income as part of the Cumulative translation adjustment.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26" w:lineRule="exact"/>
        <w:rPr>
          <w:sz w:val="20"/>
          <w:szCs w:val="20"/>
          <w:color w:val="auto"/>
        </w:rPr>
      </w:pPr>
    </w:p>
    <w:p>
      <w:pPr>
        <w:ind w:right="340" w:firstLine="378"/>
        <w:spacing w:after="0"/>
        <w:rPr>
          <w:sz w:val="20"/>
          <w:szCs w:val="20"/>
          <w:color w:val="auto"/>
        </w:rPr>
      </w:pPr>
      <w:r>
        <w:rPr>
          <w:rFonts w:ascii="Arial" w:cs="Arial" w:eastAsia="Arial" w:hAnsi="Arial"/>
          <w:sz w:val="18"/>
          <w:szCs w:val="18"/>
          <w:color w:val="auto"/>
        </w:rPr>
        <w:t>As described in Note 4, we have pension and postretirement benefit plans covering substantially all employees. Our defined benefit pension plan in the United States was closed to new participants as of October 1998 and, as of February 2009, benefits accrued under this plan were frozen.</w:t>
      </w:r>
    </w:p>
    <w:p>
      <w:pPr>
        <w:spacing w:after="0" w:line="95" w:lineRule="exact"/>
        <w:rPr>
          <w:sz w:val="20"/>
          <w:szCs w:val="20"/>
          <w:color w:val="auto"/>
        </w:rPr>
      </w:pPr>
    </w:p>
    <w:p>
      <w:pPr>
        <w:ind w:right="120" w:firstLine="378"/>
        <w:spacing w:after="0" w:line="239" w:lineRule="auto"/>
        <w:rPr>
          <w:sz w:val="20"/>
          <w:szCs w:val="20"/>
          <w:color w:val="auto"/>
        </w:rPr>
      </w:pPr>
      <w:r>
        <w:rPr>
          <w:rFonts w:ascii="Arial" w:cs="Arial" w:eastAsia="Arial" w:hAnsi="Arial"/>
          <w:sz w:val="18"/>
          <w:szCs w:val="18"/>
          <w:color w:val="auto"/>
        </w:rPr>
        <w:t>We have liabilities for postretirement benefits in the U.S. and Canada. Substantially all of the liability relates to the U.S. plan. Effective January 2005, our postretirement benefit plan in the U.S. was closed to new participants, except for certain life insurance benefits. In September 2008, we changed the cost sharing arrangement under this program such that increases in health care costs are the responsibility of plan participants and, in August 2013, we reduced the life insurance benefit for retirees and eliminated that benefit for active employees.</w:t>
      </w:r>
    </w:p>
    <w:p>
      <w:pPr>
        <w:spacing w:after="0" w:line="94"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We consider current market conditions, including changes in interest rates, in making these assumptions. Discount rate assumptions are based on the population of plan participants and a mixture of high-quality fixed-income investments with durations that match expected future payments. The assumption for expected return on plan assets is based on historical and expected returns on various categories of plan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jc w:val="both"/>
        <w:ind w:right="8240" w:firstLine="8"/>
        <w:spacing w:after="0" w:line="394" w:lineRule="auto"/>
        <w:tabs>
          <w:tab w:leader="none" w:pos="2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 (continued) Recent Accounting Pronouncements</w:t>
      </w:r>
    </w:p>
    <w:p>
      <w:pPr>
        <w:spacing w:after="0" w:line="1"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In June 2016, an accounting update was issued which replaces the incurred loss impairment methodology under current GAAP with a methodology that reflects expected credit losses and requires consideration of a broader range of reasonable and supportable information to inform credit loss estimates. The measurement of expected credit losses under the current expected losses (CECL) methodology is applicable to financial assets measured at amortized cost, which includes Short-term securities, Trade receivables, Contract assets, and Noncurrent receivables. The Company is required to estimate a CECL allowance using relevant available information. Historical credit loss experience will provide the basis for the estimation of expected credit losses, and adjustments may be made for differences in current asset-specific risk characteristics. A CECL allowance for credit losses will be measured on a collective (pool) basis when similar risk characteristics exist. Where financial instruments do not share risk characteristics, they will be evaluated on an individual basis. The principal effect on the Company’s financial statements will be an increase in credit loss reserve on financial instruments, which the Company does not expect to be material. The Company will adopt the new standard using a modified retrospective transition approach as of January 1, 2020, which will be our date of initial application. Consequently, financial information will not be updated and the disclosures required under the new standard will not be provided for dates and periods before January 1, 2020. Additionally, the Company is evaluating changes to our accounting policies, processes and internal controls to ensure we meet the standard’s reporting and disclosure requirements.</w:t>
      </w:r>
    </w:p>
    <w:p>
      <w:pPr>
        <w:spacing w:after="0" w:line="96" w:lineRule="exact"/>
        <w:rPr>
          <w:sz w:val="20"/>
          <w:szCs w:val="20"/>
          <w:color w:val="auto"/>
        </w:rPr>
      </w:pPr>
    </w:p>
    <w:p>
      <w:pPr>
        <w:ind w:right="40" w:firstLine="378"/>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fair value measurement disclosures. We will adopt the new standard as of January 1, 2020 and do not expect the adoption to significantly impact our financial statements.</w:t>
      </w:r>
    </w:p>
    <w:p>
      <w:pPr>
        <w:spacing w:after="0" w:line="95" w:lineRule="exact"/>
        <w:rPr>
          <w:sz w:val="20"/>
          <w:szCs w:val="20"/>
          <w:color w:val="auto"/>
        </w:rPr>
      </w:pPr>
    </w:p>
    <w:p>
      <w:pPr>
        <w:ind w:right="40" w:firstLine="378"/>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We plan to adopt the new standard effective January 1, 2021. We do not expect the adoption of this update to significantly impact our financial statements.</w:t>
      </w:r>
    </w:p>
    <w:p>
      <w:pPr>
        <w:spacing w:after="0" w:line="95" w:lineRule="exact"/>
        <w:rPr>
          <w:sz w:val="20"/>
          <w:szCs w:val="20"/>
          <w:color w:val="auto"/>
        </w:rPr>
      </w:pPr>
    </w:p>
    <w:p>
      <w:pPr>
        <w:jc w:val="both"/>
        <w:ind w:right="280" w:firstLine="378"/>
        <w:spacing w:after="0"/>
        <w:rPr>
          <w:sz w:val="20"/>
          <w:szCs w:val="20"/>
          <w:color w:val="auto"/>
        </w:rPr>
      </w:pPr>
      <w:r>
        <w:rPr>
          <w:rFonts w:ascii="Arial" w:cs="Arial" w:eastAsia="Arial" w:hAnsi="Arial"/>
          <w:sz w:val="18"/>
          <w:szCs w:val="18"/>
          <w:color w:val="auto"/>
        </w:rPr>
        <w:t>In November 2018, an accounting update was issued which clarifies when transactions between collaborative arrangement participants are in the scope of ASC 606. The update also provides some guidance on presentation of transactions not in the scope of ASC 606. We will adopt the new standard as of January 1, 2020 and do not expect the adoption to significantly impact our financial statements.</w:t>
      </w:r>
    </w:p>
    <w:p>
      <w:pPr>
        <w:spacing w:after="0" w:line="95" w:lineRule="exact"/>
        <w:rPr>
          <w:sz w:val="20"/>
          <w:szCs w:val="20"/>
          <w:color w:val="auto"/>
        </w:rPr>
      </w:pPr>
    </w:p>
    <w:p>
      <w:pPr>
        <w:ind w:right="220" w:firstLine="378"/>
        <w:spacing w:after="0" w:line="239" w:lineRule="auto"/>
        <w:rPr>
          <w:sz w:val="20"/>
          <w:szCs w:val="20"/>
          <w:color w:val="auto"/>
        </w:rPr>
      </w:pPr>
      <w:r>
        <w:rPr>
          <w:rFonts w:ascii="Arial" w:cs="Arial" w:eastAsia="Arial" w:hAnsi="Arial"/>
          <w:sz w:val="18"/>
          <w:szCs w:val="18"/>
          <w:color w:val="auto"/>
        </w:rPr>
        <w:t>In December 2019, an accounting update was issued which removes certain exceptions for recognizing deferred taxes for investments and performing intra-period tax allocations. The update also adds guidance to reduce complexity in certain areas, including recognizing deferred taxes for tax goodwill and allocating taxes to members of a consolidated group. We plan to adopt the new standard as of January 1, 2021 and we are assessing the potential impact on our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08" w:lineRule="exact"/>
        <w:rPr>
          <w:sz w:val="20"/>
          <w:szCs w:val="20"/>
          <w:color w:val="auto"/>
        </w:rPr>
      </w:pPr>
    </w:p>
    <w:p>
      <w:pPr>
        <w:ind w:right="180" w:firstLine="378"/>
        <w:spacing w:after="0" w:line="251"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were not restated and the cumulative effect of initially applying the new standard was recorded as an adjustment to Retained earnings at January 1, 2018.</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 (continued)</w:t>
      </w:r>
    </w:p>
    <w:p>
      <w:pPr>
        <w:spacing w:after="0" w:line="126"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For periods ending after December 31, 2017, 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under ASC 606.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99" w:lineRule="exact"/>
        <w:rPr>
          <w:sz w:val="20"/>
          <w:szCs w:val="20"/>
          <w:color w:val="auto"/>
        </w:rPr>
      </w:pPr>
    </w:p>
    <w:p>
      <w:pPr>
        <w:ind w:right="120" w:firstLine="378"/>
        <w:spacing w:after="0" w:line="237" w:lineRule="auto"/>
        <w:rPr>
          <w:sz w:val="20"/>
          <w:szCs w:val="20"/>
          <w:color w:val="auto"/>
        </w:rPr>
      </w:pPr>
      <w:r>
        <w:rPr>
          <w:rFonts w:ascii="Arial" w:cs="Arial" w:eastAsia="Arial" w:hAnsi="Arial"/>
          <w:sz w:val="18"/>
          <w:szCs w:val="18"/>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Contracts with customers in the MC segment have various terms that can affect the point in time when revenue is recognized. Generally, the customer obtains control when the product has been received at the location specified by the customer, at which time the only remaining obligations under the contract may be fulfillment costs, in the form of shipping and handling, which are accrued when control of the product is transferred.</w:t>
      </w:r>
    </w:p>
    <w:p>
      <w:pPr>
        <w:spacing w:after="0" w:line="97" w:lineRule="exact"/>
        <w:rPr>
          <w:sz w:val="20"/>
          <w:szCs w:val="20"/>
          <w:color w:val="auto"/>
        </w:rPr>
      </w:pPr>
    </w:p>
    <w:p>
      <w:pPr>
        <w:ind w:right="60" w:firstLine="378"/>
        <w:spacing w:after="0" w:line="237" w:lineRule="auto"/>
        <w:rPr>
          <w:sz w:val="20"/>
          <w:szCs w:val="20"/>
          <w:color w:val="auto"/>
        </w:rPr>
      </w:pPr>
      <w:r>
        <w:rPr>
          <w:rFonts w:ascii="Arial" w:cs="Arial" w:eastAsia="Arial" w:hAnsi="Arial"/>
          <w:sz w:val="18"/>
          <w:szCs w:val="18"/>
          <w:color w:val="auto"/>
        </w:rPr>
        <w:t>In the MC segment,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on a relative estimated standalone selling price basis.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97" w:lineRule="exact"/>
        <w:rPr>
          <w:sz w:val="20"/>
          <w:szCs w:val="20"/>
          <w:color w:val="auto"/>
        </w:rPr>
      </w:pPr>
    </w:p>
    <w:p>
      <w:pPr>
        <w:ind w:right="80" w:firstLine="378"/>
        <w:spacing w:after="0" w:line="236" w:lineRule="auto"/>
        <w:rPr>
          <w:sz w:val="20"/>
          <w:szCs w:val="20"/>
          <w:color w:val="auto"/>
        </w:rPr>
      </w:pPr>
      <w:r>
        <w:rPr>
          <w:rFonts w:ascii="Arial" w:cs="Arial" w:eastAsia="Arial" w:hAnsi="Arial"/>
          <w:sz w:val="18"/>
          <w:szCs w:val="18"/>
          <w:color w:val="auto"/>
        </w:rPr>
        <w:t>In our AEC segment, we primarily enter into contracts to manufacture and deliver highly engineered advanced composite products to our customers. A significant portion of AEC revenue is earned under short duration, firm-fixed-price orders that are placed under a master agreement containing general terms and conditions applicable to all orders placed under the master agreement. To determine the proper revenue recognition method, we evaluate whether two or more orders or contracts should be combined and accounted for as one single contract, and whether the combined or single contract contains single or multiple performance obligations. This evaluation requires significant judgment, and the decision to combine a group of contracts, or to allocate revenue from the combined or single contract among multiple performance obligations, could have a significant impact on the amount of revenue and profit recorded in a given period. For most AEC contracts, the nature of our promise (or our performance obligation) to the customer is to manage the contract and provide a significant service of integrating a complex set of tasks and components into a single project or capability, which will often result in the delivery of multiple highly interdependent and interrelated units.</w:t>
      </w:r>
    </w:p>
    <w:p>
      <w:pPr>
        <w:spacing w:after="0" w:line="98" w:lineRule="exact"/>
        <w:rPr>
          <w:sz w:val="20"/>
          <w:szCs w:val="20"/>
          <w:color w:val="auto"/>
        </w:rPr>
      </w:pPr>
    </w:p>
    <w:p>
      <w:pPr>
        <w:ind w:right="60" w:firstLine="378"/>
        <w:spacing w:after="0" w:line="236" w:lineRule="auto"/>
        <w:rPr>
          <w:sz w:val="20"/>
          <w:szCs w:val="20"/>
          <w:color w:val="auto"/>
        </w:rPr>
      </w:pPr>
      <w:r>
        <w:rPr>
          <w:rFonts w:ascii="Arial" w:cs="Arial" w:eastAsia="Arial" w:hAnsi="Arial"/>
          <w:sz w:val="18"/>
          <w:szCs w:val="18"/>
          <w:color w:val="auto"/>
        </w:rPr>
        <w:t>At the inception of a contract, 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we accumulate the values of such modifications in our estimates of contract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 (continued)</w:t>
      </w:r>
    </w:p>
    <w:p>
      <w:pPr>
        <w:spacing w:after="0" w:line="126" w:lineRule="exact"/>
        <w:rPr>
          <w:sz w:val="20"/>
          <w:szCs w:val="20"/>
          <w:color w:val="auto"/>
        </w:rPr>
      </w:pPr>
    </w:p>
    <w:p>
      <w:pPr>
        <w:ind w:right="40" w:firstLine="378"/>
        <w:spacing w:after="0" w:line="236" w:lineRule="auto"/>
        <w:rPr>
          <w:sz w:val="20"/>
          <w:szCs w:val="20"/>
          <w:color w:val="auto"/>
        </w:rPr>
      </w:pPr>
      <w:r>
        <w:rPr>
          <w:rFonts w:ascii="Arial" w:cs="Arial" w:eastAsia="Arial" w:hAnsi="Arial"/>
          <w:sz w:val="18"/>
          <w:szCs w:val="18"/>
          <w:color w:val="auto"/>
        </w:rPr>
        <w:t>Revenue is recognized over time for a large portion of our contracts in AEC as most of our contracts have provisions that, under the guidance in ASC 606,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w:t>
      </w:r>
    </w:p>
    <w:p>
      <w:pPr>
        <w:spacing w:after="0" w:line="98" w:lineRule="exact"/>
        <w:rPr>
          <w:sz w:val="20"/>
          <w:szCs w:val="20"/>
          <w:color w:val="auto"/>
        </w:rPr>
      </w:pPr>
    </w:p>
    <w:p>
      <w:pPr>
        <w:ind w:right="20" w:firstLine="378"/>
        <w:spacing w:after="0" w:line="246" w:lineRule="auto"/>
        <w:rPr>
          <w:sz w:val="20"/>
          <w:szCs w:val="20"/>
          <w:color w:val="auto"/>
        </w:rPr>
      </w:pPr>
      <w:r>
        <w:rPr>
          <w:rFonts w:ascii="Arial" w:cs="Arial" w:eastAsia="Arial" w:hAnsi="Arial"/>
          <w:sz w:val="18"/>
          <w:szCs w:val="18"/>
          <w:color w:val="auto"/>
        </w:rPr>
        <w:t>In other AEC contracts, revenue is recognized at a point in time because the products are offered to multiple customers, or we do not have an enforceable right to payment until the product is shipped or delivered to the location specified by the customer in the contract.</w:t>
      </w:r>
    </w:p>
    <w:p>
      <w:pPr>
        <w:spacing w:after="0" w:line="89" w:lineRule="exact"/>
        <w:rPr>
          <w:sz w:val="20"/>
          <w:szCs w:val="20"/>
          <w:color w:val="auto"/>
        </w:rPr>
      </w:pPr>
    </w:p>
    <w:p>
      <w:pPr>
        <w:ind w:right="40" w:firstLine="378"/>
        <w:spacing w:after="0" w:line="239" w:lineRule="auto"/>
        <w:rPr>
          <w:sz w:val="20"/>
          <w:szCs w:val="20"/>
          <w:color w:val="auto"/>
        </w:rPr>
      </w:pPr>
      <w:r>
        <w:rPr>
          <w:rFonts w:ascii="Arial" w:cs="Arial" w:eastAsia="Arial" w:hAnsi="Arial"/>
          <w:sz w:val="18"/>
          <w:szCs w:val="18"/>
          <w:color w:val="auto"/>
        </w:rPr>
        <w:t>AEC’s largest source of revenue is derived from the LEAP contract (see Note 10) under a cost-plus-fee agreement. Beginning in 2018, the fee is variable based on our success in achieving certain cost targets. Revenue is recognized over time as costs are incurred. Under this contract, there is significant judgment involved in determining applicable contract costs and expected margin, and therefore, in determining the amount of revenue to be recognized.</w:t>
      </w:r>
    </w:p>
    <w:p>
      <w:pPr>
        <w:spacing w:after="0" w:line="94" w:lineRule="exact"/>
        <w:rPr>
          <w:sz w:val="20"/>
          <w:szCs w:val="20"/>
          <w:color w:val="auto"/>
        </w:rPr>
      </w:pPr>
    </w:p>
    <w:p>
      <w:pPr>
        <w:ind w:right="140" w:firstLine="378"/>
        <w:spacing w:after="0" w:line="246" w:lineRule="auto"/>
        <w:rPr>
          <w:sz w:val="20"/>
          <w:szCs w:val="20"/>
          <w:color w:val="auto"/>
        </w:rPr>
      </w:pPr>
      <w:r>
        <w:rPr>
          <w:rFonts w:ascii="Arial" w:cs="Arial" w:eastAsia="Arial" w:hAnsi="Arial"/>
          <w:sz w:val="18"/>
          <w:szCs w:val="18"/>
          <w:color w:val="auto"/>
        </w:rPr>
        <w:t>Payment terms granted to MC and AEC customers reflect general competitive practices. Terms vary with product, competitive conditions, and the country of operation.</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a summary of the composition of each business segment:</w:t>
      </w:r>
    </w:p>
    <w:p>
      <w:pPr>
        <w:sectPr>
          <w:pgSz w:w="11900" w:h="16838" w:orient="portrait"/>
          <w:cols w:equalWidth="0" w:num="1">
            <w:col w:w="11420"/>
          </w:cols>
          <w:pgMar w:left="240" w:top="269" w:right="239" w:bottom="1440" w:gutter="0" w:footer="0" w:header="0"/>
        </w:sectPr>
      </w:pPr>
    </w:p>
    <w:p>
      <w:pPr>
        <w:spacing w:after="0" w:line="19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5347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Machine Clothing (MC)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15347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520"/>
        <w:spacing w:after="0" w:line="275" w:lineRule="auto"/>
        <w:rPr>
          <w:sz w:val="20"/>
          <w:szCs w:val="20"/>
          <w:color w:val="auto"/>
        </w:rPr>
      </w:pPr>
      <w:r>
        <w:rPr>
          <w:rFonts w:ascii="Arial" w:cs="Arial" w:eastAsia="Arial" w:hAnsi="Arial"/>
          <w:sz w:val="17"/>
          <w:szCs w:val="17"/>
          <w:color w:val="auto"/>
        </w:rPr>
        <w:t>Albany Engineered Composites (AEC)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5347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Product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13208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Machine Clothing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13208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Albany Safran</w:t>
      </w:r>
    </w:p>
    <w:p>
      <w:pPr>
        <w:spacing w:after="0"/>
        <w:rPr>
          <w:sz w:val="20"/>
          <w:szCs w:val="20"/>
          <w:color w:val="auto"/>
        </w:rPr>
      </w:pPr>
      <w:r>
        <w:rPr>
          <w:rFonts w:ascii="Arial" w:cs="Arial" w:eastAsia="Arial" w:hAnsi="Arial"/>
          <w:sz w:val="18"/>
          <w:szCs w:val="18"/>
          <w:color w:val="auto"/>
        </w:rPr>
        <w:t>Composites (ASC)</w:t>
      </w:r>
    </w:p>
    <w:p>
      <w:pPr>
        <w:spacing w:after="0" w:line="30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Airframe and engine Components (Other AEC)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13208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Principal Product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710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Paper machine clothing: Permeable and impermeable belts used in the manufacture of paper, paperboard, tissue and towel, and pulp</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Engineered fabrics: Belts used in the manufacture of nonwovens, fiber cement and several other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710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right="520"/>
        <w:spacing w:after="0" w:line="246" w:lineRule="auto"/>
        <w:rPr>
          <w:sz w:val="20"/>
          <w:szCs w:val="20"/>
          <w:color w:val="auto"/>
        </w:rPr>
      </w:pPr>
      <w:r>
        <w:rPr>
          <w:rFonts w:ascii="Arial" w:cs="Arial" w:eastAsia="Arial" w:hAnsi="Arial"/>
          <w:sz w:val="18"/>
          <w:szCs w:val="18"/>
          <w:color w:val="auto"/>
        </w:rPr>
        <w:t>3D-woven, injected composite components for aircraft engines</w:t>
      </w:r>
    </w:p>
    <w:p>
      <w:pPr>
        <w:spacing w:after="0" w:line="38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Composite airframe and engine components for military and commercial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710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481965</wp:posOffset>
            </wp:positionV>
            <wp:extent cx="727202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Principal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13290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383540</wp:posOffset>
            </wp:positionV>
            <wp:extent cx="13290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Rochester, NH Commercy, France Queretaro, Mexico Salt Lake City, UT Boerne, TX Queretaro, Mexico Kaiserslautern,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3290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ectPr>
          <w:pgSz w:w="11900" w:h="16838" w:orient="portrait"/>
          <w:cols w:equalWidth="0" w:num="4">
            <w:col w:w="2040" w:space="720"/>
            <w:col w:w="2060" w:space="140"/>
            <w:col w:w="4200" w:space="160"/>
            <w:col w:w="2100"/>
          </w:cols>
          <w:pgMar w:left="240" w:top="269" w:right="23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 (continued)</w:t>
      </w:r>
    </w:p>
    <w:p>
      <w:pPr>
        <w:spacing w:after="0" w:line="126" w:lineRule="exact"/>
        <w:rPr>
          <w:sz w:val="20"/>
          <w:szCs w:val="20"/>
          <w:color w:val="auto"/>
        </w:rPr>
      </w:pPr>
    </w:p>
    <w:p>
      <w:pPr>
        <w:ind w:right="360" w:firstLine="378"/>
        <w:spacing w:after="0" w:line="246"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disaggregated revenue for each product group by timing of revenue recognition:</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For the year ended</w:t>
            </w:r>
          </w:p>
        </w:tc>
        <w:tc>
          <w:tcPr>
            <w:tcW w:w="12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Point in Time</w:t>
            </w:r>
          </w:p>
        </w:tc>
        <w:tc>
          <w:tcPr>
            <w:tcW w:w="300" w:type="dxa"/>
            <w:vAlign w:val="bottom"/>
          </w:tcPr>
          <w:p>
            <w:pPr>
              <w:spacing w:after="0"/>
              <w:rPr>
                <w:sz w:val="12"/>
                <w:szCs w:val="12"/>
                <w:color w:val="auto"/>
              </w:rPr>
            </w:pPr>
          </w:p>
        </w:tc>
        <w:tc>
          <w:tcPr>
            <w:tcW w:w="156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rPr>
              <w:t>Over Time</w:t>
            </w:r>
          </w:p>
        </w:tc>
        <w:tc>
          <w:tcPr>
            <w:tcW w:w="12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1240" w:type="dxa"/>
            <w:vAlign w:val="bottom"/>
          </w:tcPr>
          <w:p>
            <w:pPr>
              <w:spacing w:after="0"/>
              <w:rPr>
                <w:sz w:val="14"/>
                <w:szCs w:val="14"/>
                <w:color w:val="auto"/>
              </w:rPr>
            </w:pPr>
          </w:p>
        </w:tc>
      </w:tr>
      <w:tr>
        <w:trPr>
          <w:trHeight w:val="175"/>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Recognition</w:t>
            </w:r>
          </w:p>
        </w:tc>
        <w:tc>
          <w:tcPr>
            <w:tcW w:w="300" w:type="dxa"/>
            <w:vAlign w:val="bottom"/>
          </w:tcPr>
          <w:p>
            <w:pPr>
              <w:spacing w:after="0"/>
              <w:rPr>
                <w:sz w:val="15"/>
                <w:szCs w:val="15"/>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Recognition</w:t>
            </w: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Machine Clothing</w:t>
            </w:r>
          </w:p>
        </w:tc>
        <w:tc>
          <w:tcPr>
            <w:tcW w:w="3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$598,054</w:t>
            </w:r>
          </w:p>
        </w:tc>
        <w:tc>
          <w:tcPr>
            <w:tcW w:w="3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3,200</w:t>
            </w:r>
          </w:p>
        </w:tc>
        <w:tc>
          <w:tcPr>
            <w:tcW w:w="3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  601,254</w:t>
            </w:r>
          </w:p>
        </w:tc>
      </w:tr>
      <w:tr>
        <w:trPr>
          <w:trHeight w:val="173"/>
        </w:trPr>
        <w:tc>
          <w:tcPr>
            <w:tcW w:w="6060" w:type="dxa"/>
            <w:vAlign w:val="bottom"/>
            <w:gridSpan w:val="3"/>
          </w:tcPr>
          <w:p>
            <w:pPr>
              <w:spacing w:after="0" w:line="173" w:lineRule="exact"/>
              <w:rPr>
                <w:sz w:val="20"/>
                <w:szCs w:val="20"/>
                <w:color w:val="auto"/>
              </w:rPr>
            </w:pPr>
            <w:r>
              <w:rPr>
                <w:rFonts w:ascii="Arial" w:cs="Arial" w:eastAsia="Arial" w:hAnsi="Arial"/>
                <w:sz w:val="18"/>
                <w:szCs w:val="18"/>
                <w:color w:val="auto"/>
              </w:rPr>
              <w:t>Albany Engineered Composites ASC</w:t>
            </w:r>
          </w:p>
        </w:tc>
        <w:tc>
          <w:tcPr>
            <w:tcW w:w="1240" w:type="dxa"/>
            <w:vAlign w:val="bottom"/>
          </w:tcPr>
          <w:p>
            <w:pPr>
              <w:jc w:val="right"/>
              <w:ind w:right="217"/>
              <w:spacing w:after="0" w:line="173"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40" w:type="dxa"/>
            <w:vAlign w:val="bottom"/>
            <w:gridSpan w:val="2"/>
          </w:tcPr>
          <w:p>
            <w:pPr>
              <w:jc w:val="right"/>
              <w:ind w:right="170"/>
              <w:spacing w:after="0" w:line="173" w:lineRule="exact"/>
              <w:rPr>
                <w:sz w:val="20"/>
                <w:szCs w:val="20"/>
                <w:color w:val="auto"/>
              </w:rPr>
            </w:pPr>
            <w:r>
              <w:rPr>
                <w:rFonts w:ascii="Arial" w:cs="Arial" w:eastAsia="Arial" w:hAnsi="Arial"/>
                <w:sz w:val="18"/>
                <w:szCs w:val="18"/>
                <w:b w:val="1"/>
                <w:bCs w:val="1"/>
                <w:color w:val="auto"/>
              </w:rPr>
              <w:t>220,188</w:t>
            </w:r>
          </w:p>
        </w:tc>
        <w:tc>
          <w:tcPr>
            <w:tcW w:w="320" w:type="dxa"/>
            <w:vAlign w:val="bottom"/>
          </w:tcPr>
          <w:p>
            <w:pPr>
              <w:spacing w:after="0"/>
              <w:rPr>
                <w:sz w:val="15"/>
                <w:szCs w:val="15"/>
                <w:color w:val="auto"/>
              </w:rPr>
            </w:pPr>
          </w:p>
        </w:tc>
        <w:tc>
          <w:tcPr>
            <w:tcW w:w="1240" w:type="dxa"/>
            <w:vAlign w:val="bottom"/>
          </w:tcPr>
          <w:p>
            <w:pPr>
              <w:jc w:val="right"/>
              <w:ind w:right="113"/>
              <w:spacing w:after="0" w:line="173" w:lineRule="exact"/>
              <w:rPr>
                <w:sz w:val="20"/>
                <w:szCs w:val="20"/>
                <w:color w:val="auto"/>
              </w:rPr>
            </w:pPr>
            <w:r>
              <w:rPr>
                <w:rFonts w:ascii="Arial" w:cs="Arial" w:eastAsia="Arial" w:hAnsi="Arial"/>
                <w:sz w:val="18"/>
                <w:szCs w:val="18"/>
                <w:b w:val="1"/>
                <w:bCs w:val="1"/>
                <w:color w:val="auto"/>
              </w:rPr>
              <w:t>220,188</w:t>
            </w:r>
          </w:p>
        </w:tc>
      </w:tr>
      <w:tr>
        <w:trPr>
          <w:trHeight w:val="225"/>
        </w:trPr>
        <w:tc>
          <w:tcPr>
            <w:tcW w:w="20" w:type="dxa"/>
            <w:vAlign w:val="bottom"/>
          </w:tcPr>
          <w:p>
            <w:pPr>
              <w:spacing w:after="0"/>
              <w:rPr>
                <w:sz w:val="19"/>
                <w:szCs w:val="19"/>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Other AEC</w:t>
            </w:r>
          </w:p>
        </w:tc>
        <w:tc>
          <w:tcPr>
            <w:tcW w:w="1240" w:type="dxa"/>
            <w:vAlign w:val="bottom"/>
          </w:tcPr>
          <w:p>
            <w:pPr>
              <w:jc w:val="right"/>
              <w:ind w:right="197"/>
              <w:spacing w:after="0"/>
              <w:rPr>
                <w:sz w:val="20"/>
                <w:szCs w:val="20"/>
                <w:color w:val="auto"/>
              </w:rPr>
            </w:pPr>
            <w:r>
              <w:rPr>
                <w:rFonts w:ascii="Arial" w:cs="Arial" w:eastAsia="Arial" w:hAnsi="Arial"/>
                <w:sz w:val="18"/>
                <w:szCs w:val="18"/>
                <w:b w:val="1"/>
                <w:bCs w:val="1"/>
                <w:color w:val="auto"/>
              </w:rPr>
              <w:t>28,584</w:t>
            </w:r>
          </w:p>
        </w:tc>
        <w:tc>
          <w:tcPr>
            <w:tcW w:w="15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204,106</w:t>
            </w:r>
          </w:p>
        </w:tc>
        <w:tc>
          <w:tcPr>
            <w:tcW w:w="32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b w:val="1"/>
                <w:bCs w:val="1"/>
                <w:color w:val="auto"/>
              </w:rPr>
              <w:t>232,690</w:t>
            </w:r>
          </w:p>
        </w:tc>
      </w:tr>
      <w:tr>
        <w:trPr>
          <w:trHeight w:val="196"/>
        </w:trPr>
        <w:tc>
          <w:tcPr>
            <w:tcW w:w="6060" w:type="dxa"/>
            <w:vAlign w:val="bottom"/>
            <w:gridSpan w:val="3"/>
          </w:tcPr>
          <w:p>
            <w:pPr>
              <w:spacing w:after="0" w:line="196" w:lineRule="exact"/>
              <w:rPr>
                <w:sz w:val="20"/>
                <w:szCs w:val="20"/>
                <w:color w:val="auto"/>
              </w:rPr>
            </w:pPr>
            <w:r>
              <w:rPr>
                <w:rFonts w:ascii="Arial" w:cs="Arial" w:eastAsia="Arial" w:hAnsi="Arial"/>
                <w:sz w:val="18"/>
                <w:szCs w:val="18"/>
                <w:color w:val="auto"/>
              </w:rPr>
              <w:t>Total Albany Engineered Composites</w:t>
            </w:r>
          </w:p>
        </w:tc>
        <w:tc>
          <w:tcPr>
            <w:tcW w:w="1240" w:type="dxa"/>
            <w:vAlign w:val="bottom"/>
            <w:tcBorders>
              <w:top w:val="single" w:sz="8" w:color="auto"/>
              <w:bottom w:val="single" w:sz="8" w:color="auto"/>
            </w:tcBorders>
          </w:tcPr>
          <w:p>
            <w:pPr>
              <w:jc w:val="right"/>
              <w:ind w:right="197"/>
              <w:spacing w:after="0" w:line="196" w:lineRule="exact"/>
              <w:rPr>
                <w:sz w:val="20"/>
                <w:szCs w:val="20"/>
                <w:color w:val="auto"/>
              </w:rPr>
            </w:pPr>
            <w:r>
              <w:rPr>
                <w:rFonts w:ascii="Arial" w:cs="Arial" w:eastAsia="Arial" w:hAnsi="Arial"/>
                <w:sz w:val="18"/>
                <w:szCs w:val="18"/>
                <w:b w:val="1"/>
                <w:bCs w:val="1"/>
                <w:color w:val="auto"/>
              </w:rPr>
              <w:t>28,584</w:t>
            </w:r>
          </w:p>
        </w:tc>
        <w:tc>
          <w:tcPr>
            <w:tcW w:w="30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424,294</w:t>
            </w:r>
          </w:p>
        </w:tc>
        <w:tc>
          <w:tcPr>
            <w:tcW w:w="3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13"/>
              <w:spacing w:after="0" w:line="196" w:lineRule="exact"/>
              <w:rPr>
                <w:sz w:val="20"/>
                <w:szCs w:val="20"/>
                <w:color w:val="auto"/>
              </w:rPr>
            </w:pPr>
            <w:r>
              <w:rPr>
                <w:rFonts w:ascii="Arial" w:cs="Arial" w:eastAsia="Arial" w:hAnsi="Arial"/>
                <w:sz w:val="18"/>
                <w:szCs w:val="18"/>
                <w:b w:val="1"/>
                <w:bCs w:val="1"/>
                <w:color w:val="auto"/>
              </w:rPr>
              <w:t>452,878</w:t>
            </w:r>
          </w:p>
        </w:tc>
      </w:tr>
      <w:tr>
        <w:trPr>
          <w:trHeight w:val="196"/>
        </w:trPr>
        <w:tc>
          <w:tcPr>
            <w:tcW w:w="6060" w:type="dxa"/>
            <w:vAlign w:val="bottom"/>
            <w:gridSpan w:val="3"/>
          </w:tcPr>
          <w:p>
            <w:pPr>
              <w:spacing w:after="0" w:line="196" w:lineRule="exact"/>
              <w:rPr>
                <w:sz w:val="20"/>
                <w:szCs w:val="20"/>
                <w:color w:val="auto"/>
              </w:rPr>
            </w:pPr>
            <w:r>
              <w:rPr>
                <w:rFonts w:ascii="Arial" w:cs="Arial" w:eastAsia="Arial" w:hAnsi="Arial"/>
                <w:sz w:val="18"/>
                <w:szCs w:val="18"/>
                <w:color w:val="auto"/>
              </w:rPr>
              <w:t>Total revenue</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$626,638</w:t>
            </w:r>
          </w:p>
        </w:tc>
        <w:tc>
          <w:tcPr>
            <w:tcW w:w="300" w:type="dxa"/>
            <w:vAlign w:val="bottom"/>
          </w:tcPr>
          <w:p>
            <w:pPr>
              <w:spacing w:after="0"/>
              <w:rPr>
                <w:sz w:val="17"/>
                <w:szCs w:val="17"/>
                <w:color w:val="auto"/>
              </w:rPr>
            </w:pPr>
          </w:p>
        </w:tc>
        <w:tc>
          <w:tcPr>
            <w:tcW w:w="12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$427,494</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$1,054,132</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For the year ended</w:t>
            </w:r>
          </w:p>
        </w:tc>
        <w:tc>
          <w:tcPr>
            <w:tcW w:w="124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December 31, 2018</w:t>
            </w:r>
          </w:p>
        </w:tc>
        <w:tc>
          <w:tcPr>
            <w:tcW w:w="12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Point in Time</w:t>
            </w:r>
          </w:p>
        </w:tc>
        <w:tc>
          <w:tcPr>
            <w:tcW w:w="300" w:type="dxa"/>
            <w:vAlign w:val="bottom"/>
          </w:tcPr>
          <w:p>
            <w:pPr>
              <w:spacing w:after="0"/>
              <w:rPr>
                <w:sz w:val="12"/>
                <w:szCs w:val="12"/>
                <w:color w:val="auto"/>
              </w:rPr>
            </w:pPr>
          </w:p>
        </w:tc>
        <w:tc>
          <w:tcPr>
            <w:tcW w:w="156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rPr>
              <w:t>Over Time</w:t>
            </w:r>
          </w:p>
        </w:tc>
        <w:tc>
          <w:tcPr>
            <w:tcW w:w="12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1240" w:type="dxa"/>
            <w:vAlign w:val="bottom"/>
          </w:tcPr>
          <w:p>
            <w:pPr>
              <w:spacing w:after="0"/>
              <w:rPr>
                <w:sz w:val="14"/>
                <w:szCs w:val="14"/>
                <w:color w:val="auto"/>
              </w:rPr>
            </w:pPr>
          </w:p>
        </w:tc>
      </w:tr>
      <w:tr>
        <w:trPr>
          <w:trHeight w:val="175"/>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Recognition</w:t>
            </w:r>
          </w:p>
        </w:tc>
        <w:tc>
          <w:tcPr>
            <w:tcW w:w="300" w:type="dxa"/>
            <w:vAlign w:val="bottom"/>
          </w:tcPr>
          <w:p>
            <w:pPr>
              <w:spacing w:after="0"/>
              <w:rPr>
                <w:sz w:val="15"/>
                <w:szCs w:val="15"/>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Recognition</w:t>
            </w: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Machine Clothing</w:t>
            </w:r>
          </w:p>
        </w:tc>
        <w:tc>
          <w:tcPr>
            <w:tcW w:w="3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$608,658</w:t>
            </w:r>
          </w:p>
        </w:tc>
        <w:tc>
          <w:tcPr>
            <w:tcW w:w="3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3,200</w:t>
            </w:r>
          </w:p>
        </w:tc>
        <w:tc>
          <w:tcPr>
            <w:tcW w:w="3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$611,858</w:t>
            </w:r>
          </w:p>
        </w:tc>
      </w:tr>
      <w:tr>
        <w:trPr>
          <w:trHeight w:val="173"/>
        </w:trPr>
        <w:tc>
          <w:tcPr>
            <w:tcW w:w="6060" w:type="dxa"/>
            <w:vAlign w:val="bottom"/>
            <w:gridSpan w:val="3"/>
          </w:tcPr>
          <w:p>
            <w:pPr>
              <w:spacing w:after="0" w:line="173" w:lineRule="exact"/>
              <w:rPr>
                <w:sz w:val="20"/>
                <w:szCs w:val="20"/>
                <w:color w:val="auto"/>
              </w:rPr>
            </w:pPr>
            <w:r>
              <w:rPr>
                <w:rFonts w:ascii="Arial" w:cs="Arial" w:eastAsia="Arial" w:hAnsi="Arial"/>
                <w:sz w:val="18"/>
                <w:szCs w:val="18"/>
                <w:color w:val="auto"/>
              </w:rPr>
              <w:t>Albany Engineered Composites ASC</w:t>
            </w:r>
          </w:p>
        </w:tc>
        <w:tc>
          <w:tcPr>
            <w:tcW w:w="1240" w:type="dxa"/>
            <w:vAlign w:val="bottom"/>
          </w:tcPr>
          <w:p>
            <w:pPr>
              <w:jc w:val="right"/>
              <w:ind w:right="217"/>
              <w:spacing w:after="0" w:line="173"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40" w:type="dxa"/>
            <w:vAlign w:val="bottom"/>
            <w:gridSpan w:val="2"/>
          </w:tcPr>
          <w:p>
            <w:pPr>
              <w:jc w:val="right"/>
              <w:ind w:right="170"/>
              <w:spacing w:after="0" w:line="173" w:lineRule="exact"/>
              <w:rPr>
                <w:sz w:val="20"/>
                <w:szCs w:val="20"/>
                <w:color w:val="auto"/>
              </w:rPr>
            </w:pPr>
            <w:r>
              <w:rPr>
                <w:rFonts w:ascii="Arial" w:cs="Arial" w:eastAsia="Arial" w:hAnsi="Arial"/>
                <w:sz w:val="18"/>
                <w:szCs w:val="18"/>
                <w:b w:val="1"/>
                <w:bCs w:val="1"/>
                <w:color w:val="auto"/>
              </w:rPr>
              <w:t>182,699</w:t>
            </w:r>
          </w:p>
        </w:tc>
        <w:tc>
          <w:tcPr>
            <w:tcW w:w="320" w:type="dxa"/>
            <w:vAlign w:val="bottom"/>
          </w:tcPr>
          <w:p>
            <w:pPr>
              <w:spacing w:after="0"/>
              <w:rPr>
                <w:sz w:val="15"/>
                <w:szCs w:val="15"/>
                <w:color w:val="auto"/>
              </w:rPr>
            </w:pPr>
          </w:p>
        </w:tc>
        <w:tc>
          <w:tcPr>
            <w:tcW w:w="1240" w:type="dxa"/>
            <w:vAlign w:val="bottom"/>
          </w:tcPr>
          <w:p>
            <w:pPr>
              <w:jc w:val="right"/>
              <w:ind w:right="173"/>
              <w:spacing w:after="0" w:line="173" w:lineRule="exact"/>
              <w:rPr>
                <w:sz w:val="20"/>
                <w:szCs w:val="20"/>
                <w:color w:val="auto"/>
              </w:rPr>
            </w:pPr>
            <w:r>
              <w:rPr>
                <w:rFonts w:ascii="Arial" w:cs="Arial" w:eastAsia="Arial" w:hAnsi="Arial"/>
                <w:sz w:val="18"/>
                <w:szCs w:val="18"/>
                <w:b w:val="1"/>
                <w:bCs w:val="1"/>
                <w:color w:val="auto"/>
              </w:rPr>
              <w:t>182,699</w:t>
            </w:r>
          </w:p>
        </w:tc>
      </w:tr>
      <w:tr>
        <w:trPr>
          <w:trHeight w:val="225"/>
        </w:trPr>
        <w:tc>
          <w:tcPr>
            <w:tcW w:w="20" w:type="dxa"/>
            <w:vAlign w:val="bottom"/>
          </w:tcPr>
          <w:p>
            <w:pPr>
              <w:spacing w:after="0"/>
              <w:rPr>
                <w:sz w:val="19"/>
                <w:szCs w:val="19"/>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Other AEC</w:t>
            </w:r>
          </w:p>
        </w:tc>
        <w:tc>
          <w:tcPr>
            <w:tcW w:w="1240" w:type="dxa"/>
            <w:vAlign w:val="bottom"/>
          </w:tcPr>
          <w:p>
            <w:pPr>
              <w:jc w:val="right"/>
              <w:ind w:right="197"/>
              <w:spacing w:after="0"/>
              <w:rPr>
                <w:sz w:val="20"/>
                <w:szCs w:val="20"/>
                <w:color w:val="auto"/>
              </w:rPr>
            </w:pPr>
            <w:r>
              <w:rPr>
                <w:rFonts w:ascii="Arial" w:cs="Arial" w:eastAsia="Arial" w:hAnsi="Arial"/>
                <w:sz w:val="18"/>
                <w:szCs w:val="18"/>
                <w:b w:val="1"/>
                <w:bCs w:val="1"/>
                <w:color w:val="auto"/>
              </w:rPr>
              <w:t>21,614</w:t>
            </w:r>
          </w:p>
        </w:tc>
        <w:tc>
          <w:tcPr>
            <w:tcW w:w="15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166,308</w:t>
            </w:r>
          </w:p>
        </w:tc>
        <w:tc>
          <w:tcPr>
            <w:tcW w:w="320" w:type="dxa"/>
            <w:vAlign w:val="bottom"/>
          </w:tcPr>
          <w:p>
            <w:pPr>
              <w:spacing w:after="0"/>
              <w:rPr>
                <w:sz w:val="19"/>
                <w:szCs w:val="19"/>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b w:val="1"/>
                <w:bCs w:val="1"/>
                <w:color w:val="auto"/>
              </w:rPr>
              <w:t>187,922</w:t>
            </w:r>
          </w:p>
        </w:tc>
      </w:tr>
      <w:tr>
        <w:trPr>
          <w:trHeight w:val="196"/>
        </w:trPr>
        <w:tc>
          <w:tcPr>
            <w:tcW w:w="6060" w:type="dxa"/>
            <w:vAlign w:val="bottom"/>
            <w:gridSpan w:val="3"/>
          </w:tcPr>
          <w:p>
            <w:pPr>
              <w:spacing w:after="0" w:line="196" w:lineRule="exact"/>
              <w:rPr>
                <w:sz w:val="20"/>
                <w:szCs w:val="20"/>
                <w:color w:val="auto"/>
              </w:rPr>
            </w:pPr>
            <w:r>
              <w:rPr>
                <w:rFonts w:ascii="Arial" w:cs="Arial" w:eastAsia="Arial" w:hAnsi="Arial"/>
                <w:sz w:val="18"/>
                <w:szCs w:val="18"/>
                <w:color w:val="auto"/>
              </w:rPr>
              <w:t>Total Albany Engineered Composites</w:t>
            </w:r>
          </w:p>
        </w:tc>
        <w:tc>
          <w:tcPr>
            <w:tcW w:w="1240" w:type="dxa"/>
            <w:vAlign w:val="bottom"/>
            <w:tcBorders>
              <w:top w:val="single" w:sz="8" w:color="auto"/>
              <w:bottom w:val="single" w:sz="8" w:color="auto"/>
            </w:tcBorders>
          </w:tcPr>
          <w:p>
            <w:pPr>
              <w:jc w:val="right"/>
              <w:ind w:right="197"/>
              <w:spacing w:after="0" w:line="196" w:lineRule="exact"/>
              <w:rPr>
                <w:sz w:val="20"/>
                <w:szCs w:val="20"/>
                <w:color w:val="auto"/>
              </w:rPr>
            </w:pPr>
            <w:r>
              <w:rPr>
                <w:rFonts w:ascii="Arial" w:cs="Arial" w:eastAsia="Arial" w:hAnsi="Arial"/>
                <w:sz w:val="18"/>
                <w:szCs w:val="18"/>
                <w:b w:val="1"/>
                <w:bCs w:val="1"/>
                <w:color w:val="auto"/>
              </w:rPr>
              <w:t>21,614</w:t>
            </w:r>
          </w:p>
        </w:tc>
        <w:tc>
          <w:tcPr>
            <w:tcW w:w="30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349,007</w:t>
            </w:r>
          </w:p>
        </w:tc>
        <w:tc>
          <w:tcPr>
            <w:tcW w:w="3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73"/>
              <w:spacing w:after="0" w:line="196" w:lineRule="exact"/>
              <w:rPr>
                <w:sz w:val="20"/>
                <w:szCs w:val="20"/>
                <w:color w:val="auto"/>
              </w:rPr>
            </w:pPr>
            <w:r>
              <w:rPr>
                <w:rFonts w:ascii="Arial" w:cs="Arial" w:eastAsia="Arial" w:hAnsi="Arial"/>
                <w:sz w:val="18"/>
                <w:szCs w:val="18"/>
                <w:b w:val="1"/>
                <w:bCs w:val="1"/>
                <w:color w:val="auto"/>
              </w:rPr>
              <w:t>370,621</w:t>
            </w:r>
          </w:p>
        </w:tc>
      </w:tr>
      <w:tr>
        <w:trPr>
          <w:trHeight w:val="196"/>
        </w:trPr>
        <w:tc>
          <w:tcPr>
            <w:tcW w:w="6060" w:type="dxa"/>
            <w:vAlign w:val="bottom"/>
            <w:gridSpan w:val="3"/>
          </w:tcPr>
          <w:p>
            <w:pPr>
              <w:spacing w:after="0" w:line="196" w:lineRule="exact"/>
              <w:rPr>
                <w:sz w:val="20"/>
                <w:szCs w:val="20"/>
                <w:color w:val="auto"/>
              </w:rPr>
            </w:pPr>
            <w:r>
              <w:rPr>
                <w:rFonts w:ascii="Arial" w:cs="Arial" w:eastAsia="Arial" w:hAnsi="Arial"/>
                <w:sz w:val="18"/>
                <w:szCs w:val="18"/>
                <w:color w:val="auto"/>
              </w:rPr>
              <w:t>Total revenue</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$630,272</w:t>
            </w:r>
          </w:p>
        </w:tc>
        <w:tc>
          <w:tcPr>
            <w:tcW w:w="300" w:type="dxa"/>
            <w:vAlign w:val="bottom"/>
          </w:tcPr>
          <w:p>
            <w:pPr>
              <w:spacing w:after="0"/>
              <w:rPr>
                <w:sz w:val="17"/>
                <w:szCs w:val="17"/>
                <w:color w:val="auto"/>
              </w:rPr>
            </w:pPr>
          </w:p>
        </w:tc>
        <w:tc>
          <w:tcPr>
            <w:tcW w:w="12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$352,207</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$982,479</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firstLine="378"/>
        <w:spacing w:after="0" w:line="246"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2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For the years ended December 31,</w:t>
            </w:r>
          </w:p>
        </w:tc>
      </w:tr>
      <w:tr>
        <w:trPr>
          <w:trHeight w:val="175"/>
        </w:trPr>
        <w:tc>
          <w:tcPr>
            <w:tcW w:w="68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173"/>
        </w:trPr>
        <w:tc>
          <w:tcPr>
            <w:tcW w:w="20" w:type="dxa"/>
            <w:vAlign w:val="bottom"/>
          </w:tcPr>
          <w:p>
            <w:pPr>
              <w:spacing w:after="0"/>
              <w:rPr>
                <w:sz w:val="15"/>
                <w:szCs w:val="15"/>
                <w:color w:val="auto"/>
              </w:rPr>
            </w:pPr>
          </w:p>
        </w:tc>
        <w:tc>
          <w:tcPr>
            <w:tcW w:w="66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Americas PMC</w:t>
            </w:r>
          </w:p>
        </w:tc>
        <w:tc>
          <w:tcPr>
            <w:tcW w:w="220" w:type="dxa"/>
            <w:vAlign w:val="bottom"/>
          </w:tcPr>
          <w:p>
            <w:pPr>
              <w:spacing w:after="0"/>
              <w:rPr>
                <w:sz w:val="15"/>
                <w:szCs w:val="15"/>
                <w:color w:val="auto"/>
              </w:rPr>
            </w:pPr>
          </w:p>
        </w:tc>
        <w:tc>
          <w:tcPr>
            <w:tcW w:w="16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$316,355</w:t>
            </w:r>
          </w:p>
        </w:tc>
        <w:tc>
          <w:tcPr>
            <w:tcW w:w="200" w:type="dxa"/>
            <w:vAlign w:val="bottom"/>
          </w:tcPr>
          <w:p>
            <w:pPr>
              <w:spacing w:after="0"/>
              <w:rPr>
                <w:sz w:val="15"/>
                <w:szCs w:val="15"/>
                <w:color w:val="auto"/>
              </w:rPr>
            </w:pPr>
          </w:p>
        </w:tc>
        <w:tc>
          <w:tcPr>
            <w:tcW w:w="16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$303,768</w:t>
            </w:r>
          </w:p>
        </w:tc>
      </w:tr>
      <w:tr>
        <w:trPr>
          <w:trHeight w:val="203"/>
        </w:trPr>
        <w:tc>
          <w:tcPr>
            <w:tcW w:w="6880" w:type="dxa"/>
            <w:vAlign w:val="bottom"/>
            <w:gridSpan w:val="3"/>
          </w:tcPr>
          <w:p>
            <w:pPr>
              <w:spacing w:after="0" w:line="202" w:lineRule="exact"/>
              <w:rPr>
                <w:sz w:val="20"/>
                <w:szCs w:val="20"/>
                <w:color w:val="auto"/>
              </w:rPr>
            </w:pPr>
            <w:r>
              <w:rPr>
                <w:rFonts w:ascii="Arial" w:cs="Arial" w:eastAsia="Arial" w:hAnsi="Arial"/>
                <w:sz w:val="18"/>
                <w:szCs w:val="18"/>
                <w:color w:val="auto"/>
              </w:rPr>
              <w:t>Eurasia PMC</w:t>
            </w:r>
          </w:p>
        </w:tc>
        <w:tc>
          <w:tcPr>
            <w:tcW w:w="1660" w:type="dxa"/>
            <w:vAlign w:val="bottom"/>
          </w:tcPr>
          <w:p>
            <w:pPr>
              <w:jc w:val="right"/>
              <w:ind w:right="396"/>
              <w:spacing w:after="0" w:line="202" w:lineRule="exact"/>
              <w:rPr>
                <w:sz w:val="20"/>
                <w:szCs w:val="20"/>
                <w:color w:val="auto"/>
              </w:rPr>
            </w:pPr>
            <w:r>
              <w:rPr>
                <w:rFonts w:ascii="Arial" w:cs="Arial" w:eastAsia="Arial" w:hAnsi="Arial"/>
                <w:sz w:val="18"/>
                <w:szCs w:val="18"/>
                <w:b w:val="1"/>
                <w:bCs w:val="1"/>
                <w:color w:val="auto"/>
              </w:rPr>
              <w:t>210,961</w:t>
            </w:r>
          </w:p>
        </w:tc>
        <w:tc>
          <w:tcPr>
            <w:tcW w:w="200" w:type="dxa"/>
            <w:vAlign w:val="bottom"/>
          </w:tcPr>
          <w:p>
            <w:pPr>
              <w:spacing w:after="0"/>
              <w:rPr>
                <w:sz w:val="17"/>
                <w:szCs w:val="17"/>
                <w:color w:val="auto"/>
              </w:rPr>
            </w:pPr>
          </w:p>
        </w:tc>
        <w:tc>
          <w:tcPr>
            <w:tcW w:w="16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227,493</w:t>
            </w:r>
          </w:p>
        </w:tc>
      </w:tr>
      <w:tr>
        <w:trPr>
          <w:trHeight w:val="225"/>
        </w:trPr>
        <w:tc>
          <w:tcPr>
            <w:tcW w:w="6880" w:type="dxa"/>
            <w:vAlign w:val="bottom"/>
            <w:gridSpan w:val="3"/>
          </w:tcPr>
          <w:p>
            <w:pPr>
              <w:spacing w:after="0"/>
              <w:rPr>
                <w:sz w:val="20"/>
                <w:szCs w:val="20"/>
                <w:color w:val="auto"/>
              </w:rPr>
            </w:pPr>
            <w:r>
              <w:rPr>
                <w:rFonts w:ascii="Arial" w:cs="Arial" w:eastAsia="Arial" w:hAnsi="Arial"/>
                <w:sz w:val="18"/>
                <w:szCs w:val="18"/>
                <w:color w:val="auto"/>
              </w:rPr>
              <w:t>Engineered Fabrics</w:t>
            </w:r>
          </w:p>
        </w:tc>
        <w:tc>
          <w:tcPr>
            <w:tcW w:w="166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rPr>
              <w:t>73,938</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80,597</w:t>
            </w:r>
          </w:p>
        </w:tc>
      </w:tr>
      <w:tr>
        <w:trPr>
          <w:trHeight w:val="196"/>
        </w:trPr>
        <w:tc>
          <w:tcPr>
            <w:tcW w:w="6880" w:type="dxa"/>
            <w:vAlign w:val="bottom"/>
            <w:gridSpan w:val="3"/>
          </w:tcPr>
          <w:p>
            <w:pPr>
              <w:spacing w:after="0" w:line="196" w:lineRule="exact"/>
              <w:rPr>
                <w:sz w:val="20"/>
                <w:szCs w:val="20"/>
                <w:color w:val="auto"/>
              </w:rPr>
            </w:pPr>
            <w:r>
              <w:rPr>
                <w:rFonts w:ascii="Arial" w:cs="Arial" w:eastAsia="Arial" w:hAnsi="Arial"/>
                <w:sz w:val="18"/>
                <w:szCs w:val="18"/>
                <w:color w:val="auto"/>
              </w:rPr>
              <w:t>Total Machine Clothing Net sales</w:t>
            </w:r>
          </w:p>
        </w:tc>
        <w:tc>
          <w:tcPr>
            <w:tcW w:w="1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$601,254</w:t>
            </w:r>
          </w:p>
        </w:tc>
        <w:tc>
          <w:tcPr>
            <w:tcW w:w="200" w:type="dxa"/>
            <w:vAlign w:val="bottom"/>
          </w:tcPr>
          <w:p>
            <w:pPr>
              <w:spacing w:after="0"/>
              <w:rPr>
                <w:sz w:val="17"/>
                <w:szCs w:val="17"/>
                <w:color w:val="auto"/>
              </w:rPr>
            </w:pPr>
          </w:p>
        </w:tc>
        <w:tc>
          <w:tcPr>
            <w:tcW w:w="1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$611,858</w:t>
            </w: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60" w:firstLine="378"/>
        <w:spacing w:after="0" w:line="234" w:lineRule="auto"/>
        <w:rPr>
          <w:sz w:val="20"/>
          <w:szCs w:val="20"/>
          <w:color w:val="auto"/>
        </w:rPr>
      </w:pPr>
      <w:r>
        <w:rPr>
          <w:rFonts w:ascii="Arial" w:cs="Arial" w:eastAsia="Arial" w:hAnsi="Arial"/>
          <w:sz w:val="18"/>
          <w:szCs w:val="18"/>
          <w:color w:val="auto"/>
        </w:rPr>
        <w:t>In accordance with ASC 606-10-50-14,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Remaining performance obligations on contracts that had an original duration of greater than one year totaled $82 million as of both December 31, 2019 and 2018, and related primarily to firm contracts in the AEC segment. Of the remaining performance obligations as of December 31, 2019 we expect to recognize as revenue approximately $67 million during 2020, with the remainder to be recognized in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w:t>
      </w:r>
    </w:p>
    <w:p>
      <w:pPr>
        <w:spacing w:after="0" w:line="126" w:lineRule="exact"/>
        <w:rPr>
          <w:sz w:val="20"/>
          <w:szCs w:val="20"/>
          <w:color w:val="auto"/>
        </w:rPr>
      </w:pPr>
    </w:p>
    <w:p>
      <w:pPr>
        <w:ind w:right="200" w:firstLine="378"/>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89" w:lineRule="exact"/>
        <w:rPr>
          <w:sz w:val="20"/>
          <w:szCs w:val="20"/>
          <w:color w:val="auto"/>
        </w:rPr>
      </w:pPr>
    </w:p>
    <w:p>
      <w:pPr>
        <w:ind w:right="60" w:firstLine="378"/>
        <w:spacing w:after="0" w:line="239" w:lineRule="auto"/>
        <w:rPr>
          <w:sz w:val="20"/>
          <w:szCs w:val="20"/>
          <w:color w:val="auto"/>
        </w:rPr>
      </w:pPr>
      <w:r>
        <w:rPr>
          <w:rFonts w:ascii="Arial" w:cs="Arial" w:eastAsia="Arial" w:hAnsi="Arial"/>
          <w:sz w:val="18"/>
          <w:szCs w:val="18"/>
          <w:color w:val="auto"/>
        </w:rPr>
        <w:t>The accounting policies of the segments are the same as those described in Note 1.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26" w:lineRule="exact"/>
        <w:rPr>
          <w:sz w:val="20"/>
          <w:szCs w:val="20"/>
          <w:color w:val="auto"/>
        </w:rPr>
      </w:pPr>
    </w:p>
    <w:p>
      <w:pPr>
        <w:ind w:right="60" w:firstLine="378"/>
        <w:spacing w:after="0" w:line="239"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94" w:lineRule="exact"/>
        <w:rPr>
          <w:sz w:val="20"/>
          <w:szCs w:val="20"/>
          <w:color w:val="auto"/>
        </w:rPr>
      </w:pPr>
    </w:p>
    <w:p>
      <w:pPr>
        <w:ind w:right="120" w:firstLine="378"/>
        <w:spacing w:after="0"/>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r>
        <w:rPr>
          <w:rFonts w:ascii="Arial" w:cs="Arial" w:eastAsia="Arial" w:hAnsi="Arial"/>
          <w:sz w:val="18"/>
          <w:szCs w:val="18"/>
          <w:color w:val="auto"/>
        </w:rPr>
        <w:t>:</w:t>
      </w:r>
    </w:p>
    <w:p>
      <w:pPr>
        <w:spacing w:after="0" w:line="126" w:lineRule="exact"/>
        <w:rPr>
          <w:sz w:val="20"/>
          <w:szCs w:val="20"/>
          <w:color w:val="auto"/>
        </w:rPr>
      </w:pPr>
    </w:p>
    <w:p>
      <w:pPr>
        <w:ind w:right="20" w:firstLine="378"/>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In 2019, Safran leased manufacturing space from AEC for the GE9X program. Rent paid by Safran under this lease amount to $0.2 million in 2019. AEC Net sales to Safran were $226.8 million in 2019, $186.3 million in 2018, and $119.2 million in 2017. The total of Accounts receivable, Contract assets and Noncurrent receivable due from Safran amounted to $114.5 million and $ 96.2 million as of December 31, 2019 and 2018, respectively. Other significant programs served by AEC include the F-35, Boeing 787, Sikorsky CH-53K and JASSM, as well as the fan case for the GE9X engine. In 2019, approximately 25 percent of AEC sales were related to U.S. government contracts or programs.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 — (continued)</w:t>
      </w:r>
    </w:p>
    <w:p>
      <w:pPr>
        <w:spacing w:after="0" w:line="126" w:lineRule="exact"/>
        <w:rPr>
          <w:sz w:val="20"/>
          <w:szCs w:val="20"/>
          <w:color w:val="auto"/>
        </w:rPr>
      </w:pPr>
    </w:p>
    <w:p>
      <w:pPr>
        <w:ind w:firstLine="378"/>
        <w:spacing w:after="0"/>
        <w:rPr>
          <w:sz w:val="20"/>
          <w:szCs w:val="20"/>
          <w:color w:val="auto"/>
        </w:rPr>
      </w:pPr>
      <w:r>
        <w:rPr>
          <w:rFonts w:ascii="Arial" w:cs="Arial" w:eastAsia="Arial" w:hAnsi="Arial"/>
          <w:sz w:val="18"/>
          <w:szCs w:val="18"/>
          <w:color w:val="auto"/>
        </w:rPr>
        <w:t>As described in Note 2, effective January 1, 2018, the Company adopted the provisions of ASC 606, “Revenue from contracts with customers”, using the cumulative effect method for translation. Periods prior to 2018 have not been restated. The following tables show data by reportable segment, reconciled to consolidated totals included in the financial statements:</w:t>
      </w:r>
    </w:p>
    <w:p>
      <w:pPr>
        <w:spacing w:after="0" w:line="150"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rPr>
              <w:t>2018 Increase/(decrease)</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rPr>
              <w:t>attributable to application of</w:t>
            </w:r>
          </w:p>
        </w:tc>
        <w:tc>
          <w:tcPr>
            <w:tcW w:w="0" w:type="dxa"/>
            <w:vAlign w:val="bottom"/>
          </w:tcPr>
          <w:p>
            <w:pPr>
              <w:spacing w:after="0"/>
              <w:rPr>
                <w:sz w:val="1"/>
                <w:szCs w:val="1"/>
                <w:color w:val="auto"/>
              </w:rPr>
            </w:pPr>
          </w:p>
        </w:tc>
      </w:tr>
      <w:tr>
        <w:trPr>
          <w:trHeight w:val="175"/>
        </w:trPr>
        <w:tc>
          <w:tcPr>
            <w:tcW w:w="44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820" w:type="dxa"/>
            <w:vAlign w:val="bottom"/>
          </w:tcPr>
          <w:p>
            <w:pPr>
              <w:jc w:val="center"/>
              <w:ind w:left="1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300" w:type="dxa"/>
            <w:vAlign w:val="bottom"/>
          </w:tcPr>
          <w:p>
            <w:pPr>
              <w:spacing w:after="0"/>
              <w:rPr>
                <w:sz w:val="16"/>
                <w:szCs w:val="16"/>
                <w:color w:val="auto"/>
              </w:rPr>
            </w:pP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601,254</w:t>
            </w:r>
          </w:p>
        </w:tc>
        <w:tc>
          <w:tcPr>
            <w:tcW w:w="3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426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Machine Clothing</w:t>
            </w:r>
          </w:p>
        </w:tc>
        <w:tc>
          <w:tcPr>
            <w:tcW w:w="2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center"/>
              <w:ind w:right="20"/>
              <w:spacing w:after="0" w:line="181" w:lineRule="exact"/>
              <w:rPr>
                <w:sz w:val="20"/>
                <w:szCs w:val="20"/>
                <w:color w:val="auto"/>
              </w:rPr>
            </w:pPr>
            <w:r>
              <w:rPr>
                <w:rFonts w:ascii="Arial" w:cs="Arial" w:eastAsia="Arial" w:hAnsi="Arial"/>
                <w:sz w:val="18"/>
                <w:szCs w:val="18"/>
                <w:color w:val="auto"/>
                <w:w w:val="98"/>
              </w:rPr>
              <w:t>$611,858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40"/>
              <w:spacing w:after="0" w:line="181" w:lineRule="exact"/>
              <w:rPr>
                <w:sz w:val="20"/>
                <w:szCs w:val="20"/>
                <w:color w:val="auto"/>
              </w:rPr>
            </w:pPr>
            <w:r>
              <w:rPr>
                <w:rFonts w:ascii="Arial" w:cs="Arial" w:eastAsia="Arial" w:hAnsi="Arial"/>
                <w:sz w:val="18"/>
                <w:szCs w:val="18"/>
                <w:color w:val="auto"/>
              </w:rPr>
              <w:t>$590,357</w:t>
            </w:r>
          </w:p>
        </w:tc>
        <w:tc>
          <w:tcPr>
            <w:tcW w:w="2400" w:type="dxa"/>
            <w:vAlign w:val="bottom"/>
            <w:gridSpan w:val="6"/>
          </w:tcPr>
          <w:p>
            <w:pPr>
              <w:jc w:val="right"/>
              <w:ind w:right="590"/>
              <w:spacing w:after="0" w:line="181" w:lineRule="exact"/>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Albany Engineered Composites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452,878</w:t>
            </w:r>
          </w:p>
        </w:tc>
        <w:tc>
          <w:tcPr>
            <w:tcW w:w="3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370,621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273,360</w:t>
            </w:r>
          </w:p>
        </w:tc>
        <w:tc>
          <w:tcPr>
            <w:tcW w:w="2400" w:type="dxa"/>
            <w:vAlign w:val="bottom"/>
            <w:gridSpan w:val="6"/>
          </w:tcPr>
          <w:p>
            <w:pPr>
              <w:jc w:val="right"/>
              <w:ind w:right="61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196"/>
        </w:trPr>
        <w:tc>
          <w:tcPr>
            <w:tcW w:w="440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Consolidated total</w:t>
            </w:r>
          </w:p>
        </w:tc>
        <w:tc>
          <w:tcPr>
            <w:tcW w:w="104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1,054,132</w:t>
            </w:r>
          </w:p>
        </w:tc>
        <w:tc>
          <w:tcPr>
            <w:tcW w:w="32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color w:val="auto"/>
                <w:w w:val="98"/>
              </w:rPr>
              <w:t>$982,479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ind w:left="140"/>
              <w:spacing w:after="0" w:line="196" w:lineRule="exact"/>
              <w:rPr>
                <w:sz w:val="20"/>
                <w:szCs w:val="20"/>
                <w:color w:val="auto"/>
              </w:rPr>
            </w:pPr>
            <w:r>
              <w:rPr>
                <w:rFonts w:ascii="Arial" w:cs="Arial" w:eastAsia="Arial" w:hAnsi="Arial"/>
                <w:sz w:val="18"/>
                <w:szCs w:val="18"/>
                <w:color w:val="auto"/>
              </w:rPr>
              <w:t>$863,717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top w:val="single" w:sz="8" w:color="auto"/>
              <w:bottom w:val="single" w:sz="8" w:color="auto"/>
            </w:tcBorders>
            <w:gridSpan w:val="4"/>
          </w:tcPr>
          <w:p>
            <w:pPr>
              <w:jc w:val="right"/>
              <w:ind w:right="590"/>
              <w:spacing w:after="0" w:line="196" w:lineRule="exact"/>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195"/>
        </w:trPr>
        <w:tc>
          <w:tcPr>
            <w:tcW w:w="4400" w:type="dxa"/>
            <w:vAlign w:val="bottom"/>
            <w:gridSpan w:val="3"/>
          </w:tcPr>
          <w:p>
            <w:pPr>
              <w:ind w:left="140"/>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21,875</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426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Machine Clothing</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30,813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33,527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jc w:val="right"/>
              <w:ind w:right="69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Albany Engineered Composites</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44,670</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43,205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33,533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400" w:type="dxa"/>
            <w:vAlign w:val="bottom"/>
            <w:gridSpan w:val="3"/>
          </w:tcPr>
          <w:p>
            <w:pPr>
              <w:ind w:left="1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4,250</w:t>
            </w:r>
          </w:p>
        </w:tc>
        <w:tc>
          <w:tcPr>
            <w:tcW w:w="32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0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Consolidated total</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70,795</w:t>
            </w: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$ 79,036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$ 71,956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95"/>
        </w:trPr>
        <w:tc>
          <w:tcPr>
            <w:tcW w:w="4400" w:type="dxa"/>
            <w:vAlign w:val="bottom"/>
            <w:gridSpan w:val="3"/>
          </w:tcPr>
          <w:p>
            <w:pPr>
              <w:ind w:left="140"/>
              <w:spacing w:after="0" w:line="195" w:lineRule="exact"/>
              <w:rPr>
                <w:sz w:val="20"/>
                <w:szCs w:val="20"/>
                <w:color w:val="auto"/>
              </w:rPr>
            </w:pPr>
            <w:r>
              <w:rPr>
                <w:rFonts w:ascii="Arial" w:cs="Arial" w:eastAsia="Arial" w:hAnsi="Arial"/>
                <w:sz w:val="18"/>
                <w:szCs w:val="18"/>
                <w:b w:val="1"/>
                <w:bCs w:val="1"/>
                <w:color w:val="auto"/>
              </w:rPr>
              <w:t>Operating income/(loss)</w:t>
            </w: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191,965</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426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Machine Clothing</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169,836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153,980</w:t>
            </w:r>
          </w:p>
        </w:tc>
        <w:tc>
          <w:tcPr>
            <w:tcW w:w="2400" w:type="dxa"/>
            <w:vAlign w:val="bottom"/>
            <w:gridSpan w:val="6"/>
          </w:tcPr>
          <w:p>
            <w:pPr>
              <w:jc w:val="right"/>
              <w:ind w:right="610"/>
              <w:spacing w:after="0" w:line="181" w:lineRule="exact"/>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Albany Engineered Composites</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55,520</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16,647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(31,657)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25"/>
        </w:trPr>
        <w:tc>
          <w:tcPr>
            <w:tcW w:w="4400" w:type="dxa"/>
            <w:vAlign w:val="bottom"/>
            <w:gridSpan w:val="3"/>
          </w:tcPr>
          <w:p>
            <w:pPr>
              <w:ind w:left="1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(53,909)</w:t>
            </w:r>
          </w:p>
        </w:tc>
        <w:tc>
          <w:tcPr>
            <w:tcW w:w="32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(49,075)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(43,647)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0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193,576</w:t>
            </w: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color w:val="auto"/>
                <w:w w:val="98"/>
              </w:rPr>
              <w:t>$137,408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$ 78,676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bottom w:val="single" w:sz="8" w:color="auto"/>
            </w:tcBorders>
            <w:gridSpan w:val="4"/>
          </w:tcPr>
          <w:p>
            <w:pPr>
              <w:jc w:val="right"/>
              <w:ind w:right="650"/>
              <w:spacing w:after="0" w:line="196" w:lineRule="exact"/>
              <w:rPr>
                <w:sz w:val="20"/>
                <w:szCs w:val="20"/>
                <w:color w:val="auto"/>
              </w:rPr>
            </w:pPr>
            <w:r>
              <w:rPr>
                <w:rFonts w:ascii="Arial" w:cs="Arial" w:eastAsia="Arial" w:hAnsi="Arial"/>
                <w:sz w:val="18"/>
                <w:szCs w:val="18"/>
                <w:color w:val="auto"/>
              </w:rPr>
              <w:t>$ 3,325</w:t>
            </w:r>
          </w:p>
        </w:tc>
        <w:tc>
          <w:tcPr>
            <w:tcW w:w="0" w:type="dxa"/>
            <w:vAlign w:val="bottom"/>
          </w:tcPr>
          <w:p>
            <w:pPr>
              <w:spacing w:after="0"/>
              <w:rPr>
                <w:sz w:val="1"/>
                <w:szCs w:val="1"/>
                <w:color w:val="auto"/>
              </w:rPr>
            </w:pPr>
          </w:p>
        </w:tc>
      </w:tr>
      <w:tr>
        <w:trPr>
          <w:trHeight w:val="195"/>
        </w:trPr>
        <w:tc>
          <w:tcPr>
            <w:tcW w:w="4400" w:type="dxa"/>
            <w:vAlign w:val="bottom"/>
            <w:gridSpan w:val="3"/>
          </w:tcPr>
          <w:p>
            <w:pPr>
              <w:ind w:left="140"/>
              <w:spacing w:after="0" w:line="195" w:lineRule="exact"/>
              <w:rPr>
                <w:sz w:val="20"/>
                <w:szCs w:val="20"/>
                <w:color w:val="auto"/>
              </w:rPr>
            </w:pPr>
            <w:r>
              <w:rPr>
                <w:rFonts w:ascii="Arial" w:cs="Arial" w:eastAsia="Arial" w:hAnsi="Arial"/>
                <w:sz w:val="18"/>
                <w:szCs w:val="18"/>
                <w:color w:val="auto"/>
              </w:rPr>
              <w:t>Reconciling items:</w:t>
            </w: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(2,729)</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426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20"/>
              <w:spacing w:after="0" w:line="181" w:lineRule="exact"/>
              <w:rPr>
                <w:sz w:val="20"/>
                <w:szCs w:val="20"/>
                <w:color w:val="auto"/>
              </w:rPr>
            </w:pPr>
            <w:r>
              <w:rPr>
                <w:rFonts w:ascii="Arial" w:cs="Arial" w:eastAsia="Arial" w:hAnsi="Arial"/>
                <w:sz w:val="18"/>
                <w:szCs w:val="18"/>
                <w:color w:val="auto"/>
              </w:rPr>
              <w:t>(2,118)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(1,511)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jc w:val="right"/>
              <w:ind w:right="69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19,650</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20,242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18,602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w:t>
            </w:r>
          </w:p>
        </w:tc>
        <w:tc>
          <w:tcPr>
            <w:tcW w:w="32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0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178,212</w:t>
            </w: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color w:val="auto"/>
                <w:w w:val="98"/>
              </w:rPr>
              <w:t>$115,247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$ 54,708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bottom w:val="single" w:sz="8" w:color="auto"/>
            </w:tcBorders>
            <w:gridSpan w:val="4"/>
          </w:tcPr>
          <w:p>
            <w:pPr>
              <w:jc w:val="right"/>
              <w:ind w:right="650"/>
              <w:spacing w:after="0" w:line="196" w:lineRule="exact"/>
              <w:rPr>
                <w:sz w:val="20"/>
                <w:szCs w:val="20"/>
                <w:color w:val="auto"/>
              </w:rPr>
            </w:pPr>
            <w:r>
              <w:rPr>
                <w:rFonts w:ascii="Arial" w:cs="Arial" w:eastAsia="Arial" w:hAnsi="Arial"/>
                <w:sz w:val="18"/>
                <w:szCs w:val="18"/>
                <w:color w:val="auto"/>
              </w:rPr>
              <w:t>$ 3,325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00" w:type="dxa"/>
            <w:vAlign w:val="bottom"/>
            <w:gridSpan w:val="10"/>
          </w:tcPr>
          <w:p>
            <w:pPr>
              <w:spacing w:after="0"/>
              <w:rPr>
                <w:sz w:val="20"/>
                <w:szCs w:val="20"/>
                <w:color w:val="auto"/>
              </w:rPr>
            </w:pPr>
            <w:r>
              <w:rPr>
                <w:rFonts w:ascii="Arial" w:cs="Arial" w:eastAsia="Arial" w:hAnsi="Arial"/>
                <w:sz w:val="18"/>
                <w:szCs w:val="18"/>
                <w:color w:val="auto"/>
              </w:rPr>
              <w:t>The table below presents restructuring costs by reportable segment (also see Note 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4"/>
                <w:szCs w:val="24"/>
                <w:color w:val="auto"/>
              </w:rPr>
            </w:pPr>
          </w:p>
        </w:tc>
        <w:tc>
          <w:tcPr>
            <w:tcW w:w="114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4"/>
                <w:szCs w:val="24"/>
                <w:color w:val="auto"/>
              </w:rPr>
            </w:pPr>
          </w:p>
        </w:tc>
        <w:tc>
          <w:tcPr>
            <w:tcW w:w="12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42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Restructuring expenses, net</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8"/>
                <w:szCs w:val="18"/>
                <w:b w:val="1"/>
                <w:bCs w:val="1"/>
                <w:color w:val="auto"/>
              </w:rPr>
              <w:t>$1,129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00" w:type="dxa"/>
            <w:vAlign w:val="bottom"/>
            <w:gridSpan w:val="3"/>
          </w:tcPr>
          <w:p>
            <w:pPr>
              <w:ind w:left="140"/>
              <w:spacing w:after="0" w:line="181" w:lineRule="exact"/>
              <w:rPr>
                <w:sz w:val="20"/>
                <w:szCs w:val="20"/>
                <w:color w:val="auto"/>
              </w:rPr>
            </w:pPr>
            <w:r>
              <w:rPr>
                <w:rFonts w:ascii="Arial" w:cs="Arial" w:eastAsia="Arial" w:hAnsi="Arial"/>
                <w:sz w:val="18"/>
                <w:szCs w:val="18"/>
                <w:color w:val="auto"/>
              </w:rPr>
              <w:t>Machine Clothing</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left="13"/>
              <w:spacing w:after="0" w:line="181" w:lineRule="exact"/>
              <w:rPr>
                <w:sz w:val="20"/>
                <w:szCs w:val="20"/>
                <w:color w:val="auto"/>
              </w:rPr>
            </w:pPr>
            <w:r>
              <w:rPr>
                <w:rFonts w:ascii="Arial" w:cs="Arial" w:eastAsia="Arial" w:hAnsi="Arial"/>
                <w:sz w:val="18"/>
                <w:szCs w:val="18"/>
                <w:color w:val="auto"/>
                <w:w w:val="98"/>
              </w:rPr>
              <w:t>$12,278</w:t>
            </w:r>
          </w:p>
        </w:tc>
        <w:tc>
          <w:tcPr>
            <w:tcW w:w="40" w:type="dxa"/>
            <w:vAlign w:val="bottom"/>
          </w:tcPr>
          <w:p>
            <w:pPr>
              <w:spacing w:after="0"/>
              <w:rPr>
                <w:sz w:val="15"/>
                <w:szCs w:val="15"/>
                <w:color w:val="auto"/>
              </w:rPr>
            </w:pPr>
          </w:p>
        </w:tc>
        <w:tc>
          <w:tcPr>
            <w:tcW w:w="1220" w:type="dxa"/>
            <w:vAlign w:val="bottom"/>
            <w:gridSpan w:val="2"/>
          </w:tcPr>
          <w:p>
            <w:pPr>
              <w:jc w:val="center"/>
              <w:ind w:left="172"/>
              <w:spacing w:after="0" w:line="181" w:lineRule="exact"/>
              <w:rPr>
                <w:sz w:val="20"/>
                <w:szCs w:val="20"/>
                <w:color w:val="auto"/>
              </w:rPr>
            </w:pPr>
            <w:r>
              <w:rPr>
                <w:rFonts w:ascii="Arial" w:cs="Arial" w:eastAsia="Arial" w:hAnsi="Arial"/>
                <w:sz w:val="18"/>
                <w:szCs w:val="18"/>
                <w:color w:val="auto"/>
              </w:rPr>
              <w:t>$ 3,429</w:t>
            </w:r>
          </w:p>
        </w:tc>
        <w:tc>
          <w:tcPr>
            <w:tcW w:w="0" w:type="dxa"/>
            <w:vAlign w:val="bottom"/>
          </w:tcPr>
          <w:p>
            <w:pPr>
              <w:spacing w:after="0"/>
              <w:rPr>
                <w:sz w:val="1"/>
                <w:szCs w:val="1"/>
                <w:color w:val="auto"/>
              </w:rPr>
            </w:pPr>
          </w:p>
        </w:tc>
      </w:tr>
      <w:tr>
        <w:trPr>
          <w:trHeight w:val="203"/>
        </w:trPr>
        <w:tc>
          <w:tcPr>
            <w:tcW w:w="44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Albany Engineered Composites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1,833</w:t>
            </w:r>
          </w:p>
        </w:tc>
        <w:tc>
          <w:tcPr>
            <w:tcW w:w="200" w:type="dxa"/>
            <w:vAlign w:val="bottom"/>
          </w:tcPr>
          <w:p>
            <w:pPr>
              <w:spacing w:after="0"/>
              <w:rPr>
                <w:sz w:val="17"/>
                <w:szCs w:val="17"/>
                <w:color w:val="auto"/>
              </w:rPr>
            </w:pPr>
          </w:p>
        </w:tc>
        <w:tc>
          <w:tcPr>
            <w:tcW w:w="1140" w:type="dxa"/>
            <w:vAlign w:val="bottom"/>
            <w:gridSpan w:val="3"/>
          </w:tcPr>
          <w:p>
            <w:pPr>
              <w:jc w:val="right"/>
              <w:ind w:right="119"/>
              <w:spacing w:after="0" w:line="202" w:lineRule="exact"/>
              <w:rPr>
                <w:sz w:val="20"/>
                <w:szCs w:val="20"/>
                <w:color w:val="auto"/>
              </w:rPr>
            </w:pPr>
            <w:r>
              <w:rPr>
                <w:rFonts w:ascii="Arial" w:cs="Arial" w:eastAsia="Arial" w:hAnsi="Arial"/>
                <w:sz w:val="18"/>
                <w:szCs w:val="18"/>
                <w:color w:val="auto"/>
              </w:rPr>
              <w:t>3,048</w:t>
            </w:r>
          </w:p>
        </w:tc>
        <w:tc>
          <w:tcPr>
            <w:tcW w:w="40" w:type="dxa"/>
            <w:vAlign w:val="bottom"/>
          </w:tcPr>
          <w:p>
            <w:pPr>
              <w:spacing w:after="0"/>
              <w:rPr>
                <w:sz w:val="17"/>
                <w:szCs w:val="17"/>
                <w:color w:val="auto"/>
              </w:rPr>
            </w:pPr>
          </w:p>
        </w:tc>
        <w:tc>
          <w:tcPr>
            <w:tcW w:w="12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10,062</w:t>
            </w:r>
          </w:p>
        </w:tc>
        <w:tc>
          <w:tcPr>
            <w:tcW w:w="0" w:type="dxa"/>
            <w:vAlign w:val="bottom"/>
          </w:tcPr>
          <w:p>
            <w:pPr>
              <w:spacing w:after="0"/>
              <w:rPr>
                <w:sz w:val="1"/>
                <w:szCs w:val="1"/>
                <w:color w:val="auto"/>
              </w:rPr>
            </w:pPr>
          </w:p>
        </w:tc>
      </w:tr>
      <w:tr>
        <w:trPr>
          <w:trHeight w:val="225"/>
        </w:trPr>
        <w:tc>
          <w:tcPr>
            <w:tcW w:w="4400" w:type="dxa"/>
            <w:vAlign w:val="bottom"/>
            <w:gridSpan w:val="3"/>
          </w:tcPr>
          <w:p>
            <w:pPr>
              <w:ind w:left="14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spacing w:after="0"/>
              <w:rPr>
                <w:sz w:val="19"/>
                <w:szCs w:val="19"/>
                <w:color w:val="auto"/>
              </w:rPr>
            </w:pPr>
          </w:p>
        </w:tc>
        <w:tc>
          <w:tcPr>
            <w:tcW w:w="1140" w:type="dxa"/>
            <w:vAlign w:val="bottom"/>
            <w:gridSpan w:val="3"/>
          </w:tcPr>
          <w:p>
            <w:pPr>
              <w:jc w:val="right"/>
              <w:ind w:right="139"/>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0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Consolidated total</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$2,905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8"/>
              </w:rPr>
              <w:t>$15,570</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$13,491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the measurement of assets utilized by each reportable segment, we include Inventories, Accounts receivable, net, Contract assets,</w:t>
      </w:r>
    </w:p>
    <w:p>
      <w:pPr>
        <w:spacing w:after="0" w:line="234" w:lineRule="auto"/>
        <w:rPr>
          <w:sz w:val="20"/>
          <w:szCs w:val="20"/>
          <w:color w:val="auto"/>
        </w:rPr>
      </w:pPr>
      <w:r>
        <w:rPr>
          <w:rFonts w:ascii="Arial" w:cs="Arial" w:eastAsia="Arial" w:hAnsi="Arial"/>
          <w:sz w:val="18"/>
          <w:szCs w:val="18"/>
          <w:color w:val="auto"/>
        </w:rPr>
        <w:t>Noncurrent receivables, Property, plant and equipment, net, Intangibles, net and Goodwill. On November 20, 2019, the Company acquired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CirComp GmbH, resulting in a $35.3 million increase in AEC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 — (continued)</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assets and capital expenditures by reportable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6"/>
                <w:szCs w:val="16"/>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rPr>
              <w:t>441,072</w:t>
            </w: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gridSpan w:val="3"/>
          </w:tcPr>
          <w:p>
            <w:pPr>
              <w:spacing w:after="0" w:line="181" w:lineRule="exact"/>
              <w:rPr>
                <w:sz w:val="20"/>
                <w:szCs w:val="20"/>
                <w:color w:val="auto"/>
              </w:rPr>
            </w:pPr>
            <w:r>
              <w:rPr>
                <w:rFonts w:ascii="Arial" w:cs="Arial" w:eastAsia="Arial" w:hAnsi="Arial"/>
                <w:sz w:val="18"/>
                <w:szCs w:val="18"/>
                <w:color w:val="auto"/>
              </w:rPr>
              <w:t>Machine Clothing</w:t>
            </w: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81" w:lineRule="exact"/>
              <w:rPr>
                <w:sz w:val="20"/>
                <w:szCs w:val="20"/>
                <w:color w:val="auto"/>
              </w:rPr>
            </w:pPr>
            <w:r>
              <w:rPr>
                <w:rFonts w:ascii="Arial" w:cs="Arial" w:eastAsia="Arial" w:hAnsi="Arial"/>
                <w:sz w:val="18"/>
                <w:szCs w:val="18"/>
                <w:color w:val="auto"/>
              </w:rPr>
              <w:t>453,836</w:t>
            </w:r>
          </w:p>
        </w:tc>
        <w:tc>
          <w:tcPr>
            <w:tcW w:w="340" w:type="dxa"/>
            <w:vAlign w:val="bottom"/>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81" w:lineRule="exact"/>
              <w:rPr>
                <w:sz w:val="20"/>
                <w:szCs w:val="20"/>
                <w:color w:val="auto"/>
              </w:rPr>
            </w:pPr>
            <w:r>
              <w:rPr>
                <w:rFonts w:ascii="Arial" w:cs="Arial" w:eastAsia="Arial" w:hAnsi="Arial"/>
                <w:sz w:val="18"/>
                <w:szCs w:val="18"/>
                <w:color w:val="auto"/>
              </w:rPr>
              <w:t>464,468</w:t>
            </w:r>
          </w:p>
        </w:tc>
        <w:tc>
          <w:tcPr>
            <w:tcW w:w="0" w:type="dxa"/>
            <w:vAlign w:val="bottom"/>
          </w:tcPr>
          <w:p>
            <w:pPr>
              <w:spacing w:after="0"/>
              <w:rPr>
                <w:sz w:val="1"/>
                <w:szCs w:val="1"/>
                <w:color w:val="auto"/>
              </w:rPr>
            </w:pPr>
          </w:p>
        </w:tc>
      </w:tr>
      <w:tr>
        <w:trPr>
          <w:trHeight w:val="225"/>
        </w:trPr>
        <w:tc>
          <w:tcPr>
            <w:tcW w:w="7320" w:type="dxa"/>
            <w:vAlign w:val="bottom"/>
            <w:gridSpan w:val="3"/>
          </w:tcPr>
          <w:p>
            <w:pPr>
              <w:spacing w:after="0"/>
              <w:rPr>
                <w:sz w:val="20"/>
                <w:szCs w:val="20"/>
                <w:color w:val="auto"/>
              </w:rPr>
            </w:pPr>
            <w:r>
              <w:rPr>
                <w:rFonts w:ascii="Arial" w:cs="Arial" w:eastAsia="Arial" w:hAnsi="Arial"/>
                <w:sz w:val="18"/>
                <w:szCs w:val="18"/>
                <w:color w:val="auto"/>
              </w:rPr>
              <w:t>Albany Engineered Composites</w:t>
            </w:r>
          </w:p>
        </w:tc>
        <w:tc>
          <w:tcPr>
            <w:tcW w:w="3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693,799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633,394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584,076</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Reconciling items:</w:t>
            </w:r>
          </w:p>
        </w:tc>
        <w:tc>
          <w:tcPr>
            <w:tcW w:w="300" w:type="dxa"/>
            <w:vAlign w:val="bottom"/>
          </w:tcPr>
          <w:p>
            <w:pPr>
              <w:spacing w:after="0"/>
              <w:rPr>
                <w:sz w:val="17"/>
                <w:szCs w:val="17"/>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195,540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Cash</w:t>
            </w:r>
          </w:p>
        </w:tc>
        <w:tc>
          <w:tcPr>
            <w:tcW w:w="3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2"/>
              <w:spacing w:after="0" w:line="181" w:lineRule="exact"/>
              <w:rPr>
                <w:sz w:val="20"/>
                <w:szCs w:val="20"/>
                <w:color w:val="auto"/>
              </w:rPr>
            </w:pPr>
            <w:r>
              <w:rPr>
                <w:rFonts w:ascii="Arial" w:cs="Arial" w:eastAsia="Arial" w:hAnsi="Arial"/>
                <w:sz w:val="18"/>
                <w:szCs w:val="18"/>
                <w:color w:val="auto"/>
              </w:rPr>
              <w:t>197,755</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52"/>
              <w:spacing w:after="0" w:line="181" w:lineRule="exact"/>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Income taxes prepaid, receivable and deferred</w:t>
            </w:r>
          </w:p>
        </w:tc>
        <w:tc>
          <w:tcPr>
            <w:tcW w:w="3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57,783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70,095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74,914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Prepaid and Other assets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86,174</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62,912</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54,013</w:t>
            </w:r>
          </w:p>
        </w:tc>
        <w:tc>
          <w:tcPr>
            <w:tcW w:w="0" w:type="dxa"/>
            <w:vAlign w:val="bottom"/>
          </w:tcPr>
          <w:p>
            <w:pPr>
              <w:spacing w:after="0"/>
              <w:rPr>
                <w:sz w:val="1"/>
                <w:szCs w:val="1"/>
                <w:color w:val="auto"/>
              </w:rPr>
            </w:pPr>
          </w:p>
        </w:tc>
      </w:tr>
      <w:tr>
        <w:trPr>
          <w:trHeight w:val="196"/>
        </w:trPr>
        <w:tc>
          <w:tcPr>
            <w:tcW w:w="7320" w:type="dxa"/>
            <w:vAlign w:val="bottom"/>
            <w:gridSpan w:val="3"/>
          </w:tcPr>
          <w:p>
            <w:pPr>
              <w:spacing w:after="0" w:line="196" w:lineRule="exact"/>
              <w:rPr>
                <w:sz w:val="20"/>
                <w:szCs w:val="20"/>
                <w:color w:val="auto"/>
              </w:rPr>
            </w:pPr>
            <w:r>
              <w:rPr>
                <w:rFonts w:ascii="Arial" w:cs="Arial" w:eastAsia="Arial" w:hAnsi="Arial"/>
                <w:sz w:val="18"/>
                <w:szCs w:val="18"/>
                <w:color w:val="auto"/>
              </w:rPr>
              <w:t>Consolidated total assets</w:t>
            </w:r>
          </w:p>
        </w:tc>
        <w:tc>
          <w:tcPr>
            <w:tcW w:w="1160" w:type="dxa"/>
            <w:vAlign w:val="bottom"/>
            <w:tcBorders>
              <w:bottom w:val="single" w:sz="8" w:color="auto"/>
            </w:tcBorders>
            <w:gridSpan w:val="2"/>
          </w:tcPr>
          <w:p>
            <w:pPr>
              <w:jc w:val="right"/>
              <w:ind w:right="32"/>
              <w:spacing w:after="0" w:line="196" w:lineRule="exact"/>
              <w:rPr>
                <w:sz w:val="20"/>
                <w:szCs w:val="20"/>
                <w:color w:val="auto"/>
              </w:rPr>
            </w:pPr>
            <w:r>
              <w:rPr>
                <w:rFonts w:ascii="Arial" w:cs="Arial" w:eastAsia="Arial" w:hAnsi="Arial"/>
                <w:sz w:val="18"/>
                <w:szCs w:val="18"/>
                <w:b w:val="1"/>
                <w:bCs w:val="1"/>
                <w:color w:val="auto"/>
              </w:rPr>
              <w:t>$1,474,368</w:t>
            </w:r>
          </w:p>
        </w:tc>
        <w:tc>
          <w:tcPr>
            <w:tcW w:w="34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12"/>
              <w:spacing w:after="0" w:line="196" w:lineRule="exact"/>
              <w:rPr>
                <w:sz w:val="20"/>
                <w:szCs w:val="20"/>
                <w:color w:val="auto"/>
              </w:rPr>
            </w:pPr>
            <w:r>
              <w:rPr>
                <w:rFonts w:ascii="Arial" w:cs="Arial" w:eastAsia="Arial" w:hAnsi="Arial"/>
                <w:sz w:val="18"/>
                <w:szCs w:val="18"/>
                <w:color w:val="auto"/>
              </w:rPr>
              <w:t>$1,417,992</w:t>
            </w:r>
          </w:p>
        </w:tc>
        <w:tc>
          <w:tcPr>
            <w:tcW w:w="34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32"/>
              <w:spacing w:after="0" w:line="196" w:lineRule="exact"/>
              <w:rPr>
                <w:sz w:val="20"/>
                <w:szCs w:val="20"/>
                <w:color w:val="auto"/>
              </w:rPr>
            </w:pPr>
            <w:r>
              <w:rPr>
                <w:rFonts w:ascii="Arial" w:cs="Arial" w:eastAsia="Arial" w:hAnsi="Arial"/>
                <w:sz w:val="18"/>
                <w:szCs w:val="18"/>
                <w:color w:val="auto"/>
              </w:rPr>
              <w:t>$1,361,198</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Capital expenditures and purchased software</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320" w:type="dxa"/>
            <w:vAlign w:val="bottom"/>
            <w:gridSpan w:val="3"/>
            <w:vMerge w:val="continue"/>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16,707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20" w:type="dxa"/>
            <w:vAlign w:val="bottom"/>
            <w:gridSpan w:val="3"/>
          </w:tcPr>
          <w:p>
            <w:pPr>
              <w:spacing w:after="0" w:line="181" w:lineRule="exact"/>
              <w:rPr>
                <w:sz w:val="20"/>
                <w:szCs w:val="20"/>
                <w:color w:val="auto"/>
              </w:rPr>
            </w:pPr>
            <w:r>
              <w:rPr>
                <w:rFonts w:ascii="Arial" w:cs="Arial" w:eastAsia="Arial" w:hAnsi="Arial"/>
                <w:sz w:val="18"/>
                <w:szCs w:val="18"/>
                <w:color w:val="auto"/>
              </w:rPr>
              <w:t>Machine Clothing</w:t>
            </w: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81" w:lineRule="exact"/>
              <w:rPr>
                <w:sz w:val="20"/>
                <w:szCs w:val="20"/>
                <w:color w:val="auto"/>
              </w:rPr>
            </w:pPr>
            <w:r>
              <w:rPr>
                <w:rFonts w:ascii="Arial" w:cs="Arial" w:eastAsia="Arial" w:hAnsi="Arial"/>
                <w:sz w:val="18"/>
                <w:szCs w:val="18"/>
                <w:color w:val="auto"/>
              </w:rPr>
              <w:t>20,230</w:t>
            </w:r>
          </w:p>
        </w:tc>
        <w:tc>
          <w:tcPr>
            <w:tcW w:w="340" w:type="dxa"/>
            <w:vAlign w:val="bottom"/>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line="181" w:lineRule="exact"/>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48,753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60,121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63,865</w:t>
            </w:r>
          </w:p>
        </w:tc>
        <w:tc>
          <w:tcPr>
            <w:tcW w:w="0" w:type="dxa"/>
            <w:vAlign w:val="bottom"/>
          </w:tcPr>
          <w:p>
            <w:pPr>
              <w:spacing w:after="0"/>
              <w:rPr>
                <w:sz w:val="1"/>
                <w:szCs w:val="1"/>
                <w:color w:val="auto"/>
              </w:rPr>
            </w:pPr>
          </w:p>
        </w:tc>
      </w:tr>
      <w:tr>
        <w:trPr>
          <w:trHeight w:val="225"/>
        </w:trPr>
        <w:tc>
          <w:tcPr>
            <w:tcW w:w="7320" w:type="dxa"/>
            <w:vAlign w:val="bottom"/>
            <w:gridSpan w:val="3"/>
          </w:tcPr>
          <w:p>
            <w:pPr>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2,495</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2,535</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196"/>
        </w:trPr>
        <w:tc>
          <w:tcPr>
            <w:tcW w:w="7320" w:type="dxa"/>
            <w:vAlign w:val="bottom"/>
            <w:gridSpan w:val="3"/>
          </w:tcPr>
          <w:p>
            <w:pPr>
              <w:spacing w:after="0" w:line="196" w:lineRule="exact"/>
              <w:rPr>
                <w:sz w:val="20"/>
                <w:szCs w:val="20"/>
                <w:color w:val="auto"/>
              </w:rPr>
            </w:pPr>
            <w:r>
              <w:rPr>
                <w:rFonts w:ascii="Arial" w:cs="Arial" w:eastAsia="Arial" w:hAnsi="Arial"/>
                <w:sz w:val="18"/>
                <w:szCs w:val="18"/>
                <w:color w:val="auto"/>
              </w:rPr>
              <w:t>Consolidated total</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67,955</w:t>
            </w:r>
          </w:p>
        </w:tc>
        <w:tc>
          <w:tcPr>
            <w:tcW w:w="340" w:type="dxa"/>
            <w:vAlign w:val="bottom"/>
          </w:tcPr>
          <w:p>
            <w:pPr>
              <w:spacing w:after="0"/>
              <w:rPr>
                <w:sz w:val="17"/>
                <w:szCs w:val="17"/>
                <w:color w:val="auto"/>
              </w:rPr>
            </w:pP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82,886</w:t>
            </w:r>
          </w:p>
        </w:tc>
        <w:tc>
          <w:tcPr>
            <w:tcW w:w="340" w:type="dxa"/>
            <w:vAlign w:val="bottom"/>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87,637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60" w:firstLine="378"/>
        <w:spacing w:after="0"/>
        <w:rPr>
          <w:sz w:val="20"/>
          <w:szCs w:val="20"/>
          <w:color w:val="auto"/>
        </w:rPr>
      </w:pPr>
      <w:r>
        <w:rPr>
          <w:rFonts w:ascii="Arial" w:cs="Arial" w:eastAsia="Arial" w:hAnsi="Arial"/>
          <w:sz w:val="18"/>
          <w:szCs w:val="18"/>
          <w:color w:val="auto"/>
        </w:rPr>
        <w:t>At the January 1, 2018 date of adoption of ASC 606, MC assets increased by $22.5 million, and AEC assets decreased by $14.1 million. Excluded from segment assets are cash, tax related assets, prepaid and other current assets, and certain other assets not directly associated with segment operations.</w:t>
      </w:r>
    </w:p>
    <w:p>
      <w:pPr>
        <w:spacing w:after="0" w:line="95" w:lineRule="exact"/>
        <w:rPr>
          <w:sz w:val="20"/>
          <w:szCs w:val="20"/>
          <w:color w:val="auto"/>
        </w:rPr>
      </w:pPr>
    </w:p>
    <w:p>
      <w:pPr>
        <w:ind w:right="20" w:firstLine="378"/>
        <w:spacing w:after="0" w:line="237" w:lineRule="auto"/>
        <w:rPr>
          <w:sz w:val="20"/>
          <w:szCs w:val="20"/>
          <w:color w:val="auto"/>
        </w:rPr>
      </w:pPr>
      <w:r>
        <w:rPr>
          <w:rFonts w:ascii="Arial" w:cs="Arial" w:eastAsia="Arial" w:hAnsi="Arial"/>
          <w:sz w:val="18"/>
          <w:szCs w:val="18"/>
          <w:color w:val="auto"/>
        </w:rPr>
        <w:t>In 2018, AEC finalized a modification to the lease of its primary manufacturing facility in Salt Lake City, Utah, which increased the manufacturing space and extended the minimum lease period until December 31, 2029. The lease modification resulted in a non-cash increase of $12.7 million to both Property, plant and equipment, net, and to Long-term debt in the Consolidated Balance Sheets in 2018. Effective January 1, 2019, we adopted the provisions of ASC 842, Leases, which resulted in changes to the amount and classification of the associated assets and liabilities, as depicted in Note 20. Due to the non-cash nature of the modification and subsequent adoption of the new Lease accounting standard, changes during both 2018 and 2019 are excluded from amounts reported in the Consolidated Statements of Cash Flows.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 — (continued)</w:t>
      </w:r>
    </w:p>
    <w:p>
      <w:pPr>
        <w:spacing w:after="0" w:line="126" w:lineRule="exact"/>
        <w:rPr>
          <w:sz w:val="20"/>
          <w:szCs w:val="20"/>
          <w:color w:val="auto"/>
        </w:rPr>
      </w:pPr>
    </w:p>
    <w:p>
      <w:pPr>
        <w:jc w:val="both"/>
        <w:ind w:right="400" w:firstLine="378"/>
        <w:spacing w:after="0"/>
        <w:rPr>
          <w:sz w:val="20"/>
          <w:szCs w:val="20"/>
          <w:color w:val="auto"/>
        </w:rPr>
      </w:pPr>
      <w:r>
        <w:rPr>
          <w:rFonts w:ascii="Arial" w:cs="Arial" w:eastAsia="Arial" w:hAnsi="Arial"/>
          <w:sz w:val="18"/>
          <w:szCs w:val="18"/>
          <w:color w:val="auto"/>
        </w:rPr>
        <w:t>The following table shows data by geographic area. Net sales are based on the location of the operation recording the final sale to the customer. Net sales recorded by our entity in Switzerland are derived from products sold throughout Europe and Asia, and are invoiced in various currencies.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340" w:type="dxa"/>
            <w:vAlign w:val="bottom"/>
          </w:tcPr>
          <w:p>
            <w:pPr>
              <w:spacing w:after="0"/>
              <w:rPr>
                <w:sz w:val="16"/>
                <w:szCs w:val="16"/>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b w:val="1"/>
                <w:bCs w:val="1"/>
                <w:color w:val="auto"/>
              </w:rPr>
              <w:t>574,063</w:t>
            </w:r>
          </w:p>
        </w:tc>
        <w:tc>
          <w:tcPr>
            <w:tcW w:w="3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gridSpan w:val="3"/>
          </w:tcPr>
          <w:p>
            <w:pPr>
              <w:spacing w:after="0" w:line="181" w:lineRule="exact"/>
              <w:rPr>
                <w:sz w:val="20"/>
                <w:szCs w:val="20"/>
                <w:color w:val="auto"/>
              </w:rPr>
            </w:pPr>
            <w:r>
              <w:rPr>
                <w:rFonts w:ascii="Arial" w:cs="Arial" w:eastAsia="Arial" w:hAnsi="Arial"/>
                <w:sz w:val="18"/>
                <w:szCs w:val="18"/>
                <w:color w:val="auto"/>
              </w:rPr>
              <w:t>United States</w:t>
            </w: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8"/>
                <w:szCs w:val="18"/>
                <w:color w:val="auto"/>
              </w:rPr>
              <w:t>$519,349</w:t>
            </w:r>
          </w:p>
        </w:tc>
        <w:tc>
          <w:tcPr>
            <w:tcW w:w="34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Arial" w:cs="Arial" w:eastAsia="Arial" w:hAnsi="Arial"/>
                <w:sz w:val="18"/>
                <w:szCs w:val="18"/>
                <w:color w:val="auto"/>
                <w:w w:val="98"/>
              </w:rPr>
              <w:t>$459,525</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146,571</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157,339</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147,601</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91,783</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85,386</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57,195</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73,039</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48,534</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31,902</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Brazil</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64,666</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62,093</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China</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48,586</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50,923</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48,920</w:t>
            </w:r>
          </w:p>
        </w:tc>
        <w:tc>
          <w:tcPr>
            <w:tcW w:w="0" w:type="dxa"/>
            <w:vAlign w:val="bottom"/>
          </w:tcPr>
          <w:p>
            <w:pPr>
              <w:spacing w:after="0"/>
              <w:rPr>
                <w:sz w:val="1"/>
                <w:szCs w:val="1"/>
                <w:color w:val="auto"/>
              </w:rPr>
            </w:pPr>
          </w:p>
        </w:tc>
      </w:tr>
      <w:tr>
        <w:trPr>
          <w:trHeight w:val="225"/>
        </w:trPr>
        <w:tc>
          <w:tcPr>
            <w:tcW w:w="7320" w:type="dxa"/>
            <w:vAlign w:val="bottom"/>
            <w:gridSpan w:val="3"/>
          </w:tcPr>
          <w:p>
            <w:pPr>
              <w:spacing w:after="0"/>
              <w:rPr>
                <w:sz w:val="20"/>
                <w:szCs w:val="20"/>
                <w:color w:val="auto"/>
              </w:rPr>
            </w:pPr>
            <w:r>
              <w:rPr>
                <w:rFonts w:ascii="Arial" w:cs="Arial" w:eastAsia="Arial" w:hAnsi="Arial"/>
                <w:sz w:val="18"/>
                <w:szCs w:val="18"/>
                <w:color w:val="auto"/>
              </w:rPr>
              <w:t>Other countries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55,424</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58,855</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58,039</w:t>
            </w:r>
          </w:p>
        </w:tc>
        <w:tc>
          <w:tcPr>
            <w:tcW w:w="0" w:type="dxa"/>
            <w:vAlign w:val="bottom"/>
          </w:tcPr>
          <w:p>
            <w:pPr>
              <w:spacing w:after="0"/>
              <w:rPr>
                <w:sz w:val="1"/>
                <w:szCs w:val="1"/>
                <w:color w:val="auto"/>
              </w:rPr>
            </w:pPr>
          </w:p>
        </w:tc>
      </w:tr>
      <w:tr>
        <w:trPr>
          <w:trHeight w:val="196"/>
        </w:trPr>
        <w:tc>
          <w:tcPr>
            <w:tcW w:w="7320" w:type="dxa"/>
            <w:vAlign w:val="bottom"/>
            <w:gridSpan w:val="3"/>
          </w:tcPr>
          <w:p>
            <w:pPr>
              <w:spacing w:after="0" w:line="196" w:lineRule="exact"/>
              <w:rPr>
                <w:sz w:val="20"/>
                <w:szCs w:val="20"/>
                <w:color w:val="auto"/>
              </w:rPr>
            </w:pPr>
            <w:r>
              <w:rPr>
                <w:rFonts w:ascii="Arial" w:cs="Arial" w:eastAsia="Arial" w:hAnsi="Arial"/>
                <w:sz w:val="18"/>
                <w:szCs w:val="18"/>
                <w:color w:val="auto"/>
              </w:rPr>
              <w:t>Consolidated total</w:t>
            </w:r>
          </w:p>
        </w:tc>
        <w:tc>
          <w:tcPr>
            <w:tcW w:w="1160" w:type="dxa"/>
            <w:vAlign w:val="bottom"/>
            <w:tcBorders>
              <w:bottom w:val="single" w:sz="8" w:color="auto"/>
            </w:tcBorders>
            <w:gridSpan w:val="2"/>
          </w:tcPr>
          <w:p>
            <w:pPr>
              <w:jc w:val="right"/>
              <w:ind w:right="31"/>
              <w:spacing w:after="0" w:line="196" w:lineRule="exact"/>
              <w:rPr>
                <w:sz w:val="20"/>
                <w:szCs w:val="20"/>
                <w:color w:val="auto"/>
              </w:rPr>
            </w:pPr>
            <w:r>
              <w:rPr>
                <w:rFonts w:ascii="Arial" w:cs="Arial" w:eastAsia="Arial" w:hAnsi="Arial"/>
                <w:sz w:val="18"/>
                <w:szCs w:val="18"/>
                <w:b w:val="1"/>
                <w:bCs w:val="1"/>
                <w:color w:val="auto"/>
              </w:rPr>
              <w:t>$1,054,132</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$982,479</w:t>
            </w:r>
          </w:p>
        </w:tc>
        <w:tc>
          <w:tcPr>
            <w:tcW w:w="34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$863,717</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plant and equipment, at cost, net</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320" w:type="dxa"/>
            <w:vAlign w:val="bottom"/>
            <w:gridSpan w:val="3"/>
            <w:vMerge w:val="continue"/>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275,965</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20" w:type="dxa"/>
            <w:vAlign w:val="bottom"/>
            <w:gridSpan w:val="3"/>
          </w:tcPr>
          <w:p>
            <w:pPr>
              <w:spacing w:after="0" w:line="181" w:lineRule="exact"/>
              <w:rPr>
                <w:sz w:val="20"/>
                <w:szCs w:val="20"/>
                <w:color w:val="auto"/>
              </w:rPr>
            </w:pPr>
            <w:r>
              <w:rPr>
                <w:rFonts w:ascii="Arial" w:cs="Arial" w:eastAsia="Arial" w:hAnsi="Arial"/>
                <w:sz w:val="18"/>
                <w:szCs w:val="18"/>
                <w:color w:val="auto"/>
              </w:rPr>
              <w:t>United States</w:t>
            </w: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8"/>
                <w:szCs w:val="18"/>
                <w:color w:val="auto"/>
              </w:rPr>
              <w:t>$272,584</w:t>
            </w:r>
          </w:p>
        </w:tc>
        <w:tc>
          <w:tcPr>
            <w:tcW w:w="34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Arial" w:cs="Arial" w:eastAsia="Arial" w:hAnsi="Arial"/>
                <w:sz w:val="18"/>
                <w:szCs w:val="18"/>
                <w:color w:val="auto"/>
                <w:w w:val="98"/>
              </w:rPr>
              <w:t>$252,639</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45,640</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40,343</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22,981</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43,986</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50,245</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58,196</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China</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41,799</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48,686</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11,047</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12,042</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14,256</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South Korea</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10,795</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12,396</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14,558</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Germany (a)</w:t>
            </w:r>
          </w:p>
        </w:tc>
        <w:tc>
          <w:tcPr>
            <w:tcW w:w="300" w:type="dxa"/>
            <w:vAlign w:val="bottom"/>
          </w:tcPr>
          <w:p>
            <w:pPr>
              <w:spacing w:after="0"/>
              <w:rPr>
                <w:sz w:val="17"/>
                <w:szCs w:val="17"/>
                <w:color w:val="auto"/>
              </w:rPr>
            </w:pPr>
          </w:p>
        </w:tc>
        <w:tc>
          <w:tcPr>
            <w:tcW w:w="8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10,577</w:t>
            </w:r>
          </w:p>
        </w:tc>
        <w:tc>
          <w:tcPr>
            <w:tcW w:w="340" w:type="dxa"/>
            <w:vAlign w:val="bottom"/>
          </w:tcPr>
          <w:p>
            <w:pPr>
              <w:spacing w:after="0"/>
              <w:rPr>
                <w:sz w:val="17"/>
                <w:szCs w:val="17"/>
                <w:color w:val="auto"/>
              </w:rPr>
            </w:pPr>
          </w:p>
        </w:tc>
        <w:tc>
          <w:tcPr>
            <w:tcW w:w="11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27</w:t>
            </w:r>
          </w:p>
        </w:tc>
        <w:tc>
          <w:tcPr>
            <w:tcW w:w="340" w:type="dxa"/>
            <w:vAlign w:val="bottom"/>
          </w:tcPr>
          <w:p>
            <w:pPr>
              <w:spacing w:after="0"/>
              <w:rPr>
                <w:sz w:val="17"/>
                <w:szCs w:val="17"/>
                <w:color w:val="auto"/>
              </w:rPr>
            </w:pPr>
          </w:p>
        </w:tc>
        <w:tc>
          <w:tcPr>
            <w:tcW w:w="11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2" w:lineRule="exact"/>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7"/>
                <w:szCs w:val="17"/>
                <w:color w:val="auto"/>
              </w:rPr>
            </w:pPr>
          </w:p>
        </w:tc>
        <w:tc>
          <w:tcPr>
            <w:tcW w:w="86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9,509</w:t>
            </w:r>
          </w:p>
        </w:tc>
        <w:tc>
          <w:tcPr>
            <w:tcW w:w="340" w:type="dxa"/>
            <w:vAlign w:val="bottom"/>
          </w:tcPr>
          <w:p>
            <w:pPr>
              <w:spacing w:after="0"/>
              <w:rPr>
                <w:sz w:val="17"/>
                <w:szCs w:val="17"/>
                <w:color w:val="auto"/>
              </w:rPr>
            </w:pPr>
          </w:p>
        </w:tc>
        <w:tc>
          <w:tcPr>
            <w:tcW w:w="11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8,154</w:t>
            </w:r>
          </w:p>
        </w:tc>
        <w:tc>
          <w:tcPr>
            <w:tcW w:w="34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25"/>
        </w:trPr>
        <w:tc>
          <w:tcPr>
            <w:tcW w:w="7320" w:type="dxa"/>
            <w:vAlign w:val="bottom"/>
            <w:gridSpan w:val="3"/>
          </w:tcPr>
          <w:p>
            <w:pPr>
              <w:spacing w:after="0"/>
              <w:rPr>
                <w:sz w:val="20"/>
                <w:szCs w:val="20"/>
                <w:color w:val="auto"/>
              </w:rPr>
            </w:pPr>
            <w:r>
              <w:rPr>
                <w:rFonts w:ascii="Arial" w:cs="Arial" w:eastAsia="Arial" w:hAnsi="Arial"/>
                <w:sz w:val="18"/>
                <w:szCs w:val="18"/>
                <w:color w:val="auto"/>
              </w:rPr>
              <w:t>Other countries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17,144</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17,578</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196"/>
        </w:trPr>
        <w:tc>
          <w:tcPr>
            <w:tcW w:w="7320" w:type="dxa"/>
            <w:vAlign w:val="bottom"/>
            <w:gridSpan w:val="3"/>
          </w:tcPr>
          <w:p>
            <w:pPr>
              <w:spacing w:after="0" w:line="196" w:lineRule="exact"/>
              <w:rPr>
                <w:sz w:val="20"/>
                <w:szCs w:val="20"/>
                <w:color w:val="auto"/>
              </w:rPr>
            </w:pPr>
            <w:r>
              <w:rPr>
                <w:rFonts w:ascii="Arial" w:cs="Arial" w:eastAsia="Arial" w:hAnsi="Arial"/>
                <w:sz w:val="18"/>
                <w:szCs w:val="18"/>
                <w:color w:val="auto"/>
              </w:rPr>
              <w:t>Consolidated total</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466,462</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$462,055</w:t>
            </w:r>
          </w:p>
        </w:tc>
        <w:tc>
          <w:tcPr>
            <w:tcW w:w="34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$454,302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2019, the Company acquired CirComp GmbH, which resulted in an increase in Property, plant and equipment of $10.6 million.</w:t>
      </w:r>
    </w:p>
    <w:p>
      <w:pPr>
        <w:spacing w:after="0" w:line="81" w:lineRule="exact"/>
        <w:rPr>
          <w:rFonts w:ascii="Arial" w:cs="Arial" w:eastAsia="Arial" w:hAnsi="Arial"/>
          <w:sz w:val="18"/>
          <w:szCs w:val="18"/>
          <w:color w:val="auto"/>
        </w:rPr>
      </w:pPr>
    </w:p>
    <w:p>
      <w:pPr>
        <w:ind w:right="7000"/>
        <w:spacing w:after="0" w:line="372" w:lineRule="auto"/>
        <w:rPr>
          <w:rFonts w:ascii="Arial" w:cs="Arial" w:eastAsia="Arial" w:hAnsi="Arial"/>
          <w:sz w:val="18"/>
          <w:szCs w:val="18"/>
          <w:color w:val="auto"/>
        </w:rPr>
      </w:pPr>
      <w:r>
        <w:rPr>
          <w:rFonts w:ascii="Arial" w:cs="Arial" w:eastAsia="Arial" w:hAnsi="Arial"/>
          <w:sz w:val="18"/>
          <w:szCs w:val="18"/>
          <w:b w:val="1"/>
          <w:bCs w:val="1"/>
          <w:color w:val="auto"/>
        </w:rPr>
        <w:t>4. Pensions and Other Postretirement Benefit Plans Pension Plans</w:t>
      </w:r>
    </w:p>
    <w:p>
      <w:pPr>
        <w:spacing w:after="0" w:line="2" w:lineRule="exact"/>
        <w:rPr>
          <w:sz w:val="20"/>
          <w:szCs w:val="20"/>
          <w:color w:val="auto"/>
        </w:rPr>
      </w:pPr>
    </w:p>
    <w:p>
      <w:pPr>
        <w:ind w:right="100" w:firstLine="378"/>
        <w:spacing w:after="0" w:line="237"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accrued through February 2009, but no benefits accrue after that date. Benefit accruals under the U.S. Supplemental Executive Retirement Plan (“SERP”), which is an unfunded plan, were similarly frozen. The U.S. pension plan accounts for 45 percent of consolidated pension plan assets, and 46 percent of consolidated pension plan obligations. The eligibility, benefit formulas, and contribution requirements for plans outside of the U.S. vary by location.</w:t>
      </w:r>
    </w:p>
    <w:p>
      <w:pPr>
        <w:spacing w:after="0" w:line="97" w:lineRule="exact"/>
        <w:rPr>
          <w:sz w:val="20"/>
          <w:szCs w:val="20"/>
          <w:color w:val="auto"/>
        </w:rPr>
      </w:pPr>
    </w:p>
    <w:p>
      <w:pPr>
        <w:ind w:right="200" w:firstLine="378"/>
        <w:spacing w:after="0"/>
        <w:rPr>
          <w:sz w:val="20"/>
          <w:szCs w:val="20"/>
          <w:color w:val="auto"/>
        </w:rPr>
      </w:pPr>
      <w:r>
        <w:rPr>
          <w:rFonts w:ascii="Arial" w:cs="Arial" w:eastAsia="Arial" w:hAnsi="Arial"/>
          <w:sz w:val="18"/>
          <w:szCs w:val="18"/>
          <w:color w:val="auto"/>
        </w:rPr>
        <w:t>The December 31, 2019 benefit obligations for the U.S. pension and postretirement plans were calculated using the Pri-2012 mortality table with MP-2017 generational projection. For U.S. pension funding purposes, the Company uses the plan’s IRS-basis current liability as its funding target, which is determined based on mandated assumptions.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5740" w:firstLine="8"/>
        <w:spacing w:after="0" w:line="372" w:lineRule="auto"/>
        <w:tabs>
          <w:tab w:leader="none" w:pos="2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 Plans — (continued) Other Postretirement Benefits</w:t>
      </w:r>
    </w:p>
    <w:p>
      <w:pPr>
        <w:spacing w:after="0" w:line="2" w:lineRule="exact"/>
        <w:rPr>
          <w:sz w:val="20"/>
          <w:szCs w:val="20"/>
          <w:color w:val="auto"/>
        </w:rPr>
      </w:pPr>
    </w:p>
    <w:p>
      <w:pPr>
        <w:ind w:right="100" w:firstLine="378"/>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Any new employees hired after January 2005 who wish to be covered under this plan will be responsible for the full cost of such benefits. In September 2008, we changed the cost-sharing arrangement under this program such that increases in health care costs are the responsibility of plan participants. In August 2013, we reduced the life insurance benefit for retirees and eliminated the benefit for active employees.</w:t>
      </w:r>
    </w:p>
    <w:p>
      <w:pPr>
        <w:spacing w:after="0" w:line="97" w:lineRule="exact"/>
        <w:rPr>
          <w:sz w:val="20"/>
          <w:szCs w:val="20"/>
          <w:color w:val="auto"/>
        </w:rPr>
      </w:pPr>
    </w:p>
    <w:p>
      <w:pPr>
        <w:ind w:right="160" w:firstLine="37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As of December 31, 2019, the accrued postretirement liability was $53.2 million in the U.S. and $1.2 million in Canada. The Company accrues the cost of providing postretirement benefits during the active service period of the employees. The Company currently funds the plans as claims are paid.</w:t>
      </w:r>
    </w:p>
    <w:p>
      <w:pPr>
        <w:spacing w:after="0" w:line="95" w:lineRule="exact"/>
        <w:rPr>
          <w:sz w:val="20"/>
          <w:szCs w:val="20"/>
          <w:color w:val="auto"/>
        </w:rPr>
      </w:pPr>
    </w:p>
    <w:p>
      <w:pPr>
        <w:jc w:val="both"/>
        <w:ind w:right="360" w:firstLine="378"/>
        <w:spacing w:after="0"/>
        <w:rPr>
          <w:sz w:val="20"/>
          <w:szCs w:val="20"/>
          <w:color w:val="auto"/>
        </w:rPr>
      </w:pPr>
      <w:r>
        <w:rPr>
          <w:rFonts w:ascii="Arial" w:cs="Arial" w:eastAsia="Arial" w:hAnsi="Arial"/>
          <w:sz w:val="18"/>
          <w:szCs w:val="18"/>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2019 and 2018, except where indicated below.</w:t>
      </w:r>
    </w:p>
    <w:p>
      <w:pPr>
        <w:spacing w:after="0" w:line="95" w:lineRule="exact"/>
        <w:rPr>
          <w:sz w:val="20"/>
          <w:szCs w:val="20"/>
          <w:color w:val="auto"/>
        </w:rPr>
      </w:pPr>
    </w:p>
    <w:p>
      <w:pPr>
        <w:ind w:right="20" w:firstLine="378"/>
        <w:spacing w:after="0" w:line="237" w:lineRule="auto"/>
        <w:rPr>
          <w:sz w:val="20"/>
          <w:szCs w:val="20"/>
          <w:color w:val="auto"/>
        </w:rPr>
      </w:pPr>
      <w:r>
        <w:rPr>
          <w:rFonts w:ascii="Arial" w:cs="Arial" w:eastAsia="Arial" w:hAnsi="Arial"/>
          <w:sz w:val="18"/>
          <w:szCs w:val="18"/>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95" w:lineRule="exact"/>
        <w:rPr>
          <w:sz w:val="20"/>
          <w:szCs w:val="20"/>
          <w:color w:val="auto"/>
        </w:rPr>
      </w:pPr>
    </w:p>
    <w:p>
      <w:pPr>
        <w:ind w:right="120" w:firstLine="378"/>
        <w:spacing w:after="0" w:line="236" w:lineRule="auto"/>
        <w:rPr>
          <w:sz w:val="20"/>
          <w:szCs w:val="20"/>
          <w:color w:val="auto"/>
        </w:rPr>
      </w:pPr>
      <w:r>
        <w:rPr>
          <w:rFonts w:ascii="Arial" w:cs="Arial" w:eastAsia="Arial" w:hAnsi="Arial"/>
          <w:sz w:val="18"/>
          <w:szCs w:val="18"/>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 The Company’s market-related value for its U.S. plan is measured by first determining the absolute difference between the actual and the expected return on the plan assets. The absolute difference in excess of 5 percent of the expected return is added to the market-related value over two years; the remainder is added to the market-related value immediately.</w:t>
      </w:r>
    </w:p>
    <w:p>
      <w:pPr>
        <w:spacing w:after="0" w:line="100" w:lineRule="exact"/>
        <w:rPr>
          <w:sz w:val="20"/>
          <w:szCs w:val="20"/>
          <w:color w:val="auto"/>
        </w:rPr>
      </w:pPr>
    </w:p>
    <w:p>
      <w:pPr>
        <w:ind w:right="60" w:firstLine="378"/>
        <w:spacing w:after="0"/>
        <w:rPr>
          <w:sz w:val="20"/>
          <w:szCs w:val="20"/>
          <w:color w:val="auto"/>
        </w:rPr>
      </w:pPr>
      <w:r>
        <w:rPr>
          <w:rFonts w:ascii="Arial" w:cs="Arial" w:eastAsia="Arial" w:hAnsi="Arial"/>
          <w:sz w:val="18"/>
          <w:szCs w:val="18"/>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left="380" w:right="5240" w:hanging="372"/>
        <w:spacing w:after="0" w:line="397" w:lineRule="auto"/>
        <w:tabs>
          <w:tab w:leader="none" w:pos="20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Pensions and Other Postretirement Benefit Plans — (continued) </w:t>
      </w:r>
      <w:r>
        <w:rPr>
          <w:rFonts w:ascii="Arial" w:cs="Arial" w:eastAsia="Arial" w:hAnsi="Arial"/>
          <w:sz w:val="18"/>
          <w:szCs w:val="18"/>
          <w:color w:val="auto"/>
        </w:rPr>
        <w:t>The following table sets forth the plan benefit obligations:</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1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December 31, 2019</w:t>
            </w:r>
          </w:p>
        </w:tc>
        <w:tc>
          <w:tcPr>
            <w:tcW w:w="24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516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 plans</w:t>
            </w: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 plans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48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Benefit obligation, beginning of year</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$201,450</w:t>
            </w:r>
          </w:p>
        </w:tc>
        <w:tc>
          <w:tcPr>
            <w:tcW w:w="220" w:type="dxa"/>
            <w:vAlign w:val="bottom"/>
          </w:tcPr>
          <w:p>
            <w:pPr>
              <w:spacing w:after="0"/>
              <w:rPr>
                <w:sz w:val="15"/>
                <w:szCs w:val="15"/>
                <w:color w:val="auto"/>
              </w:rPr>
            </w:pPr>
          </w:p>
        </w:tc>
        <w:tc>
          <w:tcPr>
            <w:tcW w:w="1240" w:type="dxa"/>
            <w:vAlign w:val="bottom"/>
            <w:tcBorders>
              <w:top w:val="single" w:sz="8" w:color="auto"/>
            </w:tcBorders>
            <w:gridSpan w:val="2"/>
          </w:tcPr>
          <w:p>
            <w:pPr>
              <w:jc w:val="right"/>
              <w:ind w:right="210"/>
              <w:spacing w:after="0" w:line="173" w:lineRule="exact"/>
              <w:rPr>
                <w:sz w:val="20"/>
                <w:szCs w:val="20"/>
                <w:color w:val="auto"/>
              </w:rPr>
            </w:pPr>
            <w:r>
              <w:rPr>
                <w:rFonts w:ascii="Arial" w:cs="Arial" w:eastAsia="Arial" w:hAnsi="Arial"/>
                <w:sz w:val="18"/>
                <w:szCs w:val="18"/>
                <w:b w:val="1"/>
                <w:bCs w:val="1"/>
                <w:color w:val="auto"/>
              </w:rPr>
              <w:t>$51,127</w:t>
            </w:r>
          </w:p>
        </w:tc>
        <w:tc>
          <w:tcPr>
            <w:tcW w:w="20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$230,911</w:t>
            </w:r>
          </w:p>
        </w:tc>
        <w:tc>
          <w:tcPr>
            <w:tcW w:w="200" w:type="dxa"/>
            <w:vAlign w:val="bottom"/>
          </w:tcPr>
          <w:p>
            <w:pPr>
              <w:spacing w:after="0"/>
              <w:rPr>
                <w:sz w:val="15"/>
                <w:szCs w:val="15"/>
                <w:color w:val="auto"/>
              </w:rPr>
            </w:pPr>
          </w:p>
        </w:tc>
        <w:tc>
          <w:tcPr>
            <w:tcW w:w="1040" w:type="dxa"/>
            <w:vAlign w:val="bottom"/>
            <w:tcBorders>
              <w:top w:val="single" w:sz="8" w:color="auto"/>
            </w:tcBorders>
            <w:gridSpan w:val="2"/>
          </w:tcPr>
          <w:p>
            <w:pPr>
              <w:jc w:val="center"/>
              <w:spacing w:after="0" w:line="173" w:lineRule="exact"/>
              <w:rPr>
                <w:sz w:val="20"/>
                <w:szCs w:val="20"/>
                <w:color w:val="auto"/>
              </w:rPr>
            </w:pPr>
            <w:r>
              <w:rPr>
                <w:rFonts w:ascii="Arial" w:cs="Arial" w:eastAsia="Arial" w:hAnsi="Arial"/>
                <w:sz w:val="18"/>
                <w:szCs w:val="18"/>
                <w:color w:val="auto"/>
              </w:rPr>
              <w:t>$58,531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Service cost</w:t>
            </w: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2,543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189</w:t>
            </w:r>
          </w:p>
        </w:tc>
        <w:tc>
          <w:tcPr>
            <w:tcW w:w="200" w:type="dxa"/>
            <w:vAlign w:val="bottom"/>
          </w:tcPr>
          <w:p>
            <w:pPr>
              <w:spacing w:after="0"/>
              <w:rPr>
                <w:sz w:val="17"/>
                <w:szCs w:val="17"/>
                <w:color w:val="auto"/>
              </w:rPr>
            </w:pP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2,723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cost</w:t>
            </w: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7,216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2,115</w:t>
            </w:r>
          </w:p>
        </w:tc>
        <w:tc>
          <w:tcPr>
            <w:tcW w:w="200" w:type="dxa"/>
            <w:vAlign w:val="bottom"/>
          </w:tcPr>
          <w:p>
            <w:pPr>
              <w:spacing w:after="0"/>
              <w:rPr>
                <w:sz w:val="17"/>
                <w:szCs w:val="17"/>
                <w:color w:val="auto"/>
              </w:rPr>
            </w:pP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7,217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Plan participants' contributions</w:t>
            </w: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243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Actuarial (gain)/loss</w:t>
            </w: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22,645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4,686</w:t>
            </w:r>
          </w:p>
        </w:tc>
        <w:tc>
          <w:tcPr>
            <w:tcW w:w="200" w:type="dxa"/>
            <w:vAlign w:val="bottom"/>
          </w:tcPr>
          <w:p>
            <w:pPr>
              <w:spacing w:after="0"/>
              <w:rPr>
                <w:sz w:val="17"/>
                <w:szCs w:val="17"/>
                <w:color w:val="auto"/>
              </w:rPr>
            </w:pP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(10,666)</w:t>
            </w:r>
          </w:p>
        </w:tc>
        <w:tc>
          <w:tcPr>
            <w:tcW w:w="200" w:type="dxa"/>
            <w:vAlign w:val="bottom"/>
          </w:tcPr>
          <w:p>
            <w:pPr>
              <w:spacing w:after="0"/>
              <w:rPr>
                <w:sz w:val="17"/>
                <w:szCs w:val="17"/>
                <w:color w:val="auto"/>
              </w:rPr>
            </w:pP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Benefits paid</w:t>
            </w: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(8,404)</w:t>
            </w:r>
          </w:p>
        </w:tc>
        <w:tc>
          <w:tcPr>
            <w:tcW w:w="220" w:type="dxa"/>
            <w:vAlign w:val="bottom"/>
          </w:tcPr>
          <w:p>
            <w:pPr>
              <w:spacing w:after="0"/>
              <w:rPr>
                <w:sz w:val="17"/>
                <w:szCs w:val="17"/>
                <w:color w:val="auto"/>
              </w:rPr>
            </w:pPr>
          </w:p>
        </w:tc>
        <w:tc>
          <w:tcPr>
            <w:tcW w:w="1240" w:type="dxa"/>
            <w:vAlign w:val="bottom"/>
            <w:gridSpan w:val="2"/>
          </w:tcPr>
          <w:p>
            <w:pPr>
              <w:jc w:val="right"/>
              <w:ind w:right="170"/>
              <w:spacing w:after="0" w:line="202" w:lineRule="exact"/>
              <w:rPr>
                <w:sz w:val="20"/>
                <w:szCs w:val="20"/>
                <w:color w:val="auto"/>
              </w:rPr>
            </w:pPr>
            <w:r>
              <w:rPr>
                <w:rFonts w:ascii="Arial" w:cs="Arial" w:eastAsia="Arial" w:hAnsi="Arial"/>
                <w:sz w:val="18"/>
                <w:szCs w:val="18"/>
                <w:b w:val="1"/>
                <w:bCs w:val="1"/>
                <w:color w:val="auto"/>
              </w:rPr>
              <w:t>(3,782)</w:t>
            </w:r>
          </w:p>
        </w:tc>
        <w:tc>
          <w:tcPr>
            <w:tcW w:w="200" w:type="dxa"/>
            <w:vAlign w:val="bottom"/>
          </w:tcPr>
          <w:p>
            <w:pPr>
              <w:spacing w:after="0"/>
              <w:rPr>
                <w:sz w:val="17"/>
                <w:szCs w:val="17"/>
                <w:color w:val="auto"/>
              </w:rPr>
            </w:pP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(7,814)</w:t>
            </w:r>
          </w:p>
        </w:tc>
        <w:tc>
          <w:tcPr>
            <w:tcW w:w="200" w:type="dxa"/>
            <w:vAlign w:val="bottom"/>
          </w:tcPr>
          <w:p>
            <w:pPr>
              <w:spacing w:after="0"/>
              <w:rPr>
                <w:sz w:val="17"/>
                <w:szCs w:val="17"/>
                <w:color w:val="auto"/>
              </w:rPr>
            </w:pP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Settlements and curtailments</w:t>
            </w: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(1,768)</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(13,807)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Plan amendments and other</w:t>
            </w: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534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Foreign currency changes</w:t>
            </w: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3,134</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(7,876)</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516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Benefit obligation, end of year</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$227,211</w:t>
            </w:r>
          </w:p>
        </w:tc>
        <w:tc>
          <w:tcPr>
            <w:tcW w:w="220" w:type="dxa"/>
            <w:vAlign w:val="bottom"/>
          </w:tcPr>
          <w:p>
            <w:pPr>
              <w:spacing w:after="0"/>
              <w:rPr>
                <w:sz w:val="17"/>
                <w:szCs w:val="17"/>
                <w:color w:val="auto"/>
              </w:rPr>
            </w:pPr>
          </w:p>
        </w:tc>
        <w:tc>
          <w:tcPr>
            <w:tcW w:w="1240" w:type="dxa"/>
            <w:vAlign w:val="bottom"/>
            <w:tcBorders>
              <w:bottom w:val="single" w:sz="8" w:color="auto"/>
            </w:tcBorders>
            <w:gridSpan w:val="2"/>
          </w:tcPr>
          <w:p>
            <w:pPr>
              <w:jc w:val="right"/>
              <w:ind w:right="210"/>
              <w:spacing w:after="0" w:line="196" w:lineRule="exact"/>
              <w:rPr>
                <w:sz w:val="20"/>
                <w:szCs w:val="20"/>
                <w:color w:val="auto"/>
              </w:rPr>
            </w:pPr>
            <w:r>
              <w:rPr>
                <w:rFonts w:ascii="Arial" w:cs="Arial" w:eastAsia="Arial" w:hAnsi="Arial"/>
                <w:sz w:val="18"/>
                <w:szCs w:val="18"/>
                <w:b w:val="1"/>
                <w:bCs w:val="1"/>
                <w:color w:val="auto"/>
              </w:rPr>
              <w:t>$54,384</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$201,450</w:t>
            </w:r>
          </w:p>
        </w:tc>
        <w:tc>
          <w:tcPr>
            <w:tcW w:w="20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$51,127</w:t>
            </w:r>
          </w:p>
        </w:tc>
        <w:tc>
          <w:tcPr>
            <w:tcW w:w="0" w:type="dxa"/>
            <w:vAlign w:val="bottom"/>
          </w:tcPr>
          <w:p>
            <w:pPr>
              <w:spacing w:after="0"/>
              <w:rPr>
                <w:sz w:val="1"/>
                <w:szCs w:val="1"/>
                <w:color w:val="auto"/>
              </w:rPr>
            </w:pPr>
          </w:p>
        </w:tc>
      </w:tr>
      <w:tr>
        <w:trPr>
          <w:trHeight w:val="196"/>
        </w:trPr>
        <w:tc>
          <w:tcPr>
            <w:tcW w:w="516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Accumulated benefit obligation</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$218,006</w:t>
            </w:r>
          </w:p>
        </w:tc>
        <w:tc>
          <w:tcPr>
            <w:tcW w:w="220" w:type="dxa"/>
            <w:vAlign w:val="bottom"/>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$193,870</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5160" w:type="dxa"/>
            <w:vAlign w:val="bottom"/>
            <w:gridSpan w:val="3"/>
          </w:tcPr>
          <w:p>
            <w:pPr>
              <w:ind w:left="140"/>
              <w:spacing w:after="0" w:line="195" w:lineRule="exact"/>
              <w:rPr>
                <w:sz w:val="20"/>
                <w:szCs w:val="20"/>
                <w:color w:val="auto"/>
              </w:rPr>
            </w:pPr>
            <w:r>
              <w:rPr>
                <w:rFonts w:ascii="Arial" w:cs="Arial" w:eastAsia="Arial" w:hAnsi="Arial"/>
                <w:sz w:val="18"/>
                <w:szCs w:val="18"/>
                <w:color w:val="auto"/>
              </w:rPr>
              <w:t>Weighted average assumptions used to</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determine benefit obligations, end of year:</w:t>
            </w:r>
          </w:p>
        </w:tc>
        <w:tc>
          <w:tcPr>
            <w:tcW w:w="1240" w:type="dxa"/>
            <w:vAlign w:val="bottom"/>
            <w:vMerge w:val="restart"/>
          </w:tcPr>
          <w:p>
            <w:pPr>
              <w:jc w:val="right"/>
              <w:ind w:right="113"/>
              <w:spacing w:after="0"/>
              <w:rPr>
                <w:sz w:val="20"/>
                <w:szCs w:val="20"/>
                <w:color w:val="auto"/>
              </w:rPr>
            </w:pPr>
            <w:r>
              <w:rPr>
                <w:rFonts w:ascii="Arial" w:cs="Arial" w:eastAsia="Arial" w:hAnsi="Arial"/>
                <w:sz w:val="18"/>
                <w:szCs w:val="18"/>
                <w:b w:val="1"/>
                <w:bCs w:val="1"/>
                <w:color w:val="auto"/>
              </w:rPr>
              <w:t>3.40%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3.27%</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502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Discount rate — U.S. plan</w:t>
            </w: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13"/>
              <w:spacing w:after="0" w:line="181" w:lineRule="exact"/>
              <w:rPr>
                <w:sz w:val="20"/>
                <w:szCs w:val="20"/>
                <w:color w:val="auto"/>
              </w:rPr>
            </w:pPr>
            <w:r>
              <w:rPr>
                <w:rFonts w:ascii="Arial" w:cs="Arial" w:eastAsia="Arial" w:hAnsi="Arial"/>
                <w:sz w:val="18"/>
                <w:szCs w:val="18"/>
                <w:color w:val="auto"/>
              </w:rPr>
              <w:t>4.41%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Discount rate — non-U.S. plans</w:t>
            </w:r>
          </w:p>
        </w:tc>
        <w:tc>
          <w:tcPr>
            <w:tcW w:w="124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2.31%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3.05%</w:t>
            </w:r>
          </w:p>
        </w:tc>
        <w:tc>
          <w:tcPr>
            <w:tcW w:w="200" w:type="dxa"/>
            <w:vAlign w:val="bottom"/>
          </w:tcPr>
          <w:p>
            <w:pPr>
              <w:spacing w:after="0"/>
              <w:rPr>
                <w:sz w:val="17"/>
                <w:szCs w:val="17"/>
                <w:color w:val="auto"/>
              </w:rPr>
            </w:pPr>
          </w:p>
        </w:tc>
        <w:tc>
          <w:tcPr>
            <w:tcW w:w="12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2.98%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Compensation increase — U.S. plan</w:t>
            </w:r>
          </w:p>
        </w:tc>
        <w:tc>
          <w:tcPr>
            <w:tcW w:w="146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3.00%</w:t>
            </w:r>
          </w:p>
        </w:tc>
        <w:tc>
          <w:tcPr>
            <w:tcW w:w="200" w:type="dxa"/>
            <w:vAlign w:val="bottom"/>
          </w:tcPr>
          <w:p>
            <w:pPr>
              <w:spacing w:after="0"/>
              <w:rPr>
                <w:sz w:val="17"/>
                <w:szCs w:val="17"/>
                <w:color w:val="auto"/>
              </w:rPr>
            </w:pPr>
          </w:p>
        </w:tc>
        <w:tc>
          <w:tcPr>
            <w:tcW w:w="144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Compensation increase — non-U.S. plans</w:t>
            </w:r>
          </w:p>
        </w:tc>
        <w:tc>
          <w:tcPr>
            <w:tcW w:w="1240" w:type="dxa"/>
            <w:vAlign w:val="bottom"/>
          </w:tcPr>
          <w:p>
            <w:pPr>
              <w:jc w:val="right"/>
              <w:ind w:right="113"/>
              <w:spacing w:after="0"/>
              <w:rPr>
                <w:sz w:val="20"/>
                <w:szCs w:val="20"/>
                <w:color w:val="auto"/>
              </w:rPr>
            </w:pPr>
            <w:r>
              <w:rPr>
                <w:rFonts w:ascii="Arial" w:cs="Arial" w:eastAsia="Arial" w:hAnsi="Arial"/>
                <w:sz w:val="18"/>
                <w:szCs w:val="18"/>
                <w:b w:val="1"/>
                <w:bCs w:val="1"/>
                <w:color w:val="auto"/>
              </w:rPr>
              <w:t>2.81%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200" w:type="dxa"/>
            <w:vAlign w:val="bottom"/>
          </w:tcPr>
          <w:p>
            <w:pPr>
              <w:spacing w:after="0"/>
              <w:rPr>
                <w:sz w:val="20"/>
                <w:szCs w:val="20"/>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500"/>
        </w:trPr>
        <w:tc>
          <w:tcPr>
            <w:tcW w:w="5160" w:type="dxa"/>
            <w:vAlign w:val="bottom"/>
            <w:gridSpan w:val="3"/>
          </w:tcPr>
          <w:p>
            <w:pPr>
              <w:spacing w:after="0"/>
              <w:rPr>
                <w:sz w:val="20"/>
                <w:szCs w:val="20"/>
                <w:color w:val="auto"/>
              </w:rPr>
            </w:pPr>
            <w:r>
              <w:rPr>
                <w:rFonts w:ascii="Arial" w:cs="Arial" w:eastAsia="Arial" w:hAnsi="Arial"/>
                <w:sz w:val="18"/>
                <w:szCs w:val="18"/>
                <w:color w:val="auto"/>
              </w:rPr>
              <w:t>The following sets forth information about plan assets: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December 31, 2019</w:t>
            </w:r>
          </w:p>
        </w:tc>
        <w:tc>
          <w:tcPr>
            <w:tcW w:w="24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516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 plans</w:t>
            </w: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 plans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48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Fair value of plan assets, beginning of year</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$178,942</w:t>
            </w:r>
          </w:p>
        </w:tc>
        <w:tc>
          <w:tcPr>
            <w:tcW w:w="220" w:type="dxa"/>
            <w:vAlign w:val="bottom"/>
          </w:tcPr>
          <w:p>
            <w:pPr>
              <w:spacing w:after="0"/>
              <w:rPr>
                <w:sz w:val="15"/>
                <w:szCs w:val="15"/>
                <w:color w:val="auto"/>
              </w:rPr>
            </w:pPr>
          </w:p>
        </w:tc>
        <w:tc>
          <w:tcPr>
            <w:tcW w:w="4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270"/>
              <w:spacing w:after="0" w:line="173"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$205,586</w:t>
            </w:r>
          </w:p>
        </w:tc>
        <w:tc>
          <w:tcPr>
            <w:tcW w:w="200" w:type="dxa"/>
            <w:vAlign w:val="bottom"/>
          </w:tcPr>
          <w:p>
            <w:pPr>
              <w:spacing w:after="0"/>
              <w:rPr>
                <w:sz w:val="15"/>
                <w:szCs w:val="15"/>
                <w:color w:val="auto"/>
              </w:rPr>
            </w:pPr>
          </w:p>
        </w:tc>
        <w:tc>
          <w:tcPr>
            <w:tcW w:w="3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50"/>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Actual return on plan assets, net of expenses</w:t>
            </w: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32,367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56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(8,449)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Employer contributions</w:t>
            </w: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4,670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w w:val="97"/>
              </w:rPr>
              <w:t>3,782</w:t>
            </w:r>
          </w:p>
        </w:tc>
        <w:tc>
          <w:tcPr>
            <w:tcW w:w="200" w:type="dxa"/>
            <w:vAlign w:val="bottom"/>
          </w:tcPr>
          <w:p>
            <w:pPr>
              <w:spacing w:after="0"/>
              <w:rPr>
                <w:sz w:val="17"/>
                <w:szCs w:val="17"/>
                <w:color w:val="auto"/>
              </w:rPr>
            </w:pP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10,071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Plan participants' contributions</w:t>
            </w: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243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56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Benefits paid</w:t>
            </w: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(8,404)</w:t>
            </w:r>
          </w:p>
        </w:tc>
        <w:tc>
          <w:tcPr>
            <w:tcW w:w="220" w:type="dxa"/>
            <w:vAlign w:val="bottom"/>
          </w:tcPr>
          <w:p>
            <w:pPr>
              <w:spacing w:after="0"/>
              <w:rPr>
                <w:sz w:val="17"/>
                <w:szCs w:val="17"/>
                <w:color w:val="auto"/>
              </w:rPr>
            </w:pPr>
          </w:p>
        </w:tc>
        <w:tc>
          <w:tcPr>
            <w:tcW w:w="1240" w:type="dxa"/>
            <w:vAlign w:val="bottom"/>
            <w:gridSpan w:val="2"/>
          </w:tcPr>
          <w:p>
            <w:pPr>
              <w:jc w:val="right"/>
              <w:ind w:right="190"/>
              <w:spacing w:after="0" w:line="202" w:lineRule="exact"/>
              <w:rPr>
                <w:sz w:val="20"/>
                <w:szCs w:val="20"/>
                <w:color w:val="auto"/>
              </w:rPr>
            </w:pPr>
            <w:r>
              <w:rPr>
                <w:rFonts w:ascii="Arial" w:cs="Arial" w:eastAsia="Arial" w:hAnsi="Arial"/>
                <w:sz w:val="18"/>
                <w:szCs w:val="18"/>
                <w:b w:val="1"/>
                <w:bCs w:val="1"/>
                <w:color w:val="auto"/>
              </w:rPr>
              <w:t>(3,782)</w:t>
            </w:r>
          </w:p>
        </w:tc>
        <w:tc>
          <w:tcPr>
            <w:tcW w:w="200" w:type="dxa"/>
            <w:vAlign w:val="bottom"/>
          </w:tcPr>
          <w:p>
            <w:pPr>
              <w:spacing w:after="0"/>
              <w:rPr>
                <w:sz w:val="17"/>
                <w:szCs w:val="17"/>
                <w:color w:val="auto"/>
              </w:rPr>
            </w:pP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(7,813)</w:t>
            </w:r>
          </w:p>
        </w:tc>
        <w:tc>
          <w:tcPr>
            <w:tcW w:w="200" w:type="dxa"/>
            <w:vAlign w:val="bottom"/>
          </w:tcPr>
          <w:p>
            <w:pPr>
              <w:spacing w:after="0"/>
              <w:rPr>
                <w:sz w:val="17"/>
                <w:szCs w:val="17"/>
                <w:color w:val="auto"/>
              </w:rPr>
            </w:pPr>
          </w:p>
        </w:tc>
        <w:tc>
          <w:tcPr>
            <w:tcW w:w="10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Settlements</w:t>
            </w: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(260)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56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(13,029)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Foreign currency changes</w:t>
            </w:r>
          </w:p>
        </w:tc>
        <w:tc>
          <w:tcPr>
            <w:tcW w:w="1240" w:type="dxa"/>
            <w:vAlign w:val="bottom"/>
          </w:tcPr>
          <w:p>
            <w:pPr>
              <w:jc w:val="right"/>
              <w:ind w:right="173"/>
              <w:spacing w:after="0"/>
              <w:rPr>
                <w:sz w:val="20"/>
                <w:szCs w:val="20"/>
                <w:color w:val="auto"/>
              </w:rPr>
            </w:pPr>
            <w:r>
              <w:rPr>
                <w:rFonts w:ascii="Arial" w:cs="Arial" w:eastAsia="Arial" w:hAnsi="Arial"/>
                <w:sz w:val="18"/>
                <w:szCs w:val="18"/>
                <w:b w:val="1"/>
                <w:bCs w:val="1"/>
                <w:color w:val="auto"/>
              </w:rPr>
              <w:t>4,197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(7,652)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16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Fair value of plan assets, end of year</w:t>
            </w: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$211,755</w:t>
            </w:r>
          </w:p>
        </w:tc>
        <w:tc>
          <w:tcPr>
            <w:tcW w:w="2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$178,942</w:t>
            </w: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0920"/>
          </w:cols>
          <w:pgMar w:left="240" w:top="269" w:right="7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left="380" w:right="5740" w:hanging="372"/>
        <w:spacing w:after="0" w:line="397" w:lineRule="auto"/>
        <w:tabs>
          <w:tab w:leader="none" w:pos="20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Pensions and Other Postretirement Benefit Plans — (continued) </w:t>
      </w:r>
      <w:r>
        <w:rPr>
          <w:rFonts w:ascii="Arial" w:cs="Arial" w:eastAsia="Arial" w:hAnsi="Arial"/>
          <w:sz w:val="18"/>
          <w:szCs w:val="18"/>
          <w:color w:val="auto"/>
        </w:rPr>
        <w:t>The funded status of the plans was as follows:</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December 31, 2019</w:t>
            </w:r>
          </w:p>
        </w:tc>
        <w:tc>
          <w:tcPr>
            <w:tcW w:w="24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34"/>
              <w:spacing w:after="0" w:line="143"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233"/>
              <w:spacing w:after="0" w:line="143"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Fair value of plan assets</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ind w:right="173"/>
              <w:spacing w:after="0" w:line="173" w:lineRule="exact"/>
              <w:rPr>
                <w:sz w:val="20"/>
                <w:szCs w:val="20"/>
                <w:color w:val="auto"/>
              </w:rPr>
            </w:pPr>
            <w:r>
              <w:rPr>
                <w:rFonts w:ascii="Arial" w:cs="Arial" w:eastAsia="Arial" w:hAnsi="Arial"/>
                <w:sz w:val="18"/>
                <w:szCs w:val="18"/>
                <w:b w:val="1"/>
                <w:bCs w:val="1"/>
                <w:color w:val="auto"/>
              </w:rPr>
              <w:t>$211,755</w:t>
            </w:r>
          </w:p>
        </w:tc>
        <w:tc>
          <w:tcPr>
            <w:tcW w:w="220" w:type="dxa"/>
            <w:vAlign w:val="bottom"/>
          </w:tcPr>
          <w:p>
            <w:pPr>
              <w:spacing w:after="0"/>
              <w:rPr>
                <w:sz w:val="15"/>
                <w:szCs w:val="15"/>
                <w:color w:val="auto"/>
              </w:rPr>
            </w:pPr>
          </w:p>
        </w:tc>
        <w:tc>
          <w:tcPr>
            <w:tcW w:w="4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234"/>
              <w:spacing w:after="0" w:line="173"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40" w:type="dxa"/>
            <w:vAlign w:val="bottom"/>
            <w:tcBorders>
              <w:top w:val="single" w:sz="8" w:color="auto"/>
            </w:tcBorders>
          </w:tcPr>
          <w:p>
            <w:pPr>
              <w:jc w:val="right"/>
              <w:ind w:right="173"/>
              <w:spacing w:after="0" w:line="173" w:lineRule="exact"/>
              <w:rPr>
                <w:sz w:val="20"/>
                <w:szCs w:val="20"/>
                <w:color w:val="auto"/>
              </w:rPr>
            </w:pPr>
            <w:r>
              <w:rPr>
                <w:rFonts w:ascii="Arial" w:cs="Arial" w:eastAsia="Arial" w:hAnsi="Arial"/>
                <w:sz w:val="18"/>
                <w:szCs w:val="18"/>
                <w:color w:val="auto"/>
              </w:rPr>
              <w:t>$178,942</w:t>
            </w:r>
          </w:p>
        </w:tc>
        <w:tc>
          <w:tcPr>
            <w:tcW w:w="200" w:type="dxa"/>
            <w:vAlign w:val="bottom"/>
          </w:tcPr>
          <w:p>
            <w:pPr>
              <w:spacing w:after="0"/>
              <w:rPr>
                <w:sz w:val="15"/>
                <w:szCs w:val="15"/>
                <w:color w:val="auto"/>
              </w:rPr>
            </w:pPr>
          </w:p>
        </w:tc>
        <w:tc>
          <w:tcPr>
            <w:tcW w:w="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13"/>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gridSpan w:val="3"/>
          </w:tcPr>
          <w:p>
            <w:pPr>
              <w:spacing w:after="0"/>
              <w:rPr>
                <w:sz w:val="20"/>
                <w:szCs w:val="20"/>
                <w:color w:val="auto"/>
              </w:rPr>
            </w:pPr>
            <w:r>
              <w:rPr>
                <w:rFonts w:ascii="Arial" w:cs="Arial" w:eastAsia="Arial" w:hAnsi="Arial"/>
                <w:sz w:val="18"/>
                <w:szCs w:val="18"/>
                <w:color w:val="auto"/>
              </w:rPr>
              <w:t>Benefit obligation</w:t>
            </w: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227,211</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8"/>
              </w:rPr>
              <w:t>54,384</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201,450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51,127</w:t>
            </w:r>
          </w:p>
        </w:tc>
        <w:tc>
          <w:tcPr>
            <w:tcW w:w="0" w:type="dxa"/>
            <w:vAlign w:val="bottom"/>
          </w:tcPr>
          <w:p>
            <w:pPr>
              <w:spacing w:after="0"/>
              <w:rPr>
                <w:sz w:val="1"/>
                <w:szCs w:val="1"/>
                <w:color w:val="auto"/>
              </w:rPr>
            </w:pPr>
          </w:p>
        </w:tc>
      </w:tr>
      <w:tr>
        <w:trPr>
          <w:trHeight w:val="196"/>
        </w:trPr>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Funded status</w:t>
            </w:r>
          </w:p>
        </w:tc>
        <w:tc>
          <w:tcPr>
            <w:tcW w:w="124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b w:val="1"/>
                <w:bCs w:val="1"/>
                <w:color w:val="auto"/>
              </w:rPr>
              <w:t>$ (15,456)</w:t>
            </w:r>
          </w:p>
        </w:tc>
        <w:tc>
          <w:tcPr>
            <w:tcW w:w="220" w:type="dxa"/>
            <w:vAlign w:val="bottom"/>
          </w:tcPr>
          <w:p>
            <w:pPr>
              <w:spacing w:after="0"/>
              <w:rPr>
                <w:sz w:val="17"/>
                <w:szCs w:val="17"/>
                <w:color w:val="auto"/>
              </w:rPr>
            </w:pPr>
          </w:p>
        </w:tc>
        <w:tc>
          <w:tcPr>
            <w:tcW w:w="1240" w:type="dxa"/>
            <w:vAlign w:val="bottom"/>
            <w:tcBorders>
              <w:bottom w:val="single" w:sz="8" w:color="auto"/>
            </w:tcBorders>
            <w:gridSpan w:val="2"/>
          </w:tcPr>
          <w:p>
            <w:pPr>
              <w:jc w:val="right"/>
              <w:ind w:right="134"/>
              <w:spacing w:after="0" w:line="196" w:lineRule="exact"/>
              <w:rPr>
                <w:sz w:val="20"/>
                <w:szCs w:val="20"/>
                <w:color w:val="auto"/>
              </w:rPr>
            </w:pPr>
            <w:r>
              <w:rPr>
                <w:rFonts w:ascii="Arial" w:cs="Arial" w:eastAsia="Arial" w:hAnsi="Arial"/>
                <w:sz w:val="18"/>
                <w:szCs w:val="18"/>
                <w:b w:val="1"/>
                <w:bCs w:val="1"/>
                <w:color w:val="auto"/>
              </w:rPr>
              <w:t>$(54,384)</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 (22,508)</w:t>
            </w:r>
          </w:p>
        </w:tc>
        <w:tc>
          <w:tcPr>
            <w:tcW w:w="2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33"/>
              <w:spacing w:after="0" w:line="196" w:lineRule="exact"/>
              <w:rPr>
                <w:sz w:val="20"/>
                <w:szCs w:val="20"/>
                <w:color w:val="auto"/>
              </w:rPr>
            </w:pPr>
            <w:r>
              <w:rPr>
                <w:rFonts w:ascii="Arial" w:cs="Arial" w:eastAsia="Arial" w:hAnsi="Arial"/>
                <w:sz w:val="18"/>
                <w:szCs w:val="18"/>
                <w:color w:val="auto"/>
              </w:rPr>
              <w:t>$(51,127)</w:t>
            </w:r>
          </w:p>
        </w:tc>
        <w:tc>
          <w:tcPr>
            <w:tcW w:w="0" w:type="dxa"/>
            <w:vAlign w:val="bottom"/>
          </w:tcPr>
          <w:p>
            <w:pPr>
              <w:spacing w:after="0"/>
              <w:rPr>
                <w:sz w:val="1"/>
                <w:szCs w:val="1"/>
                <w:color w:val="auto"/>
              </w:rPr>
            </w:pPr>
          </w:p>
        </w:tc>
      </w:tr>
      <w:tr>
        <w:trPr>
          <w:trHeight w:val="195"/>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auto"/>
              </w:rPr>
              <w:t>Accrued benefit cost, end of year</w:t>
            </w:r>
          </w:p>
        </w:tc>
        <w:tc>
          <w:tcPr>
            <w:tcW w:w="1240" w:type="dxa"/>
            <w:vAlign w:val="bottom"/>
            <w:tcBorders>
              <w:bottom w:val="single" w:sz="8" w:color="auto"/>
            </w:tcBorders>
          </w:tcPr>
          <w:p>
            <w:pPr>
              <w:jc w:val="right"/>
              <w:ind w:right="113"/>
              <w:spacing w:after="0" w:line="195" w:lineRule="exact"/>
              <w:rPr>
                <w:sz w:val="20"/>
                <w:szCs w:val="20"/>
                <w:color w:val="auto"/>
              </w:rPr>
            </w:pPr>
            <w:r>
              <w:rPr>
                <w:rFonts w:ascii="Arial" w:cs="Arial" w:eastAsia="Arial" w:hAnsi="Arial"/>
                <w:sz w:val="18"/>
                <w:szCs w:val="18"/>
                <w:b w:val="1"/>
                <w:bCs w:val="1"/>
                <w:color w:val="auto"/>
              </w:rPr>
              <w:t>$ (15,456)</w:t>
            </w:r>
          </w:p>
        </w:tc>
        <w:tc>
          <w:tcPr>
            <w:tcW w:w="22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134"/>
              <w:spacing w:after="0" w:line="195" w:lineRule="exact"/>
              <w:rPr>
                <w:sz w:val="20"/>
                <w:szCs w:val="20"/>
                <w:color w:val="auto"/>
              </w:rPr>
            </w:pPr>
            <w:r>
              <w:rPr>
                <w:rFonts w:ascii="Arial" w:cs="Arial" w:eastAsia="Arial" w:hAnsi="Arial"/>
                <w:sz w:val="18"/>
                <w:szCs w:val="18"/>
                <w:b w:val="1"/>
                <w:bCs w:val="1"/>
                <w:color w:val="auto"/>
              </w:rPr>
              <w:t>$(54,384)</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right"/>
              <w:ind w:right="113"/>
              <w:spacing w:after="0" w:line="195" w:lineRule="exact"/>
              <w:rPr>
                <w:sz w:val="20"/>
                <w:szCs w:val="20"/>
                <w:color w:val="auto"/>
              </w:rPr>
            </w:pPr>
            <w:r>
              <w:rPr>
                <w:rFonts w:ascii="Arial" w:cs="Arial" w:eastAsia="Arial" w:hAnsi="Arial"/>
                <w:sz w:val="18"/>
                <w:szCs w:val="18"/>
                <w:color w:val="auto"/>
              </w:rPr>
              <w:t>$ (22,508)</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33"/>
              <w:spacing w:after="0" w:line="195" w:lineRule="exact"/>
              <w:rPr>
                <w:sz w:val="20"/>
                <w:szCs w:val="20"/>
                <w:color w:val="auto"/>
              </w:rPr>
            </w:pPr>
            <w:r>
              <w:rPr>
                <w:rFonts w:ascii="Arial" w:cs="Arial" w:eastAsia="Arial" w:hAnsi="Arial"/>
                <w:sz w:val="18"/>
                <w:szCs w:val="18"/>
                <w:color w:val="auto"/>
              </w:rPr>
              <w:t>$(51,127)</w:t>
            </w:r>
          </w:p>
        </w:tc>
        <w:tc>
          <w:tcPr>
            <w:tcW w:w="0" w:type="dxa"/>
            <w:vAlign w:val="bottom"/>
          </w:tcPr>
          <w:p>
            <w:pPr>
              <w:spacing w:after="0"/>
              <w:rPr>
                <w:sz w:val="1"/>
                <w:szCs w:val="1"/>
                <w:color w:val="auto"/>
              </w:rPr>
            </w:pPr>
          </w:p>
        </w:tc>
      </w:tr>
      <w:tr>
        <w:trPr>
          <w:trHeight w:val="183"/>
        </w:trPr>
        <w:tc>
          <w:tcPr>
            <w:tcW w:w="5020" w:type="dxa"/>
            <w:vAlign w:val="bottom"/>
            <w:gridSpan w:val="3"/>
          </w:tcPr>
          <w:p>
            <w:pPr>
              <w:spacing w:after="0" w:line="182" w:lineRule="exact"/>
              <w:rPr>
                <w:sz w:val="20"/>
                <w:szCs w:val="20"/>
                <w:color w:val="auto"/>
              </w:rPr>
            </w:pPr>
            <w:r>
              <w:rPr>
                <w:rFonts w:ascii="Arial" w:cs="Arial" w:eastAsia="Arial" w:hAnsi="Arial"/>
                <w:sz w:val="18"/>
                <w:szCs w:val="18"/>
                <w:color w:val="auto"/>
              </w:rPr>
              <w:t>Amounts recognized in the consolidated balance sheet</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consist of the following:</w:t>
            </w:r>
          </w:p>
        </w:tc>
        <w:tc>
          <w:tcPr>
            <w:tcW w:w="124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$ 21,337</w:t>
            </w:r>
          </w:p>
        </w:tc>
        <w:tc>
          <w:tcPr>
            <w:tcW w:w="22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20" w:type="dxa"/>
            <w:vAlign w:val="bottom"/>
            <w:gridSpan w:val="3"/>
          </w:tcPr>
          <w:p>
            <w:pPr>
              <w:spacing w:after="0" w:line="181" w:lineRule="exact"/>
              <w:rPr>
                <w:sz w:val="20"/>
                <w:szCs w:val="20"/>
                <w:color w:val="auto"/>
              </w:rPr>
            </w:pPr>
            <w:r>
              <w:rPr>
                <w:rFonts w:ascii="Arial" w:cs="Arial" w:eastAsia="Arial" w:hAnsi="Arial"/>
                <w:sz w:val="18"/>
                <w:szCs w:val="18"/>
                <w:color w:val="auto"/>
              </w:rPr>
              <w:t>Noncurrent asset</w:t>
            </w: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40" w:type="dxa"/>
            <w:vAlign w:val="bottom"/>
          </w:tcPr>
          <w:p>
            <w:pPr>
              <w:jc w:val="right"/>
              <w:ind w:right="173"/>
              <w:spacing w:after="0" w:line="181" w:lineRule="exact"/>
              <w:rPr>
                <w:sz w:val="20"/>
                <w:szCs w:val="20"/>
                <w:color w:val="auto"/>
              </w:rPr>
            </w:pPr>
            <w:r>
              <w:rPr>
                <w:rFonts w:ascii="Arial" w:cs="Arial" w:eastAsia="Arial" w:hAnsi="Arial"/>
                <w:sz w:val="18"/>
                <w:szCs w:val="18"/>
                <w:color w:val="auto"/>
              </w:rPr>
              <w:t>$ 14,206</w:t>
            </w:r>
          </w:p>
        </w:tc>
        <w:tc>
          <w:tcPr>
            <w:tcW w:w="200" w:type="dxa"/>
            <w:vAlign w:val="bottom"/>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liability</w:t>
            </w: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(2,155)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(3,808)</w:t>
            </w:r>
          </w:p>
        </w:tc>
        <w:tc>
          <w:tcPr>
            <w:tcW w:w="200" w:type="dxa"/>
            <w:vAlign w:val="bottom"/>
          </w:tcPr>
          <w:p>
            <w:pPr>
              <w:spacing w:after="0"/>
              <w:rPr>
                <w:sz w:val="17"/>
                <w:szCs w:val="17"/>
                <w:color w:val="auto"/>
              </w:rPr>
            </w:pPr>
          </w:p>
        </w:tc>
        <w:tc>
          <w:tcPr>
            <w:tcW w:w="12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(2,124)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25"/>
        </w:trPr>
        <w:tc>
          <w:tcPr>
            <w:tcW w:w="5020" w:type="dxa"/>
            <w:vAlign w:val="bottom"/>
            <w:gridSpan w:val="3"/>
          </w:tcPr>
          <w:p>
            <w:pPr>
              <w:spacing w:after="0"/>
              <w:rPr>
                <w:sz w:val="20"/>
                <w:szCs w:val="20"/>
                <w:color w:val="auto"/>
              </w:rPr>
            </w:pPr>
            <w:r>
              <w:rPr>
                <w:rFonts w:ascii="Arial" w:cs="Arial" w:eastAsia="Arial" w:hAnsi="Arial"/>
                <w:sz w:val="18"/>
                <w:szCs w:val="18"/>
                <w:color w:val="auto"/>
              </w:rPr>
              <w:t>Noncurrent liability</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(34,638)</w:t>
            </w:r>
          </w:p>
        </w:tc>
        <w:tc>
          <w:tcPr>
            <w:tcW w:w="2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8"/>
                <w:szCs w:val="18"/>
                <w:b w:val="1"/>
                <w:bCs w:val="1"/>
                <w:color w:val="auto"/>
              </w:rPr>
              <w:t>(50,576)</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(34,590)</w:t>
            </w:r>
          </w:p>
        </w:tc>
        <w:tc>
          <w:tcPr>
            <w:tcW w:w="20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(47,237)</w:t>
            </w:r>
          </w:p>
        </w:tc>
        <w:tc>
          <w:tcPr>
            <w:tcW w:w="0" w:type="dxa"/>
            <w:vAlign w:val="bottom"/>
          </w:tcPr>
          <w:p>
            <w:pPr>
              <w:spacing w:after="0"/>
              <w:rPr>
                <w:sz w:val="1"/>
                <w:szCs w:val="1"/>
                <w:color w:val="auto"/>
              </w:rPr>
            </w:pPr>
          </w:p>
        </w:tc>
      </w:tr>
      <w:tr>
        <w:trPr>
          <w:trHeight w:val="195"/>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auto"/>
              </w:rPr>
              <w:t>Net amount recognized</w:t>
            </w:r>
          </w:p>
        </w:tc>
        <w:tc>
          <w:tcPr>
            <w:tcW w:w="1240" w:type="dxa"/>
            <w:vAlign w:val="bottom"/>
            <w:tcBorders>
              <w:bottom w:val="single" w:sz="8" w:color="auto"/>
            </w:tcBorders>
          </w:tcPr>
          <w:p>
            <w:pPr>
              <w:jc w:val="right"/>
              <w:ind w:right="113"/>
              <w:spacing w:after="0" w:line="195" w:lineRule="exact"/>
              <w:rPr>
                <w:sz w:val="20"/>
                <w:szCs w:val="20"/>
                <w:color w:val="auto"/>
              </w:rPr>
            </w:pPr>
            <w:r>
              <w:rPr>
                <w:rFonts w:ascii="Arial" w:cs="Arial" w:eastAsia="Arial" w:hAnsi="Arial"/>
                <w:sz w:val="18"/>
                <w:szCs w:val="18"/>
                <w:b w:val="1"/>
                <w:bCs w:val="1"/>
                <w:color w:val="auto"/>
              </w:rPr>
              <w:t>$ (15,456)</w:t>
            </w:r>
          </w:p>
        </w:tc>
        <w:tc>
          <w:tcPr>
            <w:tcW w:w="22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134"/>
              <w:spacing w:after="0" w:line="195" w:lineRule="exact"/>
              <w:rPr>
                <w:sz w:val="20"/>
                <w:szCs w:val="20"/>
                <w:color w:val="auto"/>
              </w:rPr>
            </w:pPr>
            <w:r>
              <w:rPr>
                <w:rFonts w:ascii="Arial" w:cs="Arial" w:eastAsia="Arial" w:hAnsi="Arial"/>
                <w:sz w:val="18"/>
                <w:szCs w:val="18"/>
                <w:b w:val="1"/>
                <w:bCs w:val="1"/>
                <w:color w:val="auto"/>
              </w:rPr>
              <w:t>$(54,384)</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right"/>
              <w:ind w:right="113"/>
              <w:spacing w:after="0" w:line="195" w:lineRule="exact"/>
              <w:rPr>
                <w:sz w:val="20"/>
                <w:szCs w:val="20"/>
                <w:color w:val="auto"/>
              </w:rPr>
            </w:pPr>
            <w:r>
              <w:rPr>
                <w:rFonts w:ascii="Arial" w:cs="Arial" w:eastAsia="Arial" w:hAnsi="Arial"/>
                <w:sz w:val="18"/>
                <w:szCs w:val="18"/>
                <w:color w:val="auto"/>
              </w:rPr>
              <w:t>$ (22,508)</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33"/>
              <w:spacing w:after="0" w:line="195" w:lineRule="exact"/>
              <w:rPr>
                <w:sz w:val="20"/>
                <w:szCs w:val="20"/>
                <w:color w:val="auto"/>
              </w:rPr>
            </w:pPr>
            <w:r>
              <w:rPr>
                <w:rFonts w:ascii="Arial" w:cs="Arial" w:eastAsia="Arial" w:hAnsi="Arial"/>
                <w:sz w:val="18"/>
                <w:szCs w:val="18"/>
                <w:color w:val="auto"/>
              </w:rPr>
              <w:t>$(51,127)</w:t>
            </w:r>
          </w:p>
        </w:tc>
        <w:tc>
          <w:tcPr>
            <w:tcW w:w="0" w:type="dxa"/>
            <w:vAlign w:val="bottom"/>
          </w:tcPr>
          <w:p>
            <w:pPr>
              <w:spacing w:after="0"/>
              <w:rPr>
                <w:sz w:val="1"/>
                <w:szCs w:val="1"/>
                <w:color w:val="auto"/>
              </w:rPr>
            </w:pPr>
          </w:p>
        </w:tc>
      </w:tr>
      <w:tr>
        <w:trPr>
          <w:trHeight w:val="183"/>
        </w:trPr>
        <w:tc>
          <w:tcPr>
            <w:tcW w:w="5020" w:type="dxa"/>
            <w:vAlign w:val="bottom"/>
            <w:gridSpan w:val="3"/>
          </w:tcPr>
          <w:p>
            <w:pPr>
              <w:spacing w:after="0" w:line="182" w:lineRule="exact"/>
              <w:rPr>
                <w:sz w:val="20"/>
                <w:szCs w:val="20"/>
                <w:color w:val="auto"/>
              </w:rPr>
            </w:pPr>
            <w:r>
              <w:rPr>
                <w:rFonts w:ascii="Arial" w:cs="Arial" w:eastAsia="Arial" w:hAnsi="Arial"/>
                <w:sz w:val="18"/>
                <w:szCs w:val="18"/>
                <w:color w:val="auto"/>
              </w:rPr>
              <w:t>Amounts recognized in accumulated other comprehensive</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income consist of:</w:t>
            </w:r>
          </w:p>
        </w:tc>
        <w:tc>
          <w:tcPr>
            <w:tcW w:w="124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$ 63,240</w:t>
            </w:r>
          </w:p>
        </w:tc>
        <w:tc>
          <w:tcPr>
            <w:tcW w:w="220" w:type="dxa"/>
            <w:vAlign w:val="bottom"/>
          </w:tcPr>
          <w:p>
            <w:pPr>
              <w:spacing w:after="0"/>
              <w:rPr>
                <w:sz w:val="17"/>
                <w:szCs w:val="17"/>
                <w:color w:val="auto"/>
              </w:rPr>
            </w:pPr>
          </w:p>
        </w:tc>
        <w:tc>
          <w:tcPr>
            <w:tcW w:w="1240" w:type="dxa"/>
            <w:vAlign w:val="bottom"/>
            <w:gridSpan w:val="2"/>
            <w:vMerge w:val="restart"/>
          </w:tcPr>
          <w:p>
            <w:pPr>
              <w:jc w:val="right"/>
              <w:ind w:right="194"/>
              <w:spacing w:after="0"/>
              <w:rPr>
                <w:sz w:val="20"/>
                <w:szCs w:val="20"/>
                <w:color w:val="auto"/>
              </w:rPr>
            </w:pPr>
            <w:r>
              <w:rPr>
                <w:rFonts w:ascii="Arial" w:cs="Arial" w:eastAsia="Arial" w:hAnsi="Arial"/>
                <w:sz w:val="18"/>
                <w:szCs w:val="18"/>
                <w:b w:val="1"/>
                <w:bCs w:val="1"/>
                <w:color w:val="auto"/>
              </w:rPr>
              <w:t>$ 28,119</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20" w:type="dxa"/>
            <w:vAlign w:val="bottom"/>
            <w:gridSpan w:val="3"/>
          </w:tcPr>
          <w:p>
            <w:pPr>
              <w:spacing w:after="0" w:line="181" w:lineRule="exact"/>
              <w:rPr>
                <w:sz w:val="20"/>
                <w:szCs w:val="20"/>
                <w:color w:val="auto"/>
              </w:rPr>
            </w:pPr>
            <w:r>
              <w:rPr>
                <w:rFonts w:ascii="Arial" w:cs="Arial" w:eastAsia="Arial" w:hAnsi="Arial"/>
                <w:sz w:val="18"/>
                <w:szCs w:val="18"/>
                <w:color w:val="auto"/>
              </w:rPr>
              <w:t>Net actuarial loss</w:t>
            </w: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73"/>
              <w:spacing w:after="0" w:line="181" w:lineRule="exact"/>
              <w:rPr>
                <w:sz w:val="20"/>
                <w:szCs w:val="20"/>
                <w:color w:val="auto"/>
              </w:rPr>
            </w:pPr>
            <w:r>
              <w:rPr>
                <w:rFonts w:ascii="Arial" w:cs="Arial" w:eastAsia="Arial" w:hAnsi="Arial"/>
                <w:sz w:val="18"/>
                <w:szCs w:val="18"/>
                <w:color w:val="auto"/>
              </w:rPr>
              <w:t>$ 68,110</w:t>
            </w:r>
          </w:p>
        </w:tc>
        <w:tc>
          <w:tcPr>
            <w:tcW w:w="200" w:type="dxa"/>
            <w:vAlign w:val="bottom"/>
          </w:tcPr>
          <w:p>
            <w:pPr>
              <w:spacing w:after="0"/>
              <w:rPr>
                <w:sz w:val="15"/>
                <w:szCs w:val="15"/>
                <w:color w:val="auto"/>
              </w:rPr>
            </w:pPr>
          </w:p>
        </w:tc>
        <w:tc>
          <w:tcPr>
            <w:tcW w:w="1040" w:type="dxa"/>
            <w:vAlign w:val="bottom"/>
            <w:gridSpan w:val="2"/>
          </w:tcPr>
          <w:p>
            <w:pPr>
              <w:jc w:val="right"/>
              <w:ind w:right="93"/>
              <w:spacing w:after="0" w:line="181" w:lineRule="exact"/>
              <w:rPr>
                <w:sz w:val="20"/>
                <w:szCs w:val="20"/>
                <w:color w:val="auto"/>
              </w:rPr>
            </w:pPr>
            <w:r>
              <w:rPr>
                <w:rFonts w:ascii="Arial" w:cs="Arial" w:eastAsia="Arial" w:hAnsi="Arial"/>
                <w:sz w:val="18"/>
                <w:szCs w:val="18"/>
                <w:color w:val="auto"/>
              </w:rPr>
              <w:t>$ 25,660</w:t>
            </w:r>
          </w:p>
        </w:tc>
        <w:tc>
          <w:tcPr>
            <w:tcW w:w="0" w:type="dxa"/>
            <w:vAlign w:val="bottom"/>
          </w:tcPr>
          <w:p>
            <w:pPr>
              <w:spacing w:after="0"/>
              <w:rPr>
                <w:sz w:val="1"/>
                <w:szCs w:val="1"/>
                <w:color w:val="auto"/>
              </w:rPr>
            </w:pPr>
          </w:p>
        </w:tc>
      </w:tr>
      <w:tr>
        <w:trPr>
          <w:trHeight w:val="225"/>
        </w:trPr>
        <w:tc>
          <w:tcPr>
            <w:tcW w:w="5020" w:type="dxa"/>
            <w:vAlign w:val="bottom"/>
            <w:gridSpan w:val="3"/>
          </w:tcPr>
          <w:p>
            <w:pPr>
              <w:spacing w:after="0"/>
              <w:rPr>
                <w:sz w:val="20"/>
                <w:szCs w:val="20"/>
                <w:color w:val="auto"/>
              </w:rPr>
            </w:pPr>
            <w:r>
              <w:rPr>
                <w:rFonts w:ascii="Arial" w:cs="Arial" w:eastAsia="Arial" w:hAnsi="Arial"/>
                <w:sz w:val="18"/>
                <w:szCs w:val="18"/>
                <w:color w:val="auto"/>
              </w:rPr>
              <w:t>Prior service cost/(credit)</w:t>
            </w: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639</w:t>
            </w:r>
          </w:p>
        </w:tc>
        <w:tc>
          <w:tcPr>
            <w:tcW w:w="2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8"/>
                <w:szCs w:val="18"/>
                <w:b w:val="1"/>
                <w:bCs w:val="1"/>
                <w:color w:val="auto"/>
              </w:rPr>
              <w:t>(17,434)</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196"/>
        </w:trPr>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Net amount recognized</w:t>
            </w:r>
          </w:p>
        </w:tc>
        <w:tc>
          <w:tcPr>
            <w:tcW w:w="124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b w:val="1"/>
                <w:bCs w:val="1"/>
                <w:color w:val="auto"/>
              </w:rPr>
              <w:t>$ 63,879</w:t>
            </w:r>
          </w:p>
        </w:tc>
        <w:tc>
          <w:tcPr>
            <w:tcW w:w="220" w:type="dxa"/>
            <w:vAlign w:val="bottom"/>
          </w:tcPr>
          <w:p>
            <w:pPr>
              <w:spacing w:after="0"/>
              <w:rPr>
                <w:sz w:val="17"/>
                <w:szCs w:val="17"/>
                <w:color w:val="auto"/>
              </w:rPr>
            </w:pPr>
          </w:p>
        </w:tc>
        <w:tc>
          <w:tcPr>
            <w:tcW w:w="1240" w:type="dxa"/>
            <w:vAlign w:val="bottom"/>
            <w:tcBorders>
              <w:bottom w:val="single" w:sz="8" w:color="auto"/>
            </w:tcBorders>
            <w:gridSpan w:val="2"/>
          </w:tcPr>
          <w:p>
            <w:pPr>
              <w:jc w:val="right"/>
              <w:ind w:right="194"/>
              <w:spacing w:after="0" w:line="196" w:lineRule="exact"/>
              <w:rPr>
                <w:sz w:val="20"/>
                <w:szCs w:val="20"/>
                <w:color w:val="auto"/>
              </w:rPr>
            </w:pPr>
            <w:r>
              <w:rPr>
                <w:rFonts w:ascii="Arial" w:cs="Arial" w:eastAsia="Arial" w:hAnsi="Arial"/>
                <w:sz w:val="18"/>
                <w:szCs w:val="18"/>
                <w:b w:val="1"/>
                <w:bCs w:val="1"/>
                <w:color w:val="auto"/>
              </w:rPr>
              <w:t>$ 10,685</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$ 69,130</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composition of the net pension plan funded status as of December 31, 2019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U.S. plan</w:t>
            </w: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Non-U.S. plans</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95"/>
        </w:trPr>
        <w:tc>
          <w:tcPr>
            <w:tcW w:w="20" w:type="dxa"/>
            <w:vAlign w:val="bottom"/>
          </w:tcPr>
          <w:p>
            <w:pPr>
              <w:spacing w:after="0"/>
              <w:rPr>
                <w:sz w:val="16"/>
                <w:szCs w:val="16"/>
                <w:color w:val="auto"/>
              </w:rPr>
            </w:pPr>
          </w:p>
        </w:tc>
        <w:tc>
          <w:tcPr>
            <w:tcW w:w="6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Pension plans with pension assets</w:t>
            </w:r>
          </w:p>
        </w:tc>
        <w:tc>
          <w:tcPr>
            <w:tcW w:w="340" w:type="dxa"/>
            <w:vAlign w:val="bottom"/>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$(660)</w:t>
            </w:r>
          </w:p>
        </w:tc>
        <w:tc>
          <w:tcPr>
            <w:tcW w:w="34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$17,546</w:t>
            </w:r>
          </w:p>
        </w:tc>
        <w:tc>
          <w:tcPr>
            <w:tcW w:w="3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$16,886</w:t>
            </w:r>
          </w:p>
        </w:tc>
        <w:tc>
          <w:tcPr>
            <w:tcW w:w="20" w:type="dxa"/>
            <w:vAlign w:val="bottom"/>
          </w:tcPr>
          <w:p>
            <w:pPr>
              <w:spacing w:after="0"/>
              <w:rPr>
                <w:sz w:val="16"/>
                <w:szCs w:val="16"/>
                <w:color w:val="auto"/>
              </w:rPr>
            </w:pPr>
          </w:p>
        </w:tc>
      </w:tr>
      <w:tr>
        <w:trPr>
          <w:trHeight w:val="203"/>
        </w:trPr>
        <w:tc>
          <w:tcPr>
            <w:tcW w:w="7320" w:type="dxa"/>
            <w:vAlign w:val="bottom"/>
            <w:gridSpan w:val="3"/>
          </w:tcPr>
          <w:p>
            <w:pPr>
              <w:spacing w:after="0" w:line="203" w:lineRule="exact"/>
              <w:rPr>
                <w:sz w:val="20"/>
                <w:szCs w:val="20"/>
                <w:color w:val="auto"/>
              </w:rPr>
            </w:pPr>
            <w:r>
              <w:rPr>
                <w:rFonts w:ascii="Arial" w:cs="Arial" w:eastAsia="Arial" w:hAnsi="Arial"/>
                <w:sz w:val="18"/>
                <w:szCs w:val="18"/>
                <w:color w:val="auto"/>
              </w:rPr>
              <w:t>Pension plans without pension assets</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(6,799)</w:t>
            </w:r>
          </w:p>
        </w:tc>
        <w:tc>
          <w:tcPr>
            <w:tcW w:w="17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(25,543)</w:t>
            </w: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(32,342)</w:t>
            </w:r>
          </w:p>
        </w:tc>
      </w:tr>
      <w:tr>
        <w:trPr>
          <w:trHeight w:val="196"/>
        </w:trPr>
        <w:tc>
          <w:tcPr>
            <w:tcW w:w="732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$(7,459)</w:t>
            </w:r>
          </w:p>
        </w:tc>
        <w:tc>
          <w:tcPr>
            <w:tcW w:w="3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$(7,997)</w:t>
            </w:r>
          </w:p>
        </w:tc>
        <w:tc>
          <w:tcPr>
            <w:tcW w:w="34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$(15,456)</w:t>
            </w: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net underfunded balance in the U.S. principally relates to the Supplemental Executive Retirement Plan.</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composition of the net periodic benefit plan cost for the years ended December 31, 2019, 2018, and 2017, was as follows: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Pension plans</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right"/>
              <w:ind w:right="39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69"/>
        </w:trPr>
        <w:tc>
          <w:tcPr>
            <w:tcW w:w="4280" w:type="dxa"/>
            <w:vAlign w:val="bottom"/>
            <w:gridSpan w:val="3"/>
            <w:vMerge w:val="continue"/>
          </w:tcPr>
          <w:p>
            <w:pPr>
              <w:spacing w:after="0"/>
              <w:rPr>
                <w:sz w:val="14"/>
                <w:szCs w:val="14"/>
                <w:color w:val="auto"/>
              </w:rPr>
            </w:pP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23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Components of net periodic benefit cost:</w:t>
            </w:r>
          </w:p>
        </w:tc>
        <w:tc>
          <w:tcPr>
            <w:tcW w:w="100" w:type="dxa"/>
            <w:vAlign w:val="bottom"/>
          </w:tcPr>
          <w:p>
            <w:pPr>
              <w:spacing w:after="0"/>
              <w:rPr>
                <w:sz w:val="16"/>
                <w:szCs w:val="16"/>
                <w:color w:val="auto"/>
              </w:rPr>
            </w:pPr>
          </w:p>
        </w:tc>
        <w:tc>
          <w:tcPr>
            <w:tcW w:w="94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b w:val="1"/>
                <w:bCs w:val="1"/>
                <w:color w:val="auto"/>
              </w:rPr>
              <w:t>$ 2,543</w:t>
            </w: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gridSpan w:val="3"/>
          </w:tcPr>
          <w:p>
            <w:pPr>
              <w:spacing w:after="0" w:line="181" w:lineRule="exact"/>
              <w:rPr>
                <w:sz w:val="20"/>
                <w:szCs w:val="20"/>
                <w:color w:val="auto"/>
              </w:rPr>
            </w:pPr>
            <w:r>
              <w:rPr>
                <w:rFonts w:ascii="Arial" w:cs="Arial" w:eastAsia="Arial" w:hAnsi="Arial"/>
                <w:sz w:val="18"/>
                <w:szCs w:val="18"/>
                <w:color w:val="auto"/>
              </w:rPr>
              <w:t>Service cost</w:t>
            </w:r>
          </w:p>
        </w:tc>
        <w:tc>
          <w:tcPr>
            <w:tcW w:w="940" w:type="dxa"/>
            <w:vAlign w:val="bottom"/>
            <w:vMerge w:val="continue"/>
          </w:tcPr>
          <w:p>
            <w:pPr>
              <w:spacing w:after="0"/>
              <w:rPr>
                <w:sz w:val="15"/>
                <w:szCs w:val="15"/>
                <w:color w:val="auto"/>
              </w:rPr>
            </w:pPr>
          </w:p>
        </w:tc>
        <w:tc>
          <w:tcPr>
            <w:tcW w:w="1060" w:type="dxa"/>
            <w:vAlign w:val="bottom"/>
            <w:gridSpan w:val="2"/>
          </w:tcPr>
          <w:p>
            <w:pPr>
              <w:jc w:val="right"/>
              <w:ind w:right="90"/>
              <w:spacing w:after="0" w:line="181" w:lineRule="exact"/>
              <w:rPr>
                <w:sz w:val="20"/>
                <w:szCs w:val="20"/>
                <w:color w:val="auto"/>
              </w:rPr>
            </w:pPr>
            <w:r>
              <w:rPr>
                <w:rFonts w:ascii="Arial" w:cs="Arial" w:eastAsia="Arial" w:hAnsi="Arial"/>
                <w:sz w:val="18"/>
                <w:szCs w:val="18"/>
                <w:color w:val="auto"/>
              </w:rPr>
              <w:t>$ 2,723</w:t>
            </w:r>
          </w:p>
        </w:tc>
        <w:tc>
          <w:tcPr>
            <w:tcW w:w="100" w:type="dxa"/>
            <w:vAlign w:val="bottom"/>
          </w:tcPr>
          <w:p>
            <w:pPr>
              <w:spacing w:after="0"/>
              <w:rPr>
                <w:sz w:val="15"/>
                <w:szCs w:val="15"/>
                <w:color w:val="auto"/>
              </w:rPr>
            </w:pPr>
          </w:p>
        </w:tc>
        <w:tc>
          <w:tcPr>
            <w:tcW w:w="940" w:type="dxa"/>
            <w:vAlign w:val="bottom"/>
          </w:tcPr>
          <w:p>
            <w:pPr>
              <w:jc w:val="right"/>
              <w:ind w:right="71"/>
              <w:spacing w:after="0" w:line="181" w:lineRule="exact"/>
              <w:rPr>
                <w:sz w:val="20"/>
                <w:szCs w:val="20"/>
                <w:color w:val="auto"/>
              </w:rPr>
            </w:pPr>
            <w:r>
              <w:rPr>
                <w:rFonts w:ascii="Arial" w:cs="Arial" w:eastAsia="Arial" w:hAnsi="Arial"/>
                <w:sz w:val="18"/>
                <w:szCs w:val="18"/>
                <w:color w:val="auto"/>
              </w:rPr>
              <w:t>$ 2,720</w:t>
            </w:r>
          </w:p>
        </w:tc>
        <w:tc>
          <w:tcPr>
            <w:tcW w:w="1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91"/>
              <w:spacing w:after="0" w:line="181" w:lineRule="exact"/>
              <w:rPr>
                <w:sz w:val="20"/>
                <w:szCs w:val="20"/>
                <w:color w:val="auto"/>
              </w:rPr>
            </w:pPr>
            <w:r>
              <w:rPr>
                <w:rFonts w:ascii="Arial" w:cs="Arial" w:eastAsia="Arial" w:hAnsi="Arial"/>
                <w:sz w:val="18"/>
                <w:szCs w:val="18"/>
                <w:color w:val="auto"/>
              </w:rPr>
              <w:t>232</w:t>
            </w:r>
          </w:p>
        </w:tc>
        <w:tc>
          <w:tcPr>
            <w:tcW w:w="80" w:type="dxa"/>
            <w:vAlign w:val="bottom"/>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91"/>
              <w:spacing w:after="0" w:line="181"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7,216</w:t>
            </w: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7,217</w:t>
            </w:r>
          </w:p>
        </w:tc>
        <w:tc>
          <w:tcPr>
            <w:tcW w:w="10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7,476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2,114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91"/>
              <w:spacing w:after="0" w:line="202" w:lineRule="exact"/>
              <w:rPr>
                <w:sz w:val="20"/>
                <w:szCs w:val="20"/>
                <w:color w:val="auto"/>
              </w:rPr>
            </w:pPr>
            <w:r>
              <w:rPr>
                <w:rFonts w:ascii="Arial" w:cs="Arial" w:eastAsia="Arial" w:hAnsi="Arial"/>
                <w:sz w:val="18"/>
                <w:szCs w:val="18"/>
                <w:color w:val="auto"/>
                <w:w w:val="97"/>
              </w:rPr>
              <w:t>2,214</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Expected return on assets</w:t>
            </w: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(8,285)</w:t>
            </w:r>
          </w:p>
        </w:tc>
        <w:tc>
          <w:tcPr>
            <w:tcW w:w="10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(8,873)</w:t>
            </w:r>
          </w:p>
        </w:tc>
        <w:tc>
          <w:tcPr>
            <w:tcW w:w="10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(8,152)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940" w:type="dxa"/>
            <w:vAlign w:val="bottom"/>
          </w:tcPr>
          <w:p>
            <w:pPr>
              <w:jc w:val="center"/>
              <w:ind w:left="291"/>
              <w:spacing w:after="0" w:line="202" w:lineRule="exact"/>
              <w:rPr>
                <w:sz w:val="20"/>
                <w:szCs w:val="20"/>
                <w:color w:val="auto"/>
              </w:rPr>
            </w:pPr>
            <w:r>
              <w:rPr>
                <w:rFonts w:ascii="Arial" w:cs="Arial" w:eastAsia="Arial" w:hAnsi="Arial"/>
                <w:sz w:val="18"/>
                <w:szCs w:val="18"/>
                <w:b w:val="1"/>
                <w:bCs w:val="1"/>
                <w:color w:val="auto"/>
                <w:w w:val="99"/>
              </w:rPr>
              <w:t>68</w:t>
            </w:r>
          </w:p>
        </w:tc>
        <w:tc>
          <w:tcPr>
            <w:tcW w:w="10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940" w:type="dxa"/>
            <w:vAlign w:val="bottom"/>
          </w:tcPr>
          <w:p>
            <w:pPr>
              <w:jc w:val="center"/>
              <w:ind w:left="291"/>
              <w:spacing w:after="0" w:line="202" w:lineRule="exact"/>
              <w:rPr>
                <w:sz w:val="20"/>
                <w:szCs w:val="20"/>
                <w:color w:val="auto"/>
              </w:rPr>
            </w:pPr>
            <w:r>
              <w:rPr>
                <w:rFonts w:ascii="Arial" w:cs="Arial" w:eastAsia="Arial" w:hAnsi="Arial"/>
                <w:sz w:val="18"/>
                <w:szCs w:val="18"/>
                <w:color w:val="auto"/>
                <w:w w:val="99"/>
              </w:rPr>
              <w:t>36</w:t>
            </w:r>
          </w:p>
        </w:tc>
        <w:tc>
          <w:tcPr>
            <w:tcW w:w="100" w:type="dxa"/>
            <w:vAlign w:val="bottom"/>
          </w:tcPr>
          <w:p>
            <w:pPr>
              <w:spacing w:after="0"/>
              <w:rPr>
                <w:sz w:val="17"/>
                <w:szCs w:val="17"/>
                <w:color w:val="auto"/>
              </w:rPr>
            </w:pPr>
          </w:p>
        </w:tc>
        <w:tc>
          <w:tcPr>
            <w:tcW w:w="920" w:type="dxa"/>
            <w:vAlign w:val="bottom"/>
            <w:gridSpan w:val="2"/>
          </w:tcPr>
          <w:p>
            <w:pPr>
              <w:jc w:val="right"/>
              <w:ind w:right="32"/>
              <w:spacing w:after="0" w:line="202" w:lineRule="exact"/>
              <w:rPr>
                <w:sz w:val="20"/>
                <w:szCs w:val="20"/>
                <w:color w:val="auto"/>
              </w:rPr>
            </w:pPr>
            <w:r>
              <w:rPr>
                <w:rFonts w:ascii="Arial" w:cs="Arial" w:eastAsia="Arial" w:hAnsi="Arial"/>
                <w:sz w:val="18"/>
                <w:szCs w:val="18"/>
                <w:b w:val="1"/>
                <w:bCs w:val="1"/>
                <w:color w:val="auto"/>
              </w:rPr>
              <w:t>(4,488)</w:t>
            </w:r>
          </w:p>
        </w:tc>
        <w:tc>
          <w:tcPr>
            <w:tcW w:w="100" w:type="dxa"/>
            <w:vAlign w:val="bottom"/>
          </w:tcPr>
          <w:p>
            <w:pPr>
              <w:spacing w:after="0"/>
              <w:rPr>
                <w:sz w:val="17"/>
                <w:szCs w:val="17"/>
                <w:color w:val="auto"/>
              </w:rPr>
            </w:pPr>
          </w:p>
        </w:tc>
        <w:tc>
          <w:tcPr>
            <w:tcW w:w="940" w:type="dxa"/>
            <w:vAlign w:val="bottom"/>
            <w:gridSpan w:val="2"/>
          </w:tcPr>
          <w:p>
            <w:pPr>
              <w:jc w:val="right"/>
              <w:ind w:right="31"/>
              <w:spacing w:after="0" w:line="202" w:lineRule="exact"/>
              <w:rPr>
                <w:sz w:val="20"/>
                <w:szCs w:val="20"/>
                <w:color w:val="auto"/>
              </w:rPr>
            </w:pPr>
            <w:r>
              <w:rPr>
                <w:rFonts w:ascii="Arial" w:cs="Arial" w:eastAsia="Arial" w:hAnsi="Arial"/>
                <w:sz w:val="18"/>
                <w:szCs w:val="18"/>
                <w:color w:val="auto"/>
              </w:rPr>
              <w:t>(4,488)</w:t>
            </w:r>
          </w:p>
        </w:tc>
        <w:tc>
          <w:tcPr>
            <w:tcW w:w="80" w:type="dxa"/>
            <w:vAlign w:val="bottom"/>
          </w:tcPr>
          <w:p>
            <w:pPr>
              <w:spacing w:after="0"/>
              <w:rPr>
                <w:sz w:val="17"/>
                <w:szCs w:val="17"/>
                <w:color w:val="auto"/>
              </w:rPr>
            </w:pPr>
          </w:p>
        </w:tc>
        <w:tc>
          <w:tcPr>
            <w:tcW w:w="940" w:type="dxa"/>
            <w:vAlign w:val="bottom"/>
            <w:gridSpan w:val="2"/>
          </w:tcPr>
          <w:p>
            <w:pPr>
              <w:jc w:val="right"/>
              <w:ind w:right="31"/>
              <w:spacing w:after="0" w:line="202" w:lineRule="exact"/>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 net actuarial loss</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2,253</w:t>
            </w: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2,219</w:t>
            </w:r>
          </w:p>
        </w:tc>
        <w:tc>
          <w:tcPr>
            <w:tcW w:w="10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2,628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2,227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2,956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91"/>
              <w:spacing w:after="0" w:line="202" w:lineRule="exact"/>
              <w:rPr>
                <w:sz w:val="20"/>
                <w:szCs w:val="20"/>
                <w:color w:val="auto"/>
              </w:rPr>
            </w:pPr>
            <w:r>
              <w:rPr>
                <w:rFonts w:ascii="Arial" w:cs="Arial" w:eastAsia="Arial" w:hAnsi="Arial"/>
                <w:sz w:val="18"/>
                <w:szCs w:val="18"/>
                <w:color w:val="auto"/>
                <w:w w:val="97"/>
              </w:rPr>
              <w:t>2,811</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Settlement</w:t>
            </w:r>
          </w:p>
        </w:tc>
        <w:tc>
          <w:tcPr>
            <w:tcW w:w="940" w:type="dxa"/>
            <w:vAlign w:val="bottom"/>
          </w:tcPr>
          <w:p>
            <w:pPr>
              <w:jc w:val="center"/>
              <w:ind w:left="291"/>
              <w:spacing w:after="0" w:line="202" w:lineRule="exact"/>
              <w:rPr>
                <w:sz w:val="20"/>
                <w:szCs w:val="20"/>
                <w:color w:val="auto"/>
              </w:rPr>
            </w:pPr>
            <w:r>
              <w:rPr>
                <w:rFonts w:ascii="Arial" w:cs="Arial" w:eastAsia="Arial" w:hAnsi="Arial"/>
                <w:sz w:val="18"/>
                <w:szCs w:val="18"/>
                <w:b w:val="1"/>
                <w:bCs w:val="1"/>
                <w:color w:val="auto"/>
                <w:w w:val="99"/>
              </w:rPr>
              <w:t>(16)</w:t>
            </w: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2,246</w:t>
            </w:r>
          </w:p>
        </w:tc>
        <w:tc>
          <w:tcPr>
            <w:tcW w:w="100" w:type="dxa"/>
            <w:vAlign w:val="bottom"/>
          </w:tcPr>
          <w:p>
            <w:pPr>
              <w:spacing w:after="0"/>
              <w:rPr>
                <w:sz w:val="17"/>
                <w:szCs w:val="17"/>
                <w:color w:val="auto"/>
              </w:rPr>
            </w:pPr>
          </w:p>
        </w:tc>
        <w:tc>
          <w:tcPr>
            <w:tcW w:w="1040" w:type="dxa"/>
            <w:vAlign w:val="bottom"/>
            <w:gridSpan w:val="2"/>
          </w:tcPr>
          <w:p>
            <w:pPr>
              <w:jc w:val="center"/>
              <w:ind w:left="171"/>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74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80" w:type="dxa"/>
            <w:vAlign w:val="bottom"/>
            <w:gridSpan w:val="3"/>
          </w:tcPr>
          <w:p>
            <w:pPr>
              <w:spacing w:after="0"/>
              <w:rPr>
                <w:sz w:val="20"/>
                <w:szCs w:val="20"/>
                <w:color w:val="auto"/>
              </w:rPr>
            </w:pPr>
            <w:r>
              <w:rPr>
                <w:rFonts w:ascii="Arial" w:cs="Arial" w:eastAsia="Arial" w:hAnsi="Arial"/>
                <w:sz w:val="18"/>
                <w:szCs w:val="18"/>
                <w:color w:val="auto"/>
              </w:rPr>
              <w:t>Curtailment (gain)/loss</w:t>
            </w:r>
          </w:p>
        </w:tc>
        <w:tc>
          <w:tcPr>
            <w:tcW w:w="940" w:type="dxa"/>
            <w:vAlign w:val="bottom"/>
          </w:tcPr>
          <w:p>
            <w:pPr>
              <w:jc w:val="right"/>
              <w:ind w:right="91"/>
              <w:spacing w:after="0"/>
              <w:rPr>
                <w:sz w:val="20"/>
                <w:szCs w:val="20"/>
                <w:color w:val="auto"/>
              </w:rPr>
            </w:pPr>
            <w:r>
              <w:rPr>
                <w:rFonts w:ascii="Arial" w:cs="Arial" w:eastAsia="Arial" w:hAnsi="Arial"/>
                <w:sz w:val="18"/>
                <w:szCs w:val="18"/>
                <w:b w:val="1"/>
                <w:bCs w:val="1"/>
                <w:color w:val="auto"/>
              </w:rPr>
              <w:t>466</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040" w:type="dxa"/>
            <w:vAlign w:val="bottom"/>
            <w:gridSpan w:val="2"/>
          </w:tcPr>
          <w:p>
            <w:pPr>
              <w:jc w:val="center"/>
              <w:ind w:left="171"/>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80" w:type="dxa"/>
            <w:vAlign w:val="bottom"/>
            <w:gridSpan w:val="3"/>
          </w:tcPr>
          <w:p>
            <w:pPr>
              <w:spacing w:after="0" w:line="196" w:lineRule="exact"/>
              <w:rPr>
                <w:sz w:val="20"/>
                <w:szCs w:val="20"/>
                <w:color w:val="auto"/>
              </w:rPr>
            </w:pPr>
            <w:r>
              <w:rPr>
                <w:rFonts w:ascii="Arial" w:cs="Arial" w:eastAsia="Arial" w:hAnsi="Arial"/>
                <w:sz w:val="18"/>
                <w:szCs w:val="18"/>
                <w:color w:val="auto"/>
              </w:rPr>
              <w:t>Net periodic benefit cost</w:t>
            </w:r>
          </w:p>
        </w:tc>
        <w:tc>
          <w:tcPr>
            <w:tcW w:w="940" w:type="dxa"/>
            <w:vAlign w:val="bottom"/>
            <w:tcBorders>
              <w:top w:val="single" w:sz="8" w:color="auto"/>
              <w:bottom w:val="single" w:sz="8" w:color="auto"/>
            </w:tcBorders>
          </w:tcPr>
          <w:p>
            <w:pPr>
              <w:jc w:val="right"/>
              <w:ind w:right="71"/>
              <w:spacing w:after="0" w:line="196" w:lineRule="exact"/>
              <w:rPr>
                <w:sz w:val="20"/>
                <w:szCs w:val="20"/>
                <w:color w:val="auto"/>
              </w:rPr>
            </w:pPr>
            <w:r>
              <w:rPr>
                <w:rFonts w:ascii="Arial" w:cs="Arial" w:eastAsia="Arial" w:hAnsi="Arial"/>
                <w:sz w:val="18"/>
                <w:szCs w:val="18"/>
                <w:b w:val="1"/>
                <w:bCs w:val="1"/>
                <w:color w:val="auto"/>
              </w:rPr>
              <w:t>$ 4,245</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$ 4,814</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$ 4,708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ind w:left="260"/>
              <w:spacing w:after="0" w:line="196" w:lineRule="exact"/>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724</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384"/>
        </w:trPr>
        <w:tc>
          <w:tcPr>
            <w:tcW w:w="4280" w:type="dxa"/>
            <w:vAlign w:val="bottom"/>
            <w:gridSpan w:val="3"/>
          </w:tcPr>
          <w:p>
            <w:pPr>
              <w:spacing w:after="0"/>
              <w:rPr>
                <w:sz w:val="20"/>
                <w:szCs w:val="20"/>
                <w:color w:val="auto"/>
              </w:rPr>
            </w:pPr>
            <w:r>
              <w:rPr>
                <w:rFonts w:ascii="Arial" w:cs="Arial" w:eastAsia="Arial" w:hAnsi="Arial"/>
                <w:sz w:val="18"/>
                <w:szCs w:val="18"/>
                <w:color w:val="auto"/>
              </w:rPr>
              <w:t>Weighted average assumptions used to determine</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net cost:</w:t>
            </w: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4.41%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80" w:type="dxa"/>
            <w:vAlign w:val="bottom"/>
            <w:gridSpan w:val="3"/>
          </w:tcPr>
          <w:p>
            <w:pPr>
              <w:spacing w:after="0" w:line="181" w:lineRule="exact"/>
              <w:rPr>
                <w:sz w:val="20"/>
                <w:szCs w:val="20"/>
                <w:color w:val="auto"/>
              </w:rPr>
            </w:pPr>
            <w:r>
              <w:rPr>
                <w:rFonts w:ascii="Arial" w:cs="Arial" w:eastAsia="Arial" w:hAnsi="Arial"/>
                <w:sz w:val="18"/>
                <w:szCs w:val="18"/>
                <w:color w:val="auto"/>
              </w:rPr>
              <w:t>Discount rate — U.S. plan</w:t>
            </w:r>
          </w:p>
        </w:tc>
        <w:tc>
          <w:tcPr>
            <w:tcW w:w="940" w:type="dxa"/>
            <w:vAlign w:val="bottom"/>
            <w:vMerge w:val="continue"/>
          </w:tcPr>
          <w:p>
            <w:pPr>
              <w:spacing w:after="0"/>
              <w:rPr>
                <w:sz w:val="15"/>
                <w:szCs w:val="15"/>
                <w:color w:val="auto"/>
              </w:rPr>
            </w:pPr>
          </w:p>
        </w:tc>
        <w:tc>
          <w:tcPr>
            <w:tcW w:w="1060" w:type="dxa"/>
            <w:vAlign w:val="bottom"/>
            <w:gridSpan w:val="2"/>
          </w:tcPr>
          <w:p>
            <w:pPr>
              <w:jc w:val="right"/>
              <w:ind w:right="10"/>
              <w:spacing w:after="0" w:line="181" w:lineRule="exact"/>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940" w:type="dxa"/>
            <w:vAlign w:val="bottom"/>
          </w:tcPr>
          <w:p>
            <w:pPr>
              <w:jc w:val="right"/>
              <w:ind w:right="11"/>
              <w:spacing w:after="0" w:line="181"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40"/>
              <w:spacing w:after="0" w:line="181" w:lineRule="exact"/>
              <w:rPr>
                <w:sz w:val="20"/>
                <w:szCs w:val="20"/>
                <w:color w:val="auto"/>
              </w:rPr>
            </w:pPr>
            <w:r>
              <w:rPr>
                <w:rFonts w:ascii="Arial" w:cs="Arial" w:eastAsia="Arial" w:hAnsi="Arial"/>
                <w:sz w:val="18"/>
                <w:szCs w:val="18"/>
                <w:color w:val="auto"/>
              </w:rPr>
              <w:t>3.59%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1"/>
              <w:spacing w:after="0" w:line="181"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Discount rate — non-U.S. plans</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2.98%</w:t>
            </w:r>
          </w:p>
        </w:tc>
        <w:tc>
          <w:tcPr>
            <w:tcW w:w="10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2.83%</w:t>
            </w:r>
          </w:p>
        </w:tc>
        <w:tc>
          <w:tcPr>
            <w:tcW w:w="100" w:type="dxa"/>
            <w:vAlign w:val="bottom"/>
          </w:tcPr>
          <w:p>
            <w:pPr>
              <w:spacing w:after="0"/>
              <w:rPr>
                <w:sz w:val="17"/>
                <w:szCs w:val="17"/>
                <w:color w:val="auto"/>
              </w:rPr>
            </w:pP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ind w:left="40"/>
              <w:spacing w:after="0" w:line="202" w:lineRule="exact"/>
              <w:rPr>
                <w:sz w:val="20"/>
                <w:szCs w:val="20"/>
                <w:color w:val="auto"/>
              </w:rPr>
            </w:pPr>
            <w:r>
              <w:rPr>
                <w:rFonts w:ascii="Arial" w:cs="Arial" w:eastAsia="Arial" w:hAnsi="Arial"/>
                <w:sz w:val="18"/>
                <w:szCs w:val="18"/>
                <w:color w:val="auto"/>
              </w:rPr>
              <w:t>3.40%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Expected return on plan assets — U.S. plan</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4.57%</w:t>
            </w:r>
          </w:p>
        </w:tc>
        <w:tc>
          <w:tcPr>
            <w:tcW w:w="10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3.87%</w:t>
            </w:r>
          </w:p>
        </w:tc>
        <w:tc>
          <w:tcPr>
            <w:tcW w:w="100" w:type="dxa"/>
            <w:vAlign w:val="bottom"/>
          </w:tcPr>
          <w:p>
            <w:pPr>
              <w:spacing w:after="0"/>
              <w:rPr>
                <w:sz w:val="17"/>
                <w:szCs w:val="17"/>
                <w:color w:val="auto"/>
              </w:rPr>
            </w:pP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Expected return on plan assets — non-U.S. plans</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4.45%</w:t>
            </w:r>
          </w:p>
        </w:tc>
        <w:tc>
          <w:tcPr>
            <w:tcW w:w="10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4.83%</w:t>
            </w:r>
          </w:p>
        </w:tc>
        <w:tc>
          <w:tcPr>
            <w:tcW w:w="100" w:type="dxa"/>
            <w:vAlign w:val="bottom"/>
          </w:tcPr>
          <w:p>
            <w:pPr>
              <w:spacing w:after="0"/>
              <w:rPr>
                <w:sz w:val="17"/>
                <w:szCs w:val="17"/>
                <w:color w:val="auto"/>
              </w:rPr>
            </w:pP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Rate of compensation increase — U.S. plan</w:t>
            </w:r>
          </w:p>
        </w:tc>
        <w:tc>
          <w:tcPr>
            <w:tcW w:w="940" w:type="dxa"/>
            <w:vAlign w:val="bottom"/>
          </w:tcPr>
          <w:p>
            <w:pPr>
              <w:jc w:val="center"/>
              <w:ind w:left="271"/>
              <w:spacing w:after="0" w:line="202" w:lineRule="exact"/>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7"/>
                <w:szCs w:val="17"/>
                <w:color w:val="auto"/>
              </w:rPr>
            </w:pPr>
          </w:p>
        </w:tc>
        <w:tc>
          <w:tcPr>
            <w:tcW w:w="10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71"/>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6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280" w:type="dxa"/>
            <w:vAlign w:val="bottom"/>
            <w:gridSpan w:val="3"/>
          </w:tcPr>
          <w:p>
            <w:pPr>
              <w:spacing w:after="0"/>
              <w:rPr>
                <w:sz w:val="20"/>
                <w:szCs w:val="20"/>
                <w:color w:val="auto"/>
              </w:rPr>
            </w:pPr>
            <w:r>
              <w:rPr>
                <w:rFonts w:ascii="Arial" w:cs="Arial" w:eastAsia="Arial" w:hAnsi="Arial"/>
                <w:sz w:val="18"/>
                <w:szCs w:val="18"/>
                <w:color w:val="auto"/>
              </w:rPr>
              <w:t>Rate of compensation increase — non-U.S. plans</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3.02%</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firstLine="378"/>
        <w:spacing w:after="0" w:line="246" w:lineRule="auto"/>
        <w:rPr>
          <w:sz w:val="20"/>
          <w:szCs w:val="20"/>
          <w:color w:val="auto"/>
        </w:rPr>
      </w:pPr>
      <w:r>
        <w:rPr>
          <w:rFonts w:ascii="Arial" w:cs="Arial" w:eastAsia="Arial" w:hAnsi="Arial"/>
          <w:sz w:val="18"/>
          <w:szCs w:val="18"/>
          <w:color w:val="auto"/>
        </w:rPr>
        <w:t>Pretax (gains)/losses on plan assets and benefit obligations recognized in other comprehensive income for the years ended December 31, 2019, 2018, and 2017, was as follows: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right"/>
              <w:ind w:right="394"/>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69"/>
        </w:trPr>
        <w:tc>
          <w:tcPr>
            <w:tcW w:w="4280" w:type="dxa"/>
            <w:vAlign w:val="bottom"/>
            <w:gridSpan w:val="3"/>
            <w:vMerge w:val="continue"/>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Settlements/curtailments</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ind w:right="33"/>
              <w:spacing w:after="0" w:line="173" w:lineRule="exact"/>
              <w:rPr>
                <w:sz w:val="20"/>
                <w:szCs w:val="20"/>
                <w:color w:val="auto"/>
              </w:rPr>
            </w:pPr>
            <w:r>
              <w:rPr>
                <w:rFonts w:ascii="Arial" w:cs="Arial" w:eastAsia="Arial" w:hAnsi="Arial"/>
                <w:sz w:val="18"/>
                <w:szCs w:val="18"/>
                <w:b w:val="1"/>
                <w:bCs w:val="1"/>
                <w:color w:val="auto"/>
              </w:rPr>
              <w:t>$  (450)</w:t>
            </w: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color w:val="auto"/>
              </w:rPr>
              <w:t>$(1,494)</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94"/>
              <w:spacing w:after="0" w:line="17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tcPr>
          <w:p>
            <w:pPr>
              <w:jc w:val="right"/>
              <w:ind w:right="96"/>
              <w:spacing w:after="0" w:line="17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14"/>
              <w:spacing w:after="0" w:line="17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14"/>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Asset/liability loss/(gain)</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(2,794)</w:t>
            </w: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6,411</w:t>
            </w:r>
          </w:p>
        </w:tc>
        <w:tc>
          <w:tcPr>
            <w:tcW w:w="100" w:type="dxa"/>
            <w:vAlign w:val="bottom"/>
          </w:tcPr>
          <w:p>
            <w:pPr>
              <w:spacing w:after="0"/>
              <w:rPr>
                <w:sz w:val="17"/>
                <w:szCs w:val="17"/>
                <w:color w:val="auto"/>
              </w:rPr>
            </w:pPr>
          </w:p>
        </w:tc>
        <w:tc>
          <w:tcPr>
            <w:tcW w:w="9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(4,408)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4,685</w:t>
            </w:r>
          </w:p>
        </w:tc>
        <w:tc>
          <w:tcPr>
            <w:tcW w:w="100" w:type="dxa"/>
            <w:vAlign w:val="bottom"/>
          </w:tcPr>
          <w:p>
            <w:pPr>
              <w:spacing w:after="0"/>
              <w:rPr>
                <w:sz w:val="17"/>
                <w:szCs w:val="17"/>
                <w:color w:val="auto"/>
              </w:rPr>
            </w:pPr>
          </w:p>
        </w:tc>
        <w:tc>
          <w:tcPr>
            <w:tcW w:w="9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(6,100)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94"/>
              <w:spacing w:after="0" w:line="202" w:lineRule="exact"/>
              <w:rPr>
                <w:sz w:val="20"/>
                <w:szCs w:val="20"/>
                <w:color w:val="auto"/>
              </w:rPr>
            </w:pPr>
            <w:r>
              <w:rPr>
                <w:rFonts w:ascii="Arial" w:cs="Arial" w:eastAsia="Arial" w:hAnsi="Arial"/>
                <w:sz w:val="18"/>
                <w:szCs w:val="18"/>
                <w:color w:val="auto"/>
                <w:w w:val="97"/>
              </w:rPr>
              <w:t>2,743</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(2,253)</w:t>
            </w:r>
          </w:p>
        </w:tc>
        <w:tc>
          <w:tcPr>
            <w:tcW w:w="10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(2,219)</w:t>
            </w:r>
          </w:p>
        </w:tc>
        <w:tc>
          <w:tcPr>
            <w:tcW w:w="100" w:type="dxa"/>
            <w:vAlign w:val="bottom"/>
          </w:tcPr>
          <w:p>
            <w:pPr>
              <w:spacing w:after="0"/>
              <w:rPr>
                <w:sz w:val="17"/>
                <w:szCs w:val="17"/>
                <w:color w:val="auto"/>
              </w:rPr>
            </w:pPr>
          </w:p>
        </w:tc>
        <w:tc>
          <w:tcPr>
            <w:tcW w:w="9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(2,628)</w:t>
            </w:r>
          </w:p>
        </w:tc>
        <w:tc>
          <w:tcPr>
            <w:tcW w:w="100" w:type="dxa"/>
            <w:vAlign w:val="bottom"/>
          </w:tcPr>
          <w:p>
            <w:pPr>
              <w:spacing w:after="0"/>
              <w:rPr>
                <w:sz w:val="17"/>
                <w:szCs w:val="17"/>
                <w:color w:val="auto"/>
              </w:rPr>
            </w:pPr>
          </w:p>
        </w:tc>
        <w:tc>
          <w:tcPr>
            <w:tcW w:w="920" w:type="dxa"/>
            <w:vAlign w:val="bottom"/>
            <w:gridSpan w:val="2"/>
          </w:tcPr>
          <w:p>
            <w:pPr>
              <w:jc w:val="right"/>
              <w:ind w:right="36"/>
              <w:spacing w:after="0" w:line="202" w:lineRule="exact"/>
              <w:rPr>
                <w:sz w:val="20"/>
                <w:szCs w:val="20"/>
                <w:color w:val="auto"/>
              </w:rPr>
            </w:pPr>
            <w:r>
              <w:rPr>
                <w:rFonts w:ascii="Arial" w:cs="Arial" w:eastAsia="Arial" w:hAnsi="Arial"/>
                <w:sz w:val="18"/>
                <w:szCs w:val="18"/>
                <w:b w:val="1"/>
                <w:bCs w:val="1"/>
                <w:color w:val="auto"/>
              </w:rPr>
              <w:t>(2,227)</w:t>
            </w:r>
          </w:p>
        </w:tc>
        <w:tc>
          <w:tcPr>
            <w:tcW w:w="100" w:type="dxa"/>
            <w:vAlign w:val="bottom"/>
          </w:tcPr>
          <w:p>
            <w:pPr>
              <w:spacing w:after="0"/>
              <w:rPr>
                <w:sz w:val="17"/>
                <w:szCs w:val="17"/>
                <w:color w:val="auto"/>
              </w:rPr>
            </w:pPr>
          </w:p>
        </w:tc>
        <w:tc>
          <w:tcPr>
            <w:tcW w:w="9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(2,956)</w:t>
            </w:r>
          </w:p>
        </w:tc>
        <w:tc>
          <w:tcPr>
            <w:tcW w:w="80" w:type="dxa"/>
            <w:vAlign w:val="bottom"/>
          </w:tcPr>
          <w:p>
            <w:pPr>
              <w:spacing w:after="0"/>
              <w:rPr>
                <w:sz w:val="17"/>
                <w:szCs w:val="17"/>
                <w:color w:val="auto"/>
              </w:rPr>
            </w:pPr>
          </w:p>
        </w:tc>
        <w:tc>
          <w:tcPr>
            <w:tcW w:w="9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(68)</w:t>
            </w:r>
          </w:p>
        </w:tc>
        <w:tc>
          <w:tcPr>
            <w:tcW w:w="10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4,488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94"/>
              <w:spacing w:after="0" w:line="202" w:lineRule="exact"/>
              <w:rPr>
                <w:sz w:val="20"/>
                <w:szCs w:val="20"/>
                <w:color w:val="auto"/>
              </w:rPr>
            </w:pPr>
            <w:r>
              <w:rPr>
                <w:rFonts w:ascii="Arial" w:cs="Arial" w:eastAsia="Arial" w:hAnsi="Arial"/>
                <w:sz w:val="18"/>
                <w:szCs w:val="18"/>
                <w:color w:val="auto"/>
                <w:w w:val="97"/>
              </w:rPr>
              <w:t>4,488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94"/>
              <w:spacing w:after="0" w:line="202" w:lineRule="exact"/>
              <w:rPr>
                <w:sz w:val="20"/>
                <w:szCs w:val="20"/>
                <w:color w:val="auto"/>
              </w:rPr>
            </w:pPr>
            <w:r>
              <w:rPr>
                <w:rFonts w:ascii="Arial" w:cs="Arial" w:eastAsia="Arial" w:hAnsi="Arial"/>
                <w:sz w:val="18"/>
                <w:szCs w:val="18"/>
                <w:color w:val="auto"/>
                <w:w w:val="97"/>
              </w:rPr>
              <w:t>4,488</w:t>
            </w:r>
          </w:p>
        </w:tc>
        <w:tc>
          <w:tcPr>
            <w:tcW w:w="0" w:type="dxa"/>
            <w:vAlign w:val="bottom"/>
          </w:tcPr>
          <w:p>
            <w:pPr>
              <w:spacing w:after="0"/>
              <w:rPr>
                <w:sz w:val="1"/>
                <w:szCs w:val="1"/>
                <w:color w:val="auto"/>
              </w:rPr>
            </w:pPr>
          </w:p>
        </w:tc>
      </w:tr>
      <w:tr>
        <w:trPr>
          <w:trHeight w:val="225"/>
        </w:trPr>
        <w:tc>
          <w:tcPr>
            <w:tcW w:w="4280" w:type="dxa"/>
            <w:vAlign w:val="bottom"/>
            <w:gridSpan w:val="3"/>
          </w:tcPr>
          <w:p>
            <w:pPr>
              <w:spacing w:after="0"/>
              <w:rPr>
                <w:sz w:val="20"/>
                <w:szCs w:val="20"/>
                <w:color w:val="auto"/>
              </w:rPr>
            </w:pPr>
            <w:r>
              <w:rPr>
                <w:rFonts w:ascii="Arial" w:cs="Arial" w:eastAsia="Arial" w:hAnsi="Arial"/>
                <w:sz w:val="18"/>
                <w:szCs w:val="18"/>
                <w:color w:val="auto"/>
              </w:rPr>
              <w:t>Currency impact</w:t>
            </w:r>
          </w:p>
        </w:tc>
        <w:tc>
          <w:tcPr>
            <w:tcW w:w="940" w:type="dxa"/>
            <w:vAlign w:val="bottom"/>
          </w:tcPr>
          <w:p>
            <w:pPr>
              <w:jc w:val="right"/>
              <w:ind w:right="93"/>
              <w:spacing w:after="0"/>
              <w:rPr>
                <w:sz w:val="20"/>
                <w:szCs w:val="20"/>
                <w:color w:val="auto"/>
              </w:rPr>
            </w:pPr>
            <w:r>
              <w:rPr>
                <w:rFonts w:ascii="Arial" w:cs="Arial" w:eastAsia="Arial" w:hAnsi="Arial"/>
                <w:sz w:val="18"/>
                <w:szCs w:val="18"/>
                <w:b w:val="1"/>
                <w:bCs w:val="1"/>
                <w:color w:val="auto"/>
              </w:rPr>
              <w:t>316</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color w:val="auto"/>
                <w:w w:val="97"/>
              </w:rPr>
              <w:t>1,930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280" w:type="dxa"/>
            <w:vAlign w:val="bottom"/>
            <w:gridSpan w:val="3"/>
          </w:tcPr>
          <w:p>
            <w:pPr>
              <w:spacing w:after="0" w:line="196" w:lineRule="exact"/>
              <w:rPr>
                <w:sz w:val="20"/>
                <w:szCs w:val="20"/>
                <w:color w:val="auto"/>
              </w:rPr>
            </w:pPr>
            <w:r>
              <w:rPr>
                <w:rFonts w:ascii="Arial" w:cs="Arial" w:eastAsia="Arial" w:hAnsi="Arial"/>
                <w:sz w:val="18"/>
                <w:szCs w:val="18"/>
                <w:color w:val="auto"/>
              </w:rPr>
              <w:t>Cost/(benefit) in Other comprehensive income</w:t>
            </w:r>
          </w:p>
        </w:tc>
        <w:tc>
          <w:tcPr>
            <w:tcW w:w="94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$(5,249)</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$ 1,275</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14"/>
              <w:spacing w:after="0" w:line="196" w:lineRule="exact"/>
              <w:rPr>
                <w:sz w:val="20"/>
                <w:szCs w:val="20"/>
                <w:color w:val="auto"/>
              </w:rPr>
            </w:pPr>
            <w:r>
              <w:rPr>
                <w:rFonts w:ascii="Arial" w:cs="Arial" w:eastAsia="Arial" w:hAnsi="Arial"/>
                <w:sz w:val="18"/>
                <w:szCs w:val="18"/>
                <w:color w:val="auto"/>
              </w:rPr>
              <w:t>$(5,142)</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76"/>
              <w:spacing w:after="0" w:line="196" w:lineRule="exact"/>
              <w:rPr>
                <w:sz w:val="20"/>
                <w:szCs w:val="20"/>
                <w:color w:val="auto"/>
              </w:rPr>
            </w:pPr>
            <w:r>
              <w:rPr>
                <w:rFonts w:ascii="Arial" w:cs="Arial" w:eastAsia="Arial" w:hAnsi="Arial"/>
                <w:sz w:val="18"/>
                <w:szCs w:val="18"/>
                <w:b w:val="1"/>
                <w:bCs w:val="1"/>
                <w:color w:val="auto"/>
              </w:rPr>
              <w:t>$ 6,946</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34"/>
              <w:spacing w:after="0" w:line="196" w:lineRule="exact"/>
              <w:rPr>
                <w:sz w:val="20"/>
                <w:szCs w:val="20"/>
                <w:color w:val="auto"/>
              </w:rPr>
            </w:pPr>
            <w:r>
              <w:rPr>
                <w:rFonts w:ascii="Arial" w:cs="Arial" w:eastAsia="Arial" w:hAnsi="Arial"/>
                <w:sz w:val="18"/>
                <w:szCs w:val="18"/>
                <w:color w:val="auto"/>
              </w:rPr>
              <w:t>$(4,568)</w:t>
            </w:r>
          </w:p>
        </w:tc>
        <w:tc>
          <w:tcPr>
            <w:tcW w:w="8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94"/>
              <w:spacing w:after="0" w:line="196" w:lineRule="exact"/>
              <w:rPr>
                <w:sz w:val="20"/>
                <w:szCs w:val="20"/>
                <w:color w:val="auto"/>
              </w:rPr>
            </w:pPr>
            <w:r>
              <w:rPr>
                <w:rFonts w:ascii="Arial" w:cs="Arial" w:eastAsia="Arial" w:hAnsi="Arial"/>
                <w:sz w:val="18"/>
                <w:szCs w:val="18"/>
                <w:color w:val="auto"/>
              </w:rPr>
              <w:t>$ 4,422</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126" w:lineRule="exact"/>
        <w:rPr>
          <w:sz w:val="20"/>
          <w:szCs w:val="20"/>
          <w:color w:val="auto"/>
        </w:rPr>
      </w:pPr>
    </w:p>
    <w:p>
      <w:pPr>
        <w:ind w:right="80" w:firstLine="378"/>
        <w:spacing w:after="0" w:line="246"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2020 are as follows:</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postretirement</w:t>
            </w:r>
          </w:p>
        </w:tc>
      </w:tr>
      <w:tr>
        <w:trPr>
          <w:trHeight w:val="175"/>
        </w:trPr>
        <w:tc>
          <w:tcPr>
            <w:tcW w:w="75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pension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benefits</w:t>
            </w:r>
          </w:p>
        </w:tc>
      </w:tr>
      <w:tr>
        <w:trPr>
          <w:trHeight w:val="195"/>
        </w:trPr>
        <w:tc>
          <w:tcPr>
            <w:tcW w:w="20" w:type="dxa"/>
            <w:vAlign w:val="bottom"/>
          </w:tcPr>
          <w:p>
            <w:pPr>
              <w:spacing w:after="0"/>
              <w:rPr>
                <w:sz w:val="16"/>
                <w:szCs w:val="16"/>
                <w:color w:val="auto"/>
              </w:rPr>
            </w:pPr>
          </w:p>
        </w:tc>
        <w:tc>
          <w:tcPr>
            <w:tcW w:w="6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Actuarial loss</w:t>
            </w:r>
          </w:p>
        </w:tc>
        <w:tc>
          <w:tcPr>
            <w:tcW w:w="640" w:type="dxa"/>
            <w:vAlign w:val="bottom"/>
          </w:tcPr>
          <w:p>
            <w:pPr>
              <w:spacing w:after="0"/>
              <w:rPr>
                <w:sz w:val="16"/>
                <w:szCs w:val="16"/>
                <w:color w:val="auto"/>
              </w:rPr>
            </w:pPr>
          </w:p>
        </w:tc>
        <w:tc>
          <w:tcPr>
            <w:tcW w:w="1120" w:type="dxa"/>
            <w:vAlign w:val="bottom"/>
            <w:tcBorders>
              <w:top w:val="single" w:sz="8" w:color="auto"/>
            </w:tcBorders>
          </w:tcPr>
          <w:p>
            <w:pPr>
              <w:jc w:val="right"/>
              <w:ind w:right="214"/>
              <w:spacing w:after="0" w:line="195" w:lineRule="exact"/>
              <w:rPr>
                <w:sz w:val="20"/>
                <w:szCs w:val="20"/>
                <w:color w:val="auto"/>
              </w:rPr>
            </w:pPr>
            <w:r>
              <w:rPr>
                <w:rFonts w:ascii="Arial" w:cs="Arial" w:eastAsia="Arial" w:hAnsi="Arial"/>
                <w:sz w:val="18"/>
                <w:szCs w:val="18"/>
                <w:color w:val="auto"/>
              </w:rPr>
              <w:t>$2,409</w:t>
            </w:r>
          </w:p>
        </w:tc>
        <w:tc>
          <w:tcPr>
            <w:tcW w:w="620" w:type="dxa"/>
            <w:vAlign w:val="bottom"/>
          </w:tcPr>
          <w:p>
            <w:pPr>
              <w:spacing w:after="0"/>
              <w:rPr>
                <w:sz w:val="16"/>
                <w:szCs w:val="16"/>
                <w:color w:val="auto"/>
              </w:rPr>
            </w:pPr>
          </w:p>
        </w:tc>
        <w:tc>
          <w:tcPr>
            <w:tcW w:w="114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$ 2,592</w:t>
            </w:r>
          </w:p>
        </w:tc>
      </w:tr>
      <w:tr>
        <w:trPr>
          <w:trHeight w:val="203"/>
        </w:trPr>
        <w:tc>
          <w:tcPr>
            <w:tcW w:w="7520" w:type="dxa"/>
            <w:vAlign w:val="bottom"/>
            <w:gridSpan w:val="3"/>
          </w:tcPr>
          <w:p>
            <w:pPr>
              <w:spacing w:after="0" w:line="203" w:lineRule="exact"/>
              <w:rPr>
                <w:sz w:val="20"/>
                <w:szCs w:val="20"/>
                <w:color w:val="auto"/>
              </w:rPr>
            </w:pPr>
            <w:r>
              <w:rPr>
                <w:rFonts w:ascii="Arial" w:cs="Arial" w:eastAsia="Arial" w:hAnsi="Arial"/>
                <w:sz w:val="18"/>
                <w:szCs w:val="18"/>
                <w:color w:val="auto"/>
              </w:rPr>
              <w:t>Prior service cost/(benefit)</w:t>
            </w:r>
          </w:p>
        </w:tc>
        <w:tc>
          <w:tcPr>
            <w:tcW w:w="1120" w:type="dxa"/>
            <w:vAlign w:val="bottom"/>
            <w:tcBorders>
              <w:bottom w:val="single" w:sz="8" w:color="auto"/>
            </w:tcBorders>
          </w:tcPr>
          <w:p>
            <w:pPr>
              <w:jc w:val="right"/>
              <w:ind w:right="234"/>
              <w:spacing w:after="0" w:line="203" w:lineRule="exact"/>
              <w:rPr>
                <w:sz w:val="20"/>
                <w:szCs w:val="20"/>
                <w:color w:val="auto"/>
              </w:rPr>
            </w:pPr>
            <w:r>
              <w:rPr>
                <w:rFonts w:ascii="Arial" w:cs="Arial" w:eastAsia="Arial" w:hAnsi="Arial"/>
                <w:sz w:val="18"/>
                <w:szCs w:val="18"/>
                <w:color w:val="auto"/>
              </w:rPr>
              <w:t>32</w:t>
            </w:r>
          </w:p>
        </w:tc>
        <w:tc>
          <w:tcPr>
            <w:tcW w:w="620" w:type="dxa"/>
            <w:vAlign w:val="bottom"/>
          </w:tcPr>
          <w:p>
            <w:pPr>
              <w:spacing w:after="0"/>
              <w:rPr>
                <w:sz w:val="17"/>
                <w:szCs w:val="17"/>
                <w:color w:val="auto"/>
              </w:rPr>
            </w:pPr>
          </w:p>
        </w:tc>
        <w:tc>
          <w:tcPr>
            <w:tcW w:w="1140" w:type="dxa"/>
            <w:vAlign w:val="bottom"/>
            <w:tcBorders>
              <w:bottom w:val="single" w:sz="8" w:color="auto"/>
            </w:tcBorders>
          </w:tcPr>
          <w:p>
            <w:pPr>
              <w:jc w:val="right"/>
              <w:ind w:right="139"/>
              <w:spacing w:after="0" w:line="203" w:lineRule="exact"/>
              <w:rPr>
                <w:sz w:val="20"/>
                <w:szCs w:val="20"/>
                <w:color w:val="auto"/>
              </w:rPr>
            </w:pPr>
            <w:r>
              <w:rPr>
                <w:rFonts w:ascii="Arial" w:cs="Arial" w:eastAsia="Arial" w:hAnsi="Arial"/>
                <w:sz w:val="18"/>
                <w:szCs w:val="18"/>
                <w:color w:val="auto"/>
              </w:rPr>
              <w:t>(4,488)</w:t>
            </w:r>
          </w:p>
        </w:tc>
      </w:tr>
      <w:tr>
        <w:trPr>
          <w:trHeight w:val="196"/>
        </w:trPr>
        <w:tc>
          <w:tcPr>
            <w:tcW w:w="752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214"/>
              <w:spacing w:after="0" w:line="196" w:lineRule="exact"/>
              <w:rPr>
                <w:sz w:val="20"/>
                <w:szCs w:val="20"/>
                <w:color w:val="auto"/>
              </w:rPr>
            </w:pPr>
            <w:r>
              <w:rPr>
                <w:rFonts w:ascii="Arial" w:cs="Arial" w:eastAsia="Arial" w:hAnsi="Arial"/>
                <w:sz w:val="18"/>
                <w:szCs w:val="18"/>
                <w:color w:val="auto"/>
              </w:rPr>
              <w:t>$2,441</w:t>
            </w:r>
          </w:p>
        </w:tc>
        <w:tc>
          <w:tcPr>
            <w:tcW w:w="620" w:type="dxa"/>
            <w:vAlign w:val="bottom"/>
          </w:tcPr>
          <w:p>
            <w:pPr>
              <w:spacing w:after="0"/>
              <w:rPr>
                <w:sz w:val="17"/>
                <w:szCs w:val="17"/>
                <w:color w:val="auto"/>
              </w:rPr>
            </w:pPr>
          </w:p>
        </w:tc>
        <w:tc>
          <w:tcPr>
            <w:tcW w:w="114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18"/>
                <w:szCs w:val="18"/>
                <w:color w:val="auto"/>
              </w:rPr>
              <w:t>$(1,896)</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22" w:lineRule="exact"/>
        <w:rPr>
          <w:sz w:val="20"/>
          <w:szCs w:val="20"/>
          <w:color w:val="auto"/>
        </w:rPr>
      </w:pPr>
    </w:p>
    <w:p>
      <w:pPr>
        <w:jc w:val="both"/>
        <w:ind w:right="220" w:firstLine="378"/>
        <w:spacing w:after="0"/>
        <w:rPr>
          <w:sz w:val="20"/>
          <w:szCs w:val="20"/>
          <w:color w:val="auto"/>
        </w:rPr>
      </w:pPr>
      <w:r>
        <w:rPr>
          <w:rFonts w:ascii="Arial" w:cs="Arial" w:eastAsia="Arial" w:hAnsi="Arial"/>
          <w:sz w:val="18"/>
          <w:szCs w:val="18"/>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plan:</w:t>
      </w:r>
    </w:p>
    <w:p>
      <w:pPr>
        <w:spacing w:after="0" w:line="104" w:lineRule="exact"/>
        <w:rPr>
          <w:sz w:val="20"/>
          <w:szCs w:val="20"/>
          <w:color w:val="auto"/>
        </w:rPr>
      </w:pPr>
    </w:p>
    <w:p>
      <w:pPr>
        <w:ind w:right="380" w:firstLine="378"/>
        <w:spacing w:after="0" w:line="239" w:lineRule="auto"/>
        <w:rPr>
          <w:sz w:val="20"/>
          <w:szCs w:val="20"/>
          <w:color w:val="auto"/>
        </w:rPr>
      </w:pPr>
      <w:r>
        <w:rPr>
          <w:rFonts w:ascii="Arial" w:cs="Arial" w:eastAsia="Arial" w:hAnsi="Arial"/>
          <w:sz w:val="18"/>
          <w:szCs w:val="18"/>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Non-United States plans:</w:t>
      </w:r>
    </w:p>
    <w:p>
      <w:pPr>
        <w:spacing w:after="0" w:line="104" w:lineRule="exact"/>
        <w:rPr>
          <w:sz w:val="20"/>
          <w:szCs w:val="20"/>
          <w:color w:val="auto"/>
        </w:rPr>
      </w:pPr>
    </w:p>
    <w:p>
      <w:pPr>
        <w:ind w:right="100" w:firstLine="378"/>
        <w:spacing w:after="0" w:line="238" w:lineRule="auto"/>
        <w:rPr>
          <w:sz w:val="20"/>
          <w:szCs w:val="20"/>
          <w:color w:val="auto"/>
        </w:rPr>
      </w:pPr>
      <w:r>
        <w:rPr>
          <w:rFonts w:ascii="Arial" w:cs="Arial" w:eastAsia="Arial" w:hAnsi="Arial"/>
          <w:sz w:val="18"/>
          <w:szCs w:val="18"/>
          <w:color w:val="auto"/>
        </w:rPr>
        <w:t>For the countries in which the Company has funded pension trusts, the investment strategy may also be liability driven or, in other cases,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122" w:lineRule="exact"/>
        <w:rPr>
          <w:sz w:val="20"/>
          <w:szCs w:val="20"/>
          <w:color w:val="auto"/>
        </w:rPr>
      </w:pPr>
    </w:p>
    <w:p>
      <w:pPr>
        <w:ind w:right="100" w:firstLine="378"/>
        <w:spacing w:after="0" w:line="238" w:lineRule="auto"/>
        <w:rPr>
          <w:sz w:val="20"/>
          <w:szCs w:val="20"/>
          <w:color w:val="auto"/>
        </w:rPr>
      </w:pPr>
      <w:r>
        <w:rPr>
          <w:rFonts w:ascii="Arial" w:cs="Arial" w:eastAsia="Arial" w:hAnsi="Arial"/>
          <w:sz w:val="18"/>
          <w:szCs w:val="18"/>
          <w:color w:val="auto"/>
        </w:rPr>
        <w:t>The following tables present plan assets as of December 31, 2019, and 2018, using the fair-value hierarchy, which has three levels based on the reliability of inputs used, as described in Note 17.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2019 and 2018, there were no investments expected to be sold at a value materially different than NAV.</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tcBorders>
              <w:bottom w:val="single" w:sz="8" w:color="auto"/>
            </w:tcBorders>
            <w:gridSpan w:val="9"/>
          </w:tcPr>
          <w:p>
            <w:pPr>
              <w:jc w:val="center"/>
              <w:ind w:left="578"/>
              <w:spacing w:after="0"/>
              <w:rPr>
                <w:sz w:val="20"/>
                <w:szCs w:val="20"/>
                <w:color w:val="auto"/>
              </w:rPr>
            </w:pPr>
            <w:r>
              <w:rPr>
                <w:rFonts w:ascii="Arial" w:cs="Arial" w:eastAsia="Arial" w:hAnsi="Arial"/>
                <w:sz w:val="14"/>
                <w:szCs w:val="14"/>
                <w:b w:val="1"/>
                <w:bCs w:val="1"/>
                <w:color w:val="auto"/>
              </w:rPr>
              <w:t>Assets at Fair Value as of December 31, 2019</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70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1360" w:type="dxa"/>
            <w:vAlign w:val="bottom"/>
            <w:gridSpan w:val="2"/>
          </w:tcPr>
          <w:p>
            <w:pPr>
              <w:jc w:val="center"/>
              <w:ind w:right="10"/>
              <w:spacing w:after="0" w:line="143" w:lineRule="exact"/>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active markets Level</w:t>
            </w:r>
          </w:p>
        </w:tc>
        <w:tc>
          <w:tcPr>
            <w:tcW w:w="20" w:type="dxa"/>
            <w:vAlign w:val="bottom"/>
          </w:tcPr>
          <w:p>
            <w:pPr>
              <w:spacing w:after="0"/>
              <w:rPr>
                <w:sz w:val="14"/>
                <w:szCs w:val="14"/>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gridSpan w:val="3"/>
          </w:tcPr>
          <w:p>
            <w:pPr>
              <w:jc w:val="center"/>
              <w:ind w:left="156"/>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Stocks and equity funds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tcPr>
          <w:p>
            <w:pPr>
              <w:jc w:val="right"/>
              <w:ind w:right="398"/>
              <w:spacing w:after="0" w:line="195" w:lineRule="exact"/>
              <w:rPr>
                <w:sz w:val="20"/>
                <w:szCs w:val="20"/>
                <w:color w:val="auto"/>
              </w:rPr>
            </w:pPr>
            <w:r>
              <w:rPr>
                <w:rFonts w:ascii="Arial" w:cs="Arial" w:eastAsia="Arial" w:hAnsi="Arial"/>
                <w:sz w:val="18"/>
                <w:szCs w:val="18"/>
                <w:color w:val="auto"/>
              </w:rPr>
              <w:t>$  216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gridSpan w:val="2"/>
          </w:tcPr>
          <w:p>
            <w:pPr>
              <w:jc w:val="right"/>
              <w:ind w:right="123"/>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73"/>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20" w:type="dxa"/>
            <w:vAlign w:val="bottom"/>
            <w:tcBorders>
              <w:top w:val="single" w:sz="8" w:color="auto"/>
            </w:tcBorders>
            <w:gridSpan w:val="2"/>
          </w:tcPr>
          <w:p>
            <w:pPr>
              <w:jc w:val="right"/>
              <w:ind w:right="140"/>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6"/>
                <w:szCs w:val="16"/>
                <w:color w:val="auto"/>
              </w:rPr>
            </w:pPr>
          </w:p>
        </w:tc>
        <w:tc>
          <w:tcPr>
            <w:tcW w:w="460" w:type="dxa"/>
            <w:vAlign w:val="bottom"/>
            <w:tcBorders>
              <w:top w:val="single" w:sz="8" w:color="auto"/>
            </w:tcBorders>
            <w:gridSpan w:val="3"/>
          </w:tcPr>
          <w:p>
            <w:pPr>
              <w:jc w:val="right"/>
              <w:ind w:right="56"/>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31"/>
              <w:spacing w:after="0" w:line="195"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Debt securities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353"/>
              <w:spacing w:after="0" w:line="202" w:lineRule="exact"/>
              <w:rPr>
                <w:sz w:val="20"/>
                <w:szCs w:val="20"/>
                <w:color w:val="auto"/>
              </w:rPr>
            </w:pPr>
            <w:r>
              <w:rPr>
                <w:rFonts w:ascii="Arial" w:cs="Arial" w:eastAsia="Arial" w:hAnsi="Arial"/>
                <w:sz w:val="18"/>
                <w:szCs w:val="18"/>
                <w:color w:val="auto"/>
              </w:rPr>
              <w:t>92,721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11"/>
              <w:spacing w:after="0" w:line="202" w:lineRule="exact"/>
              <w:rPr>
                <w:sz w:val="20"/>
                <w:szCs w:val="20"/>
                <w:color w:val="auto"/>
              </w:rPr>
            </w:pPr>
            <w:r>
              <w:rPr>
                <w:rFonts w:ascii="Arial" w:cs="Arial" w:eastAsia="Arial" w:hAnsi="Arial"/>
                <w:sz w:val="18"/>
                <w:szCs w:val="18"/>
                <w:color w:val="auto"/>
              </w:rPr>
              <w:t>92,721</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Insurance contracts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70"/>
              <w:spacing w:after="0" w:line="202" w:lineRule="exact"/>
              <w:rPr>
                <w:sz w:val="20"/>
                <w:szCs w:val="20"/>
                <w:color w:val="auto"/>
              </w:rPr>
            </w:pPr>
            <w:r>
              <w:rPr>
                <w:rFonts w:ascii="Arial" w:cs="Arial" w:eastAsia="Arial" w:hAnsi="Arial"/>
                <w:sz w:val="18"/>
                <w:szCs w:val="18"/>
                <w:color w:val="auto"/>
              </w:rPr>
              <w:t>3,244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720" w:type="dxa"/>
            <w:vAlign w:val="bottom"/>
            <w:gridSpan w:val="3"/>
          </w:tcPr>
          <w:p>
            <w:pPr>
              <w:jc w:val="right"/>
              <w:ind w:right="398"/>
              <w:spacing w:after="0" w:line="203" w:lineRule="exact"/>
              <w:rPr>
                <w:sz w:val="20"/>
                <w:szCs w:val="20"/>
                <w:color w:val="auto"/>
              </w:rPr>
            </w:pPr>
            <w:r>
              <w:rPr>
                <w:rFonts w:ascii="Arial" w:cs="Arial" w:eastAsia="Arial" w:hAnsi="Arial"/>
                <w:sz w:val="18"/>
                <w:szCs w:val="18"/>
                <w:color w:val="auto"/>
              </w:rPr>
              <w:t>2,793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2"/>
          </w:tcPr>
          <w:p>
            <w:pPr>
              <w:jc w:val="right"/>
              <w:ind w:right="6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gridSpan w:val="3"/>
          </w:tcPr>
          <w:p>
            <w:pPr>
              <w:jc w:val="right"/>
              <w:ind w:right="7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11"/>
              <w:spacing w:after="0" w:line="203" w:lineRule="exact"/>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196"/>
        </w:trPr>
        <w:tc>
          <w:tcPr>
            <w:tcW w:w="4920" w:type="dxa"/>
            <w:vAlign w:val="bottom"/>
            <w:gridSpan w:val="2"/>
          </w:tcPr>
          <w:p>
            <w:pPr>
              <w:spacing w:after="0" w:line="196" w:lineRule="exact"/>
              <w:rPr>
                <w:sz w:val="20"/>
                <w:szCs w:val="20"/>
                <w:color w:val="auto"/>
              </w:rPr>
            </w:pPr>
            <w:r>
              <w:rPr>
                <w:rFonts w:ascii="Arial" w:cs="Arial" w:eastAsia="Arial" w:hAnsi="Arial"/>
                <w:sz w:val="18"/>
                <w:szCs w:val="18"/>
                <w:color w:val="auto"/>
              </w:rPr>
              <w:t>Total investments in the fair value hierarchy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378"/>
              <w:spacing w:after="0" w:line="196" w:lineRule="exact"/>
              <w:rPr>
                <w:sz w:val="20"/>
                <w:szCs w:val="20"/>
                <w:color w:val="auto"/>
              </w:rPr>
            </w:pPr>
            <w:r>
              <w:rPr>
                <w:rFonts w:ascii="Arial" w:cs="Arial" w:eastAsia="Arial" w:hAnsi="Arial"/>
                <w:sz w:val="18"/>
                <w:szCs w:val="18"/>
                <w:color w:val="auto"/>
              </w:rPr>
              <w:t>$3,009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bottom w:val="single" w:sz="8" w:color="auto"/>
            </w:tcBorders>
            <w:gridSpan w:val="3"/>
          </w:tcPr>
          <w:p>
            <w:pPr>
              <w:jc w:val="right"/>
              <w:ind w:right="333"/>
              <w:spacing w:after="0" w:line="196" w:lineRule="exact"/>
              <w:rPr>
                <w:sz w:val="20"/>
                <w:szCs w:val="20"/>
                <w:color w:val="auto"/>
              </w:rPr>
            </w:pPr>
            <w:r>
              <w:rPr>
                <w:rFonts w:ascii="Arial" w:cs="Arial" w:eastAsia="Arial" w:hAnsi="Arial"/>
                <w:sz w:val="18"/>
                <w:szCs w:val="18"/>
                <w:color w:val="auto"/>
              </w:rPr>
              <w:t>$92,721</w:t>
            </w:r>
          </w:p>
        </w:tc>
        <w:tc>
          <w:tcPr>
            <w:tcW w:w="220" w:type="dxa"/>
            <w:vAlign w:val="bottom"/>
          </w:tcPr>
          <w:p>
            <w:pPr>
              <w:spacing w:after="0"/>
              <w:rPr>
                <w:sz w:val="17"/>
                <w:szCs w:val="17"/>
                <w:color w:val="auto"/>
              </w:rPr>
            </w:pPr>
          </w:p>
        </w:tc>
        <w:tc>
          <w:tcPr>
            <w:tcW w:w="148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8"/>
              </w:rPr>
              <w:t>$3,244</w:t>
            </w:r>
          </w:p>
        </w:tc>
        <w:tc>
          <w:tcPr>
            <w:tcW w:w="220" w:type="dxa"/>
            <w:vAlign w:val="bottom"/>
          </w:tcPr>
          <w:p>
            <w:pPr>
              <w:spacing w:after="0"/>
              <w:rPr>
                <w:sz w:val="17"/>
                <w:szCs w:val="17"/>
                <w:color w:val="auto"/>
              </w:rPr>
            </w:pPr>
          </w:p>
        </w:tc>
        <w:tc>
          <w:tcPr>
            <w:tcW w:w="1140" w:type="dxa"/>
            <w:vAlign w:val="bottom"/>
            <w:tcBorders>
              <w:top w:val="single" w:sz="8" w:color="auto"/>
            </w:tcBorders>
            <w:gridSpan w:val="4"/>
          </w:tcPr>
          <w:p>
            <w:pPr>
              <w:jc w:val="right"/>
              <w:ind w:right="111"/>
              <w:spacing w:after="0" w:line="196" w:lineRule="exact"/>
              <w:rPr>
                <w:sz w:val="20"/>
                <w:szCs w:val="20"/>
                <w:color w:val="auto"/>
              </w:rPr>
            </w:pPr>
            <w:r>
              <w:rPr>
                <w:rFonts w:ascii="Arial" w:cs="Arial" w:eastAsia="Arial" w:hAnsi="Arial"/>
                <w:sz w:val="18"/>
                <w:szCs w:val="18"/>
                <w:color w:val="auto"/>
              </w:rPr>
              <w:t>98,974</w:t>
            </w:r>
          </w:p>
        </w:tc>
        <w:tc>
          <w:tcPr>
            <w:tcW w:w="0" w:type="dxa"/>
            <w:vAlign w:val="bottom"/>
          </w:tcPr>
          <w:p>
            <w:pPr>
              <w:spacing w:after="0"/>
              <w:rPr>
                <w:sz w:val="1"/>
                <w:szCs w:val="1"/>
                <w:color w:val="auto"/>
              </w:rPr>
            </w:pPr>
          </w:p>
        </w:tc>
      </w:tr>
      <w:tr>
        <w:trPr>
          <w:trHeight w:val="195"/>
        </w:trPr>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Investments at net asset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Common Stocks and equity funds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4"/>
          </w:tcPr>
          <w:p>
            <w:pPr>
              <w:jc w:val="right"/>
              <w:ind w:right="111"/>
              <w:spacing w:after="0" w:line="202" w:lineRule="exact"/>
              <w:rPr>
                <w:sz w:val="20"/>
                <w:szCs w:val="20"/>
                <w:color w:val="auto"/>
              </w:rPr>
            </w:pPr>
            <w:r>
              <w:rPr>
                <w:rFonts w:ascii="Arial" w:cs="Arial" w:eastAsia="Arial" w:hAnsi="Arial"/>
                <w:sz w:val="18"/>
                <w:szCs w:val="18"/>
                <w:color w:val="auto"/>
              </w:rPr>
              <w:t>56,846</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Fixed income funds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4"/>
          </w:tcPr>
          <w:p>
            <w:pPr>
              <w:jc w:val="right"/>
              <w:ind w:right="111"/>
              <w:spacing w:after="0" w:line="202" w:lineRule="exact"/>
              <w:rPr>
                <w:sz w:val="20"/>
                <w:szCs w:val="20"/>
                <w:color w:val="auto"/>
              </w:rPr>
            </w:pPr>
            <w:r>
              <w:rPr>
                <w:rFonts w:ascii="Arial" w:cs="Arial" w:eastAsia="Arial" w:hAnsi="Arial"/>
                <w:sz w:val="18"/>
                <w:szCs w:val="18"/>
                <w:color w:val="auto"/>
              </w:rPr>
              <w:t>52,751</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3" w:lineRule="exact"/>
              <w:rPr>
                <w:sz w:val="20"/>
                <w:szCs w:val="20"/>
                <w:color w:val="auto"/>
              </w:rPr>
            </w:pPr>
            <w:r>
              <w:rPr>
                <w:rFonts w:ascii="Arial" w:cs="Arial" w:eastAsia="Arial" w:hAnsi="Arial"/>
                <w:sz w:val="18"/>
                <w:szCs w:val="18"/>
                <w:color w:val="auto"/>
              </w:rPr>
              <w:t>Limited partnerships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1"/>
              <w:spacing w:after="0" w:line="203" w:lineRule="exact"/>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196"/>
        </w:trPr>
        <w:tc>
          <w:tcPr>
            <w:tcW w:w="4920" w:type="dxa"/>
            <w:vAlign w:val="bottom"/>
            <w:gridSpan w:val="2"/>
          </w:tcPr>
          <w:p>
            <w:pPr>
              <w:spacing w:after="0" w:line="196" w:lineRule="exact"/>
              <w:rPr>
                <w:sz w:val="20"/>
                <w:szCs w:val="20"/>
                <w:color w:val="auto"/>
              </w:rPr>
            </w:pPr>
            <w:r>
              <w:rPr>
                <w:rFonts w:ascii="Arial" w:cs="Arial" w:eastAsia="Arial" w:hAnsi="Arial"/>
                <w:sz w:val="18"/>
                <w:szCs w:val="18"/>
                <w:color w:val="auto"/>
              </w:rPr>
              <w:t>Total plan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gridSpan w:val="4"/>
          </w:tcPr>
          <w:p>
            <w:pPr>
              <w:jc w:val="right"/>
              <w:ind w:right="111"/>
              <w:spacing w:after="0" w:line="196" w:lineRule="exact"/>
              <w:rPr>
                <w:sz w:val="20"/>
                <w:szCs w:val="20"/>
                <w:color w:val="auto"/>
              </w:rPr>
            </w:pPr>
            <w:r>
              <w:rPr>
                <w:rFonts w:ascii="Arial" w:cs="Arial" w:eastAsia="Arial" w:hAnsi="Arial"/>
                <w:sz w:val="18"/>
                <w:szCs w:val="18"/>
                <w:color w:val="auto"/>
              </w:rPr>
              <w:t>$211,755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9"/>
            <w:vMerge w:val="restart"/>
          </w:tcPr>
          <w:p>
            <w:pPr>
              <w:jc w:val="center"/>
              <w:ind w:left="798"/>
              <w:spacing w:after="0"/>
              <w:rPr>
                <w:sz w:val="20"/>
                <w:szCs w:val="20"/>
                <w:color w:val="auto"/>
              </w:rPr>
            </w:pPr>
            <w:r>
              <w:rPr>
                <w:rFonts w:ascii="Arial" w:cs="Arial" w:eastAsia="Arial" w:hAnsi="Arial"/>
                <w:sz w:val="14"/>
                <w:szCs w:val="14"/>
                <w:b w:val="1"/>
                <w:bCs w:val="1"/>
                <w:color w:val="auto"/>
              </w:rPr>
              <w:t>Assets at Fair Value as of December 31, 2018</w:t>
            </w: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9"/>
            <w:vMerge w:val="continue"/>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1580" w:type="dxa"/>
            <w:vAlign w:val="bottom"/>
            <w:gridSpan w:val="3"/>
          </w:tcPr>
          <w:p>
            <w:pPr>
              <w:jc w:val="center"/>
              <w:ind w:left="40"/>
              <w:spacing w:after="0" w:line="143" w:lineRule="exact"/>
              <w:rPr>
                <w:sz w:val="20"/>
                <w:szCs w:val="20"/>
                <w:color w:val="auto"/>
              </w:rPr>
            </w:pPr>
            <w:r>
              <w:rPr>
                <w:rFonts w:ascii="Arial" w:cs="Arial" w:eastAsia="Arial" w:hAnsi="Arial"/>
                <w:sz w:val="14"/>
                <w:szCs w:val="14"/>
                <w:b w:val="1"/>
                <w:bCs w:val="1"/>
                <w:color w:val="auto"/>
              </w:rPr>
              <w:t>Significant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Quoted prices in active</w:t>
            </w:r>
          </w:p>
        </w:tc>
        <w:tc>
          <w:tcPr>
            <w:tcW w:w="2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observable inputs Level</w:t>
            </w:r>
          </w:p>
        </w:tc>
        <w:tc>
          <w:tcPr>
            <w:tcW w:w="120" w:type="dxa"/>
            <w:vAlign w:val="bottom"/>
          </w:tcPr>
          <w:p>
            <w:pPr>
              <w:spacing w:after="0"/>
              <w:rPr>
                <w:sz w:val="14"/>
                <w:szCs w:val="14"/>
                <w:color w:val="auto"/>
              </w:rPr>
            </w:pPr>
          </w:p>
        </w:tc>
        <w:tc>
          <w:tcPr>
            <w:tcW w:w="158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markets Level 1</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jc w:val="right"/>
              <w:ind w:right="493"/>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Stocks and equity funds</w:t>
            </w:r>
          </w:p>
        </w:tc>
        <w:tc>
          <w:tcPr>
            <w:tcW w:w="120" w:type="dxa"/>
            <w:vAlign w:val="bottom"/>
          </w:tcPr>
          <w:p>
            <w:pPr>
              <w:spacing w:after="0"/>
              <w:rPr>
                <w:sz w:val="16"/>
                <w:szCs w:val="16"/>
                <w:color w:val="auto"/>
              </w:rPr>
            </w:pPr>
          </w:p>
        </w:tc>
        <w:tc>
          <w:tcPr>
            <w:tcW w:w="1600" w:type="dxa"/>
            <w:vAlign w:val="bottom"/>
            <w:tcBorders>
              <w:top w:val="single" w:sz="8" w:color="auto"/>
            </w:tcBorders>
            <w:gridSpan w:val="2"/>
          </w:tcPr>
          <w:p>
            <w:pPr>
              <w:jc w:val="right"/>
              <w:ind w:right="378"/>
              <w:spacing w:after="0" w:line="195" w:lineRule="exact"/>
              <w:rPr>
                <w:sz w:val="20"/>
                <w:szCs w:val="20"/>
                <w:color w:val="auto"/>
              </w:rPr>
            </w:pPr>
            <w:r>
              <w:rPr>
                <w:rFonts w:ascii="Arial" w:cs="Arial" w:eastAsia="Arial" w:hAnsi="Arial"/>
                <w:sz w:val="18"/>
                <w:szCs w:val="18"/>
                <w:color w:val="auto"/>
              </w:rPr>
              <w:t>$  284</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auto"/>
            </w:tcBorders>
          </w:tcPr>
          <w:p>
            <w:pPr>
              <w:jc w:val="right"/>
              <w:ind w:right="3"/>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tcPr>
          <w:p>
            <w:pPr>
              <w:jc w:val="right"/>
              <w:ind w:right="56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700" w:type="dxa"/>
            <w:vAlign w:val="bottom"/>
            <w:tcBorders>
              <w:top w:val="single" w:sz="8" w:color="auto"/>
            </w:tcBorders>
          </w:tcPr>
          <w:p>
            <w:pPr>
              <w:jc w:val="center"/>
              <w:ind w:left="52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1"/>
              <w:spacing w:after="0" w:line="195"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Debt securities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33"/>
              <w:spacing w:after="0" w:line="202" w:lineRule="exact"/>
              <w:rPr>
                <w:sz w:val="20"/>
                <w:szCs w:val="20"/>
                <w:color w:val="auto"/>
              </w:rPr>
            </w:pPr>
            <w:r>
              <w:rPr>
                <w:rFonts w:ascii="Arial" w:cs="Arial" w:eastAsia="Arial" w:hAnsi="Arial"/>
                <w:sz w:val="18"/>
                <w:szCs w:val="18"/>
                <w:color w:val="auto"/>
              </w:rPr>
              <w:t>78,523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78,523</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Insurance contracts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2,890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720" w:type="dxa"/>
            <w:vAlign w:val="bottom"/>
            <w:gridSpan w:val="3"/>
          </w:tcPr>
          <w:p>
            <w:pPr>
              <w:jc w:val="right"/>
              <w:ind w:right="398"/>
              <w:spacing w:after="0" w:line="203" w:lineRule="exact"/>
              <w:rPr>
                <w:sz w:val="20"/>
                <w:szCs w:val="20"/>
                <w:color w:val="auto"/>
              </w:rPr>
            </w:pPr>
            <w:r>
              <w:rPr>
                <w:rFonts w:ascii="Arial" w:cs="Arial" w:eastAsia="Arial" w:hAnsi="Arial"/>
                <w:sz w:val="18"/>
                <w:szCs w:val="18"/>
                <w:color w:val="auto"/>
              </w:rPr>
              <w:t>3,016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1"/>
              <w:spacing w:after="0" w:line="203" w:lineRule="exact"/>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195"/>
        </w:trPr>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Total investments in the fair value hierarchy</w:t>
            </w:r>
          </w:p>
        </w:tc>
        <w:tc>
          <w:tcPr>
            <w:tcW w:w="120" w:type="dxa"/>
            <w:vAlign w:val="bottom"/>
          </w:tcPr>
          <w:p>
            <w:pPr>
              <w:spacing w:after="0"/>
              <w:rPr>
                <w:sz w:val="16"/>
                <w:szCs w:val="16"/>
                <w:color w:val="auto"/>
              </w:rPr>
            </w:pPr>
          </w:p>
        </w:tc>
        <w:tc>
          <w:tcPr>
            <w:tcW w:w="1600" w:type="dxa"/>
            <w:vAlign w:val="bottom"/>
            <w:tcBorders>
              <w:top w:val="single" w:sz="8" w:color="auto"/>
              <w:bottom w:val="single" w:sz="8" w:color="auto"/>
            </w:tcBorders>
            <w:gridSpan w:val="2"/>
          </w:tcPr>
          <w:p>
            <w:pPr>
              <w:jc w:val="right"/>
              <w:ind w:right="378"/>
              <w:spacing w:after="0" w:line="195" w:lineRule="exact"/>
              <w:rPr>
                <w:sz w:val="20"/>
                <w:szCs w:val="20"/>
                <w:color w:val="auto"/>
              </w:rPr>
            </w:pPr>
            <w:r>
              <w:rPr>
                <w:rFonts w:ascii="Arial" w:cs="Arial" w:eastAsia="Arial" w:hAnsi="Arial"/>
                <w:sz w:val="18"/>
                <w:szCs w:val="18"/>
                <w:color w:val="auto"/>
              </w:rPr>
              <w:t>$3,300</w:t>
            </w: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bottom w:val="single" w:sz="8" w:color="auto"/>
            </w:tcBorders>
            <w:gridSpan w:val="2"/>
          </w:tcPr>
          <w:p>
            <w:pPr>
              <w:jc w:val="right"/>
              <w:ind w:right="213"/>
              <w:spacing w:after="0" w:line="195" w:lineRule="exact"/>
              <w:rPr>
                <w:sz w:val="20"/>
                <w:szCs w:val="20"/>
                <w:color w:val="auto"/>
              </w:rPr>
            </w:pPr>
            <w:r>
              <w:rPr>
                <w:rFonts w:ascii="Arial" w:cs="Arial" w:eastAsia="Arial" w:hAnsi="Arial"/>
                <w:sz w:val="18"/>
                <w:szCs w:val="18"/>
                <w:color w:val="auto"/>
              </w:rPr>
              <w:t>$78,523</w:t>
            </w:r>
          </w:p>
        </w:tc>
        <w:tc>
          <w:tcPr>
            <w:tcW w:w="2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bottom w:val="single" w:sz="8" w:color="auto"/>
            </w:tcBorders>
            <w:gridSpan w:val="2"/>
          </w:tcPr>
          <w:p>
            <w:pPr>
              <w:jc w:val="right"/>
              <w:ind w:right="150"/>
              <w:spacing w:after="0" w:line="195" w:lineRule="exact"/>
              <w:rPr>
                <w:sz w:val="20"/>
                <w:szCs w:val="20"/>
                <w:color w:val="auto"/>
              </w:rPr>
            </w:pPr>
            <w:r>
              <w:rPr>
                <w:rFonts w:ascii="Arial" w:cs="Arial" w:eastAsia="Arial" w:hAnsi="Arial"/>
                <w:sz w:val="18"/>
                <w:szCs w:val="18"/>
                <w:color w:val="auto"/>
              </w:rPr>
              <w:t>$2,890</w:t>
            </w:r>
          </w:p>
        </w:tc>
        <w:tc>
          <w:tcPr>
            <w:tcW w:w="2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1"/>
              <w:spacing w:after="0" w:line="195" w:lineRule="exact"/>
              <w:rPr>
                <w:sz w:val="20"/>
                <w:szCs w:val="20"/>
                <w:color w:val="auto"/>
              </w:rPr>
            </w:pPr>
            <w:r>
              <w:rPr>
                <w:rFonts w:ascii="Arial" w:cs="Arial" w:eastAsia="Arial" w:hAnsi="Arial"/>
                <w:sz w:val="18"/>
                <w:szCs w:val="18"/>
                <w:color w:val="auto"/>
              </w:rPr>
              <w:t>84,713</w:t>
            </w:r>
          </w:p>
        </w:tc>
        <w:tc>
          <w:tcPr>
            <w:tcW w:w="0" w:type="dxa"/>
            <w:vAlign w:val="bottom"/>
          </w:tcPr>
          <w:p>
            <w:pPr>
              <w:spacing w:after="0"/>
              <w:rPr>
                <w:sz w:val="1"/>
                <w:szCs w:val="1"/>
                <w:color w:val="auto"/>
              </w:rPr>
            </w:pPr>
          </w:p>
        </w:tc>
      </w:tr>
      <w:tr>
        <w:trPr>
          <w:trHeight w:val="183"/>
        </w:trPr>
        <w:tc>
          <w:tcPr>
            <w:tcW w:w="4920" w:type="dxa"/>
            <w:vAlign w:val="bottom"/>
            <w:gridSpan w:val="2"/>
          </w:tcPr>
          <w:p>
            <w:pPr>
              <w:spacing w:after="0" w:line="182" w:lineRule="exact"/>
              <w:rPr>
                <w:sz w:val="20"/>
                <w:szCs w:val="20"/>
                <w:color w:val="auto"/>
              </w:rPr>
            </w:pPr>
            <w:r>
              <w:rPr>
                <w:rFonts w:ascii="Arial" w:cs="Arial" w:eastAsia="Arial" w:hAnsi="Arial"/>
                <w:sz w:val="18"/>
                <w:szCs w:val="18"/>
                <w:color w:val="auto"/>
              </w:rPr>
              <w:t>Investments at net asset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Common Stocks and equity funds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Fixed income funds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60"/>
              <w:spacing w:after="0" w:line="203" w:lineRule="exact"/>
              <w:rPr>
                <w:sz w:val="20"/>
                <w:szCs w:val="20"/>
                <w:color w:val="auto"/>
              </w:rPr>
            </w:pPr>
            <w:r>
              <w:rPr>
                <w:rFonts w:ascii="Arial" w:cs="Arial" w:eastAsia="Arial" w:hAnsi="Arial"/>
                <w:sz w:val="18"/>
                <w:szCs w:val="18"/>
                <w:color w:val="auto"/>
              </w:rPr>
              <w:t>Limited partnerships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196"/>
        </w:trPr>
        <w:tc>
          <w:tcPr>
            <w:tcW w:w="4920" w:type="dxa"/>
            <w:vAlign w:val="bottom"/>
            <w:gridSpan w:val="2"/>
          </w:tcPr>
          <w:p>
            <w:pPr>
              <w:spacing w:after="0" w:line="196" w:lineRule="exact"/>
              <w:rPr>
                <w:sz w:val="20"/>
                <w:szCs w:val="20"/>
                <w:color w:val="auto"/>
              </w:rPr>
            </w:pPr>
            <w:r>
              <w:rPr>
                <w:rFonts w:ascii="Arial" w:cs="Arial" w:eastAsia="Arial" w:hAnsi="Arial"/>
                <w:sz w:val="18"/>
                <w:szCs w:val="18"/>
                <w:color w:val="auto"/>
              </w:rPr>
              <w:t>Total plan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$178,942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2019 and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purchases,</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realized</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unrealized</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issuances and</w:t>
            </w: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transfers</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settlements</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 of) Level 3</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Insurance contracts -</w:t>
            </w:r>
          </w:p>
        </w:tc>
        <w:tc>
          <w:tcPr>
            <w:tcW w:w="220" w:type="dxa"/>
            <w:vAlign w:val="bottom"/>
          </w:tcPr>
          <w:p>
            <w:pPr>
              <w:spacing w:after="0"/>
              <w:rPr>
                <w:sz w:val="18"/>
                <w:szCs w:val="18"/>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$2,890</w:t>
            </w:r>
          </w:p>
        </w:tc>
        <w:tc>
          <w:tcPr>
            <w:tcW w:w="340" w:type="dxa"/>
            <w:vAlign w:val="bottom"/>
          </w:tcPr>
          <w:p>
            <w:pPr>
              <w:spacing w:after="0"/>
              <w:rPr>
                <w:sz w:val="18"/>
                <w:szCs w:val="18"/>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 —</w:t>
            </w:r>
          </w:p>
        </w:tc>
        <w:tc>
          <w:tcPr>
            <w:tcW w:w="340" w:type="dxa"/>
            <w:vAlign w:val="bottom"/>
            <w:vMerge w:val="restart"/>
          </w:tcPr>
          <w:p>
            <w:pPr>
              <w:spacing w:after="0"/>
              <w:rPr>
                <w:sz w:val="18"/>
                <w:szCs w:val="18"/>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$20</w:t>
            </w:r>
          </w:p>
        </w:tc>
        <w:tc>
          <w:tcPr>
            <w:tcW w:w="340" w:type="dxa"/>
            <w:vAlign w:val="bottom"/>
          </w:tcPr>
          <w:p>
            <w:pPr>
              <w:spacing w:after="0"/>
              <w:rPr>
                <w:sz w:val="18"/>
                <w:szCs w:val="18"/>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$334</w:t>
            </w:r>
          </w:p>
        </w:tc>
        <w:tc>
          <w:tcPr>
            <w:tcW w:w="320" w:type="dxa"/>
            <w:vAlign w:val="bottom"/>
          </w:tcPr>
          <w:p>
            <w:pPr>
              <w:spacing w:after="0"/>
              <w:rPr>
                <w:sz w:val="18"/>
                <w:szCs w:val="18"/>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 —</w:t>
            </w:r>
          </w:p>
        </w:tc>
        <w:tc>
          <w:tcPr>
            <w:tcW w:w="340" w:type="dxa"/>
            <w:vAlign w:val="bottom"/>
            <w:vMerge w:val="restart"/>
          </w:tcPr>
          <w:p>
            <w:pPr>
              <w:spacing w:after="0"/>
              <w:rPr>
                <w:sz w:val="18"/>
                <w:szCs w:val="18"/>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$3,244</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gridSpan w:val="3"/>
          </w:tcPr>
          <w:p>
            <w:pPr>
              <w:spacing w:after="0" w:line="190" w:lineRule="exact"/>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purchases,</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realized</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unrealized</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issuances and</w:t>
            </w: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transfers</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settlements</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 of) Level 3</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Insurance contracts -</w:t>
            </w:r>
          </w:p>
        </w:tc>
        <w:tc>
          <w:tcPr>
            <w:tcW w:w="220" w:type="dxa"/>
            <w:vAlign w:val="bottom"/>
          </w:tcPr>
          <w:p>
            <w:pPr>
              <w:spacing w:after="0"/>
              <w:rPr>
                <w:sz w:val="18"/>
                <w:szCs w:val="18"/>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$2,407</w:t>
            </w:r>
          </w:p>
        </w:tc>
        <w:tc>
          <w:tcPr>
            <w:tcW w:w="340" w:type="dxa"/>
            <w:vAlign w:val="bottom"/>
          </w:tcPr>
          <w:p>
            <w:pPr>
              <w:spacing w:after="0"/>
              <w:rPr>
                <w:sz w:val="18"/>
                <w:szCs w:val="18"/>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 —</w:t>
            </w:r>
          </w:p>
        </w:tc>
        <w:tc>
          <w:tcPr>
            <w:tcW w:w="340" w:type="dxa"/>
            <w:vAlign w:val="bottom"/>
            <w:vMerge w:val="restart"/>
          </w:tcPr>
          <w:p>
            <w:pPr>
              <w:spacing w:after="0"/>
              <w:rPr>
                <w:sz w:val="18"/>
                <w:szCs w:val="18"/>
                <w:color w:val="auto"/>
              </w:rPr>
            </w:pPr>
          </w:p>
        </w:tc>
        <w:tc>
          <w:tcPr>
            <w:tcW w:w="102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$528</w:t>
            </w:r>
          </w:p>
        </w:tc>
        <w:tc>
          <w:tcPr>
            <w:tcW w:w="320" w:type="dxa"/>
            <w:vAlign w:val="bottom"/>
          </w:tcPr>
          <w:p>
            <w:pPr>
              <w:spacing w:after="0"/>
              <w:rPr>
                <w:sz w:val="18"/>
                <w:szCs w:val="18"/>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 —</w:t>
            </w:r>
          </w:p>
        </w:tc>
        <w:tc>
          <w:tcPr>
            <w:tcW w:w="340" w:type="dxa"/>
            <w:vAlign w:val="bottom"/>
            <w:vMerge w:val="restart"/>
          </w:tcPr>
          <w:p>
            <w:pPr>
              <w:spacing w:after="0"/>
              <w:rPr>
                <w:sz w:val="18"/>
                <w:szCs w:val="18"/>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$2,890</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gridSpan w:val="3"/>
          </w:tcPr>
          <w:p>
            <w:pPr>
              <w:spacing w:after="0" w:line="190" w:lineRule="exact"/>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EEEEEE"/>
            </w:tcBorders>
          </w:tcPr>
          <w:p>
            <w:pPr>
              <w:spacing w:after="0"/>
              <w:rPr>
                <w:sz w:val="16"/>
                <w:szCs w:val="16"/>
                <w:color w:val="auto"/>
              </w:rPr>
            </w:pPr>
          </w:p>
        </w:tc>
        <w:tc>
          <w:tcPr>
            <w:tcW w:w="332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104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102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102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1040" w:type="dxa"/>
            <w:vAlign w:val="bottom"/>
            <w:tcBorders>
              <w:bottom w:val="single" w:sz="8" w:color="EEEEEE"/>
            </w:tcBorders>
          </w:tcPr>
          <w:p>
            <w:pPr>
              <w:spacing w:after="0"/>
              <w:rPr>
                <w:sz w:val="16"/>
                <w:szCs w:val="16"/>
                <w:color w:val="auto"/>
              </w:rPr>
            </w:pPr>
          </w:p>
        </w:tc>
        <w:tc>
          <w:tcPr>
            <w:tcW w:w="320" w:type="dxa"/>
            <w:vAlign w:val="bottom"/>
            <w:tcBorders>
              <w:bottom w:val="single" w:sz="8" w:color="EEEEEE"/>
            </w:tcBorders>
          </w:tcPr>
          <w:p>
            <w:pPr>
              <w:spacing w:after="0"/>
              <w:rPr>
                <w:sz w:val="16"/>
                <w:szCs w:val="16"/>
                <w:color w:val="auto"/>
              </w:rPr>
            </w:pPr>
          </w:p>
        </w:tc>
        <w:tc>
          <w:tcPr>
            <w:tcW w:w="104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1000" w:type="dxa"/>
            <w:vAlign w:val="bottom"/>
            <w:tcBorders>
              <w:bottom w:val="single" w:sz="8" w:color="EEEE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126" w:lineRule="exact"/>
        <w:rPr>
          <w:sz w:val="20"/>
          <w:szCs w:val="20"/>
          <w:color w:val="auto"/>
        </w:rPr>
      </w:pPr>
    </w:p>
    <w:p>
      <w:pPr>
        <w:ind w:right="180" w:firstLine="378"/>
        <w:spacing w:after="0" w:line="246" w:lineRule="auto"/>
        <w:rPr>
          <w:sz w:val="20"/>
          <w:szCs w:val="20"/>
          <w:color w:val="auto"/>
        </w:rPr>
      </w:pPr>
      <w:r>
        <w:rPr>
          <w:rFonts w:ascii="Arial" w:cs="Arial" w:eastAsia="Arial" w:hAnsi="Arial"/>
          <w:sz w:val="18"/>
          <w:szCs w:val="18"/>
          <w:color w:val="auto"/>
        </w:rPr>
        <w:t>The asset allocation for the Company’s U.S. and non-U.S. pension plans for 2019 and 2018, and the target allocation, by asset category,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United States Plan</w:t>
            </w:r>
          </w:p>
        </w:tc>
        <w:tc>
          <w:tcPr>
            <w:tcW w:w="1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Non-U.S. Plans</w:t>
            </w:r>
          </w:p>
        </w:tc>
        <w:tc>
          <w:tcPr>
            <w:tcW w:w="11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Percentage of plan assets at plan</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3"/>
          </w:tcPr>
          <w:p>
            <w:pPr>
              <w:jc w:val="right"/>
              <w:ind w:right="13"/>
              <w:spacing w:after="0" w:line="143" w:lineRule="exact"/>
              <w:rPr>
                <w:sz w:val="20"/>
                <w:szCs w:val="20"/>
                <w:color w:val="auto"/>
              </w:rPr>
            </w:pPr>
            <w:r>
              <w:rPr>
                <w:rFonts w:ascii="Arial" w:cs="Arial" w:eastAsia="Arial" w:hAnsi="Arial"/>
                <w:sz w:val="14"/>
                <w:szCs w:val="14"/>
                <w:b w:val="1"/>
                <w:bCs w:val="1"/>
                <w:color w:val="auto"/>
              </w:rPr>
              <w:t>Percentage of plan assets at plan</w:t>
            </w:r>
          </w:p>
        </w:tc>
      </w:tr>
      <w:tr>
        <w:trPr>
          <w:trHeight w:val="175"/>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275"/>
              <w:spacing w:after="0"/>
              <w:rPr>
                <w:sz w:val="20"/>
                <w:szCs w:val="20"/>
                <w:color w:val="auto"/>
              </w:rPr>
            </w:pPr>
            <w:r>
              <w:rPr>
                <w:rFonts w:ascii="Arial" w:cs="Arial" w:eastAsia="Arial" w:hAnsi="Arial"/>
                <w:sz w:val="14"/>
                <w:szCs w:val="14"/>
                <w:b w:val="1"/>
                <w:bCs w:val="1"/>
                <w:color w:val="auto"/>
              </w:rPr>
              <w:t>Target</w:t>
            </w:r>
          </w:p>
        </w:tc>
        <w:tc>
          <w:tcPr>
            <w:tcW w:w="240" w:type="dxa"/>
            <w:vAlign w:val="bottom"/>
          </w:tcPr>
          <w:p>
            <w:pPr>
              <w:spacing w:after="0"/>
              <w:rPr>
                <w:sz w:val="15"/>
                <w:szCs w:val="15"/>
                <w:color w:val="auto"/>
              </w:rPr>
            </w:pPr>
          </w:p>
        </w:tc>
        <w:tc>
          <w:tcPr>
            <w:tcW w:w="27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measurement date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Target</w:t>
            </w:r>
          </w:p>
        </w:tc>
        <w:tc>
          <w:tcPr>
            <w:tcW w:w="248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measurement date</w:t>
            </w:r>
          </w:p>
        </w:tc>
      </w:tr>
      <w:tr>
        <w:trPr>
          <w:trHeight w:val="156"/>
        </w:trPr>
        <w:tc>
          <w:tcPr>
            <w:tcW w:w="34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Asset category</w:t>
            </w:r>
          </w:p>
        </w:tc>
        <w:tc>
          <w:tcPr>
            <w:tcW w:w="1140" w:type="dxa"/>
            <w:vAlign w:val="bottom"/>
          </w:tcPr>
          <w:p>
            <w:pPr>
              <w:jc w:val="right"/>
              <w:ind w:right="135"/>
              <w:spacing w:after="0" w:line="155" w:lineRule="exact"/>
              <w:rPr>
                <w:sz w:val="20"/>
                <w:szCs w:val="20"/>
                <w:color w:val="auto"/>
              </w:rPr>
            </w:pPr>
            <w:r>
              <w:rPr>
                <w:rFonts w:ascii="Arial" w:cs="Arial" w:eastAsia="Arial" w:hAnsi="Arial"/>
                <w:sz w:val="14"/>
                <w:szCs w:val="14"/>
                <w:b w:val="1"/>
                <w:bCs w:val="1"/>
                <w:color w:val="auto"/>
              </w:rPr>
              <w:t>Allocation</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Allocation</w:t>
            </w:r>
          </w:p>
        </w:tc>
        <w:tc>
          <w:tcPr>
            <w:tcW w:w="1120" w:type="dxa"/>
            <w:vAlign w:val="bottom"/>
            <w:tcBorders>
              <w:top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r>
      <w:tr>
        <w:trPr>
          <w:trHeight w:val="173"/>
        </w:trPr>
        <w:tc>
          <w:tcPr>
            <w:tcW w:w="20" w:type="dxa"/>
            <w:vAlign w:val="bottom"/>
          </w:tcPr>
          <w:p>
            <w:pPr>
              <w:spacing w:after="0"/>
              <w:rPr>
                <w:sz w:val="15"/>
                <w:szCs w:val="15"/>
                <w:color w:val="auto"/>
              </w:rPr>
            </w:pPr>
          </w:p>
        </w:tc>
        <w:tc>
          <w:tcPr>
            <w:tcW w:w="31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ind w:right="275"/>
              <w:spacing w:after="0" w:line="173"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ind w:right="281"/>
              <w:spacing w:after="0" w:line="173"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ind w:right="273"/>
              <w:spacing w:after="0" w:line="173"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ind w:right="275"/>
              <w:spacing w:after="0" w:line="173" w:lineRule="exact"/>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5"/>
                <w:szCs w:val="15"/>
                <w:color w:val="auto"/>
              </w:rPr>
            </w:pPr>
          </w:p>
        </w:tc>
        <w:tc>
          <w:tcPr>
            <w:tcW w:w="1120" w:type="dxa"/>
            <w:vAlign w:val="bottom"/>
            <w:tcBorders>
              <w:top w:val="single" w:sz="8" w:color="auto"/>
            </w:tcBorders>
          </w:tcPr>
          <w:p>
            <w:pPr>
              <w:jc w:val="right"/>
              <w:ind w:right="258"/>
              <w:spacing w:after="0" w:line="173"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right"/>
              <w:ind w:right="253"/>
              <w:spacing w:after="0" w:line="173" w:lineRule="exact"/>
              <w:rPr>
                <w:sz w:val="20"/>
                <w:szCs w:val="20"/>
                <w:color w:val="auto"/>
              </w:rPr>
            </w:pPr>
            <w:r>
              <w:rPr>
                <w:rFonts w:ascii="Arial" w:cs="Arial" w:eastAsia="Arial" w:hAnsi="Arial"/>
                <w:sz w:val="18"/>
                <w:szCs w:val="18"/>
                <w:color w:val="auto"/>
              </w:rPr>
              <w:t>19%</w:t>
            </w:r>
          </w:p>
        </w:tc>
      </w:tr>
      <w:tr>
        <w:trPr>
          <w:trHeight w:val="203"/>
        </w:trPr>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Debt securities</w:t>
            </w:r>
          </w:p>
        </w:tc>
        <w:tc>
          <w:tcPr>
            <w:tcW w:w="1140" w:type="dxa"/>
            <w:vAlign w:val="bottom"/>
          </w:tcPr>
          <w:p>
            <w:pPr>
              <w:jc w:val="right"/>
              <w:ind w:right="255"/>
              <w:spacing w:after="0" w:line="202" w:lineRule="exact"/>
              <w:rPr>
                <w:sz w:val="20"/>
                <w:szCs w:val="20"/>
                <w:color w:val="auto"/>
              </w:rPr>
            </w:pPr>
            <w:r>
              <w:rPr>
                <w:rFonts w:ascii="Arial" w:cs="Arial" w:eastAsia="Arial" w:hAnsi="Arial"/>
                <w:sz w:val="18"/>
                <w:szCs w:val="18"/>
                <w:b w:val="1"/>
                <w:bCs w:val="1"/>
                <w:color w:val="auto"/>
              </w:rPr>
              <w:t>100%</w:t>
            </w:r>
          </w:p>
        </w:tc>
        <w:tc>
          <w:tcPr>
            <w:tcW w:w="138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96%</w:t>
            </w:r>
          </w:p>
        </w:tc>
        <w:tc>
          <w:tcPr>
            <w:tcW w:w="240" w:type="dxa"/>
            <w:vAlign w:val="bottom"/>
          </w:tcPr>
          <w:p>
            <w:pPr>
              <w:spacing w:after="0"/>
              <w:rPr>
                <w:sz w:val="17"/>
                <w:szCs w:val="17"/>
                <w:color w:val="auto"/>
              </w:rPr>
            </w:pPr>
          </w:p>
        </w:tc>
        <w:tc>
          <w:tcPr>
            <w:tcW w:w="11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94%</w:t>
            </w:r>
          </w:p>
        </w:tc>
        <w:tc>
          <w:tcPr>
            <w:tcW w:w="240" w:type="dxa"/>
            <w:vAlign w:val="bottom"/>
          </w:tcPr>
          <w:p>
            <w:pPr>
              <w:spacing w:after="0"/>
              <w:rPr>
                <w:sz w:val="17"/>
                <w:szCs w:val="17"/>
                <w:color w:val="auto"/>
              </w:rPr>
            </w:pPr>
          </w:p>
        </w:tc>
        <w:tc>
          <w:tcPr>
            <w:tcW w:w="1140" w:type="dxa"/>
            <w:vAlign w:val="bottom"/>
          </w:tcPr>
          <w:p>
            <w:pPr>
              <w:jc w:val="right"/>
              <w:ind w:right="275"/>
              <w:spacing w:after="0" w:line="202" w:lineRule="exact"/>
              <w:rPr>
                <w:sz w:val="20"/>
                <w:szCs w:val="20"/>
                <w:color w:val="auto"/>
              </w:rPr>
            </w:pPr>
            <w:r>
              <w:rPr>
                <w:rFonts w:ascii="Arial" w:cs="Arial" w:eastAsia="Arial" w:hAnsi="Arial"/>
                <w:sz w:val="18"/>
                <w:szCs w:val="18"/>
                <w:b w:val="1"/>
                <w:bCs w:val="1"/>
                <w:color w:val="auto"/>
              </w:rPr>
              <w:t>82%</w:t>
            </w:r>
          </w:p>
        </w:tc>
        <w:tc>
          <w:tcPr>
            <w:tcW w:w="220" w:type="dxa"/>
            <w:vAlign w:val="bottom"/>
          </w:tcPr>
          <w:p>
            <w:pPr>
              <w:spacing w:after="0"/>
              <w:rPr>
                <w:sz w:val="17"/>
                <w:szCs w:val="17"/>
                <w:color w:val="auto"/>
              </w:rPr>
            </w:pPr>
          </w:p>
        </w:tc>
        <w:tc>
          <w:tcPr>
            <w:tcW w:w="112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80%</w:t>
            </w:r>
          </w:p>
        </w:tc>
        <w:tc>
          <w:tcPr>
            <w:tcW w:w="220" w:type="dxa"/>
            <w:vAlign w:val="bottom"/>
          </w:tcPr>
          <w:p>
            <w:pPr>
              <w:spacing w:after="0"/>
              <w:rPr>
                <w:sz w:val="17"/>
                <w:szCs w:val="17"/>
                <w:color w:val="auto"/>
              </w:rPr>
            </w:pPr>
          </w:p>
        </w:tc>
        <w:tc>
          <w:tcPr>
            <w:tcW w:w="11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74%</w:t>
            </w:r>
          </w:p>
        </w:tc>
      </w:tr>
      <w:tr>
        <w:trPr>
          <w:trHeight w:val="225"/>
        </w:trPr>
        <w:tc>
          <w:tcPr>
            <w:tcW w:w="344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140" w:type="dxa"/>
            <w:vAlign w:val="bottom"/>
          </w:tcPr>
          <w:p>
            <w:pPr>
              <w:jc w:val="right"/>
              <w:ind w:right="275"/>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81"/>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140" w:type="dxa"/>
            <w:vAlign w:val="bottom"/>
          </w:tcPr>
          <w:p>
            <w:pPr>
              <w:jc w:val="right"/>
              <w:ind w:right="273"/>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140" w:type="dxa"/>
            <w:vAlign w:val="bottom"/>
          </w:tcPr>
          <w:p>
            <w:pPr>
              <w:jc w:val="right"/>
              <w:ind w:right="275"/>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1120" w:type="dxa"/>
            <w:vAlign w:val="bottom"/>
          </w:tcPr>
          <w:p>
            <w:pPr>
              <w:jc w:val="right"/>
              <w:ind w:right="258"/>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w:t>
            </w:r>
          </w:p>
        </w:tc>
      </w:tr>
      <w:tr>
        <w:trPr>
          <w:trHeight w:val="244"/>
        </w:trPr>
        <w:tc>
          <w:tcPr>
            <w:tcW w:w="3440" w:type="dxa"/>
            <w:vAlign w:val="bottom"/>
            <w:gridSpan w:val="3"/>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(1)</w:t>
            </w:r>
          </w:p>
        </w:tc>
        <w:tc>
          <w:tcPr>
            <w:tcW w:w="1140" w:type="dxa"/>
            <w:vAlign w:val="bottom"/>
          </w:tcPr>
          <w:p>
            <w:pPr>
              <w:jc w:val="right"/>
              <w:ind w:right="275"/>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8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140" w:type="dxa"/>
            <w:vAlign w:val="bottom"/>
          </w:tcPr>
          <w:p>
            <w:pPr>
              <w:jc w:val="right"/>
              <w:ind w:right="273"/>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140" w:type="dxa"/>
            <w:vAlign w:val="bottom"/>
          </w:tcPr>
          <w:p>
            <w:pPr>
              <w:jc w:val="right"/>
              <w:ind w:right="275"/>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1"/>
                <w:szCs w:val="21"/>
                <w:color w:val="auto"/>
              </w:rPr>
            </w:pPr>
          </w:p>
        </w:tc>
        <w:tc>
          <w:tcPr>
            <w:tcW w:w="1120" w:type="dxa"/>
            <w:vAlign w:val="bottom"/>
          </w:tcPr>
          <w:p>
            <w:pPr>
              <w:jc w:val="right"/>
              <w:ind w:right="258"/>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6%</w:t>
            </w:r>
          </w:p>
        </w:tc>
      </w:tr>
      <w:tr>
        <w:trPr>
          <w:trHeight w:val="196"/>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255"/>
              <w:spacing w:after="0" w:line="196" w:lineRule="exact"/>
              <w:rPr>
                <w:sz w:val="20"/>
                <w:szCs w:val="20"/>
                <w:color w:val="auto"/>
              </w:rPr>
            </w:pPr>
            <w:r>
              <w:rPr>
                <w:rFonts w:ascii="Arial" w:cs="Arial" w:eastAsia="Arial" w:hAnsi="Arial"/>
                <w:sz w:val="18"/>
                <w:szCs w:val="18"/>
                <w:b w:val="1"/>
                <w:bCs w:val="1"/>
                <w:color w:val="auto"/>
              </w:rPr>
              <w:t>100%</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line="196"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100%</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238"/>
              <w:spacing w:after="0" w:line="196"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9861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60" w:right="420" w:hanging="452"/>
        <w:spacing w:after="0" w:line="24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89" w:lineRule="exact"/>
        <w:rPr>
          <w:sz w:val="20"/>
          <w:szCs w:val="20"/>
          <w:color w:val="auto"/>
        </w:rPr>
      </w:pPr>
    </w:p>
    <w:p>
      <w:pPr>
        <w:ind w:right="280" w:firstLine="378"/>
        <w:spacing w:after="0" w:line="246" w:lineRule="auto"/>
        <w:rPr>
          <w:sz w:val="20"/>
          <w:szCs w:val="20"/>
          <w:color w:val="auto"/>
        </w:rPr>
      </w:pPr>
      <w:r>
        <w:rPr>
          <w:rFonts w:ascii="Arial" w:cs="Arial" w:eastAsia="Arial" w:hAnsi="Arial"/>
          <w:sz w:val="18"/>
          <w:szCs w:val="18"/>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89" w:lineRule="exact"/>
        <w:rPr>
          <w:sz w:val="20"/>
          <w:szCs w:val="20"/>
          <w:color w:val="auto"/>
        </w:rPr>
      </w:pPr>
    </w:p>
    <w:p>
      <w:pPr>
        <w:ind w:right="400" w:firstLine="378"/>
        <w:spacing w:after="0" w:line="246" w:lineRule="auto"/>
        <w:rPr>
          <w:sz w:val="20"/>
          <w:szCs w:val="20"/>
          <w:color w:val="auto"/>
        </w:rPr>
      </w:pPr>
      <w:r>
        <w:rPr>
          <w:rFonts w:ascii="Arial" w:cs="Arial" w:eastAsia="Arial" w:hAnsi="Arial"/>
          <w:sz w:val="18"/>
          <w:szCs w:val="18"/>
          <w:color w:val="auto"/>
        </w:rPr>
        <w:t>At the end of 2019 and 2018, the projected benefit obligation, accumulated benefit obligation, and fair value of plan assets for pension plans with projected benefit obligation and an accumulated benefit obligation in excess of plan assets were as follows:</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with projected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benefit obligation in</w:t>
            </w:r>
          </w:p>
        </w:tc>
        <w:tc>
          <w:tcPr>
            <w:tcW w:w="0" w:type="dxa"/>
            <w:vAlign w:val="bottom"/>
          </w:tcPr>
          <w:p>
            <w:pPr>
              <w:spacing w:after="0"/>
              <w:rPr>
                <w:sz w:val="1"/>
                <w:szCs w:val="1"/>
                <w:color w:val="auto"/>
              </w:rPr>
            </w:pPr>
          </w:p>
        </w:tc>
      </w:tr>
      <w:tr>
        <w:trPr>
          <w:trHeight w:val="175"/>
        </w:trPr>
        <w:tc>
          <w:tcPr>
            <w:tcW w:w="7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excess of plan assets</w:t>
            </w:r>
          </w:p>
        </w:tc>
        <w:tc>
          <w:tcPr>
            <w:tcW w:w="0" w:type="dxa"/>
            <w:vAlign w:val="bottom"/>
          </w:tcPr>
          <w:p>
            <w:pPr>
              <w:spacing w:after="0"/>
              <w:rPr>
                <w:sz w:val="1"/>
                <w:szCs w:val="1"/>
                <w:color w:val="auto"/>
              </w:rPr>
            </w:pPr>
          </w:p>
        </w:tc>
      </w:tr>
      <w:tr>
        <w:trPr>
          <w:trHeight w:val="169"/>
        </w:trPr>
        <w:tc>
          <w:tcPr>
            <w:tcW w:w="7920" w:type="dxa"/>
            <w:vAlign w:val="bottom"/>
            <w:gridSpan w:val="3"/>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Projected benefit obligation</w:t>
            </w:r>
          </w:p>
        </w:tc>
        <w:tc>
          <w:tcPr>
            <w:tcW w:w="4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$137,123</w:t>
            </w:r>
          </w:p>
        </w:tc>
        <w:tc>
          <w:tcPr>
            <w:tcW w:w="40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$123,261</w:t>
            </w:r>
          </w:p>
        </w:tc>
        <w:tc>
          <w:tcPr>
            <w:tcW w:w="0" w:type="dxa"/>
            <w:vAlign w:val="bottom"/>
          </w:tcPr>
          <w:p>
            <w:pPr>
              <w:spacing w:after="0"/>
              <w:rPr>
                <w:sz w:val="1"/>
                <w:szCs w:val="1"/>
                <w:color w:val="auto"/>
              </w:rPr>
            </w:pPr>
          </w:p>
        </w:tc>
      </w:tr>
      <w:tr>
        <w:trPr>
          <w:trHeight w:val="239"/>
        </w:trPr>
        <w:tc>
          <w:tcPr>
            <w:tcW w:w="7920" w:type="dxa"/>
            <w:vAlign w:val="bottom"/>
            <w:gridSpan w:val="3"/>
          </w:tcPr>
          <w:p>
            <w:pPr>
              <w:spacing w:after="0"/>
              <w:rPr>
                <w:sz w:val="20"/>
                <w:szCs w:val="20"/>
                <w:color w:val="auto"/>
              </w:rPr>
            </w:pPr>
            <w:r>
              <w:rPr>
                <w:rFonts w:ascii="Arial" w:cs="Arial" w:eastAsia="Arial" w:hAnsi="Arial"/>
                <w:sz w:val="18"/>
                <w:szCs w:val="18"/>
                <w:color w:val="auto"/>
              </w:rPr>
              <w:t>Fair value of plan assets</w:t>
            </w:r>
          </w:p>
        </w:tc>
        <w:tc>
          <w:tcPr>
            <w:tcW w:w="1040" w:type="dxa"/>
            <w:vAlign w:val="bottom"/>
          </w:tcPr>
          <w:p>
            <w:pPr>
              <w:jc w:val="right"/>
              <w:ind w:right="82"/>
              <w:spacing w:after="0"/>
              <w:rPr>
                <w:sz w:val="20"/>
                <w:szCs w:val="20"/>
                <w:color w:val="auto"/>
              </w:rPr>
            </w:pPr>
            <w:r>
              <w:rPr>
                <w:rFonts w:ascii="Arial" w:cs="Arial" w:eastAsia="Arial" w:hAnsi="Arial"/>
                <w:sz w:val="18"/>
                <w:szCs w:val="18"/>
                <w:b w:val="1"/>
                <w:bCs w:val="1"/>
                <w:color w:val="auto"/>
              </w:rPr>
              <w:t>100,330</w:t>
            </w:r>
          </w:p>
        </w:tc>
        <w:tc>
          <w:tcPr>
            <w:tcW w:w="400" w:type="dxa"/>
            <w:vAlign w:val="bottom"/>
          </w:tcPr>
          <w:p>
            <w:pPr>
              <w:spacing w:after="0"/>
              <w:rPr>
                <w:sz w:val="20"/>
                <w:szCs w:val="20"/>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86,547</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with accumulated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benefit obligation in</w:t>
            </w:r>
          </w:p>
        </w:tc>
        <w:tc>
          <w:tcPr>
            <w:tcW w:w="0" w:type="dxa"/>
            <w:vAlign w:val="bottom"/>
          </w:tcPr>
          <w:p>
            <w:pPr>
              <w:spacing w:after="0"/>
              <w:rPr>
                <w:sz w:val="1"/>
                <w:szCs w:val="1"/>
                <w:color w:val="auto"/>
              </w:rPr>
            </w:pPr>
          </w:p>
        </w:tc>
      </w:tr>
      <w:tr>
        <w:trPr>
          <w:trHeight w:val="175"/>
        </w:trPr>
        <w:tc>
          <w:tcPr>
            <w:tcW w:w="7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excess of plan assets</w:t>
            </w:r>
          </w:p>
        </w:tc>
        <w:tc>
          <w:tcPr>
            <w:tcW w:w="0" w:type="dxa"/>
            <w:vAlign w:val="bottom"/>
          </w:tcPr>
          <w:p>
            <w:pPr>
              <w:spacing w:after="0"/>
              <w:rPr>
                <w:sz w:val="1"/>
                <w:szCs w:val="1"/>
                <w:color w:val="auto"/>
              </w:rPr>
            </w:pPr>
          </w:p>
        </w:tc>
      </w:tr>
      <w:tr>
        <w:trPr>
          <w:trHeight w:val="169"/>
        </w:trPr>
        <w:tc>
          <w:tcPr>
            <w:tcW w:w="7920" w:type="dxa"/>
            <w:vAlign w:val="bottom"/>
            <w:gridSpan w:val="3"/>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Accumulated benefit obligation</w:t>
            </w:r>
          </w:p>
        </w:tc>
        <w:tc>
          <w:tcPr>
            <w:tcW w:w="4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$134,737</w:t>
            </w:r>
          </w:p>
        </w:tc>
        <w:tc>
          <w:tcPr>
            <w:tcW w:w="40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$120,869</w:t>
            </w:r>
          </w:p>
        </w:tc>
        <w:tc>
          <w:tcPr>
            <w:tcW w:w="0" w:type="dxa"/>
            <w:vAlign w:val="bottom"/>
          </w:tcPr>
          <w:p>
            <w:pPr>
              <w:spacing w:after="0"/>
              <w:rPr>
                <w:sz w:val="1"/>
                <w:szCs w:val="1"/>
                <w:color w:val="auto"/>
              </w:rPr>
            </w:pPr>
          </w:p>
        </w:tc>
      </w:tr>
      <w:tr>
        <w:trPr>
          <w:trHeight w:val="239"/>
        </w:trPr>
        <w:tc>
          <w:tcPr>
            <w:tcW w:w="7920" w:type="dxa"/>
            <w:vAlign w:val="bottom"/>
            <w:gridSpan w:val="3"/>
          </w:tcPr>
          <w:p>
            <w:pPr>
              <w:spacing w:after="0"/>
              <w:rPr>
                <w:sz w:val="20"/>
                <w:szCs w:val="20"/>
                <w:color w:val="auto"/>
              </w:rPr>
            </w:pPr>
            <w:r>
              <w:rPr>
                <w:rFonts w:ascii="Arial" w:cs="Arial" w:eastAsia="Arial" w:hAnsi="Arial"/>
                <w:sz w:val="18"/>
                <w:szCs w:val="18"/>
                <w:color w:val="auto"/>
              </w:rPr>
              <w:t>Fair value of plan assets</w:t>
            </w:r>
          </w:p>
        </w:tc>
        <w:tc>
          <w:tcPr>
            <w:tcW w:w="1040" w:type="dxa"/>
            <w:vAlign w:val="bottom"/>
          </w:tcPr>
          <w:p>
            <w:pPr>
              <w:jc w:val="right"/>
              <w:ind w:right="82"/>
              <w:spacing w:after="0"/>
              <w:rPr>
                <w:sz w:val="20"/>
                <w:szCs w:val="20"/>
                <w:color w:val="auto"/>
              </w:rPr>
            </w:pPr>
            <w:r>
              <w:rPr>
                <w:rFonts w:ascii="Arial" w:cs="Arial" w:eastAsia="Arial" w:hAnsi="Arial"/>
                <w:sz w:val="18"/>
                <w:szCs w:val="18"/>
                <w:b w:val="1"/>
                <w:bCs w:val="1"/>
                <w:color w:val="auto"/>
              </w:rPr>
              <w:t>100,330</w:t>
            </w:r>
          </w:p>
        </w:tc>
        <w:tc>
          <w:tcPr>
            <w:tcW w:w="400" w:type="dxa"/>
            <w:vAlign w:val="bottom"/>
          </w:tcPr>
          <w:p>
            <w:pPr>
              <w:spacing w:after="0"/>
              <w:rPr>
                <w:sz w:val="20"/>
                <w:szCs w:val="20"/>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86,062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about expected cash flows for the pension and other benefit obligations are as follows: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Other postretirement</w:t>
            </w:r>
          </w:p>
        </w:tc>
      </w:tr>
      <w:tr>
        <w:trPr>
          <w:trHeight w:val="175"/>
        </w:trPr>
        <w:tc>
          <w:tcPr>
            <w:tcW w:w="68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gridSpan w:val="2"/>
          </w:tcPr>
          <w:p>
            <w:pPr>
              <w:ind w:left="280"/>
              <w:spacing w:after="0"/>
              <w:rPr>
                <w:sz w:val="20"/>
                <w:szCs w:val="20"/>
                <w:color w:val="auto"/>
              </w:rPr>
            </w:pPr>
            <w:r>
              <w:rPr>
                <w:rFonts w:ascii="Arial" w:cs="Arial" w:eastAsia="Arial" w:hAnsi="Arial"/>
                <w:sz w:val="14"/>
                <w:szCs w:val="14"/>
                <w:b w:val="1"/>
                <w:bCs w:val="1"/>
                <w:color w:val="auto"/>
              </w:rPr>
              <w:t>Pension plans</w:t>
            </w:r>
          </w:p>
        </w:tc>
        <w:tc>
          <w:tcPr>
            <w:tcW w:w="1560" w:type="dxa"/>
            <w:vAlign w:val="bottom"/>
          </w:tcPr>
          <w:p>
            <w:pPr>
              <w:jc w:val="right"/>
              <w:ind w:right="414"/>
              <w:spacing w:after="0"/>
              <w:rPr>
                <w:sz w:val="20"/>
                <w:szCs w:val="20"/>
                <w:color w:val="auto"/>
              </w:rPr>
            </w:pPr>
            <w:r>
              <w:rPr>
                <w:rFonts w:ascii="Arial" w:cs="Arial" w:eastAsia="Arial" w:hAnsi="Arial"/>
                <w:sz w:val="14"/>
                <w:szCs w:val="14"/>
                <w:b w:val="1"/>
                <w:bCs w:val="1"/>
                <w:color w:val="auto"/>
              </w:rPr>
              <w:t>benefits</w:t>
            </w:r>
          </w:p>
        </w:tc>
      </w:tr>
      <w:tr>
        <w:trPr>
          <w:trHeight w:val="195"/>
        </w:trPr>
        <w:tc>
          <w:tcPr>
            <w:tcW w:w="20" w:type="dxa"/>
            <w:vAlign w:val="bottom"/>
          </w:tcPr>
          <w:p>
            <w:pPr>
              <w:spacing w:after="0"/>
              <w:rPr>
                <w:sz w:val="16"/>
                <w:szCs w:val="16"/>
                <w:color w:val="auto"/>
              </w:rPr>
            </w:pPr>
          </w:p>
        </w:tc>
        <w:tc>
          <w:tcPr>
            <w:tcW w:w="6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Expected employer contributions and direct employer payments in the next fiscal</w:t>
            </w:r>
          </w:p>
        </w:tc>
        <w:tc>
          <w:tcPr>
            <w:tcW w:w="4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year</w:t>
            </w:r>
          </w:p>
        </w:tc>
        <w:tc>
          <w:tcPr>
            <w:tcW w:w="1560" w:type="dxa"/>
            <w:vAlign w:val="bottom"/>
            <w:tcBorders>
              <w:bottom w:val="single" w:sz="8" w:color="auto"/>
            </w:tcBorders>
          </w:tcPr>
          <w:p>
            <w:pPr>
              <w:jc w:val="right"/>
              <w:ind w:right="392"/>
              <w:spacing w:after="0" w:line="202" w:lineRule="exact"/>
              <w:rPr>
                <w:sz w:val="20"/>
                <w:szCs w:val="20"/>
                <w:color w:val="auto"/>
              </w:rPr>
            </w:pPr>
            <w:r>
              <w:rPr>
                <w:rFonts w:ascii="Arial" w:cs="Arial" w:eastAsia="Arial" w:hAnsi="Arial"/>
                <w:sz w:val="18"/>
                <w:szCs w:val="18"/>
                <w:color w:val="auto"/>
              </w:rPr>
              <w:t>$ 2,446</w:t>
            </w:r>
          </w:p>
        </w:tc>
        <w:tc>
          <w:tcPr>
            <w:tcW w:w="400" w:type="dxa"/>
            <w:vAlign w:val="bottom"/>
          </w:tcPr>
          <w:p>
            <w:pPr>
              <w:spacing w:after="0"/>
              <w:rPr>
                <w:sz w:val="17"/>
                <w:szCs w:val="17"/>
                <w:color w:val="auto"/>
              </w:rPr>
            </w:pPr>
          </w:p>
        </w:tc>
        <w:tc>
          <w:tcPr>
            <w:tcW w:w="1560" w:type="dxa"/>
            <w:vAlign w:val="bottom"/>
            <w:tcBorders>
              <w:bottom w:val="single" w:sz="8" w:color="auto"/>
            </w:tcBorders>
          </w:tcPr>
          <w:p>
            <w:pPr>
              <w:jc w:val="right"/>
              <w:ind w:right="374"/>
              <w:spacing w:after="0" w:line="202" w:lineRule="exact"/>
              <w:rPr>
                <w:sz w:val="20"/>
                <w:szCs w:val="20"/>
                <w:color w:val="auto"/>
              </w:rPr>
            </w:pPr>
            <w:r>
              <w:rPr>
                <w:rFonts w:ascii="Arial" w:cs="Arial" w:eastAsia="Arial" w:hAnsi="Arial"/>
                <w:sz w:val="18"/>
                <w:szCs w:val="18"/>
                <w:color w:val="auto"/>
              </w:rPr>
              <w:t>$ 3,808</w:t>
            </w:r>
          </w:p>
        </w:tc>
      </w:tr>
      <w:tr>
        <w:trPr>
          <w:trHeight w:val="183"/>
        </w:trPr>
        <w:tc>
          <w:tcPr>
            <w:tcW w:w="6880" w:type="dxa"/>
            <w:vAlign w:val="bottom"/>
            <w:gridSpan w:val="3"/>
          </w:tcPr>
          <w:p>
            <w:pPr>
              <w:spacing w:after="0" w:line="182" w:lineRule="exact"/>
              <w:rPr>
                <w:sz w:val="20"/>
                <w:szCs w:val="20"/>
                <w:color w:val="auto"/>
              </w:rPr>
            </w:pPr>
            <w:r>
              <w:rPr>
                <w:rFonts w:ascii="Arial" w:cs="Arial" w:eastAsia="Arial" w:hAnsi="Arial"/>
                <w:sz w:val="18"/>
                <w:szCs w:val="18"/>
                <w:color w:val="auto"/>
              </w:rPr>
              <w:t>Expected benefit payments</w:t>
            </w: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3"/>
        </w:trPr>
        <w:tc>
          <w:tcPr>
            <w:tcW w:w="6460" w:type="dxa"/>
            <w:vAlign w:val="bottom"/>
            <w:gridSpan w:val="2"/>
          </w:tcPr>
          <w:p>
            <w:pPr>
              <w:jc w:val="right"/>
              <w:ind w:right="2790"/>
              <w:spacing w:after="0" w:line="202" w:lineRule="exact"/>
              <w:rPr>
                <w:sz w:val="20"/>
                <w:szCs w:val="20"/>
                <w:color w:val="auto"/>
              </w:rPr>
            </w:pPr>
            <w:r>
              <w:rPr>
                <w:rFonts w:ascii="Arial" w:cs="Arial" w:eastAsia="Arial" w:hAnsi="Arial"/>
                <w:sz w:val="18"/>
                <w:szCs w:val="18"/>
                <w:color w:val="auto"/>
              </w:rPr>
              <w:t>2020</w:t>
            </w:r>
          </w:p>
        </w:tc>
        <w:tc>
          <w:tcPr>
            <w:tcW w:w="4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7,905</w:t>
            </w:r>
          </w:p>
        </w:tc>
        <w:tc>
          <w:tcPr>
            <w:tcW w:w="400" w:type="dxa"/>
            <w:vAlign w:val="bottom"/>
          </w:tcPr>
          <w:p>
            <w:pPr>
              <w:spacing w:after="0"/>
              <w:rPr>
                <w:sz w:val="17"/>
                <w:szCs w:val="17"/>
                <w:color w:val="auto"/>
              </w:rPr>
            </w:pPr>
          </w:p>
        </w:tc>
        <w:tc>
          <w:tcPr>
            <w:tcW w:w="15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3,808</w:t>
            </w:r>
          </w:p>
        </w:tc>
      </w:tr>
      <w:tr>
        <w:trPr>
          <w:trHeight w:val="203"/>
        </w:trPr>
        <w:tc>
          <w:tcPr>
            <w:tcW w:w="6460" w:type="dxa"/>
            <w:vAlign w:val="bottom"/>
            <w:gridSpan w:val="2"/>
          </w:tcPr>
          <w:p>
            <w:pPr>
              <w:jc w:val="right"/>
              <w:ind w:right="2790"/>
              <w:spacing w:after="0" w:line="202" w:lineRule="exact"/>
              <w:rPr>
                <w:sz w:val="20"/>
                <w:szCs w:val="20"/>
                <w:color w:val="auto"/>
              </w:rPr>
            </w:pPr>
            <w:r>
              <w:rPr>
                <w:rFonts w:ascii="Arial" w:cs="Arial" w:eastAsia="Arial" w:hAnsi="Arial"/>
                <w:sz w:val="18"/>
                <w:szCs w:val="18"/>
                <w:color w:val="auto"/>
              </w:rPr>
              <w:t>2021</w:t>
            </w:r>
          </w:p>
        </w:tc>
        <w:tc>
          <w:tcPr>
            <w:tcW w:w="4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8,537</w:t>
            </w:r>
          </w:p>
        </w:tc>
        <w:tc>
          <w:tcPr>
            <w:tcW w:w="400" w:type="dxa"/>
            <w:vAlign w:val="bottom"/>
          </w:tcPr>
          <w:p>
            <w:pPr>
              <w:spacing w:after="0"/>
              <w:rPr>
                <w:sz w:val="17"/>
                <w:szCs w:val="17"/>
                <w:color w:val="auto"/>
              </w:rPr>
            </w:pPr>
          </w:p>
        </w:tc>
        <w:tc>
          <w:tcPr>
            <w:tcW w:w="15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3,738</w:t>
            </w:r>
          </w:p>
        </w:tc>
      </w:tr>
      <w:tr>
        <w:trPr>
          <w:trHeight w:val="203"/>
        </w:trPr>
        <w:tc>
          <w:tcPr>
            <w:tcW w:w="6460" w:type="dxa"/>
            <w:vAlign w:val="bottom"/>
            <w:gridSpan w:val="2"/>
          </w:tcPr>
          <w:p>
            <w:pPr>
              <w:jc w:val="right"/>
              <w:ind w:right="2790"/>
              <w:spacing w:after="0" w:line="202" w:lineRule="exact"/>
              <w:rPr>
                <w:sz w:val="20"/>
                <w:szCs w:val="20"/>
                <w:color w:val="auto"/>
              </w:rPr>
            </w:pPr>
            <w:r>
              <w:rPr>
                <w:rFonts w:ascii="Arial" w:cs="Arial" w:eastAsia="Arial" w:hAnsi="Arial"/>
                <w:sz w:val="18"/>
                <w:szCs w:val="18"/>
                <w:color w:val="auto"/>
              </w:rPr>
              <w:t>2022</w:t>
            </w:r>
          </w:p>
        </w:tc>
        <w:tc>
          <w:tcPr>
            <w:tcW w:w="4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8,755</w:t>
            </w:r>
          </w:p>
        </w:tc>
        <w:tc>
          <w:tcPr>
            <w:tcW w:w="400" w:type="dxa"/>
            <w:vAlign w:val="bottom"/>
          </w:tcPr>
          <w:p>
            <w:pPr>
              <w:spacing w:after="0"/>
              <w:rPr>
                <w:sz w:val="17"/>
                <w:szCs w:val="17"/>
                <w:color w:val="auto"/>
              </w:rPr>
            </w:pPr>
          </w:p>
        </w:tc>
        <w:tc>
          <w:tcPr>
            <w:tcW w:w="15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3,683</w:t>
            </w:r>
          </w:p>
        </w:tc>
      </w:tr>
      <w:tr>
        <w:trPr>
          <w:trHeight w:val="203"/>
        </w:trPr>
        <w:tc>
          <w:tcPr>
            <w:tcW w:w="6460" w:type="dxa"/>
            <w:vAlign w:val="bottom"/>
            <w:gridSpan w:val="2"/>
          </w:tcPr>
          <w:p>
            <w:pPr>
              <w:jc w:val="right"/>
              <w:ind w:right="2790"/>
              <w:spacing w:after="0" w:line="202" w:lineRule="exact"/>
              <w:rPr>
                <w:sz w:val="20"/>
                <w:szCs w:val="20"/>
                <w:color w:val="auto"/>
              </w:rPr>
            </w:pPr>
            <w:r>
              <w:rPr>
                <w:rFonts w:ascii="Arial" w:cs="Arial" w:eastAsia="Arial" w:hAnsi="Arial"/>
                <w:sz w:val="18"/>
                <w:szCs w:val="18"/>
                <w:color w:val="auto"/>
              </w:rPr>
              <w:t>2023</w:t>
            </w:r>
          </w:p>
        </w:tc>
        <w:tc>
          <w:tcPr>
            <w:tcW w:w="4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9,068</w:t>
            </w:r>
          </w:p>
        </w:tc>
        <w:tc>
          <w:tcPr>
            <w:tcW w:w="400" w:type="dxa"/>
            <w:vAlign w:val="bottom"/>
          </w:tcPr>
          <w:p>
            <w:pPr>
              <w:spacing w:after="0"/>
              <w:rPr>
                <w:sz w:val="17"/>
                <w:szCs w:val="17"/>
                <w:color w:val="auto"/>
              </w:rPr>
            </w:pPr>
          </w:p>
        </w:tc>
        <w:tc>
          <w:tcPr>
            <w:tcW w:w="15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3,631</w:t>
            </w:r>
          </w:p>
        </w:tc>
      </w:tr>
      <w:tr>
        <w:trPr>
          <w:trHeight w:val="203"/>
        </w:trPr>
        <w:tc>
          <w:tcPr>
            <w:tcW w:w="6460" w:type="dxa"/>
            <w:vAlign w:val="bottom"/>
            <w:gridSpan w:val="2"/>
          </w:tcPr>
          <w:p>
            <w:pPr>
              <w:jc w:val="right"/>
              <w:ind w:right="2790"/>
              <w:spacing w:after="0" w:line="202" w:lineRule="exact"/>
              <w:rPr>
                <w:sz w:val="20"/>
                <w:szCs w:val="20"/>
                <w:color w:val="auto"/>
              </w:rPr>
            </w:pPr>
            <w:r>
              <w:rPr>
                <w:rFonts w:ascii="Arial" w:cs="Arial" w:eastAsia="Arial" w:hAnsi="Arial"/>
                <w:sz w:val="18"/>
                <w:szCs w:val="18"/>
                <w:color w:val="auto"/>
              </w:rPr>
              <w:t>2024</w:t>
            </w:r>
          </w:p>
        </w:tc>
        <w:tc>
          <w:tcPr>
            <w:tcW w:w="4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9,531</w:t>
            </w:r>
          </w:p>
        </w:tc>
        <w:tc>
          <w:tcPr>
            <w:tcW w:w="400" w:type="dxa"/>
            <w:vAlign w:val="bottom"/>
          </w:tcPr>
          <w:p>
            <w:pPr>
              <w:spacing w:after="0"/>
              <w:rPr>
                <w:sz w:val="17"/>
                <w:szCs w:val="17"/>
                <w:color w:val="auto"/>
              </w:rPr>
            </w:pPr>
          </w:p>
        </w:tc>
        <w:tc>
          <w:tcPr>
            <w:tcW w:w="15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3,555</w:t>
            </w:r>
          </w:p>
        </w:tc>
      </w:tr>
      <w:tr>
        <w:trPr>
          <w:trHeight w:val="217"/>
        </w:trPr>
        <w:tc>
          <w:tcPr>
            <w:tcW w:w="6460" w:type="dxa"/>
            <w:vAlign w:val="bottom"/>
            <w:gridSpan w:val="2"/>
          </w:tcPr>
          <w:p>
            <w:pPr>
              <w:jc w:val="right"/>
              <w:ind w:right="2750"/>
              <w:spacing w:after="0"/>
              <w:rPr>
                <w:sz w:val="20"/>
                <w:szCs w:val="20"/>
                <w:color w:val="auto"/>
              </w:rPr>
            </w:pPr>
            <w:r>
              <w:rPr>
                <w:rFonts w:ascii="Arial" w:cs="Arial" w:eastAsia="Arial" w:hAnsi="Arial"/>
                <w:sz w:val="18"/>
                <w:szCs w:val="18"/>
                <w:color w:val="auto"/>
              </w:rPr>
              <w:t>2025-2029</w:t>
            </w:r>
          </w:p>
        </w:tc>
        <w:tc>
          <w:tcPr>
            <w:tcW w:w="420" w:type="dxa"/>
            <w:vAlign w:val="bottom"/>
          </w:tcPr>
          <w:p>
            <w:pPr>
              <w:spacing w:after="0"/>
              <w:rPr>
                <w:sz w:val="18"/>
                <w:szCs w:val="18"/>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53,652</w:t>
            </w:r>
          </w:p>
        </w:tc>
        <w:tc>
          <w:tcPr>
            <w:tcW w:w="400" w:type="dxa"/>
            <w:vAlign w:val="bottom"/>
          </w:tcPr>
          <w:p>
            <w:pPr>
              <w:spacing w:after="0"/>
              <w:rPr>
                <w:sz w:val="18"/>
                <w:szCs w:val="18"/>
                <w:color w:val="auto"/>
              </w:rPr>
            </w:pPr>
          </w:p>
        </w:tc>
        <w:tc>
          <w:tcPr>
            <w:tcW w:w="1560" w:type="dxa"/>
            <w:vAlign w:val="bottom"/>
          </w:tcPr>
          <w:p>
            <w:pPr>
              <w:jc w:val="right"/>
              <w:ind w:right="374"/>
              <w:spacing w:after="0"/>
              <w:rPr>
                <w:sz w:val="20"/>
                <w:szCs w:val="20"/>
                <w:color w:val="auto"/>
              </w:rPr>
            </w:pPr>
            <w:r>
              <w:rPr>
                <w:rFonts w:ascii="Arial" w:cs="Arial" w:eastAsia="Arial" w:hAnsi="Arial"/>
                <w:sz w:val="18"/>
                <w:szCs w:val="18"/>
                <w:color w:val="auto"/>
              </w:rPr>
              <w:t>16,569</w:t>
            </w:r>
          </w:p>
        </w:tc>
      </w:tr>
    </w:tbl>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126"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In 2017, the Company announced a proposal to discontinue operations at its MC production facility in Sélestat, France. The restructuring program was driven by the Company’s need to balance manufacturing capacity with demand. During 2017, we incurred $1.1 million of restructuring expense associated with this proposal but were unable to reasonably estimate the total costs for severance and other charges associated with the proposal as there was no assurance, at that time, that approval for the proposal would be obtained. In 2018, the plan was approved by the French Labor Ministry which led to restructuring expense of $10.7 million in 2018, which includes severance and outplacement costs for the approximately 50 positions that were terminated under this plan. In 2019, restructuring charges were $0.9 million. Since 2017, we have recorded $12.7 million of restructuring charges related to this action. As a result of this action, we recorded a pension plan curtailment gain of $0.7 million in 2018 which is recorded in Other expense, net.</w:t>
      </w:r>
    </w:p>
    <w:p>
      <w:pPr>
        <w:spacing w:after="0" w:line="100" w:lineRule="exact"/>
        <w:rPr>
          <w:sz w:val="20"/>
          <w:szCs w:val="20"/>
          <w:color w:val="auto"/>
        </w:rPr>
      </w:pPr>
    </w:p>
    <w:p>
      <w:pPr>
        <w:ind w:right="260" w:firstLine="378"/>
        <w:spacing w:after="0" w:line="239" w:lineRule="auto"/>
        <w:rPr>
          <w:sz w:val="20"/>
          <w:szCs w:val="20"/>
          <w:color w:val="auto"/>
        </w:rPr>
      </w:pPr>
      <w:r>
        <w:rPr>
          <w:rFonts w:ascii="Arial" w:cs="Arial" w:eastAsia="Arial" w:hAnsi="Arial"/>
          <w:sz w:val="18"/>
          <w:szCs w:val="18"/>
          <w:color w:val="auto"/>
        </w:rPr>
        <w:t>In 2016, the Company discontinued research and development activities at its MC facility in Sélestat, France as part of a plan to reduce research and development costs. This initiative resulted in 2016 expense of $2.2 million for severance, outplacement, and the write-off of equipment. In 2017 and 2018, we recorded additional restructuring charges of $1.6 million and $ 1.0 million respectively, related to a 2016 restructuring at the same location. Total restructuring costs for that initiative, including 2016, was $3.9 million</w:t>
      </w:r>
    </w:p>
    <w:p>
      <w:pPr>
        <w:spacing w:after="0" w:line="94" w:lineRule="exact"/>
        <w:rPr>
          <w:sz w:val="20"/>
          <w:szCs w:val="20"/>
          <w:color w:val="auto"/>
        </w:rPr>
      </w:pPr>
    </w:p>
    <w:p>
      <w:pPr>
        <w:jc w:val="both"/>
        <w:ind w:right="300" w:firstLine="378"/>
        <w:spacing w:after="0"/>
        <w:rPr>
          <w:sz w:val="20"/>
          <w:szCs w:val="20"/>
          <w:color w:val="auto"/>
        </w:rPr>
      </w:pPr>
      <w:r>
        <w:rPr>
          <w:rFonts w:ascii="Arial" w:cs="Arial" w:eastAsia="Arial" w:hAnsi="Arial"/>
          <w:sz w:val="18"/>
          <w:szCs w:val="18"/>
          <w:color w:val="auto"/>
        </w:rPr>
        <w:t>In 2017, the Company initiated work force reductions and facility rationalization in AEC locations in Salt Lake City, Utah and Rochester, New Hampshire. Restructuring charges include expenses of $0.1 million in 2019, $1.1 million in 2018, and $5.0 million in 2017. To date, we have recorded $6.2 million of restructuring charges related to these actions.</w:t>
      </w:r>
    </w:p>
    <w:p>
      <w:pPr>
        <w:spacing w:after="0" w:line="95" w:lineRule="exact"/>
        <w:rPr>
          <w:sz w:val="20"/>
          <w:szCs w:val="20"/>
          <w:color w:val="auto"/>
        </w:rPr>
      </w:pPr>
    </w:p>
    <w:p>
      <w:pPr>
        <w:ind w:right="140" w:firstLine="378"/>
        <w:spacing w:after="0" w:line="238" w:lineRule="auto"/>
        <w:rPr>
          <w:sz w:val="20"/>
          <w:szCs w:val="20"/>
          <w:color w:val="auto"/>
        </w:rPr>
      </w:pPr>
      <w:r>
        <w:rPr>
          <w:rFonts w:ascii="Arial" w:cs="Arial" w:eastAsia="Arial" w:hAnsi="Arial"/>
          <w:sz w:val="18"/>
          <w:szCs w:val="18"/>
          <w:color w:val="auto"/>
        </w:rPr>
        <w:t>In 2018, the Company discontinued certain manufacturing processes at its AEC facility in Salt Lake City, Utah, which resulted in $1.9 million of restructuring in 2018, which included a non-cash restructuring charge of $1.7 million, and an additional $0.2 million for severance. The non-cash restructuring charge resulted from writing down manufacturing equipment used in that line of business to its estimated value. In 2019, the Company wrote off the remaining $1.2 million book value of that equipment as the Company has been unable to sell it. To date, we have recorded $3.1 million of restructuring charges related to these actions.</w:t>
      </w:r>
    </w:p>
    <w:p>
      <w:pPr>
        <w:spacing w:after="0" w:line="95" w:lineRule="exact"/>
        <w:rPr>
          <w:sz w:val="20"/>
          <w:szCs w:val="20"/>
          <w:color w:val="auto"/>
        </w:rPr>
      </w:pPr>
    </w:p>
    <w:p>
      <w:pPr>
        <w:ind w:right="380" w:firstLine="378"/>
        <w:spacing w:after="0"/>
        <w:rPr>
          <w:sz w:val="20"/>
          <w:szCs w:val="20"/>
          <w:color w:val="auto"/>
        </w:rPr>
      </w:pPr>
      <w:r>
        <w:rPr>
          <w:rFonts w:ascii="Arial" w:cs="Arial" w:eastAsia="Arial" w:hAnsi="Arial"/>
          <w:sz w:val="18"/>
          <w:szCs w:val="18"/>
          <w:color w:val="auto"/>
        </w:rPr>
        <w:t>In 2017, the Company decided to discontinue the Bear Claw® line of hydraulic fracturing components used in the oil and gas industry, which was part of the AEC business. This decision resulted in a non-cash restructuring charge of $4.5 million in 2017 for the write-off of intangible assets and equipment, and a $2.8 million charge to Cost of goods sold for the write-off of inventory.</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5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2019</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restructuring</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Termination and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Impairment of</w:t>
            </w:r>
          </w:p>
        </w:tc>
      </w:tr>
      <w:tr>
        <w:trPr>
          <w:trHeight w:val="175"/>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costs incurred</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 costs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assets</w:t>
            </w:r>
          </w:p>
        </w:tc>
      </w:tr>
      <w:tr>
        <w:trPr>
          <w:trHeight w:val="195"/>
        </w:trPr>
        <w:tc>
          <w:tcPr>
            <w:tcW w:w="2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$1,129</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  667</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right"/>
              <w:ind w:right="276"/>
              <w:spacing w:after="0" w:line="195" w:lineRule="exact"/>
              <w:rPr>
                <w:sz w:val="20"/>
                <w:szCs w:val="20"/>
                <w:color w:val="auto"/>
              </w:rPr>
            </w:pPr>
            <w:r>
              <w:rPr>
                <w:rFonts w:ascii="Arial" w:cs="Arial" w:eastAsia="Arial" w:hAnsi="Arial"/>
                <w:sz w:val="18"/>
                <w:szCs w:val="18"/>
                <w:color w:val="auto"/>
              </w:rPr>
              <w:t>$  462</w:t>
            </w:r>
          </w:p>
        </w:tc>
      </w:tr>
      <w:tr>
        <w:trPr>
          <w:trHeight w:val="203"/>
        </w:trPr>
        <w:tc>
          <w:tcPr>
            <w:tcW w:w="6260" w:type="dxa"/>
            <w:vAlign w:val="bottom"/>
            <w:gridSpan w:val="3"/>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260" w:type="dxa"/>
            <w:vAlign w:val="bottom"/>
          </w:tcPr>
          <w:p>
            <w:pPr>
              <w:jc w:val="right"/>
              <w:ind w:right="298"/>
              <w:spacing w:after="0" w:line="202" w:lineRule="exact"/>
              <w:rPr>
                <w:sz w:val="20"/>
                <w:szCs w:val="20"/>
                <w:color w:val="auto"/>
              </w:rPr>
            </w:pPr>
            <w:r>
              <w:rPr>
                <w:rFonts w:ascii="Arial" w:cs="Arial" w:eastAsia="Arial" w:hAnsi="Arial"/>
                <w:sz w:val="18"/>
                <w:szCs w:val="18"/>
                <w:color w:val="auto"/>
              </w:rPr>
              <w:t>1,833</w:t>
            </w:r>
          </w:p>
        </w:tc>
        <w:tc>
          <w:tcPr>
            <w:tcW w:w="200" w:type="dxa"/>
            <w:vAlign w:val="bottom"/>
          </w:tcPr>
          <w:p>
            <w:pPr>
              <w:spacing w:after="0"/>
              <w:rPr>
                <w:sz w:val="17"/>
                <w:szCs w:val="17"/>
                <w:color w:val="auto"/>
              </w:rPr>
            </w:pPr>
          </w:p>
        </w:tc>
        <w:tc>
          <w:tcPr>
            <w:tcW w:w="124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659</w:t>
            </w:r>
          </w:p>
        </w:tc>
        <w:tc>
          <w:tcPr>
            <w:tcW w:w="200" w:type="dxa"/>
            <w:vAlign w:val="bottom"/>
          </w:tcPr>
          <w:p>
            <w:pPr>
              <w:spacing w:after="0"/>
              <w:rPr>
                <w:sz w:val="17"/>
                <w:szCs w:val="17"/>
                <w:color w:val="auto"/>
              </w:rPr>
            </w:pPr>
          </w:p>
        </w:tc>
        <w:tc>
          <w:tcPr>
            <w:tcW w:w="12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1,174</w:t>
            </w:r>
          </w:p>
        </w:tc>
      </w:tr>
      <w:tr>
        <w:trPr>
          <w:trHeight w:val="203"/>
        </w:trPr>
        <w:tc>
          <w:tcPr>
            <w:tcW w:w="6260" w:type="dxa"/>
            <w:vAlign w:val="bottom"/>
            <w:gridSpan w:val="3"/>
          </w:tcPr>
          <w:p>
            <w:pPr>
              <w:spacing w:after="0" w:line="203" w:lineRule="exact"/>
              <w:rPr>
                <w:sz w:val="20"/>
                <w:szCs w:val="20"/>
                <w:color w:val="auto"/>
              </w:rPr>
            </w:pPr>
            <w:r>
              <w:rPr>
                <w:rFonts w:ascii="Arial" w:cs="Arial" w:eastAsia="Arial" w:hAnsi="Arial"/>
                <w:sz w:val="18"/>
                <w:szCs w:val="18"/>
                <w:color w:val="auto"/>
              </w:rPr>
              <w:t>Corporate expenses</w:t>
            </w:r>
          </w:p>
        </w:tc>
        <w:tc>
          <w:tcPr>
            <w:tcW w:w="1260" w:type="dxa"/>
            <w:vAlign w:val="bottom"/>
            <w:tcBorders>
              <w:bottom w:val="single" w:sz="8" w:color="auto"/>
            </w:tcBorders>
          </w:tcPr>
          <w:p>
            <w:pPr>
              <w:jc w:val="right"/>
              <w:ind w:right="258"/>
              <w:spacing w:after="0" w:line="203"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236"/>
              <w:spacing w:after="0" w:line="203"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296"/>
              <w:spacing w:after="0" w:line="203" w:lineRule="exact"/>
              <w:rPr>
                <w:sz w:val="20"/>
                <w:szCs w:val="20"/>
                <w:color w:val="auto"/>
              </w:rPr>
            </w:pPr>
            <w:r>
              <w:rPr>
                <w:rFonts w:ascii="Arial" w:cs="Arial" w:eastAsia="Arial" w:hAnsi="Arial"/>
                <w:sz w:val="18"/>
                <w:szCs w:val="18"/>
                <w:color w:val="auto"/>
              </w:rPr>
              <w:t>—</w:t>
            </w:r>
          </w:p>
        </w:tc>
      </w:tr>
      <w:tr>
        <w:trPr>
          <w:trHeight w:val="196"/>
        </w:trPr>
        <w:tc>
          <w:tcPr>
            <w:tcW w:w="626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$2,905</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$1,269</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$1,636</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2"/>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2018</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restructuring</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Termination and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Impairment of</w:t>
            </w:r>
          </w:p>
        </w:tc>
      </w:tr>
      <w:tr>
        <w:trPr>
          <w:trHeight w:val="175"/>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costs incurred</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 costs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assets</w:t>
            </w:r>
          </w:p>
        </w:tc>
      </w:tr>
      <w:tr>
        <w:trPr>
          <w:trHeight w:val="195"/>
        </w:trPr>
        <w:tc>
          <w:tcPr>
            <w:tcW w:w="2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$12,278</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$11,890</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right"/>
              <w:ind w:right="276"/>
              <w:spacing w:after="0" w:line="195" w:lineRule="exact"/>
              <w:rPr>
                <w:sz w:val="20"/>
                <w:szCs w:val="20"/>
                <w:color w:val="auto"/>
              </w:rPr>
            </w:pPr>
            <w:r>
              <w:rPr>
                <w:rFonts w:ascii="Arial" w:cs="Arial" w:eastAsia="Arial" w:hAnsi="Arial"/>
                <w:sz w:val="18"/>
                <w:szCs w:val="18"/>
                <w:color w:val="auto"/>
              </w:rPr>
              <w:t>$  388</w:t>
            </w:r>
          </w:p>
        </w:tc>
      </w:tr>
      <w:tr>
        <w:trPr>
          <w:trHeight w:val="203"/>
        </w:trPr>
        <w:tc>
          <w:tcPr>
            <w:tcW w:w="6260" w:type="dxa"/>
            <w:vAlign w:val="bottom"/>
            <w:gridSpan w:val="3"/>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26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3,048</w:t>
            </w:r>
          </w:p>
        </w:tc>
        <w:tc>
          <w:tcPr>
            <w:tcW w:w="200" w:type="dxa"/>
            <w:vAlign w:val="bottom"/>
          </w:tcPr>
          <w:p>
            <w:pPr>
              <w:spacing w:after="0"/>
              <w:rPr>
                <w:sz w:val="17"/>
                <w:szCs w:val="17"/>
                <w:color w:val="auto"/>
              </w:rPr>
            </w:pPr>
          </w:p>
        </w:tc>
        <w:tc>
          <w:tcPr>
            <w:tcW w:w="12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1,286</w:t>
            </w:r>
          </w:p>
        </w:tc>
        <w:tc>
          <w:tcPr>
            <w:tcW w:w="200" w:type="dxa"/>
            <w:vAlign w:val="bottom"/>
          </w:tcPr>
          <w:p>
            <w:pPr>
              <w:spacing w:after="0"/>
              <w:rPr>
                <w:sz w:val="17"/>
                <w:szCs w:val="17"/>
                <w:color w:val="auto"/>
              </w:rPr>
            </w:pPr>
          </w:p>
        </w:tc>
        <w:tc>
          <w:tcPr>
            <w:tcW w:w="12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1,762</w:t>
            </w:r>
          </w:p>
        </w:tc>
      </w:tr>
      <w:tr>
        <w:trPr>
          <w:trHeight w:val="203"/>
        </w:trPr>
        <w:tc>
          <w:tcPr>
            <w:tcW w:w="6260" w:type="dxa"/>
            <w:vAlign w:val="bottom"/>
            <w:gridSpan w:val="3"/>
          </w:tcPr>
          <w:p>
            <w:pPr>
              <w:spacing w:after="0" w:line="203" w:lineRule="exact"/>
              <w:rPr>
                <w:sz w:val="20"/>
                <w:szCs w:val="20"/>
                <w:color w:val="auto"/>
              </w:rPr>
            </w:pPr>
            <w:r>
              <w:rPr>
                <w:rFonts w:ascii="Arial" w:cs="Arial" w:eastAsia="Arial" w:hAnsi="Arial"/>
                <w:sz w:val="18"/>
                <w:szCs w:val="18"/>
                <w:color w:val="auto"/>
              </w:rPr>
              <w:t>Corporate expenses</w:t>
            </w:r>
          </w:p>
        </w:tc>
        <w:tc>
          <w:tcPr>
            <w:tcW w:w="1260" w:type="dxa"/>
            <w:vAlign w:val="bottom"/>
            <w:tcBorders>
              <w:bottom w:val="single" w:sz="8" w:color="auto"/>
            </w:tcBorders>
          </w:tcPr>
          <w:p>
            <w:pPr>
              <w:jc w:val="right"/>
              <w:ind w:right="258"/>
              <w:spacing w:after="0" w:line="203" w:lineRule="exact"/>
              <w:rPr>
                <w:sz w:val="20"/>
                <w:szCs w:val="20"/>
                <w:color w:val="auto"/>
              </w:rPr>
            </w:pPr>
            <w:r>
              <w:rPr>
                <w:rFonts w:ascii="Arial" w:cs="Arial" w:eastAsia="Arial" w:hAnsi="Arial"/>
                <w:sz w:val="18"/>
                <w:szCs w:val="18"/>
                <w:color w:val="auto"/>
              </w:rPr>
              <w:t>244</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236"/>
              <w:spacing w:after="0" w:line="203" w:lineRule="exact"/>
              <w:rPr>
                <w:sz w:val="20"/>
                <w:szCs w:val="20"/>
                <w:color w:val="auto"/>
              </w:rPr>
            </w:pPr>
            <w:r>
              <w:rPr>
                <w:rFonts w:ascii="Arial" w:cs="Arial" w:eastAsia="Arial" w:hAnsi="Arial"/>
                <w:sz w:val="18"/>
                <w:szCs w:val="18"/>
                <w:color w:val="auto"/>
              </w:rPr>
              <w:t>244</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296"/>
              <w:spacing w:after="0" w:line="203" w:lineRule="exact"/>
              <w:rPr>
                <w:sz w:val="20"/>
                <w:szCs w:val="20"/>
                <w:color w:val="auto"/>
              </w:rPr>
            </w:pPr>
            <w:r>
              <w:rPr>
                <w:rFonts w:ascii="Arial" w:cs="Arial" w:eastAsia="Arial" w:hAnsi="Arial"/>
                <w:sz w:val="18"/>
                <w:szCs w:val="18"/>
                <w:color w:val="auto"/>
              </w:rPr>
              <w:t>—</w:t>
            </w:r>
          </w:p>
        </w:tc>
      </w:tr>
      <w:tr>
        <w:trPr>
          <w:trHeight w:val="196"/>
        </w:trPr>
        <w:tc>
          <w:tcPr>
            <w:tcW w:w="626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$15,570</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$13,420</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$2,150</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 (continued)</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restructuring</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Termination and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Impairment of</w:t>
            </w:r>
          </w:p>
        </w:tc>
      </w:tr>
      <w:tr>
        <w:trPr>
          <w:trHeight w:val="175"/>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costs incurred</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 costs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assets</w:t>
            </w:r>
          </w:p>
        </w:tc>
      </w:tr>
      <w:tr>
        <w:trPr>
          <w:trHeight w:val="195"/>
        </w:trPr>
        <w:tc>
          <w:tcPr>
            <w:tcW w:w="2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ind w:right="238"/>
              <w:spacing w:after="0" w:line="195" w:lineRule="exact"/>
              <w:rPr>
                <w:sz w:val="20"/>
                <w:szCs w:val="20"/>
                <w:color w:val="auto"/>
              </w:rPr>
            </w:pPr>
            <w:r>
              <w:rPr>
                <w:rFonts w:ascii="Arial" w:cs="Arial" w:eastAsia="Arial" w:hAnsi="Arial"/>
                <w:sz w:val="18"/>
                <w:szCs w:val="18"/>
                <w:color w:val="auto"/>
              </w:rPr>
              <w:t>$ 3,429</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$2,945</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right"/>
              <w:ind w:right="276"/>
              <w:spacing w:after="0" w:line="195" w:lineRule="exact"/>
              <w:rPr>
                <w:sz w:val="20"/>
                <w:szCs w:val="20"/>
                <w:color w:val="auto"/>
              </w:rPr>
            </w:pPr>
            <w:r>
              <w:rPr>
                <w:rFonts w:ascii="Arial" w:cs="Arial" w:eastAsia="Arial" w:hAnsi="Arial"/>
                <w:sz w:val="18"/>
                <w:szCs w:val="18"/>
                <w:color w:val="auto"/>
              </w:rPr>
              <w:t>$  484</w:t>
            </w:r>
          </w:p>
        </w:tc>
      </w:tr>
      <w:tr>
        <w:trPr>
          <w:trHeight w:val="203"/>
        </w:trPr>
        <w:tc>
          <w:tcPr>
            <w:tcW w:w="6260" w:type="dxa"/>
            <w:vAlign w:val="bottom"/>
            <w:gridSpan w:val="3"/>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26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10,062</w:t>
            </w:r>
          </w:p>
        </w:tc>
        <w:tc>
          <w:tcPr>
            <w:tcW w:w="200" w:type="dxa"/>
            <w:vAlign w:val="bottom"/>
          </w:tcPr>
          <w:p>
            <w:pPr>
              <w:spacing w:after="0"/>
              <w:rPr>
                <w:sz w:val="17"/>
                <w:szCs w:val="17"/>
                <w:color w:val="auto"/>
              </w:rPr>
            </w:pPr>
          </w:p>
        </w:tc>
        <w:tc>
          <w:tcPr>
            <w:tcW w:w="12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5,004</w:t>
            </w:r>
          </w:p>
        </w:tc>
        <w:tc>
          <w:tcPr>
            <w:tcW w:w="200" w:type="dxa"/>
            <w:vAlign w:val="bottom"/>
          </w:tcPr>
          <w:p>
            <w:pPr>
              <w:spacing w:after="0"/>
              <w:rPr>
                <w:sz w:val="17"/>
                <w:szCs w:val="17"/>
                <w:color w:val="auto"/>
              </w:rPr>
            </w:pPr>
          </w:p>
        </w:tc>
        <w:tc>
          <w:tcPr>
            <w:tcW w:w="12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5,058</w:t>
            </w:r>
          </w:p>
        </w:tc>
      </w:tr>
      <w:tr>
        <w:trPr>
          <w:trHeight w:val="203"/>
        </w:trPr>
        <w:tc>
          <w:tcPr>
            <w:tcW w:w="6260" w:type="dxa"/>
            <w:vAlign w:val="bottom"/>
            <w:gridSpan w:val="3"/>
          </w:tcPr>
          <w:p>
            <w:pPr>
              <w:spacing w:after="0" w:line="203" w:lineRule="exact"/>
              <w:rPr>
                <w:sz w:val="20"/>
                <w:szCs w:val="20"/>
                <w:color w:val="auto"/>
              </w:rPr>
            </w:pPr>
            <w:r>
              <w:rPr>
                <w:rFonts w:ascii="Arial" w:cs="Arial" w:eastAsia="Arial" w:hAnsi="Arial"/>
                <w:sz w:val="18"/>
                <w:szCs w:val="18"/>
                <w:color w:val="auto"/>
              </w:rPr>
              <w:t>Corporate expenses</w:t>
            </w:r>
          </w:p>
        </w:tc>
        <w:tc>
          <w:tcPr>
            <w:tcW w:w="1460" w:type="dxa"/>
            <w:vAlign w:val="bottom"/>
            <w:gridSpan w:val="2"/>
          </w:tcPr>
          <w:p>
            <w:pPr>
              <w:ind w:left="720"/>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96"/>
              <w:spacing w:after="0" w:line="203" w:lineRule="exact"/>
              <w:rPr>
                <w:sz w:val="20"/>
                <w:szCs w:val="20"/>
                <w:color w:val="auto"/>
              </w:rPr>
            </w:pPr>
            <w:r>
              <w:rPr>
                <w:rFonts w:ascii="Arial" w:cs="Arial" w:eastAsia="Arial" w:hAnsi="Arial"/>
                <w:sz w:val="18"/>
                <w:szCs w:val="18"/>
                <w:color w:val="auto"/>
              </w:rPr>
              <w:t>—</w:t>
            </w:r>
          </w:p>
        </w:tc>
      </w:tr>
      <w:tr>
        <w:trPr>
          <w:trHeight w:val="196"/>
        </w:trPr>
        <w:tc>
          <w:tcPr>
            <w:tcW w:w="626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$13,491</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$7,949</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$5,542</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firstLine="378"/>
        <w:spacing w:after="0" w:line="246" w:lineRule="auto"/>
        <w:rPr>
          <w:sz w:val="20"/>
          <w:szCs w:val="20"/>
          <w:color w:val="auto"/>
        </w:rPr>
      </w:pPr>
      <w:r>
        <w:rPr>
          <w:rFonts w:ascii="Arial" w:cs="Arial" w:eastAsia="Arial" w:hAnsi="Arial"/>
          <w:sz w:val="18"/>
          <w:szCs w:val="18"/>
          <w:color w:val="auto"/>
        </w:rPr>
        <w:t>We expect that approximately $1.3 million of Accrued liabilities for restructuring at December 31, 2019 will be paid within one year and approximately $0.7 million will be paid the following year.</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presents the changes in restructuring liabilities for 2019 and 2018, all of which related to termination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Restructuring</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88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charges accrued</w:t>
            </w: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translation/other</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3"/>
          </w:tcPr>
          <w:p>
            <w:pPr>
              <w:ind w:left="520"/>
              <w:spacing w:after="0" w:line="196" w:lineRule="exact"/>
              <w:rPr>
                <w:sz w:val="20"/>
                <w:szCs w:val="20"/>
                <w:color w:val="auto"/>
              </w:rPr>
            </w:pPr>
            <w:r>
              <w:rPr>
                <w:rFonts w:ascii="Arial" w:cs="Arial" w:eastAsia="Arial" w:hAnsi="Arial"/>
                <w:sz w:val="18"/>
                <w:szCs w:val="18"/>
                <w:color w:val="auto"/>
              </w:rPr>
              <w:t>Total termination and other costs</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$5,570</w:t>
            </w: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right"/>
              <w:ind w:right="262"/>
              <w:spacing w:after="0" w:line="196" w:lineRule="exact"/>
              <w:rPr>
                <w:sz w:val="20"/>
                <w:szCs w:val="20"/>
                <w:color w:val="auto"/>
              </w:rPr>
            </w:pPr>
            <w:r>
              <w:rPr>
                <w:rFonts w:ascii="Arial" w:cs="Arial" w:eastAsia="Arial" w:hAnsi="Arial"/>
                <w:sz w:val="18"/>
                <w:szCs w:val="18"/>
                <w:color w:val="auto"/>
              </w:rPr>
              <w:t>$1,269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$(5,084)</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210"/>
              <w:spacing w:after="0" w:line="196" w:lineRule="exact"/>
              <w:rPr>
                <w:sz w:val="20"/>
                <w:szCs w:val="20"/>
                <w:color w:val="auto"/>
              </w:rPr>
            </w:pPr>
            <w:r>
              <w:rPr>
                <w:rFonts w:ascii="Arial" w:cs="Arial" w:eastAsia="Arial" w:hAnsi="Arial"/>
                <w:sz w:val="18"/>
                <w:szCs w:val="18"/>
                <w:color w:val="auto"/>
                <w:w w:val="99"/>
              </w:rPr>
              <w:t>$287</w:t>
            </w:r>
          </w:p>
        </w:tc>
        <w:tc>
          <w:tcPr>
            <w:tcW w:w="200" w:type="dxa"/>
            <w:vAlign w:val="bottom"/>
          </w:tcPr>
          <w:p>
            <w:pPr>
              <w:spacing w:after="0"/>
              <w:rPr>
                <w:sz w:val="17"/>
                <w:szCs w:val="17"/>
                <w:color w:val="auto"/>
              </w:rPr>
            </w:pPr>
          </w:p>
        </w:tc>
        <w:tc>
          <w:tcPr>
            <w:tcW w:w="12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8"/>
              </w:rPr>
              <w:t>$2,042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Restructuring</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24"/>
                <w:szCs w:val="2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88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charges accrued</w:t>
            </w: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translation/other</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3"/>
          </w:tcPr>
          <w:p>
            <w:pPr>
              <w:ind w:left="520"/>
              <w:spacing w:after="0" w:line="196" w:lineRule="exact"/>
              <w:rPr>
                <w:sz w:val="20"/>
                <w:szCs w:val="20"/>
                <w:color w:val="auto"/>
              </w:rPr>
            </w:pPr>
            <w:r>
              <w:rPr>
                <w:rFonts w:ascii="Arial" w:cs="Arial" w:eastAsia="Arial" w:hAnsi="Arial"/>
                <w:sz w:val="18"/>
                <w:szCs w:val="18"/>
                <w:color w:val="auto"/>
              </w:rPr>
              <w:t>Total termination and other costs</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$3,326</w:t>
            </w: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right"/>
              <w:ind w:right="222"/>
              <w:spacing w:after="0" w:line="196" w:lineRule="exact"/>
              <w:rPr>
                <w:sz w:val="20"/>
                <w:szCs w:val="20"/>
                <w:color w:val="auto"/>
              </w:rPr>
            </w:pPr>
            <w:r>
              <w:rPr>
                <w:rFonts w:ascii="Arial" w:cs="Arial" w:eastAsia="Arial" w:hAnsi="Arial"/>
                <w:sz w:val="18"/>
                <w:szCs w:val="18"/>
                <w:color w:val="auto"/>
              </w:rPr>
              <w:t>$13,420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133"/>
              <w:spacing w:after="0" w:line="196" w:lineRule="exact"/>
              <w:rPr>
                <w:sz w:val="20"/>
                <w:szCs w:val="20"/>
                <w:color w:val="auto"/>
              </w:rPr>
            </w:pPr>
            <w:r>
              <w:rPr>
                <w:rFonts w:ascii="Arial" w:cs="Arial" w:eastAsia="Arial" w:hAnsi="Arial"/>
                <w:sz w:val="18"/>
                <w:szCs w:val="18"/>
                <w:color w:val="auto"/>
              </w:rPr>
              <w:t>$(10,696)</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50"/>
              <w:spacing w:after="0" w:line="196" w:lineRule="exact"/>
              <w:rPr>
                <w:sz w:val="20"/>
                <w:szCs w:val="20"/>
                <w:color w:val="auto"/>
              </w:rPr>
            </w:pPr>
            <w:r>
              <w:rPr>
                <w:rFonts w:ascii="Arial" w:cs="Arial" w:eastAsia="Arial" w:hAnsi="Arial"/>
                <w:sz w:val="18"/>
                <w:szCs w:val="18"/>
                <w:color w:val="auto"/>
              </w:rPr>
              <w:t>$(480)</w:t>
            </w:r>
          </w:p>
        </w:tc>
        <w:tc>
          <w:tcPr>
            <w:tcW w:w="200" w:type="dxa"/>
            <w:vAlign w:val="bottom"/>
          </w:tcPr>
          <w:p>
            <w:pPr>
              <w:spacing w:after="0"/>
              <w:rPr>
                <w:sz w:val="17"/>
                <w:szCs w:val="17"/>
                <w:color w:val="auto"/>
              </w:rPr>
            </w:pPr>
          </w:p>
        </w:tc>
        <w:tc>
          <w:tcPr>
            <w:tcW w:w="12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8"/>
              </w:rPr>
              <w:t>$5,570</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Other (income)/expense, net</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8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40" w:type="dxa"/>
            <w:vAlign w:val="bottom"/>
            <w:gridSpan w:val="5"/>
          </w:tcPr>
          <w:p>
            <w:pPr>
              <w:ind w:left="380"/>
              <w:spacing w:after="0"/>
              <w:rPr>
                <w:sz w:val="20"/>
                <w:szCs w:val="20"/>
                <w:color w:val="auto"/>
              </w:rPr>
            </w:pPr>
            <w:r>
              <w:rPr>
                <w:rFonts w:ascii="Arial" w:cs="Arial" w:eastAsia="Arial" w:hAnsi="Arial"/>
                <w:sz w:val="18"/>
                <w:szCs w:val="18"/>
                <w:color w:val="auto"/>
              </w:rPr>
              <w:t>The components of Other (income)/expense, net, are:</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8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98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124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33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Currency transactions</w:t>
            </w:r>
          </w:p>
        </w:tc>
        <w:tc>
          <w:tcPr>
            <w:tcW w:w="1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3"/>
          </w:tcPr>
          <w:p>
            <w:pPr>
              <w:jc w:val="right"/>
              <w:spacing w:after="0" w:line="173" w:lineRule="exact"/>
              <w:rPr>
                <w:sz w:val="20"/>
                <w:szCs w:val="20"/>
                <w:color w:val="auto"/>
              </w:rPr>
            </w:pPr>
            <w:r>
              <w:rPr>
                <w:rFonts w:ascii="Arial" w:cs="Arial" w:eastAsia="Arial" w:hAnsi="Arial"/>
                <w:sz w:val="18"/>
                <w:szCs w:val="18"/>
                <w:b w:val="1"/>
                <w:bCs w:val="1"/>
                <w:color w:val="auto"/>
              </w:rPr>
              <w:t>$(4,473)</w:t>
            </w: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gridSpan w:val="2"/>
          </w:tcPr>
          <w:p>
            <w:pPr>
              <w:jc w:val="center"/>
              <w:ind w:left="10"/>
              <w:spacing w:after="0" w:line="173" w:lineRule="exact"/>
              <w:rPr>
                <w:sz w:val="20"/>
                <w:szCs w:val="20"/>
                <w:color w:val="auto"/>
              </w:rPr>
            </w:pPr>
            <w:r>
              <w:rPr>
                <w:rFonts w:ascii="Arial" w:cs="Arial" w:eastAsia="Arial" w:hAnsi="Arial"/>
                <w:sz w:val="18"/>
                <w:szCs w:val="18"/>
                <w:color w:val="auto"/>
              </w:rPr>
              <w:t>$  (67)</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color w:val="auto"/>
              </w:rPr>
              <w:t>$ 4,634</w:t>
            </w:r>
          </w:p>
        </w:tc>
        <w:tc>
          <w:tcPr>
            <w:tcW w:w="0" w:type="dxa"/>
            <w:vAlign w:val="bottom"/>
          </w:tcPr>
          <w:p>
            <w:pPr>
              <w:spacing w:after="0"/>
              <w:rPr>
                <w:sz w:val="1"/>
                <w:szCs w:val="1"/>
                <w:color w:val="auto"/>
              </w:rPr>
            </w:pPr>
          </w:p>
        </w:tc>
      </w:tr>
      <w:tr>
        <w:trPr>
          <w:trHeight w:val="203"/>
        </w:trPr>
        <w:tc>
          <w:tcPr>
            <w:tcW w:w="5340" w:type="dxa"/>
            <w:vAlign w:val="bottom"/>
            <w:gridSpan w:val="5"/>
          </w:tcPr>
          <w:p>
            <w:pPr>
              <w:ind w:left="52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28"/>
              <w:spacing w:after="0" w:line="202" w:lineRule="exact"/>
              <w:rPr>
                <w:sz w:val="20"/>
                <w:szCs w:val="20"/>
                <w:color w:val="auto"/>
              </w:rPr>
            </w:pPr>
            <w:r>
              <w:rPr>
                <w:rFonts w:ascii="Arial" w:cs="Arial" w:eastAsia="Arial" w:hAnsi="Arial"/>
                <w:sz w:val="18"/>
                <w:szCs w:val="18"/>
                <w:b w:val="1"/>
                <w:bCs w:val="1"/>
                <w:color w:val="auto"/>
              </w:rPr>
              <w:t>348</w:t>
            </w:r>
          </w:p>
        </w:tc>
        <w:tc>
          <w:tcPr>
            <w:tcW w:w="118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417</w:t>
            </w:r>
          </w:p>
        </w:tc>
        <w:tc>
          <w:tcPr>
            <w:tcW w:w="12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388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Pension settlements and curtailments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28"/>
              <w:spacing w:after="0" w:line="202" w:lineRule="exact"/>
              <w:rPr>
                <w:sz w:val="20"/>
                <w:szCs w:val="20"/>
                <w:color w:val="auto"/>
              </w:rPr>
            </w:pPr>
            <w:r>
              <w:rPr>
                <w:rFonts w:ascii="Arial" w:cs="Arial" w:eastAsia="Arial" w:hAnsi="Arial"/>
                <w:sz w:val="18"/>
                <w:szCs w:val="18"/>
                <w:b w:val="1"/>
                <w:bCs w:val="1"/>
                <w:color w:val="auto"/>
              </w:rPr>
              <w:t>450</w:t>
            </w:r>
          </w:p>
        </w:tc>
        <w:tc>
          <w:tcPr>
            <w:tcW w:w="118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1,494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20" w:type="dxa"/>
            <w:vAlign w:val="bottom"/>
            <w:gridSpan w:val="8"/>
          </w:tcPr>
          <w:p>
            <w:pPr>
              <w:ind w:left="520"/>
              <w:spacing w:after="0" w:line="202" w:lineRule="exact"/>
              <w:rPr>
                <w:sz w:val="20"/>
                <w:szCs w:val="20"/>
                <w:color w:val="auto"/>
              </w:rPr>
            </w:pPr>
            <w:r>
              <w:rPr>
                <w:rFonts w:ascii="Arial" w:cs="Arial" w:eastAsia="Arial" w:hAnsi="Arial"/>
                <w:sz w:val="18"/>
                <w:szCs w:val="18"/>
                <w:color w:val="auto"/>
              </w:rPr>
              <w:t>Components of net periodic pension and postretirement cost other than service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8"/>
              <w:spacing w:after="0" w:line="202" w:lineRule="exact"/>
              <w:rPr>
                <w:sz w:val="20"/>
                <w:szCs w:val="20"/>
                <w:color w:val="auto"/>
              </w:rPr>
            </w:pPr>
            <w:r>
              <w:rPr>
                <w:rFonts w:ascii="Arial" w:cs="Arial" w:eastAsia="Arial" w:hAnsi="Arial"/>
                <w:sz w:val="18"/>
                <w:szCs w:val="18"/>
                <w:b w:val="1"/>
                <w:bCs w:val="1"/>
                <w:color w:val="auto"/>
              </w:rPr>
              <w:t>1,105</w:t>
            </w:r>
          </w:p>
        </w:tc>
        <w:tc>
          <w:tcPr>
            <w:tcW w:w="118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1,089</w:t>
            </w:r>
          </w:p>
        </w:tc>
        <w:tc>
          <w:tcPr>
            <w:tcW w:w="124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03"/>
        </w:trPr>
        <w:tc>
          <w:tcPr>
            <w:tcW w:w="388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Gain on insurance recovery</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2"/>
          </w:tcPr>
          <w:p>
            <w:pPr>
              <w:jc w:val="right"/>
              <w:ind w:right="28"/>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5"/>
        </w:trPr>
        <w:tc>
          <w:tcPr>
            <w:tcW w:w="3880" w:type="dxa"/>
            <w:vAlign w:val="bottom"/>
            <w:gridSpan w:val="3"/>
          </w:tcPr>
          <w:p>
            <w:pPr>
              <w:ind w:left="52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1,013</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1,104</w:t>
            </w:r>
          </w:p>
        </w:tc>
        <w:tc>
          <w:tcPr>
            <w:tcW w:w="1240" w:type="dxa"/>
            <w:vAlign w:val="bottom"/>
            <w:gridSpan w:val="3"/>
          </w:tcPr>
          <w:p>
            <w:pPr>
              <w:jc w:val="right"/>
              <w:ind w:right="13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196"/>
        </w:trPr>
        <w:tc>
          <w:tcPr>
            <w:tcW w:w="3880" w:type="dxa"/>
            <w:vAlign w:val="bottom"/>
            <w:gridSpan w:val="3"/>
          </w:tcPr>
          <w:p>
            <w:pPr>
              <w:ind w:left="520"/>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$(1,557)</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center"/>
              <w:ind w:left="10"/>
              <w:spacing w:after="0" w:line="196" w:lineRule="exact"/>
              <w:rPr>
                <w:sz w:val="20"/>
                <w:szCs w:val="20"/>
                <w:color w:val="auto"/>
              </w:rPr>
            </w:pPr>
            <w:r>
              <w:rPr>
                <w:rFonts w:ascii="Arial" w:cs="Arial" w:eastAsia="Arial" w:hAnsi="Arial"/>
                <w:sz w:val="18"/>
                <w:szCs w:val="18"/>
                <w:color w:val="auto"/>
              </w:rPr>
              <w:t>$4,037</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$ 6,877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378"/>
        <w:spacing w:after="0" w:line="246" w:lineRule="auto"/>
        <w:rPr>
          <w:sz w:val="20"/>
          <w:szCs w:val="20"/>
          <w:color w:val="auto"/>
        </w:rPr>
      </w:pPr>
      <w:r>
        <w:rPr>
          <w:rFonts w:ascii="Arial" w:cs="Arial" w:eastAsia="Arial" w:hAnsi="Arial"/>
          <w:sz w:val="18"/>
          <w:szCs w:val="18"/>
          <w:color w:val="auto"/>
        </w:rPr>
        <w:t>In 2019, the Company took actions to freeze accrued benefits under the United Kingdom defined benefit pension plan, which resulted in a curtailment charge of $0.5 million.</w:t>
      </w:r>
    </w:p>
    <w:p>
      <w:pPr>
        <w:spacing w:after="0" w:line="89" w:lineRule="exact"/>
        <w:rPr>
          <w:sz w:val="20"/>
          <w:szCs w:val="20"/>
          <w:color w:val="auto"/>
        </w:rPr>
      </w:pPr>
    </w:p>
    <w:p>
      <w:pPr>
        <w:ind w:right="120" w:firstLine="378"/>
        <w:spacing w:after="0" w:line="246" w:lineRule="auto"/>
        <w:rPr>
          <w:sz w:val="20"/>
          <w:szCs w:val="20"/>
          <w:color w:val="auto"/>
        </w:rPr>
      </w:pPr>
      <w:r>
        <w:rPr>
          <w:rFonts w:ascii="Arial" w:cs="Arial" w:eastAsia="Arial" w:hAnsi="Arial"/>
          <w:sz w:val="18"/>
          <w:szCs w:val="18"/>
          <w:color w:val="auto"/>
        </w:rPr>
        <w:t>In 2018, the Company took actions to settle a portion of its non-U.S. defined benefit pension plan liabilities, which resulted in a settlement charge of $2.2 million.</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2018, the Company recorded a pension curtailment gain of $0.7 million related to the restructuring in Sélestat, France.</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2017, we recorded a gain of $2.0 million based on an insurance settlement related to a theft in 2016.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present components of income tax expense/(benefit) and income before income taxes on continuing operations:</w:t>
      </w:r>
    </w:p>
    <w:p>
      <w:pPr>
        <w:spacing w:after="0" w:line="15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8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7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center"/>
              <w:ind w:right="19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6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Income tax based on income from continuing operations, at estimated tax rates</w:t>
            </w:r>
          </w:p>
        </w:tc>
        <w:tc>
          <w:tcPr>
            <w:tcW w:w="3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$49,977</w:t>
            </w: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6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of 28%, 31%, and 32%, respectively</w:t>
            </w:r>
          </w:p>
        </w:tc>
        <w:tc>
          <w:tcPr>
            <w:tcW w:w="1040" w:type="dxa"/>
            <w:vAlign w:val="bottom"/>
            <w:tcBorders>
              <w:bottom w:val="single" w:sz="8" w:color="auto"/>
            </w:tcBorders>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203" w:lineRule="exact"/>
              <w:rPr>
                <w:sz w:val="20"/>
                <w:szCs w:val="20"/>
                <w:color w:val="auto"/>
              </w:rPr>
            </w:pPr>
            <w:r>
              <w:rPr>
                <w:rFonts w:ascii="Arial" w:cs="Arial" w:eastAsia="Arial" w:hAnsi="Arial"/>
                <w:sz w:val="18"/>
                <w:szCs w:val="18"/>
                <w:color w:val="auto"/>
                <w:w w:val="98"/>
              </w:rPr>
              <w:t>$36,044</w:t>
            </w: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203" w:lineRule="exact"/>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195"/>
        </w:trPr>
        <w:tc>
          <w:tcPr>
            <w:tcW w:w="6800" w:type="dxa"/>
            <w:vAlign w:val="bottom"/>
            <w:gridSpan w:val="3"/>
          </w:tcPr>
          <w:p>
            <w:pPr>
              <w:ind w:left="140"/>
              <w:spacing w:after="0" w:line="195" w:lineRule="exact"/>
              <w:rPr>
                <w:sz w:val="20"/>
                <w:szCs w:val="20"/>
                <w:color w:val="auto"/>
              </w:rPr>
            </w:pPr>
            <w:r>
              <w:rPr>
                <w:rFonts w:ascii="Arial" w:cs="Arial" w:eastAsia="Arial" w:hAnsi="Arial"/>
                <w:sz w:val="18"/>
                <w:szCs w:val="18"/>
                <w:color w:val="auto"/>
              </w:rPr>
              <w:t>Income tax before discrete items</w:t>
            </w:r>
          </w:p>
        </w:tc>
        <w:tc>
          <w:tcPr>
            <w:tcW w:w="260" w:type="dxa"/>
            <w:vAlign w:val="bottom"/>
          </w:tcPr>
          <w:p>
            <w:pPr>
              <w:spacing w:after="0"/>
              <w:rPr>
                <w:sz w:val="16"/>
                <w:szCs w:val="16"/>
                <w:color w:val="auto"/>
              </w:rPr>
            </w:pPr>
          </w:p>
        </w:tc>
        <w:tc>
          <w:tcPr>
            <w:tcW w:w="780" w:type="dxa"/>
            <w:vAlign w:val="bottom"/>
          </w:tcPr>
          <w:p>
            <w:pPr>
              <w:jc w:val="right"/>
              <w:ind w:right="133"/>
              <w:spacing w:after="0" w:line="195" w:lineRule="exact"/>
              <w:rPr>
                <w:sz w:val="20"/>
                <w:szCs w:val="20"/>
                <w:color w:val="auto"/>
              </w:rPr>
            </w:pPr>
            <w:r>
              <w:rPr>
                <w:rFonts w:ascii="Arial" w:cs="Arial" w:eastAsia="Arial" w:hAnsi="Arial"/>
                <w:sz w:val="18"/>
                <w:szCs w:val="18"/>
                <w:b w:val="1"/>
                <w:bCs w:val="1"/>
                <w:color w:val="auto"/>
                <w:w w:val="98"/>
              </w:rPr>
              <w:t>49,977</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113"/>
              <w:spacing w:after="0" w:line="195" w:lineRule="exact"/>
              <w:rPr>
                <w:sz w:val="20"/>
                <w:szCs w:val="20"/>
                <w:color w:val="auto"/>
              </w:rPr>
            </w:pPr>
            <w:r>
              <w:rPr>
                <w:rFonts w:ascii="Arial" w:cs="Arial" w:eastAsia="Arial" w:hAnsi="Arial"/>
                <w:sz w:val="18"/>
                <w:szCs w:val="18"/>
                <w:color w:val="auto"/>
                <w:w w:val="98"/>
              </w:rPr>
              <w:t>36,044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133"/>
              <w:spacing w:after="0" w:line="195" w:lineRule="exact"/>
              <w:rPr>
                <w:sz w:val="20"/>
                <w:szCs w:val="20"/>
                <w:color w:val="auto"/>
              </w:rPr>
            </w:pPr>
            <w:r>
              <w:rPr>
                <w:rFonts w:ascii="Arial" w:cs="Arial" w:eastAsia="Arial" w:hAnsi="Arial"/>
                <w:sz w:val="18"/>
                <w:szCs w:val="18"/>
                <w:color w:val="auto"/>
                <w:w w:val="98"/>
              </w:rPr>
              <w:t>17,519</w:t>
            </w:r>
          </w:p>
        </w:tc>
        <w:tc>
          <w:tcPr>
            <w:tcW w:w="0" w:type="dxa"/>
            <w:vAlign w:val="bottom"/>
          </w:tcPr>
          <w:p>
            <w:pPr>
              <w:spacing w:after="0"/>
              <w:rPr>
                <w:sz w:val="1"/>
                <w:szCs w:val="1"/>
                <w:color w:val="auto"/>
              </w:rPr>
            </w:pPr>
          </w:p>
        </w:tc>
      </w:tr>
      <w:tr>
        <w:trPr>
          <w:trHeight w:val="203"/>
        </w:trPr>
        <w:tc>
          <w:tcPr>
            <w:tcW w:w="68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Discrete tax expense/(benefit):</w:t>
            </w:r>
          </w:p>
        </w:tc>
        <w:tc>
          <w:tcPr>
            <w:tcW w:w="260" w:type="dxa"/>
            <w:vAlign w:val="bottom"/>
          </w:tcPr>
          <w:p>
            <w:pPr>
              <w:spacing w:after="0"/>
              <w:rPr>
                <w:sz w:val="17"/>
                <w:szCs w:val="17"/>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666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Net impact of mandatory deemed repatriation</w:t>
            </w:r>
          </w:p>
        </w:tc>
        <w:tc>
          <w:tcPr>
            <w:tcW w:w="2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73"/>
              <w:spacing w:after="0" w:line="181" w:lineRule="exact"/>
              <w:rPr>
                <w:sz w:val="20"/>
                <w:szCs w:val="20"/>
                <w:color w:val="auto"/>
              </w:rPr>
            </w:pPr>
            <w:r>
              <w:rPr>
                <w:rFonts w:ascii="Arial" w:cs="Arial" w:eastAsia="Arial" w:hAnsi="Arial"/>
                <w:sz w:val="18"/>
                <w:szCs w:val="18"/>
                <w:color w:val="auto"/>
              </w:rPr>
              <w:t>(1,003)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6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(2,874)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1,286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6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(1,637)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(1,284)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6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Provision for/adjustment to beginning of year valuation allowances</w:t>
            </w: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(525)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(4,882)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Enacted tax legislation</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(112)</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2,067</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196"/>
        </w:trPr>
        <w:tc>
          <w:tcPr>
            <w:tcW w:w="680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Total income tax expense</w:t>
            </w: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$44,829</w:t>
            </w:r>
          </w:p>
        </w:tc>
        <w:tc>
          <w:tcPr>
            <w:tcW w:w="30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8"/>
              </w:rPr>
              <w:t>$32,228</w:t>
            </w: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8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7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center"/>
              <w:ind w:right="19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6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Income/(loss) before income taxes:</w:t>
            </w:r>
          </w:p>
        </w:tc>
        <w:tc>
          <w:tcPr>
            <w:tcW w:w="3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right"/>
              <w:ind w:right="73"/>
              <w:spacing w:after="0"/>
              <w:rPr>
                <w:sz w:val="20"/>
                <w:szCs w:val="20"/>
                <w:color w:val="auto"/>
              </w:rPr>
            </w:pPr>
            <w:r>
              <w:rPr>
                <w:rFonts w:ascii="Arial" w:cs="Arial" w:eastAsia="Arial" w:hAnsi="Arial"/>
                <w:sz w:val="18"/>
                <w:szCs w:val="18"/>
                <w:b w:val="1"/>
                <w:bCs w:val="1"/>
                <w:color w:val="auto"/>
              </w:rPr>
              <w:t>$ 76,024</w:t>
            </w: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666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U.S.</w:t>
            </w:r>
          </w:p>
        </w:tc>
        <w:tc>
          <w:tcPr>
            <w:tcW w:w="10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73"/>
              <w:spacing w:after="0" w:line="181" w:lineRule="exact"/>
              <w:rPr>
                <w:sz w:val="20"/>
                <w:szCs w:val="20"/>
                <w:color w:val="auto"/>
              </w:rPr>
            </w:pPr>
            <w:r>
              <w:rPr>
                <w:rFonts w:ascii="Arial" w:cs="Arial" w:eastAsia="Arial" w:hAnsi="Arial"/>
                <w:sz w:val="18"/>
                <w:szCs w:val="18"/>
                <w:color w:val="auto"/>
              </w:rPr>
              <w:t>$ 41,875</w:t>
            </w:r>
          </w:p>
        </w:tc>
        <w:tc>
          <w:tcPr>
            <w:tcW w:w="320" w:type="dxa"/>
            <w:vAlign w:val="bottom"/>
          </w:tcPr>
          <w:p>
            <w:pPr>
              <w:spacing w:after="0"/>
              <w:rPr>
                <w:sz w:val="15"/>
                <w:szCs w:val="15"/>
                <w:color w:val="auto"/>
              </w:rPr>
            </w:pPr>
          </w:p>
        </w:tc>
        <w:tc>
          <w:tcPr>
            <w:tcW w:w="1040" w:type="dxa"/>
            <w:vAlign w:val="bottom"/>
            <w:gridSpan w:val="2"/>
          </w:tcPr>
          <w:p>
            <w:pPr>
              <w:jc w:val="right"/>
              <w:ind w:right="73"/>
              <w:spacing w:after="0" w:line="181" w:lineRule="exact"/>
              <w:rPr>
                <w:sz w:val="20"/>
                <w:szCs w:val="20"/>
                <w:color w:val="auto"/>
              </w:rPr>
            </w:pPr>
            <w:r>
              <w:rPr>
                <w:rFonts w:ascii="Arial" w:cs="Arial" w:eastAsia="Arial" w:hAnsi="Arial"/>
                <w:sz w:val="18"/>
                <w:szCs w:val="18"/>
                <w:color w:val="auto"/>
              </w:rPr>
              <w:t>$ (5,865)</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Non-U.S.</w:t>
            </w:r>
          </w:p>
        </w:tc>
        <w:tc>
          <w:tcPr>
            <w:tcW w:w="10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8"/>
                <w:szCs w:val="18"/>
                <w:b w:val="1"/>
                <w:bCs w:val="1"/>
                <w:color w:val="auto"/>
              </w:rPr>
              <w:t>102,188</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73,372</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60,573</w:t>
            </w:r>
          </w:p>
        </w:tc>
        <w:tc>
          <w:tcPr>
            <w:tcW w:w="0" w:type="dxa"/>
            <w:vAlign w:val="bottom"/>
          </w:tcPr>
          <w:p>
            <w:pPr>
              <w:spacing w:after="0"/>
              <w:rPr>
                <w:sz w:val="1"/>
                <w:szCs w:val="1"/>
                <w:color w:val="auto"/>
              </w:rPr>
            </w:pPr>
          </w:p>
        </w:tc>
      </w:tr>
      <w:tr>
        <w:trPr>
          <w:trHeight w:val="196"/>
        </w:trPr>
        <w:tc>
          <w:tcPr>
            <w:tcW w:w="6800" w:type="dxa"/>
            <w:vAlign w:val="bottom"/>
            <w:gridSpan w:val="3"/>
            <w:vMerge w:val="restart"/>
          </w:tcPr>
          <w:p>
            <w:pPr>
              <w:ind w:left="140"/>
              <w:spacing w:after="0"/>
              <w:rPr>
                <w:sz w:val="20"/>
                <w:szCs w:val="20"/>
                <w:color w:val="auto"/>
              </w:rPr>
            </w:pPr>
            <w:r>
              <w:rPr>
                <w:rFonts w:ascii="Arial" w:cs="Arial" w:eastAsia="Arial" w:hAnsi="Arial"/>
                <w:sz w:val="18"/>
                <w:szCs w:val="18"/>
                <w:color w:val="auto"/>
              </w:rPr>
              <w:t>Income tax provision</w:t>
            </w: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8"/>
              </w:rPr>
              <w:t>$178,212</w:t>
            </w:r>
          </w:p>
        </w:tc>
        <w:tc>
          <w:tcPr>
            <w:tcW w:w="30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$115,247</w:t>
            </w: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$54,708</w:t>
            </w:r>
          </w:p>
        </w:tc>
        <w:tc>
          <w:tcPr>
            <w:tcW w:w="0" w:type="dxa"/>
            <w:vAlign w:val="bottom"/>
          </w:tcPr>
          <w:p>
            <w:pPr>
              <w:spacing w:after="0"/>
              <w:rPr>
                <w:sz w:val="1"/>
                <w:szCs w:val="1"/>
                <w:color w:val="auto"/>
              </w:rPr>
            </w:pPr>
          </w:p>
        </w:tc>
      </w:tr>
      <w:tr>
        <w:trPr>
          <w:trHeight w:val="20"/>
        </w:trPr>
        <w:tc>
          <w:tcPr>
            <w:tcW w:w="6800" w:type="dxa"/>
            <w:vAlign w:val="bottom"/>
            <w:gridSpan w:val="3"/>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Current:</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780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666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Federal</w:t>
            </w:r>
          </w:p>
        </w:tc>
        <w:tc>
          <w:tcPr>
            <w:tcW w:w="2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3"/>
              <w:spacing w:after="0" w:line="181" w:lineRule="exact"/>
              <w:rPr>
                <w:sz w:val="20"/>
                <w:szCs w:val="20"/>
                <w:color w:val="auto"/>
              </w:rPr>
            </w:pPr>
            <w:r>
              <w:rPr>
                <w:rFonts w:ascii="Arial" w:cs="Arial" w:eastAsia="Arial" w:hAnsi="Arial"/>
                <w:sz w:val="18"/>
                <w:szCs w:val="18"/>
                <w:color w:val="auto"/>
              </w:rPr>
              <w:t>304</w:t>
            </w:r>
          </w:p>
        </w:tc>
        <w:tc>
          <w:tcPr>
            <w:tcW w:w="320" w:type="dxa"/>
            <w:vAlign w:val="bottom"/>
          </w:tcPr>
          <w:p>
            <w:pPr>
              <w:spacing w:after="0"/>
              <w:rPr>
                <w:sz w:val="15"/>
                <w:szCs w:val="15"/>
                <w:color w:val="auto"/>
              </w:rPr>
            </w:pPr>
          </w:p>
        </w:tc>
        <w:tc>
          <w:tcPr>
            <w:tcW w:w="1040" w:type="dxa"/>
            <w:vAlign w:val="bottom"/>
            <w:gridSpan w:val="2"/>
          </w:tcPr>
          <w:p>
            <w:pPr>
              <w:jc w:val="right"/>
              <w:ind w:right="133"/>
              <w:spacing w:after="0" w:line="181" w:lineRule="exact"/>
              <w:rPr>
                <w:sz w:val="20"/>
                <w:szCs w:val="20"/>
                <w:color w:val="auto"/>
              </w:rPr>
            </w:pPr>
            <w:r>
              <w:rPr>
                <w:rFonts w:ascii="Arial" w:cs="Arial" w:eastAsia="Arial" w:hAnsi="Arial"/>
                <w:sz w:val="18"/>
                <w:szCs w:val="18"/>
                <w:color w:val="auto"/>
              </w:rPr>
              <w:t>$ 1,551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6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State</w:t>
            </w: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6,357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4,996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Non-U.S.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25,255</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21,557</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19,282</w:t>
            </w:r>
          </w:p>
        </w:tc>
        <w:tc>
          <w:tcPr>
            <w:tcW w:w="0" w:type="dxa"/>
            <w:vAlign w:val="bottom"/>
          </w:tcPr>
          <w:p>
            <w:pPr>
              <w:spacing w:after="0"/>
              <w:rPr>
                <w:sz w:val="1"/>
                <w:szCs w:val="1"/>
                <w:color w:val="auto"/>
              </w:rPr>
            </w:pPr>
          </w:p>
        </w:tc>
      </w:tr>
      <w:tr>
        <w:trPr>
          <w:trHeight w:val="196"/>
        </w:trPr>
        <w:tc>
          <w:tcPr>
            <w:tcW w:w="6800" w:type="dxa"/>
            <w:vAlign w:val="bottom"/>
            <w:gridSpan w:val="3"/>
            <w:vMerge w:val="restart"/>
          </w:tcPr>
          <w:p>
            <w:pPr>
              <w:ind w:left="140"/>
              <w:spacing w:after="0"/>
              <w:rPr>
                <w:sz w:val="20"/>
                <w:szCs w:val="20"/>
                <w:color w:val="auto"/>
              </w:rPr>
            </w:pPr>
            <w:r>
              <w:rPr>
                <w:rFonts w:ascii="Arial" w:cs="Arial" w:eastAsia="Arial" w:hAnsi="Arial"/>
                <w:sz w:val="18"/>
                <w:szCs w:val="18"/>
                <w:color w:val="auto"/>
              </w:rPr>
              <w:t>Deferred:</w:t>
            </w:r>
          </w:p>
        </w:tc>
        <w:tc>
          <w:tcPr>
            <w:tcW w:w="1040" w:type="dxa"/>
            <w:vAlign w:val="bottom"/>
            <w:tcBorders>
              <w:bottom w:val="single" w:sz="8" w:color="auto"/>
            </w:tcBorders>
            <w:gridSpan w:val="2"/>
          </w:tcPr>
          <w:p>
            <w:pPr>
              <w:jc w:val="right"/>
              <w:ind w:right="73"/>
              <w:spacing w:after="0" w:line="196" w:lineRule="exact"/>
              <w:rPr>
                <w:sz w:val="20"/>
                <w:szCs w:val="20"/>
                <w:color w:val="auto"/>
              </w:rPr>
            </w:pPr>
            <w:r>
              <w:rPr>
                <w:rFonts w:ascii="Arial" w:cs="Arial" w:eastAsia="Arial" w:hAnsi="Arial"/>
                <w:sz w:val="18"/>
                <w:szCs w:val="18"/>
                <w:b w:val="1"/>
                <w:bCs w:val="1"/>
                <w:color w:val="auto"/>
              </w:rPr>
              <w:t>$ 32,392</w:t>
            </w:r>
          </w:p>
        </w:tc>
        <w:tc>
          <w:tcPr>
            <w:tcW w:w="3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73"/>
              <w:spacing w:after="0" w:line="196" w:lineRule="exact"/>
              <w:rPr>
                <w:sz w:val="20"/>
                <w:szCs w:val="20"/>
                <w:color w:val="auto"/>
              </w:rPr>
            </w:pPr>
            <w:r>
              <w:rPr>
                <w:rFonts w:ascii="Arial" w:cs="Arial" w:eastAsia="Arial" w:hAnsi="Arial"/>
                <w:sz w:val="18"/>
                <w:szCs w:val="18"/>
                <w:color w:val="auto"/>
              </w:rPr>
              <w:t>$ 26,857</w:t>
            </w: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$22,603</w:t>
            </w:r>
          </w:p>
        </w:tc>
        <w:tc>
          <w:tcPr>
            <w:tcW w:w="0" w:type="dxa"/>
            <w:vAlign w:val="bottom"/>
          </w:tcPr>
          <w:p>
            <w:pPr>
              <w:spacing w:after="0"/>
              <w:rPr>
                <w:sz w:val="1"/>
                <w:szCs w:val="1"/>
                <w:color w:val="auto"/>
              </w:rPr>
            </w:pPr>
          </w:p>
        </w:tc>
      </w:tr>
      <w:tr>
        <w:trPr>
          <w:trHeight w:val="20"/>
        </w:trPr>
        <w:tc>
          <w:tcPr>
            <w:tcW w:w="6800" w:type="dxa"/>
            <w:vAlign w:val="bottom"/>
            <w:gridSpan w:val="3"/>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00" w:type="dxa"/>
            <w:vAlign w:val="bottom"/>
            <w:gridSpan w:val="3"/>
            <w:vMerge w:val="continue"/>
          </w:tcPr>
          <w:p>
            <w:pPr>
              <w:spacing w:after="0"/>
              <w:rPr>
                <w:sz w:val="13"/>
                <w:szCs w:val="13"/>
                <w:color w:val="auto"/>
              </w:rPr>
            </w:pPr>
          </w:p>
        </w:tc>
        <w:tc>
          <w:tcPr>
            <w:tcW w:w="1040" w:type="dxa"/>
            <w:vAlign w:val="bottom"/>
            <w:gridSpan w:val="2"/>
            <w:vMerge w:val="restart"/>
          </w:tcPr>
          <w:p>
            <w:pPr>
              <w:jc w:val="right"/>
              <w:ind w:right="73"/>
              <w:spacing w:after="0"/>
              <w:rPr>
                <w:sz w:val="20"/>
                <w:szCs w:val="20"/>
                <w:color w:val="auto"/>
              </w:rPr>
            </w:pPr>
            <w:r>
              <w:rPr>
                <w:rFonts w:ascii="Arial" w:cs="Arial" w:eastAsia="Arial" w:hAnsi="Arial"/>
                <w:sz w:val="18"/>
                <w:szCs w:val="18"/>
                <w:b w:val="1"/>
                <w:bCs w:val="1"/>
                <w:color w:val="auto"/>
              </w:rPr>
              <w:t>$ 10,583</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666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Federal</w:t>
            </w:r>
          </w:p>
        </w:tc>
        <w:tc>
          <w:tcPr>
            <w:tcW w:w="10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73"/>
              <w:spacing w:after="0" w:line="181" w:lineRule="exact"/>
              <w:rPr>
                <w:sz w:val="20"/>
                <w:szCs w:val="20"/>
                <w:color w:val="auto"/>
              </w:rPr>
            </w:pPr>
            <w:r>
              <w:rPr>
                <w:rFonts w:ascii="Arial" w:cs="Arial" w:eastAsia="Arial" w:hAnsi="Arial"/>
                <w:sz w:val="18"/>
                <w:szCs w:val="18"/>
                <w:color w:val="auto"/>
              </w:rPr>
              <w:t>$ 10,700</w:t>
            </w:r>
          </w:p>
        </w:tc>
        <w:tc>
          <w:tcPr>
            <w:tcW w:w="320" w:type="dxa"/>
            <w:vAlign w:val="bottom"/>
          </w:tcPr>
          <w:p>
            <w:pPr>
              <w:spacing w:after="0"/>
              <w:rPr>
                <w:sz w:val="15"/>
                <w:szCs w:val="15"/>
                <w:color w:val="auto"/>
              </w:rPr>
            </w:pPr>
          </w:p>
        </w:tc>
        <w:tc>
          <w:tcPr>
            <w:tcW w:w="1040" w:type="dxa"/>
            <w:vAlign w:val="bottom"/>
            <w:gridSpan w:val="2"/>
          </w:tcPr>
          <w:p>
            <w:pPr>
              <w:jc w:val="right"/>
              <w:ind w:right="133"/>
              <w:spacing w:after="0" w:line="181" w:lineRule="exact"/>
              <w:rPr>
                <w:sz w:val="20"/>
                <w:szCs w:val="20"/>
                <w:color w:val="auto"/>
              </w:rPr>
            </w:pPr>
            <w:r>
              <w:rPr>
                <w:rFonts w:ascii="Arial" w:cs="Arial" w:eastAsia="Arial" w:hAnsi="Arial"/>
                <w:sz w:val="18"/>
                <w:szCs w:val="18"/>
                <w:color w:val="auto"/>
              </w:rPr>
              <w:t>$ 1,881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6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State</w:t>
            </w:r>
          </w:p>
        </w:tc>
        <w:tc>
          <w:tcPr>
            <w:tcW w:w="260" w:type="dxa"/>
            <w:vAlign w:val="bottom"/>
          </w:tcPr>
          <w:p>
            <w:pPr>
              <w:spacing w:after="0"/>
              <w:rPr>
                <w:sz w:val="17"/>
                <w:szCs w:val="17"/>
                <w:color w:val="auto"/>
              </w:rPr>
            </w:pPr>
          </w:p>
        </w:tc>
        <w:tc>
          <w:tcPr>
            <w:tcW w:w="78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253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(338)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Non-U.S.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1,601</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(4,991)</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73"/>
              <w:spacing w:after="0" w:line="196" w:lineRule="exact"/>
              <w:rPr>
                <w:sz w:val="20"/>
                <w:szCs w:val="20"/>
                <w:color w:val="auto"/>
              </w:rPr>
            </w:pPr>
            <w:r>
              <w:rPr>
                <w:rFonts w:ascii="Arial" w:cs="Arial" w:eastAsia="Arial" w:hAnsi="Arial"/>
                <w:sz w:val="18"/>
                <w:szCs w:val="18"/>
                <w:b w:val="1"/>
                <w:bCs w:val="1"/>
                <w:color w:val="auto"/>
              </w:rPr>
              <w:t>$ 12,437</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5,371</w:t>
            </w:r>
          </w:p>
        </w:tc>
        <w:tc>
          <w:tcPr>
            <w:tcW w:w="320" w:type="dxa"/>
            <w:vAlign w:val="bottom"/>
          </w:tcPr>
          <w:p>
            <w:pPr>
              <w:spacing w:after="0"/>
              <w:rPr>
                <w:sz w:val="17"/>
                <w:szCs w:val="17"/>
                <w:color w:val="auto"/>
              </w:rPr>
            </w:pP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196"/>
        </w:trPr>
        <w:tc>
          <w:tcPr>
            <w:tcW w:w="680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Total income tax expense</w:t>
            </w:r>
          </w:p>
        </w:tc>
        <w:tc>
          <w:tcPr>
            <w:tcW w:w="1040" w:type="dxa"/>
            <w:vAlign w:val="bottom"/>
            <w:tcBorders>
              <w:bottom w:val="single" w:sz="8" w:color="auto"/>
            </w:tcBorders>
            <w:gridSpan w:val="2"/>
          </w:tcPr>
          <w:p>
            <w:pPr>
              <w:jc w:val="right"/>
              <w:ind w:right="73"/>
              <w:spacing w:after="0" w:line="196" w:lineRule="exact"/>
              <w:rPr>
                <w:sz w:val="20"/>
                <w:szCs w:val="20"/>
                <w:color w:val="auto"/>
              </w:rPr>
            </w:pPr>
            <w:r>
              <w:rPr>
                <w:rFonts w:ascii="Arial" w:cs="Arial" w:eastAsia="Arial" w:hAnsi="Arial"/>
                <w:sz w:val="18"/>
                <w:szCs w:val="18"/>
                <w:b w:val="1"/>
                <w:bCs w:val="1"/>
                <w:color w:val="auto"/>
              </w:rPr>
              <w:t>$ 44,829</w:t>
            </w:r>
          </w:p>
        </w:tc>
        <w:tc>
          <w:tcPr>
            <w:tcW w:w="3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73"/>
              <w:spacing w:after="0" w:line="196" w:lineRule="exact"/>
              <w:rPr>
                <w:sz w:val="20"/>
                <w:szCs w:val="20"/>
                <w:color w:val="auto"/>
              </w:rPr>
            </w:pPr>
            <w:r>
              <w:rPr>
                <w:rFonts w:ascii="Arial" w:cs="Arial" w:eastAsia="Arial" w:hAnsi="Arial"/>
                <w:sz w:val="18"/>
                <w:szCs w:val="18"/>
                <w:color w:val="auto"/>
              </w:rPr>
              <w:t>$ 32,228</w:t>
            </w: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color w:val="auto"/>
              </w:rPr>
              <w:t>The significant components of deferred income tax expense/(benefit) are as follows:</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7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center"/>
              <w:ind w:right="19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63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effect of temporary differences</w:t>
            </w:r>
          </w:p>
        </w:tc>
        <w:tc>
          <w:tcPr>
            <w:tcW w:w="320" w:type="dxa"/>
            <w:vAlign w:val="bottom"/>
          </w:tcPr>
          <w:p>
            <w:pPr>
              <w:spacing w:after="0"/>
              <w:rPr>
                <w:sz w:val="15"/>
                <w:szCs w:val="15"/>
                <w:color w:val="auto"/>
              </w:rPr>
            </w:pPr>
          </w:p>
        </w:tc>
        <w:tc>
          <w:tcPr>
            <w:tcW w:w="2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73"/>
              <w:spacing w:after="0" w:line="173" w:lineRule="exact"/>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5"/>
                <w:szCs w:val="15"/>
                <w:color w:val="auto"/>
              </w:rPr>
            </w:pPr>
          </w:p>
        </w:tc>
        <w:tc>
          <w:tcPr>
            <w:tcW w:w="1040" w:type="dxa"/>
            <w:vAlign w:val="bottom"/>
            <w:tcBorders>
              <w:top w:val="single" w:sz="8" w:color="auto"/>
            </w:tcBorders>
            <w:gridSpan w:val="2"/>
          </w:tcPr>
          <w:p>
            <w:pPr>
              <w:jc w:val="right"/>
              <w:ind w:right="73"/>
              <w:spacing w:after="0" w:line="173" w:lineRule="exact"/>
              <w:rPr>
                <w:sz w:val="20"/>
                <w:szCs w:val="20"/>
                <w:color w:val="auto"/>
              </w:rPr>
            </w:pPr>
            <w:r>
              <w:rPr>
                <w:rFonts w:ascii="Arial" w:cs="Arial" w:eastAsia="Arial" w:hAnsi="Arial"/>
                <w:sz w:val="18"/>
                <w:szCs w:val="18"/>
                <w:color w:val="auto"/>
              </w:rPr>
              <w:t>$(4,657)</w:t>
            </w:r>
          </w:p>
        </w:tc>
        <w:tc>
          <w:tcPr>
            <w:tcW w:w="320" w:type="dxa"/>
            <w:vAlign w:val="bottom"/>
          </w:tcPr>
          <w:p>
            <w:pPr>
              <w:spacing w:after="0"/>
              <w:rPr>
                <w:sz w:val="15"/>
                <w:szCs w:val="15"/>
                <w:color w:val="auto"/>
              </w:rPr>
            </w:pPr>
          </w:p>
        </w:tc>
        <w:tc>
          <w:tcPr>
            <w:tcW w:w="1040" w:type="dxa"/>
            <w:vAlign w:val="bottom"/>
            <w:tcBorders>
              <w:top w:val="single" w:sz="8" w:color="auto"/>
            </w:tcBorders>
            <w:gridSpan w:val="2"/>
          </w:tcPr>
          <w:p>
            <w:pPr>
              <w:jc w:val="right"/>
              <w:ind w:right="73"/>
              <w:spacing w:after="0" w:line="173" w:lineRule="exact"/>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03"/>
        </w:trPr>
        <w:tc>
          <w:tcPr>
            <w:tcW w:w="68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Foreign tax credits</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w w:val="98"/>
              </w:rPr>
              <w:t>12,530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9,437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03"/>
        </w:trPr>
        <w:tc>
          <w:tcPr>
            <w:tcW w:w="68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Retirement benefits</w:t>
            </w: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(752)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2,360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3"/>
        </w:trPr>
        <w:tc>
          <w:tcPr>
            <w:tcW w:w="68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Net impact to operating loss carryforwards</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1,314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1,046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5"/>
        </w:trPr>
        <w:tc>
          <w:tcPr>
            <w:tcW w:w="6800" w:type="dxa"/>
            <w:vAlign w:val="bottom"/>
            <w:gridSpan w:val="3"/>
          </w:tcPr>
          <w:p>
            <w:pPr>
              <w:ind w:left="140"/>
              <w:spacing w:after="0"/>
              <w:rPr>
                <w:sz w:val="20"/>
                <w:szCs w:val="20"/>
                <w:color w:val="auto"/>
              </w:rPr>
            </w:pPr>
            <w:r>
              <w:rPr>
                <w:rFonts w:ascii="Arial" w:cs="Arial" w:eastAsia="Arial" w:hAnsi="Arial"/>
                <w:sz w:val="18"/>
                <w:szCs w:val="18"/>
                <w:color w:val="auto"/>
              </w:rPr>
              <w:t>Enacted changes in tax laws and rates</w:t>
            </w:r>
          </w:p>
        </w:tc>
        <w:tc>
          <w:tcPr>
            <w:tcW w:w="26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b w:val="1"/>
                <w:bCs w:val="1"/>
                <w:color w:val="auto"/>
              </w:rPr>
              <w:t>(112)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2,067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3"/>
        </w:trPr>
        <w:tc>
          <w:tcPr>
            <w:tcW w:w="68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Adjustment to beginning-of-the-year valuation allowance balance for changes in</w:t>
            </w:r>
          </w:p>
        </w:tc>
        <w:tc>
          <w:tcPr>
            <w:tcW w:w="260" w:type="dxa"/>
            <w:vAlign w:val="bottom"/>
          </w:tcPr>
          <w:p>
            <w:pPr>
              <w:spacing w:after="0"/>
              <w:rPr>
                <w:sz w:val="17"/>
                <w:szCs w:val="17"/>
                <w:color w:val="auto"/>
              </w:rPr>
            </w:pPr>
          </w:p>
        </w:tc>
        <w:tc>
          <w:tcPr>
            <w:tcW w:w="78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(525)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6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circumstances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rPr>
              <w:t>(4,882)</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196"/>
        </w:trPr>
        <w:tc>
          <w:tcPr>
            <w:tcW w:w="680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$12,437</w:t>
            </w:r>
          </w:p>
        </w:tc>
        <w:tc>
          <w:tcPr>
            <w:tcW w:w="3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33"/>
              <w:spacing w:after="0" w:line="196" w:lineRule="exact"/>
              <w:rPr>
                <w:sz w:val="20"/>
                <w:szCs w:val="20"/>
                <w:color w:val="auto"/>
              </w:rPr>
            </w:pPr>
            <w:r>
              <w:rPr>
                <w:rFonts w:ascii="Arial" w:cs="Arial" w:eastAsia="Arial" w:hAnsi="Arial"/>
                <w:sz w:val="18"/>
                <w:szCs w:val="18"/>
                <w:color w:val="auto"/>
              </w:rPr>
              <w:t>$ 5,371</w:t>
            </w:r>
          </w:p>
        </w:tc>
        <w:tc>
          <w:tcPr>
            <w:tcW w:w="320" w:type="dxa"/>
            <w:vAlign w:val="bottom"/>
          </w:tcPr>
          <w:p>
            <w:pPr>
              <w:spacing w:after="0"/>
              <w:rPr>
                <w:sz w:val="17"/>
                <w:szCs w:val="17"/>
                <w:color w:val="auto"/>
              </w:rPr>
            </w:pP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0940"/>
          </w:cols>
          <w:pgMar w:left="240" w:top="269" w:right="71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 (continued)</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the U.S. federal statutory tax rate to the Company’s effective income tax rate is as follows: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880" w:type="dxa"/>
            <w:vAlign w:val="bottom"/>
            <w:vMerge w:val="restart"/>
          </w:tcPr>
          <w:p>
            <w:pPr>
              <w:spacing w:after="0"/>
              <w:rPr>
                <w:sz w:val="20"/>
                <w:szCs w:val="20"/>
                <w:color w:val="auto"/>
              </w:rPr>
            </w:pPr>
            <w:r>
              <w:rPr>
                <w:rFonts w:ascii="Arial" w:cs="Arial" w:eastAsia="Arial" w:hAnsi="Arial"/>
                <w:sz w:val="18"/>
                <w:szCs w:val="18"/>
                <w:color w:val="auto"/>
              </w:rPr>
              <w:t>U.S. federal statutory tax rate</w:t>
            </w: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6880" w:type="dxa"/>
            <w:vAlign w:val="bottom"/>
            <w:vMerge w:val="continue"/>
          </w:tcPr>
          <w:p>
            <w:pPr>
              <w:spacing w:after="0"/>
              <w:rPr>
                <w:sz w:val="15"/>
                <w:szCs w:val="15"/>
                <w:color w:val="auto"/>
              </w:rPr>
            </w:pPr>
          </w:p>
        </w:tc>
        <w:tc>
          <w:tcPr>
            <w:tcW w:w="1040" w:type="dxa"/>
            <w:vAlign w:val="bottom"/>
          </w:tcPr>
          <w:p>
            <w:pPr>
              <w:jc w:val="right"/>
              <w:ind w:right="191"/>
              <w:spacing w:after="0" w:line="173" w:lineRule="exact"/>
              <w:rPr>
                <w:sz w:val="20"/>
                <w:szCs w:val="20"/>
                <w:color w:val="auto"/>
              </w:rPr>
            </w:pPr>
            <w:r>
              <w:rPr>
                <w:rFonts w:ascii="Arial" w:cs="Arial" w:eastAsia="Arial" w:hAnsi="Arial"/>
                <w:sz w:val="18"/>
                <w:szCs w:val="18"/>
                <w:b w:val="1"/>
                <w:bCs w:val="1"/>
                <w:color w:val="auto"/>
              </w:rPr>
              <w:t>21.0%</w:t>
            </w:r>
          </w:p>
        </w:tc>
        <w:tc>
          <w:tcPr>
            <w:tcW w:w="200" w:type="dxa"/>
            <w:vAlign w:val="bottom"/>
          </w:tcPr>
          <w:p>
            <w:pPr>
              <w:spacing w:after="0"/>
              <w:rPr>
                <w:sz w:val="15"/>
                <w:szCs w:val="15"/>
                <w:color w:val="auto"/>
              </w:rPr>
            </w:pPr>
          </w:p>
        </w:tc>
        <w:tc>
          <w:tcPr>
            <w:tcW w:w="1040" w:type="dxa"/>
            <w:vAlign w:val="bottom"/>
          </w:tcPr>
          <w:p>
            <w:pPr>
              <w:jc w:val="right"/>
              <w:ind w:right="191"/>
              <w:spacing w:after="0" w:line="173" w:lineRule="exact"/>
              <w:rPr>
                <w:sz w:val="20"/>
                <w:szCs w:val="20"/>
                <w:color w:val="auto"/>
              </w:rPr>
            </w:pPr>
            <w:r>
              <w:rPr>
                <w:rFonts w:ascii="Arial" w:cs="Arial" w:eastAsia="Arial" w:hAnsi="Arial"/>
                <w:sz w:val="18"/>
                <w:szCs w:val="18"/>
                <w:color w:val="auto"/>
              </w:rPr>
              <w:t>21.0%</w:t>
            </w:r>
          </w:p>
        </w:tc>
        <w:tc>
          <w:tcPr>
            <w:tcW w:w="200" w:type="dxa"/>
            <w:vAlign w:val="bottom"/>
          </w:tcPr>
          <w:p>
            <w:pPr>
              <w:spacing w:after="0"/>
              <w:rPr>
                <w:sz w:val="15"/>
                <w:szCs w:val="15"/>
                <w:color w:val="auto"/>
              </w:rPr>
            </w:pPr>
          </w:p>
        </w:tc>
        <w:tc>
          <w:tcPr>
            <w:tcW w:w="1040" w:type="dxa"/>
            <w:vAlign w:val="bottom"/>
          </w:tcPr>
          <w:p>
            <w:pPr>
              <w:jc w:val="right"/>
              <w:ind w:right="151"/>
              <w:spacing w:after="0" w:line="173"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7"/>
                <w:szCs w:val="17"/>
                <w:color w:val="auto"/>
              </w:rPr>
            </w:pP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10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Non-U.S. local income taxes</w:t>
            </w: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17"/>
                <w:szCs w:val="17"/>
                <w:color w:val="auto"/>
              </w:rPr>
            </w:pP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10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US permanent adjustments</w:t>
            </w: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(0.3)</w:t>
            </w:r>
          </w:p>
        </w:tc>
        <w:tc>
          <w:tcPr>
            <w:tcW w:w="200" w:type="dxa"/>
            <w:vAlign w:val="bottom"/>
          </w:tcPr>
          <w:p>
            <w:pPr>
              <w:spacing w:after="0"/>
              <w:rPr>
                <w:sz w:val="17"/>
                <w:szCs w:val="17"/>
                <w:color w:val="auto"/>
              </w:rPr>
            </w:pPr>
          </w:p>
        </w:tc>
        <w:tc>
          <w:tcPr>
            <w:tcW w:w="10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Foreign permanent adjustments</w:t>
            </w: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0.4</w:t>
            </w:r>
          </w:p>
        </w:tc>
        <w:tc>
          <w:tcPr>
            <w:tcW w:w="200" w:type="dxa"/>
            <w:vAlign w:val="bottom"/>
          </w:tcPr>
          <w:p>
            <w:pPr>
              <w:spacing w:after="0"/>
              <w:rPr>
                <w:sz w:val="17"/>
                <w:szCs w:val="17"/>
                <w:color w:val="auto"/>
              </w:rPr>
            </w:pP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(0.4)</w:t>
            </w:r>
          </w:p>
        </w:tc>
        <w:tc>
          <w:tcPr>
            <w:tcW w:w="200" w:type="dxa"/>
            <w:vAlign w:val="bottom"/>
          </w:tcPr>
          <w:p>
            <w:pPr>
              <w:spacing w:after="0"/>
              <w:rPr>
                <w:sz w:val="17"/>
                <w:szCs w:val="17"/>
                <w:color w:val="auto"/>
              </w:rPr>
            </w:pPr>
          </w:p>
        </w:tc>
        <w:tc>
          <w:tcPr>
            <w:tcW w:w="10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Foreign rate differential</w:t>
            </w: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17"/>
                <w:szCs w:val="17"/>
                <w:color w:val="auto"/>
              </w:rPr>
            </w:pP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10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Net U.S. tax on non-U.S. earnings and foreign withholdings</w:t>
            </w: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0.3</w:t>
            </w:r>
          </w:p>
        </w:tc>
        <w:tc>
          <w:tcPr>
            <w:tcW w:w="200" w:type="dxa"/>
            <w:vAlign w:val="bottom"/>
          </w:tcPr>
          <w:p>
            <w:pPr>
              <w:spacing w:after="0"/>
              <w:rPr>
                <w:sz w:val="17"/>
                <w:szCs w:val="17"/>
                <w:color w:val="auto"/>
              </w:rPr>
            </w:pP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10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7"/>
                <w:szCs w:val="17"/>
                <w:color w:val="auto"/>
              </w:rPr>
            </w:pP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10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Research and development and other tax credits</w:t>
            </w: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(0.3)</w:t>
            </w:r>
          </w:p>
        </w:tc>
        <w:tc>
          <w:tcPr>
            <w:tcW w:w="200" w:type="dxa"/>
            <w:vAlign w:val="bottom"/>
          </w:tcPr>
          <w:p>
            <w:pPr>
              <w:spacing w:after="0"/>
              <w:rPr>
                <w:sz w:val="17"/>
                <w:szCs w:val="17"/>
                <w:color w:val="auto"/>
              </w:rPr>
            </w:pP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10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Provision for/adjustment to beginning of year valuation allowances</w:t>
            </w: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(0.3)</w:t>
            </w:r>
          </w:p>
        </w:tc>
        <w:tc>
          <w:tcPr>
            <w:tcW w:w="200" w:type="dxa"/>
            <w:vAlign w:val="bottom"/>
          </w:tcPr>
          <w:p>
            <w:pPr>
              <w:spacing w:after="0"/>
              <w:rPr>
                <w:sz w:val="17"/>
                <w:szCs w:val="17"/>
                <w:color w:val="auto"/>
              </w:rPr>
            </w:pP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10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Enacted tax legislation and rate change</w:t>
            </w: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(0.1)</w:t>
            </w:r>
          </w:p>
        </w:tc>
        <w:tc>
          <w:tcPr>
            <w:tcW w:w="200" w:type="dxa"/>
            <w:vAlign w:val="bottom"/>
          </w:tcPr>
          <w:p>
            <w:pPr>
              <w:spacing w:after="0"/>
              <w:rPr>
                <w:sz w:val="17"/>
                <w:szCs w:val="17"/>
                <w:color w:val="auto"/>
              </w:rPr>
            </w:pP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7"/>
                <w:szCs w:val="17"/>
                <w:color w:val="auto"/>
              </w:rPr>
            </w:pPr>
          </w:p>
        </w:tc>
        <w:tc>
          <w:tcPr>
            <w:tcW w:w="10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6880" w:type="dxa"/>
            <w:vAlign w:val="bottom"/>
          </w:tcPr>
          <w:p>
            <w:pPr>
              <w:spacing w:after="0"/>
              <w:rPr>
                <w:sz w:val="20"/>
                <w:szCs w:val="20"/>
                <w:color w:val="auto"/>
              </w:rPr>
            </w:pPr>
            <w:r>
              <w:rPr>
                <w:rFonts w:ascii="Arial" w:cs="Arial" w:eastAsia="Arial" w:hAnsi="Arial"/>
                <w:sz w:val="18"/>
                <w:szCs w:val="18"/>
                <w:color w:val="auto"/>
              </w:rPr>
              <w:t>Return to provision and other adjustments</w:t>
            </w: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Effective income tax rate</w:t>
            </w:r>
          </w:p>
        </w:tc>
        <w:tc>
          <w:tcPr>
            <w:tcW w:w="104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b w:val="1"/>
                <w:bCs w:val="1"/>
                <w:color w:val="auto"/>
              </w:rPr>
              <w:t>25.2%</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color w:val="auto"/>
              </w:rPr>
              <w:t>28.0%</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378"/>
        <w:spacing w:after="0" w:line="236"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2019. The jurisdictional location of earnings is a significant component of the Company’s effective tax rate each year. The rate impact of this component is influenced by the specific location of non-U.S. earnings and the level of the Company’s total earnings. From period to period, the jurisdictional mix of earnings can vary as a result of operating fluctuations in the normal course of business, as well as the extent and location of other income and expense items, such as pension settlement and restructuring charges. The foreign income tax rate differential that is included above in the reconciliation of the effective tax rate includes the difference between tax expense calculated at the U.S. federal statutory tax rate of 21% and the expense accrued based on the different statutory tax rates that apply in the jurisdictions where the income or loss is earned.</w:t>
      </w:r>
    </w:p>
    <w:p>
      <w:pPr>
        <w:spacing w:after="0" w:line="100" w:lineRule="exact"/>
        <w:rPr>
          <w:sz w:val="20"/>
          <w:szCs w:val="20"/>
          <w:color w:val="auto"/>
        </w:rPr>
      </w:pPr>
    </w:p>
    <w:p>
      <w:pPr>
        <w:ind w:right="340" w:firstLine="378"/>
        <w:spacing w:after="0"/>
        <w:rPr>
          <w:sz w:val="20"/>
          <w:szCs w:val="20"/>
          <w:color w:val="auto"/>
        </w:rPr>
      </w:pPr>
      <w:r>
        <w:rPr>
          <w:rFonts w:ascii="Arial" w:cs="Arial" w:eastAsia="Arial" w:hAnsi="Arial"/>
          <w:sz w:val="18"/>
          <w:szCs w:val="18"/>
          <w:color w:val="auto"/>
        </w:rPr>
        <w:t>During the periods reported, income outside of the U.S. was heavily concentrated within Brazil (blended 34% tax rate), China (25% tax rate), and Mexico (30% tax rate). The foreign rate differential of these jurisdictions was partially offset by Switzerland (7.8% tax rate). As a result, the foreign income tax rate differential was primarily attributable to these tax rate differences.</w:t>
      </w:r>
    </w:p>
    <w:p>
      <w:pPr>
        <w:spacing w:after="0" w:line="95" w:lineRule="exact"/>
        <w:rPr>
          <w:sz w:val="20"/>
          <w:szCs w:val="20"/>
          <w:color w:val="auto"/>
        </w:rPr>
      </w:pPr>
    </w:p>
    <w:p>
      <w:pPr>
        <w:ind w:right="60" w:firstLine="378"/>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certain assets and liabilities for financial reporting purposes and income tax return purposes. Significant components of the Company’s deferred tax assets and liabilities are as follows: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 (continued)</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8"/>
              </w:rPr>
              <w:t>Non-U.S.</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00" w:type="dxa"/>
            <w:vAlign w:val="bottom"/>
            <w:gridSpan w:val="3"/>
            <w:vMerge w:val="continue"/>
          </w:tcPr>
          <w:p>
            <w:pPr>
              <w:spacing w:after="0"/>
              <w:rPr>
                <w:sz w:val="13"/>
                <w:szCs w:val="13"/>
                <w:color w:val="auto"/>
              </w:rPr>
            </w:pPr>
          </w:p>
        </w:tc>
        <w:tc>
          <w:tcPr>
            <w:tcW w:w="10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360" w:type="dxa"/>
            <w:vAlign w:val="bottom"/>
            <w:tcBorders>
              <w:top w:val="single" w:sz="8" w:color="auto"/>
            </w:tcBorders>
            <w:gridSpan w:val="2"/>
          </w:tcPr>
          <w:p>
            <w:pPr>
              <w:jc w:val="center"/>
              <w:ind w:left="23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center"/>
              <w:ind w:right="11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25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Noncurrent deferred tax assets:</w:t>
            </w:r>
          </w:p>
        </w:tc>
        <w:tc>
          <w:tcPr>
            <w:tcW w:w="300" w:type="dxa"/>
            <w:vAlign w:val="bottom"/>
          </w:tcPr>
          <w:p>
            <w:pPr>
              <w:spacing w:after="0"/>
              <w:rPr>
                <w:sz w:val="16"/>
                <w:szCs w:val="16"/>
                <w:color w:val="auto"/>
              </w:rPr>
            </w:pPr>
          </w:p>
        </w:tc>
        <w:tc>
          <w:tcPr>
            <w:tcW w:w="104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8"/>
                <w:szCs w:val="18"/>
                <w:b w:val="1"/>
                <w:bCs w:val="1"/>
                <w:color w:val="auto"/>
              </w:rPr>
              <w:t>$  823</w:t>
            </w:r>
          </w:p>
        </w:tc>
        <w:tc>
          <w:tcPr>
            <w:tcW w:w="3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$ 1,050</w:t>
            </w:r>
          </w:p>
        </w:tc>
        <w:tc>
          <w:tcPr>
            <w:tcW w:w="1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Accounts receivable</w:t>
            </w:r>
          </w:p>
        </w:tc>
        <w:tc>
          <w:tcPr>
            <w:tcW w:w="1040" w:type="dxa"/>
            <w:vAlign w:val="bottom"/>
            <w:vMerge w:val="continue"/>
          </w:tcPr>
          <w:p>
            <w:pPr>
              <w:spacing w:after="0"/>
              <w:rPr>
                <w:sz w:val="15"/>
                <w:szCs w:val="15"/>
                <w:color w:val="auto"/>
              </w:rPr>
            </w:pPr>
          </w:p>
        </w:tc>
        <w:tc>
          <w:tcPr>
            <w:tcW w:w="1360" w:type="dxa"/>
            <w:vAlign w:val="bottom"/>
            <w:gridSpan w:val="2"/>
          </w:tcPr>
          <w:p>
            <w:pPr>
              <w:jc w:val="right"/>
              <w:ind w:right="130"/>
              <w:spacing w:after="0" w:line="181" w:lineRule="exact"/>
              <w:rPr>
                <w:sz w:val="20"/>
                <w:szCs w:val="20"/>
                <w:color w:val="auto"/>
              </w:rPr>
            </w:pPr>
            <w:r>
              <w:rPr>
                <w:rFonts w:ascii="Arial" w:cs="Arial" w:eastAsia="Arial" w:hAnsi="Arial"/>
                <w:sz w:val="18"/>
                <w:szCs w:val="18"/>
                <w:color w:val="auto"/>
              </w:rPr>
              <w:t>$  686</w:t>
            </w: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500" w:type="dxa"/>
            <w:vAlign w:val="bottom"/>
            <w:gridSpan w:val="4"/>
          </w:tcPr>
          <w:p>
            <w:pPr>
              <w:jc w:val="right"/>
              <w:ind w:right="131"/>
              <w:spacing w:after="0" w:line="181" w:lineRule="exact"/>
              <w:rPr>
                <w:sz w:val="20"/>
                <w:szCs w:val="20"/>
                <w:color w:val="auto"/>
              </w:rPr>
            </w:pPr>
            <w:r>
              <w:rPr>
                <w:rFonts w:ascii="Arial" w:cs="Arial" w:eastAsia="Arial" w:hAnsi="Arial"/>
                <w:sz w:val="18"/>
                <w:szCs w:val="18"/>
                <w:color w:val="auto"/>
              </w:rPr>
              <w:t>$ 1,224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Inventories</w:t>
            </w:r>
          </w:p>
        </w:tc>
        <w:tc>
          <w:tcPr>
            <w:tcW w:w="104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636</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442</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Deferred compensation</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4,730</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4,460</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3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4,892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Postretirement benefits</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14,885</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14,759</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Tax loss carryforwards</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2,266</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1,199</w:t>
            </w:r>
          </w:p>
        </w:tc>
        <w:tc>
          <w:tcPr>
            <w:tcW w:w="3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21,467</w:t>
            </w:r>
          </w:p>
        </w:tc>
        <w:tc>
          <w:tcPr>
            <w:tcW w:w="1500" w:type="dxa"/>
            <w:vAlign w:val="bottom"/>
            <w:gridSpan w:val="4"/>
          </w:tcPr>
          <w:p>
            <w:pPr>
              <w:jc w:val="right"/>
              <w:ind w:right="131"/>
              <w:spacing w:after="0" w:line="202" w:lineRule="exact"/>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Tax credit carryforwards</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15,931</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30,523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Derivatives</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1,411</w:t>
            </w:r>
          </w:p>
        </w:tc>
        <w:tc>
          <w:tcPr>
            <w:tcW w:w="320" w:type="dxa"/>
            <w:vAlign w:val="bottom"/>
          </w:tcPr>
          <w:p>
            <w:pPr>
              <w:spacing w:after="0"/>
              <w:rPr>
                <w:sz w:val="17"/>
                <w:szCs w:val="17"/>
                <w:color w:val="auto"/>
              </w:rPr>
            </w:pPr>
          </w:p>
        </w:tc>
        <w:tc>
          <w:tcPr>
            <w:tcW w:w="13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Reserves</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2,953</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3,954</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2,417</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3,556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173"/>
        </w:trPr>
        <w:tc>
          <w:tcPr>
            <w:tcW w:w="5300" w:type="dxa"/>
            <w:vAlign w:val="bottom"/>
            <w:gridSpan w:val="3"/>
          </w:tcPr>
          <w:p>
            <w:pPr>
              <w:spacing w:after="0" w:line="173" w:lineRule="exact"/>
              <w:rPr>
                <w:sz w:val="20"/>
                <w:szCs w:val="20"/>
                <w:color w:val="auto"/>
              </w:rPr>
            </w:pPr>
            <w:r>
              <w:rPr>
                <w:rFonts w:ascii="Arial" w:cs="Arial" w:eastAsia="Arial" w:hAnsi="Arial"/>
                <w:sz w:val="18"/>
                <w:szCs w:val="18"/>
                <w:color w:val="auto"/>
              </w:rPr>
              <w:t>Noncurrent deferred tax assets before valuation allowance</w:t>
            </w:r>
          </w:p>
        </w:tc>
        <w:tc>
          <w:tcPr>
            <w:tcW w:w="1040" w:type="dxa"/>
            <w:vAlign w:val="bottom"/>
            <w:tcBorders>
              <w:top w:val="single" w:sz="8" w:color="auto"/>
            </w:tcBorders>
          </w:tcPr>
          <w:p>
            <w:pPr>
              <w:jc w:val="right"/>
              <w:ind w:right="111"/>
              <w:spacing w:after="0" w:line="173" w:lineRule="exact"/>
              <w:rPr>
                <w:sz w:val="20"/>
                <w:szCs w:val="20"/>
                <w:color w:val="auto"/>
              </w:rPr>
            </w:pPr>
            <w:r>
              <w:rPr>
                <w:rFonts w:ascii="Arial" w:cs="Arial" w:eastAsia="Arial" w:hAnsi="Arial"/>
                <w:sz w:val="18"/>
                <w:szCs w:val="18"/>
                <w:b w:val="1"/>
                <w:bCs w:val="1"/>
                <w:color w:val="auto"/>
              </w:rPr>
              <w:t>46,052</w:t>
            </w:r>
          </w:p>
        </w:tc>
        <w:tc>
          <w:tcPr>
            <w:tcW w:w="320" w:type="dxa"/>
            <w:vAlign w:val="bottom"/>
          </w:tcPr>
          <w:p>
            <w:pPr>
              <w:spacing w:after="0"/>
              <w:rPr>
                <w:sz w:val="15"/>
                <w:szCs w:val="15"/>
                <w:color w:val="auto"/>
              </w:rPr>
            </w:pPr>
          </w:p>
        </w:tc>
        <w:tc>
          <w:tcPr>
            <w:tcW w:w="104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color w:val="auto"/>
              </w:rPr>
              <w:t>60,095</w:t>
            </w:r>
          </w:p>
        </w:tc>
        <w:tc>
          <w:tcPr>
            <w:tcW w:w="30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8"/>
                <w:szCs w:val="18"/>
                <w:b w:val="1"/>
                <w:bCs w:val="1"/>
                <w:color w:val="auto"/>
              </w:rPr>
              <w:t>32,010</w:t>
            </w:r>
          </w:p>
        </w:tc>
        <w:tc>
          <w:tcPr>
            <w:tcW w:w="1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Borders>
              <w:top w:val="single" w:sz="8" w:color="auto"/>
            </w:tcBorders>
            <w:gridSpan w:val="2"/>
          </w:tcPr>
          <w:p>
            <w:pPr>
              <w:jc w:val="right"/>
              <w:ind w:right="131"/>
              <w:spacing w:after="0" w:line="173" w:lineRule="exact"/>
              <w:rPr>
                <w:sz w:val="20"/>
                <w:szCs w:val="20"/>
                <w:color w:val="auto"/>
              </w:rPr>
            </w:pPr>
            <w:r>
              <w:rPr>
                <w:rFonts w:ascii="Arial" w:cs="Arial" w:eastAsia="Arial" w:hAnsi="Arial"/>
                <w:sz w:val="18"/>
                <w:szCs w:val="18"/>
                <w:color w:val="auto"/>
              </w:rPr>
              <w:t>33,102</w:t>
            </w:r>
          </w:p>
        </w:tc>
        <w:tc>
          <w:tcPr>
            <w:tcW w:w="0" w:type="dxa"/>
            <w:vAlign w:val="bottom"/>
          </w:tcPr>
          <w:p>
            <w:pPr>
              <w:spacing w:after="0"/>
              <w:rPr>
                <w:sz w:val="1"/>
                <w:szCs w:val="1"/>
                <w:color w:val="auto"/>
              </w:rPr>
            </w:pPr>
          </w:p>
        </w:tc>
      </w:tr>
      <w:tr>
        <w:trPr>
          <w:trHeight w:val="203"/>
        </w:trPr>
        <w:tc>
          <w:tcPr>
            <w:tcW w:w="5300" w:type="dxa"/>
            <w:vAlign w:val="bottom"/>
            <w:gridSpan w:val="3"/>
          </w:tcPr>
          <w:p>
            <w:pPr>
              <w:spacing w:after="0" w:line="202" w:lineRule="exact"/>
              <w:rPr>
                <w:sz w:val="20"/>
                <w:szCs w:val="20"/>
                <w:color w:val="auto"/>
              </w:rPr>
            </w:pPr>
            <w:r>
              <w:rPr>
                <w:rFonts w:ascii="Arial" w:cs="Arial" w:eastAsia="Arial" w:hAnsi="Arial"/>
                <w:sz w:val="18"/>
                <w:szCs w:val="18"/>
                <w:color w:val="auto"/>
              </w:rPr>
              <w:t>Less: valuation allowance</w:t>
            </w:r>
          </w:p>
        </w:tc>
        <w:tc>
          <w:tcPr>
            <w:tcW w:w="104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3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(9,102)</w:t>
            </w:r>
          </w:p>
        </w:tc>
        <w:tc>
          <w:tcPr>
            <w:tcW w:w="1500" w:type="dxa"/>
            <w:vAlign w:val="bottom"/>
            <w:gridSpan w:val="4"/>
          </w:tcPr>
          <w:p>
            <w:pPr>
              <w:jc w:val="right"/>
              <w:ind w:right="71"/>
              <w:spacing w:after="0" w:line="202" w:lineRule="exact"/>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25"/>
        </w:trPr>
        <w:tc>
          <w:tcPr>
            <w:tcW w:w="5300" w:type="dxa"/>
            <w:vAlign w:val="bottom"/>
            <w:gridSpan w:val="3"/>
          </w:tcPr>
          <w:p>
            <w:pPr>
              <w:spacing w:after="0"/>
              <w:rPr>
                <w:sz w:val="20"/>
                <w:szCs w:val="20"/>
                <w:color w:val="auto"/>
              </w:rPr>
            </w:pPr>
            <w:r>
              <w:rPr>
                <w:rFonts w:ascii="Arial" w:cs="Arial" w:eastAsia="Arial" w:hAnsi="Arial"/>
                <w:sz w:val="18"/>
                <w:szCs w:val="18"/>
                <w:color w:val="auto"/>
              </w:rPr>
              <w:t>Total noncurrent deferred tax assets</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46,052</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60,095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22,908</w:t>
            </w:r>
          </w:p>
        </w:tc>
        <w:tc>
          <w:tcPr>
            <w:tcW w:w="1500" w:type="dxa"/>
            <w:vAlign w:val="bottom"/>
            <w:gridSpan w:val="4"/>
          </w:tcPr>
          <w:p>
            <w:pPr>
              <w:jc w:val="right"/>
              <w:ind w:right="131"/>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196"/>
        </w:trPr>
        <w:tc>
          <w:tcPr>
            <w:tcW w:w="5300" w:type="dxa"/>
            <w:vAlign w:val="bottom"/>
            <w:gridSpan w:val="3"/>
          </w:tcPr>
          <w:p>
            <w:pPr>
              <w:spacing w:after="0" w:line="196" w:lineRule="exact"/>
              <w:rPr>
                <w:sz w:val="20"/>
                <w:szCs w:val="20"/>
                <w:color w:val="auto"/>
              </w:rPr>
            </w:pPr>
            <w:r>
              <w:rPr>
                <w:rFonts w:ascii="Arial" w:cs="Arial" w:eastAsia="Arial" w:hAnsi="Arial"/>
                <w:sz w:val="18"/>
                <w:szCs w:val="18"/>
                <w:color w:val="auto"/>
              </w:rPr>
              <w:t>Total deferred tax assets</w:t>
            </w:r>
          </w:p>
        </w:tc>
        <w:tc>
          <w:tcPr>
            <w:tcW w:w="1040" w:type="dxa"/>
            <w:vAlign w:val="bottom"/>
            <w:tcBorders>
              <w:top w:val="single" w:sz="8" w:color="auto"/>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$46,052</w:t>
            </w:r>
          </w:p>
        </w:tc>
        <w:tc>
          <w:tcPr>
            <w:tcW w:w="3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$60,095</w:t>
            </w: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center"/>
              <w:ind w:left="50"/>
              <w:spacing w:after="0" w:line="196" w:lineRule="exact"/>
              <w:rPr>
                <w:sz w:val="20"/>
                <w:szCs w:val="20"/>
                <w:color w:val="auto"/>
              </w:rPr>
            </w:pPr>
            <w:r>
              <w:rPr>
                <w:rFonts w:ascii="Arial" w:cs="Arial" w:eastAsia="Arial" w:hAnsi="Arial"/>
                <w:sz w:val="18"/>
                <w:szCs w:val="18"/>
                <w:b w:val="1"/>
                <w:bCs w:val="1"/>
                <w:color w:val="auto"/>
                <w:w w:val="98"/>
              </w:rPr>
              <w:t>$22,908</w:t>
            </w:r>
          </w:p>
        </w:tc>
        <w:tc>
          <w:tcPr>
            <w:tcW w:w="14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Noncurrent deferred tax liabilities:</w:t>
            </w: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00" w:type="dxa"/>
            <w:vAlign w:val="bottom"/>
            <w:gridSpan w:val="3"/>
            <w:vMerge w:val="continue"/>
          </w:tcPr>
          <w:p>
            <w:pPr>
              <w:spacing w:after="0"/>
              <w:rPr>
                <w:sz w:val="15"/>
                <w:szCs w:val="15"/>
                <w:color w:val="auto"/>
              </w:rPr>
            </w:pPr>
          </w:p>
        </w:tc>
        <w:tc>
          <w:tcPr>
            <w:tcW w:w="104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$ 2,202</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Unrepatriated foreign earnings</w:t>
            </w:r>
          </w:p>
        </w:tc>
        <w:tc>
          <w:tcPr>
            <w:tcW w:w="1040" w:type="dxa"/>
            <w:vAlign w:val="bottom"/>
            <w:vMerge w:val="continue"/>
          </w:tcPr>
          <w:p>
            <w:pPr>
              <w:spacing w:after="0"/>
              <w:rPr>
                <w:sz w:val="15"/>
                <w:szCs w:val="15"/>
                <w:color w:val="auto"/>
              </w:rPr>
            </w:pPr>
          </w:p>
        </w:tc>
        <w:tc>
          <w:tcPr>
            <w:tcW w:w="1360" w:type="dxa"/>
            <w:vAlign w:val="bottom"/>
            <w:gridSpan w:val="2"/>
          </w:tcPr>
          <w:p>
            <w:pPr>
              <w:jc w:val="right"/>
              <w:ind w:right="130"/>
              <w:spacing w:after="0" w:line="181" w:lineRule="exact"/>
              <w:rPr>
                <w:sz w:val="20"/>
                <w:szCs w:val="20"/>
                <w:color w:val="auto"/>
              </w:rPr>
            </w:pPr>
            <w:r>
              <w:rPr>
                <w:rFonts w:ascii="Arial" w:cs="Arial" w:eastAsia="Arial" w:hAnsi="Arial"/>
                <w:sz w:val="18"/>
                <w:szCs w:val="18"/>
                <w:color w:val="auto"/>
              </w:rPr>
              <w:t>$ 4,028</w:t>
            </w:r>
          </w:p>
        </w:tc>
        <w:tc>
          <w:tcPr>
            <w:tcW w:w="3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3"/>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1"/>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4,404</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12,848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Postretirement benefits</w:t>
            </w:r>
          </w:p>
        </w:tc>
        <w:tc>
          <w:tcPr>
            <w:tcW w:w="1040" w:type="dxa"/>
            <w:vAlign w:val="bottom"/>
          </w:tcPr>
          <w:p>
            <w:pPr>
              <w:jc w:val="right"/>
              <w:ind w:right="131"/>
              <w:spacing w:after="0" w:line="18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340" w:type="dxa"/>
            <w:vAlign w:val="bottom"/>
            <w:gridSpan w:val="2"/>
          </w:tcPr>
          <w:p>
            <w:pPr>
              <w:ind w:left="620"/>
              <w:spacing w:after="0" w:line="18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51"/>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Deferred gain</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3,391</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3,762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Derivatives</w:t>
            </w:r>
          </w:p>
        </w:tc>
        <w:tc>
          <w:tcPr>
            <w:tcW w:w="1040" w:type="dxa"/>
            <w:vAlign w:val="bottom"/>
          </w:tcPr>
          <w:p>
            <w:pPr>
              <w:jc w:val="right"/>
              <w:ind w:right="131"/>
              <w:spacing w:after="0" w:line="181"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0"/>
              <w:spacing w:after="0" w:line="181" w:lineRule="exact"/>
              <w:rPr>
                <w:sz w:val="20"/>
                <w:szCs w:val="20"/>
                <w:color w:val="auto"/>
              </w:rPr>
            </w:pPr>
            <w:r>
              <w:rPr>
                <w:rFonts w:ascii="Arial" w:cs="Arial" w:eastAsia="Arial" w:hAnsi="Arial"/>
                <w:sz w:val="18"/>
                <w:szCs w:val="18"/>
                <w:color w:val="auto"/>
              </w:rPr>
              <w:t>1,162</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51"/>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Flow-through DTL's</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6,205</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2,192</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104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3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8,492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ind w:right="131"/>
              <w:spacing w:after="0"/>
              <w:rPr>
                <w:sz w:val="20"/>
                <w:szCs w:val="20"/>
                <w:color w:val="auto"/>
              </w:rPr>
            </w:pPr>
            <w:r>
              <w:rPr>
                <w:rFonts w:ascii="Arial" w:cs="Arial" w:eastAsia="Arial" w:hAnsi="Arial"/>
                <w:sz w:val="18"/>
                <w:szCs w:val="18"/>
                <w:b w:val="1"/>
                <w:bCs w:val="1"/>
                <w:color w:val="auto"/>
              </w:rPr>
              <w:t>510</w:t>
            </w:r>
          </w:p>
        </w:tc>
        <w:tc>
          <w:tcPr>
            <w:tcW w:w="320" w:type="dxa"/>
            <w:vAlign w:val="bottom"/>
          </w:tcPr>
          <w:p>
            <w:pPr>
              <w:spacing w:after="0"/>
              <w:rPr>
                <w:sz w:val="19"/>
                <w:szCs w:val="19"/>
                <w:color w:val="auto"/>
              </w:rPr>
            </w:pP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3,137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00" w:type="dxa"/>
            <w:vAlign w:val="bottom"/>
            <w:gridSpan w:val="3"/>
          </w:tcPr>
          <w:p>
            <w:pPr>
              <w:spacing w:after="0" w:line="196" w:lineRule="exact"/>
              <w:rPr>
                <w:sz w:val="20"/>
                <w:szCs w:val="20"/>
                <w:color w:val="auto"/>
              </w:rPr>
            </w:pPr>
            <w:r>
              <w:rPr>
                <w:rFonts w:ascii="Arial" w:cs="Arial" w:eastAsia="Arial" w:hAnsi="Arial"/>
                <w:sz w:val="18"/>
                <w:szCs w:val="18"/>
                <w:color w:val="auto"/>
              </w:rPr>
              <w:t>Total noncurrent deferred tax liabilities</w:t>
            </w:r>
          </w:p>
        </w:tc>
        <w:tc>
          <w:tcPr>
            <w:tcW w:w="1040" w:type="dxa"/>
            <w:vAlign w:val="bottom"/>
            <w:tcBorders>
              <w:top w:val="single" w:sz="8" w:color="auto"/>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$16,712</w:t>
            </w:r>
          </w:p>
        </w:tc>
        <w:tc>
          <w:tcPr>
            <w:tcW w:w="3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$23,992</w:t>
            </w: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center"/>
              <w:ind w:left="50"/>
              <w:spacing w:after="0" w:line="196" w:lineRule="exact"/>
              <w:rPr>
                <w:sz w:val="20"/>
                <w:szCs w:val="20"/>
                <w:color w:val="auto"/>
              </w:rPr>
            </w:pPr>
            <w:r>
              <w:rPr>
                <w:rFonts w:ascii="Arial" w:cs="Arial" w:eastAsia="Arial" w:hAnsi="Arial"/>
                <w:sz w:val="18"/>
                <w:szCs w:val="18"/>
                <w:b w:val="1"/>
                <w:bCs w:val="1"/>
                <w:color w:val="auto"/>
                <w:w w:val="98"/>
              </w:rPr>
              <w:t>$11,629</w:t>
            </w:r>
          </w:p>
        </w:tc>
        <w:tc>
          <w:tcPr>
            <w:tcW w:w="14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131"/>
              <w:spacing w:after="0" w:line="196" w:lineRule="exact"/>
              <w:rPr>
                <w:sz w:val="20"/>
                <w:szCs w:val="20"/>
                <w:color w:val="auto"/>
              </w:rPr>
            </w:pPr>
            <w:r>
              <w:rPr>
                <w:rFonts w:ascii="Arial" w:cs="Arial" w:eastAsia="Arial" w:hAnsi="Arial"/>
                <w:sz w:val="18"/>
                <w:szCs w:val="18"/>
                <w:color w:val="auto"/>
              </w:rPr>
              <w:t>$ 5,740</w:t>
            </w:r>
          </w:p>
        </w:tc>
        <w:tc>
          <w:tcPr>
            <w:tcW w:w="0" w:type="dxa"/>
            <w:vAlign w:val="bottom"/>
          </w:tcPr>
          <w:p>
            <w:pPr>
              <w:spacing w:after="0"/>
              <w:rPr>
                <w:sz w:val="1"/>
                <w:szCs w:val="1"/>
                <w:color w:val="auto"/>
              </w:rPr>
            </w:pPr>
          </w:p>
        </w:tc>
      </w:tr>
      <w:tr>
        <w:trPr>
          <w:trHeight w:val="196"/>
        </w:trPr>
        <w:tc>
          <w:tcPr>
            <w:tcW w:w="5300" w:type="dxa"/>
            <w:vAlign w:val="bottom"/>
            <w:gridSpan w:val="3"/>
          </w:tcPr>
          <w:p>
            <w:pPr>
              <w:spacing w:after="0" w:line="196" w:lineRule="exact"/>
              <w:rPr>
                <w:sz w:val="20"/>
                <w:szCs w:val="20"/>
                <w:color w:val="auto"/>
              </w:rPr>
            </w:pPr>
            <w:r>
              <w:rPr>
                <w:rFonts w:ascii="Arial" w:cs="Arial" w:eastAsia="Arial" w:hAnsi="Arial"/>
                <w:sz w:val="18"/>
                <w:szCs w:val="18"/>
                <w:color w:val="auto"/>
              </w:rPr>
              <w:t>Net deferred tax liabilities</w:t>
            </w:r>
          </w:p>
        </w:tc>
        <w:tc>
          <w:tcPr>
            <w:tcW w:w="104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$16,712</w:t>
            </w:r>
          </w:p>
        </w:tc>
        <w:tc>
          <w:tcPr>
            <w:tcW w:w="32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$23,992</w:t>
            </w:r>
          </w:p>
        </w:tc>
        <w:tc>
          <w:tcPr>
            <w:tcW w:w="300" w:type="dxa"/>
            <w:vAlign w:val="bottom"/>
          </w:tcPr>
          <w:p>
            <w:pPr>
              <w:spacing w:after="0"/>
              <w:rPr>
                <w:sz w:val="17"/>
                <w:szCs w:val="17"/>
                <w:color w:val="auto"/>
              </w:rPr>
            </w:pPr>
          </w:p>
        </w:tc>
        <w:tc>
          <w:tcPr>
            <w:tcW w:w="900" w:type="dxa"/>
            <w:vAlign w:val="bottom"/>
            <w:tcBorders>
              <w:bottom w:val="single" w:sz="8" w:color="auto"/>
            </w:tcBorders>
            <w:gridSpan w:val="2"/>
          </w:tcPr>
          <w:p>
            <w:pPr>
              <w:jc w:val="center"/>
              <w:ind w:left="50"/>
              <w:spacing w:after="0" w:line="196" w:lineRule="exact"/>
              <w:rPr>
                <w:sz w:val="20"/>
                <w:szCs w:val="20"/>
                <w:color w:val="auto"/>
              </w:rPr>
            </w:pPr>
            <w:r>
              <w:rPr>
                <w:rFonts w:ascii="Arial" w:cs="Arial" w:eastAsia="Arial" w:hAnsi="Arial"/>
                <w:sz w:val="18"/>
                <w:szCs w:val="18"/>
                <w:b w:val="1"/>
                <w:bCs w:val="1"/>
                <w:color w:val="auto"/>
                <w:w w:val="98"/>
              </w:rPr>
              <w:t>$11,629</w:t>
            </w:r>
          </w:p>
        </w:tc>
        <w:tc>
          <w:tcPr>
            <w:tcW w:w="1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31"/>
              <w:spacing w:after="0" w:line="196" w:lineRule="exact"/>
              <w:rPr>
                <w:sz w:val="20"/>
                <w:szCs w:val="20"/>
                <w:color w:val="auto"/>
              </w:rPr>
            </w:pPr>
            <w:r>
              <w:rPr>
                <w:rFonts w:ascii="Arial" w:cs="Arial" w:eastAsia="Arial" w:hAnsi="Arial"/>
                <w:sz w:val="18"/>
                <w:szCs w:val="18"/>
                <w:color w:val="auto"/>
              </w:rPr>
              <w:t>$ 5,740</w:t>
            </w:r>
          </w:p>
        </w:tc>
        <w:tc>
          <w:tcPr>
            <w:tcW w:w="0" w:type="dxa"/>
            <w:vAlign w:val="bottom"/>
          </w:tcPr>
          <w:p>
            <w:pPr>
              <w:spacing w:after="0"/>
              <w:rPr>
                <w:sz w:val="1"/>
                <w:szCs w:val="1"/>
                <w:color w:val="auto"/>
              </w:rPr>
            </w:pPr>
          </w:p>
        </w:tc>
      </w:tr>
      <w:tr>
        <w:trPr>
          <w:trHeight w:val="196"/>
        </w:trPr>
        <w:tc>
          <w:tcPr>
            <w:tcW w:w="5300" w:type="dxa"/>
            <w:vAlign w:val="bottom"/>
            <w:gridSpan w:val="3"/>
          </w:tcPr>
          <w:p>
            <w:pPr>
              <w:spacing w:after="0" w:line="196" w:lineRule="exact"/>
              <w:rPr>
                <w:sz w:val="20"/>
                <w:szCs w:val="20"/>
                <w:color w:val="auto"/>
              </w:rPr>
            </w:pPr>
            <w:r>
              <w:rPr>
                <w:rFonts w:ascii="Arial" w:cs="Arial" w:eastAsia="Arial" w:hAnsi="Arial"/>
                <w:sz w:val="18"/>
                <w:szCs w:val="18"/>
                <w:color w:val="auto"/>
              </w:rPr>
              <w:t>Net deferred tax asset</w:t>
            </w:r>
          </w:p>
        </w:tc>
        <w:tc>
          <w:tcPr>
            <w:tcW w:w="104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$29,340</w:t>
            </w:r>
          </w:p>
        </w:tc>
        <w:tc>
          <w:tcPr>
            <w:tcW w:w="32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$36,103</w:t>
            </w:r>
          </w:p>
        </w:tc>
        <w:tc>
          <w:tcPr>
            <w:tcW w:w="300" w:type="dxa"/>
            <w:vAlign w:val="bottom"/>
          </w:tcPr>
          <w:p>
            <w:pPr>
              <w:spacing w:after="0"/>
              <w:rPr>
                <w:sz w:val="17"/>
                <w:szCs w:val="17"/>
                <w:color w:val="auto"/>
              </w:rPr>
            </w:pPr>
          </w:p>
        </w:tc>
        <w:tc>
          <w:tcPr>
            <w:tcW w:w="900" w:type="dxa"/>
            <w:vAlign w:val="bottom"/>
            <w:tcBorders>
              <w:bottom w:val="single" w:sz="8" w:color="auto"/>
            </w:tcBorders>
            <w:gridSpan w:val="2"/>
          </w:tcPr>
          <w:p>
            <w:pPr>
              <w:jc w:val="center"/>
              <w:ind w:left="50"/>
              <w:spacing w:after="0" w:line="196" w:lineRule="exact"/>
              <w:rPr>
                <w:sz w:val="20"/>
                <w:szCs w:val="20"/>
                <w:color w:val="auto"/>
              </w:rPr>
            </w:pPr>
            <w:r>
              <w:rPr>
                <w:rFonts w:ascii="Arial" w:cs="Arial" w:eastAsia="Arial" w:hAnsi="Arial"/>
                <w:sz w:val="18"/>
                <w:szCs w:val="18"/>
                <w:b w:val="1"/>
                <w:bCs w:val="1"/>
                <w:color w:val="auto"/>
                <w:w w:val="98"/>
              </w:rPr>
              <w:t>$11,279</w:t>
            </w:r>
          </w:p>
        </w:tc>
        <w:tc>
          <w:tcPr>
            <w:tcW w:w="1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$18,973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378"/>
        <w:spacing w:after="0" w:line="238" w:lineRule="auto"/>
        <w:rPr>
          <w:sz w:val="20"/>
          <w:szCs w:val="20"/>
          <w:color w:val="auto"/>
        </w:rPr>
      </w:pPr>
      <w:r>
        <w:rPr>
          <w:rFonts w:ascii="Arial" w:cs="Arial" w:eastAsia="Arial" w:hAnsi="Arial"/>
          <w:sz w:val="18"/>
          <w:szCs w:val="18"/>
          <w:color w:val="auto"/>
        </w:rPr>
        <w:t>Deferred income tax assets, net of valuation allowances, are expected to be realized through the reversal of existing taxable temporary differences and future taxable income. In 2019, the Company recorded the following movements in its valuation allowance: the Company recorded a valuation allowance of $0.8 million for one of its Mexican subsidiaries, and the Company also recorded a $0.1 million decrease in a valuation allowance due to a net reduction in the related deferred tax assets. Additionally, the Company recorded a $1.3 million out-of-period immaterial adjustment related to a German tax valuation allowance that was released in 2018.</w:t>
      </w:r>
    </w:p>
    <w:p>
      <w:pPr>
        <w:spacing w:after="0" w:line="95" w:lineRule="exact"/>
        <w:rPr>
          <w:sz w:val="20"/>
          <w:szCs w:val="20"/>
          <w:color w:val="auto"/>
        </w:rPr>
      </w:pPr>
    </w:p>
    <w:p>
      <w:pPr>
        <w:ind w:right="20" w:firstLine="378"/>
        <w:spacing w:after="0" w:line="237" w:lineRule="auto"/>
        <w:rPr>
          <w:sz w:val="20"/>
          <w:szCs w:val="20"/>
          <w:color w:val="auto"/>
        </w:rPr>
      </w:pPr>
      <w:r>
        <w:rPr>
          <w:rFonts w:ascii="Arial" w:cs="Arial" w:eastAsia="Arial" w:hAnsi="Arial"/>
          <w:sz w:val="18"/>
          <w:szCs w:val="18"/>
          <w:color w:val="auto"/>
        </w:rPr>
        <w:t>At December 31, 2019, the Company had available approximately $ 112.9 million of net operating loss carryforwards, for which the Company has a deferred tax asset of $24.3 million, with expiration dates ranging from one year to indefinite that may be applied against future taxable income. The Company believes that it is more likely than not that certain benefits from these net operating loss carryforwards will not be realized and, accordingly, the Company has recorded a valuation allowance of $9.1 million as of December 31, 2019. Additionally, management has evaluated its ability to utilize its other non-U.S. tax attributes during the various carryforward periods and has concluded that the Company will more likely than not be able to utilize the remaining non-U.S. tax attributes. Included in the net operating loss carryforward is approximately $38.8 million of state net operating loss carryforwards that are subject to various business apportionment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20"/>
          </w:cols>
          <w:pgMar w:left="240" w:top="269"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 (continued)</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factors and multiple jurisdictional requirements when utilized. In addition, the Company had available a foreign tax credit carryforward of $11.7 million that will begin to expire in 2025, U.S. and non-U.S. research and development credit carryforwards of $8.0 million and $0.9 million, respectively, that will begin to expire in 2025.</w:t>
      </w:r>
    </w:p>
    <w:p>
      <w:pPr>
        <w:spacing w:after="0" w:line="95" w:lineRule="exact"/>
        <w:rPr>
          <w:sz w:val="20"/>
          <w:szCs w:val="20"/>
          <w:color w:val="auto"/>
        </w:rPr>
      </w:pPr>
    </w:p>
    <w:p>
      <w:pPr>
        <w:ind w:right="20" w:firstLine="378"/>
        <w:spacing w:after="0" w:line="238" w:lineRule="auto"/>
        <w:rPr>
          <w:sz w:val="20"/>
          <w:szCs w:val="20"/>
          <w:color w:val="auto"/>
        </w:rPr>
      </w:pPr>
      <w:r>
        <w:rPr>
          <w:rFonts w:ascii="Arial" w:cs="Arial" w:eastAsia="Arial" w:hAnsi="Arial"/>
          <w:sz w:val="18"/>
          <w:szCs w:val="18"/>
          <w:color w:val="auto"/>
        </w:rPr>
        <w:t>The Company reported a U.S. net deferred tax asset of $29.3 million at December 31, 2019, which contained $22.6 million of tax attributes with limited lives. Although the Company is in a cumulative book income position for the three-year period ending December 31, 2019, management has evaluated its ability to utilize these tax attributes during the carryforward period. The Company’s future profits from operations, available tax elections and tax planning opportunities more likely than not will generate income of sufficient character to utilize the remaining tax attributes. Accordingly, no valuation allowance has been established for the U.S. net deferred tax assets.</w:t>
      </w:r>
    </w:p>
    <w:p>
      <w:pPr>
        <w:spacing w:after="0" w:line="95" w:lineRule="exact"/>
        <w:rPr>
          <w:sz w:val="20"/>
          <w:szCs w:val="20"/>
          <w:color w:val="auto"/>
        </w:rPr>
      </w:pPr>
    </w:p>
    <w:p>
      <w:pPr>
        <w:ind w:right="40" w:firstLine="378"/>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$94.4 million of current year and prior year earnings of the Company’s foreign operations. If these earnings were distributed, the Company would be subject to foreign withholding taxes of $1.2 million and state income taxes of $1.0 million which have already been recorded.</w:t>
      </w:r>
    </w:p>
    <w:p>
      <w:pPr>
        <w:spacing w:after="0" w:line="95" w:lineRule="exact"/>
        <w:rPr>
          <w:sz w:val="20"/>
          <w:szCs w:val="20"/>
          <w:color w:val="auto"/>
        </w:rPr>
      </w:pPr>
    </w:p>
    <w:p>
      <w:pPr>
        <w:ind w:right="160" w:firstLine="378"/>
        <w:spacing w:after="0" w:line="246" w:lineRule="auto"/>
        <w:rPr>
          <w:sz w:val="20"/>
          <w:szCs w:val="20"/>
          <w:color w:val="auto"/>
        </w:rPr>
      </w:pPr>
      <w:r>
        <w:rPr>
          <w:rFonts w:ascii="Arial" w:cs="Arial" w:eastAsia="Arial" w:hAnsi="Arial"/>
          <w:sz w:val="18"/>
          <w:szCs w:val="18"/>
          <w:color w:val="auto"/>
        </w:rPr>
        <w:t>The accumulated undistributed earnings of the Company’s foreign operations not targeted for repatriation to the U.S. were approximately $169.1 million, and are intended to remain indefinitely invested in foreign operations.</w:t>
      </w:r>
    </w:p>
    <w:p>
      <w:pPr>
        <w:spacing w:after="0" w:line="89" w:lineRule="exact"/>
        <w:rPr>
          <w:sz w:val="20"/>
          <w:szCs w:val="20"/>
          <w:color w:val="auto"/>
        </w:rPr>
      </w:pPr>
    </w:p>
    <w:p>
      <w:pPr>
        <w:ind w:right="20" w:firstLine="378"/>
        <w:spacing w:after="0"/>
        <w:rPr>
          <w:sz w:val="20"/>
          <w:szCs w:val="20"/>
          <w:color w:val="auto"/>
        </w:rPr>
      </w:pPr>
      <w:r>
        <w:rPr>
          <w:rFonts w:ascii="Arial" w:cs="Arial" w:eastAsia="Arial" w:hAnsi="Arial"/>
          <w:sz w:val="18"/>
          <w:szCs w:val="18"/>
          <w:color w:val="auto"/>
        </w:rPr>
        <w:t>No additional income taxes have been provided on the indefinitely invested foreign earnings at December 31, 2019. If these earnings were distributed, the Company could be subject to income taxes and additional foreign withholding taxes. Determining the amount of unrecognized deferred tax liability related to any additional outside basis difference in these entities is not practical.</w:t>
      </w:r>
    </w:p>
    <w:p>
      <w:pPr>
        <w:spacing w:after="0" w:line="95" w:lineRule="exact"/>
        <w:rPr>
          <w:sz w:val="20"/>
          <w:szCs w:val="20"/>
          <w:color w:val="auto"/>
        </w:rPr>
      </w:pPr>
    </w:p>
    <w:p>
      <w:pPr>
        <w:ind w:right="420" w:firstLine="378"/>
        <w:spacing w:after="0" w:line="246" w:lineRule="auto"/>
        <w:rPr>
          <w:sz w:val="20"/>
          <w:szCs w:val="20"/>
          <w:color w:val="auto"/>
        </w:rPr>
      </w:pPr>
      <w:r>
        <w:rPr>
          <w:rFonts w:ascii="Arial" w:cs="Arial" w:eastAsia="Arial" w:hAnsi="Arial"/>
          <w:sz w:val="18"/>
          <w:szCs w:val="18"/>
          <w:color w:val="auto"/>
        </w:rPr>
        <w:t>The following table provides a reconciliation of the beginning and ending amount of unrecognized tax benefits, $1.0 million of which, if recognized, would impact the effective tax rate:</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r>
      <w:tr>
        <w:trPr>
          <w:trHeight w:val="173"/>
        </w:trPr>
        <w:tc>
          <w:tcPr>
            <w:tcW w:w="20" w:type="dxa"/>
            <w:vAlign w:val="bottom"/>
          </w:tcPr>
          <w:p>
            <w:pPr>
              <w:spacing w:after="0"/>
              <w:rPr>
                <w:sz w:val="15"/>
                <w:szCs w:val="15"/>
                <w:color w:val="auto"/>
              </w:rPr>
            </w:pPr>
          </w:p>
        </w:tc>
        <w:tc>
          <w:tcPr>
            <w:tcW w:w="57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Unrecognized tax benefits balance at January 1st</w:t>
            </w:r>
          </w:p>
        </w:tc>
        <w:tc>
          <w:tcPr>
            <w:tcW w:w="340" w:type="dxa"/>
            <w:vAlign w:val="bottom"/>
          </w:tcPr>
          <w:p>
            <w:pPr>
              <w:spacing w:after="0"/>
              <w:rPr>
                <w:sz w:val="15"/>
                <w:szCs w:val="15"/>
                <w:color w:val="auto"/>
              </w:rPr>
            </w:pPr>
          </w:p>
        </w:tc>
        <w:tc>
          <w:tcPr>
            <w:tcW w:w="1240" w:type="dxa"/>
            <w:vAlign w:val="bottom"/>
            <w:tcBorders>
              <w:top w:val="single" w:sz="8" w:color="auto"/>
            </w:tcBorders>
          </w:tcPr>
          <w:p>
            <w:pPr>
              <w:jc w:val="right"/>
              <w:ind w:right="252"/>
              <w:spacing w:after="0" w:line="173" w:lineRule="exact"/>
              <w:rPr>
                <w:sz w:val="20"/>
                <w:szCs w:val="20"/>
                <w:color w:val="auto"/>
              </w:rPr>
            </w:pPr>
            <w:r>
              <w:rPr>
                <w:rFonts w:ascii="Arial" w:cs="Arial" w:eastAsia="Arial" w:hAnsi="Arial"/>
                <w:sz w:val="18"/>
                <w:szCs w:val="18"/>
                <w:b w:val="1"/>
                <w:bCs w:val="1"/>
                <w:color w:val="auto"/>
              </w:rPr>
              <w:t>$ 3,790</w:t>
            </w:r>
          </w:p>
        </w:tc>
        <w:tc>
          <w:tcPr>
            <w:tcW w:w="300" w:type="dxa"/>
            <w:vAlign w:val="bottom"/>
          </w:tcPr>
          <w:p>
            <w:pPr>
              <w:spacing w:after="0"/>
              <w:rPr>
                <w:sz w:val="15"/>
                <w:szCs w:val="15"/>
                <w:color w:val="auto"/>
              </w:rPr>
            </w:pPr>
          </w:p>
        </w:tc>
        <w:tc>
          <w:tcPr>
            <w:tcW w:w="1240" w:type="dxa"/>
            <w:vAlign w:val="bottom"/>
            <w:tcBorders>
              <w:top w:val="single" w:sz="8" w:color="auto"/>
            </w:tcBorders>
          </w:tcPr>
          <w:p>
            <w:pPr>
              <w:jc w:val="right"/>
              <w:ind w:right="232"/>
              <w:spacing w:after="0" w:line="173" w:lineRule="exact"/>
              <w:rPr>
                <w:sz w:val="20"/>
                <w:szCs w:val="20"/>
                <w:color w:val="auto"/>
              </w:rPr>
            </w:pPr>
            <w:r>
              <w:rPr>
                <w:rFonts w:ascii="Arial" w:cs="Arial" w:eastAsia="Arial" w:hAnsi="Arial"/>
                <w:sz w:val="18"/>
                <w:szCs w:val="18"/>
                <w:color w:val="auto"/>
              </w:rPr>
              <w:t>$ 4,509</w:t>
            </w:r>
          </w:p>
        </w:tc>
        <w:tc>
          <w:tcPr>
            <w:tcW w:w="3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$4,183</w:t>
            </w:r>
          </w:p>
        </w:tc>
      </w:tr>
      <w:tr>
        <w:trPr>
          <w:trHeight w:val="203"/>
        </w:trPr>
        <w:tc>
          <w:tcPr>
            <w:tcW w:w="6060" w:type="dxa"/>
            <w:vAlign w:val="bottom"/>
            <w:gridSpan w:val="3"/>
          </w:tcPr>
          <w:p>
            <w:pPr>
              <w:spacing w:after="0" w:line="202" w:lineRule="exact"/>
              <w:rPr>
                <w:sz w:val="20"/>
                <w:szCs w:val="20"/>
                <w:color w:val="auto"/>
              </w:rPr>
            </w:pPr>
            <w:r>
              <w:rPr>
                <w:rFonts w:ascii="Arial" w:cs="Arial" w:eastAsia="Arial" w:hAnsi="Arial"/>
                <w:sz w:val="18"/>
                <w:szCs w:val="18"/>
                <w:color w:val="auto"/>
              </w:rPr>
              <w:t>Increase in gross amounts of tax positions related to prior years</w:t>
            </w: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4,874</w:t>
            </w:r>
          </w:p>
        </w:tc>
        <w:tc>
          <w:tcPr>
            <w:tcW w:w="30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2,008</w:t>
            </w:r>
          </w:p>
        </w:tc>
        <w:tc>
          <w:tcPr>
            <w:tcW w:w="32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480</w:t>
            </w:r>
          </w:p>
        </w:tc>
      </w:tr>
      <w:tr>
        <w:trPr>
          <w:trHeight w:val="203"/>
        </w:trPr>
        <w:tc>
          <w:tcPr>
            <w:tcW w:w="6060" w:type="dxa"/>
            <w:vAlign w:val="bottom"/>
            <w:gridSpan w:val="3"/>
          </w:tcPr>
          <w:p>
            <w:pPr>
              <w:spacing w:after="0" w:line="202" w:lineRule="exact"/>
              <w:rPr>
                <w:sz w:val="20"/>
                <w:szCs w:val="20"/>
                <w:color w:val="auto"/>
              </w:rPr>
            </w:pPr>
            <w:r>
              <w:rPr>
                <w:rFonts w:ascii="Arial" w:cs="Arial" w:eastAsia="Arial" w:hAnsi="Arial"/>
                <w:sz w:val="18"/>
                <w:szCs w:val="18"/>
                <w:color w:val="auto"/>
              </w:rPr>
              <w:t>Decrease in gross amounts of tax positions related to prior years</w:t>
            </w: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(2,239)</w:t>
            </w:r>
          </w:p>
        </w:tc>
        <w:tc>
          <w:tcPr>
            <w:tcW w:w="30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(358)</w:t>
            </w:r>
          </w:p>
        </w:tc>
        <w:tc>
          <w:tcPr>
            <w:tcW w:w="32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(50)</w:t>
            </w:r>
          </w:p>
        </w:tc>
      </w:tr>
      <w:tr>
        <w:trPr>
          <w:trHeight w:val="203"/>
        </w:trPr>
        <w:tc>
          <w:tcPr>
            <w:tcW w:w="6060" w:type="dxa"/>
            <w:vAlign w:val="bottom"/>
            <w:gridSpan w:val="3"/>
          </w:tcPr>
          <w:p>
            <w:pPr>
              <w:spacing w:after="0" w:line="202" w:lineRule="exact"/>
              <w:rPr>
                <w:sz w:val="20"/>
                <w:szCs w:val="20"/>
                <w:color w:val="auto"/>
              </w:rPr>
            </w:pPr>
            <w:r>
              <w:rPr>
                <w:rFonts w:ascii="Arial" w:cs="Arial" w:eastAsia="Arial" w:hAnsi="Arial"/>
                <w:sz w:val="18"/>
                <w:szCs w:val="18"/>
                <w:color w:val="auto"/>
              </w:rPr>
              <w:t>Increase in gross amounts of tax positions related to current years</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gridSpan w:val="3"/>
          </w:tcPr>
          <w:p>
            <w:pPr>
              <w:spacing w:after="0" w:line="202" w:lineRule="exact"/>
              <w:rPr>
                <w:sz w:val="20"/>
                <w:szCs w:val="20"/>
                <w:color w:val="auto"/>
              </w:rPr>
            </w:pPr>
            <w:r>
              <w:rPr>
                <w:rFonts w:ascii="Arial" w:cs="Arial" w:eastAsia="Arial" w:hAnsi="Arial"/>
                <w:sz w:val="18"/>
                <w:szCs w:val="18"/>
                <w:color w:val="auto"/>
              </w:rPr>
              <w:t>Decrease due to settlements with tax authorities</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(1,626)</w:t>
            </w:r>
          </w:p>
        </w:tc>
        <w:tc>
          <w:tcPr>
            <w:tcW w:w="320" w:type="dxa"/>
            <w:vAlign w:val="bottom"/>
          </w:tcPr>
          <w:p>
            <w:pPr>
              <w:spacing w:after="0"/>
              <w:rPr>
                <w:sz w:val="17"/>
                <w:szCs w:val="17"/>
                <w:color w:val="auto"/>
              </w:rPr>
            </w:pP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(381)</w:t>
            </w:r>
          </w:p>
        </w:tc>
      </w:tr>
      <w:tr>
        <w:trPr>
          <w:trHeight w:val="203"/>
        </w:trPr>
        <w:tc>
          <w:tcPr>
            <w:tcW w:w="6060" w:type="dxa"/>
            <w:vAlign w:val="bottom"/>
            <w:gridSpan w:val="3"/>
          </w:tcPr>
          <w:p>
            <w:pPr>
              <w:spacing w:after="0" w:line="202" w:lineRule="exact"/>
              <w:rPr>
                <w:sz w:val="20"/>
                <w:szCs w:val="20"/>
                <w:color w:val="auto"/>
              </w:rPr>
            </w:pPr>
            <w:r>
              <w:rPr>
                <w:rFonts w:ascii="Arial" w:cs="Arial" w:eastAsia="Arial" w:hAnsi="Arial"/>
                <w:sz w:val="18"/>
                <w:szCs w:val="18"/>
                <w:color w:val="auto"/>
              </w:rPr>
              <w:t>Decrease due to lapse in statute of limitations</w:t>
            </w: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(626)</w:t>
            </w:r>
          </w:p>
        </w:tc>
        <w:tc>
          <w:tcPr>
            <w:tcW w:w="30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(479)</w:t>
            </w:r>
          </w:p>
        </w:tc>
        <w:tc>
          <w:tcPr>
            <w:tcW w:w="32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(29)</w:t>
            </w:r>
          </w:p>
        </w:tc>
      </w:tr>
      <w:tr>
        <w:trPr>
          <w:trHeight w:val="225"/>
        </w:trPr>
        <w:tc>
          <w:tcPr>
            <w:tcW w:w="6060" w:type="dxa"/>
            <w:vAlign w:val="bottom"/>
            <w:gridSpan w:val="3"/>
          </w:tcPr>
          <w:p>
            <w:pPr>
              <w:spacing w:after="0"/>
              <w:rPr>
                <w:sz w:val="20"/>
                <w:szCs w:val="20"/>
                <w:color w:val="auto"/>
              </w:rPr>
            </w:pPr>
            <w:r>
              <w:rPr>
                <w:rFonts w:ascii="Arial" w:cs="Arial" w:eastAsia="Arial" w:hAnsi="Arial"/>
                <w:sz w:val="18"/>
                <w:szCs w:val="18"/>
                <w:color w:val="auto"/>
              </w:rPr>
              <w:t>Currency translation</w:t>
            </w:r>
          </w:p>
        </w:tc>
        <w:tc>
          <w:tcPr>
            <w:tcW w:w="124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99"/>
              </w:rPr>
              <w:t>35</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306</w:t>
            </w:r>
          </w:p>
        </w:tc>
      </w:tr>
      <w:tr>
        <w:trPr>
          <w:trHeight w:val="196"/>
        </w:trPr>
        <w:tc>
          <w:tcPr>
            <w:tcW w:w="6060" w:type="dxa"/>
            <w:vAlign w:val="bottom"/>
            <w:gridSpan w:val="3"/>
          </w:tcPr>
          <w:p>
            <w:pPr>
              <w:spacing w:after="0" w:line="196" w:lineRule="exact"/>
              <w:rPr>
                <w:sz w:val="20"/>
                <w:szCs w:val="20"/>
                <w:color w:val="auto"/>
              </w:rPr>
            </w:pPr>
            <w:r>
              <w:rPr>
                <w:rFonts w:ascii="Arial" w:cs="Arial" w:eastAsia="Arial" w:hAnsi="Arial"/>
                <w:sz w:val="18"/>
                <w:szCs w:val="18"/>
                <w:color w:val="auto"/>
              </w:rPr>
              <w:t>Unrecognized tax benefits balance at December 31</w:t>
            </w:r>
          </w:p>
        </w:tc>
        <w:tc>
          <w:tcPr>
            <w:tcW w:w="124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$ 5,834</w:t>
            </w:r>
          </w:p>
        </w:tc>
        <w:tc>
          <w:tcPr>
            <w:tcW w:w="300" w:type="dxa"/>
            <w:vAlign w:val="bottom"/>
          </w:tcPr>
          <w:p>
            <w:pPr>
              <w:spacing w:after="0"/>
              <w:rPr>
                <w:sz w:val="17"/>
                <w:szCs w:val="17"/>
                <w:color w:val="auto"/>
              </w:rPr>
            </w:pPr>
          </w:p>
        </w:tc>
        <w:tc>
          <w:tcPr>
            <w:tcW w:w="12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color w:val="auto"/>
              </w:rPr>
              <w:t>$ 3,790</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$4,509</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The Company recognizes interest and penalties related to unrecognized tax benefits within its global operations as a component of income tax expense. The Company recognized interest and penalties related to the unrecognized tax benefits noted above of $0.2 million or less in each of 2019, 2018 and 2017. As of December 31, 2019, 2018 and 2017, the Company had approximately $0.1 million, $0.1 million, and $0.4 million respectively, of accrued interest and penalties related to unrecognized tax benefits.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 (continued)</w:t>
      </w:r>
    </w:p>
    <w:p>
      <w:pPr>
        <w:spacing w:after="0" w:line="126"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2019. The Company is currently under audit in non-U.S. tax jurisdictions, including but not limited to Canada and Italy. In 2019, the Company recorded a net decrease of $2.2 million for tax audit settlements with Canada. The Canadian Revenue Agency agreed to accept the Company’s appeal of all protested issues. The Company has received the refunds from the Canadian Revenue Agency and Ontario for taxes that were pre-paid at the time of protests. As such, during the first quarter, the Company determined that it was more likely than not that the liability for unrecognized tax benefits of $2.2 million that was recorded as of December 31, 2018 was no longer warranted and thus it was reduced in the first quarter of 2019, resulting in a $2.2 million discrete tax benefit.</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and 2018, current income taxes prepaid and receivable consisted of the following:</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173"/>
        </w:trPr>
        <w:tc>
          <w:tcPr>
            <w:tcW w:w="20" w:type="dxa"/>
            <w:vAlign w:val="bottom"/>
          </w:tcPr>
          <w:p>
            <w:pPr>
              <w:spacing w:after="0"/>
              <w:rPr>
                <w:sz w:val="15"/>
                <w:szCs w:val="15"/>
                <w:color w:val="auto"/>
              </w:rPr>
            </w:pPr>
          </w:p>
        </w:tc>
        <w:tc>
          <w:tcPr>
            <w:tcW w:w="76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Prepaid taxes</w:t>
            </w:r>
          </w:p>
        </w:tc>
        <w:tc>
          <w:tcPr>
            <w:tcW w:w="30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$4,399</w:t>
            </w:r>
          </w:p>
        </w:tc>
        <w:tc>
          <w:tcPr>
            <w:tcW w:w="3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$4,859</w:t>
            </w:r>
          </w:p>
        </w:tc>
      </w:tr>
      <w:tr>
        <w:trPr>
          <w:trHeight w:val="225"/>
        </w:trPr>
        <w:tc>
          <w:tcPr>
            <w:tcW w:w="8000" w:type="dxa"/>
            <w:vAlign w:val="bottom"/>
            <w:gridSpan w:val="3"/>
          </w:tcPr>
          <w:p>
            <w:pPr>
              <w:spacing w:after="0"/>
              <w:rPr>
                <w:sz w:val="20"/>
                <w:szCs w:val="20"/>
                <w:color w:val="auto"/>
              </w:rPr>
            </w:pPr>
            <w:r>
              <w:rPr>
                <w:rFonts w:ascii="Arial" w:cs="Arial" w:eastAsia="Arial" w:hAnsi="Arial"/>
                <w:sz w:val="18"/>
                <w:szCs w:val="18"/>
                <w:color w:val="auto"/>
              </w:rPr>
              <w:t>Taxes receivable</w:t>
            </w: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1,763</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2,614</w:t>
            </w:r>
          </w:p>
        </w:tc>
      </w:tr>
      <w:tr>
        <w:trPr>
          <w:trHeight w:val="196"/>
        </w:trPr>
        <w:tc>
          <w:tcPr>
            <w:tcW w:w="8000" w:type="dxa"/>
            <w:vAlign w:val="bottom"/>
            <w:gridSpan w:val="3"/>
          </w:tcPr>
          <w:p>
            <w:pPr>
              <w:spacing w:after="0" w:line="196" w:lineRule="exact"/>
              <w:rPr>
                <w:sz w:val="20"/>
                <w:szCs w:val="20"/>
                <w:color w:val="auto"/>
              </w:rPr>
            </w:pPr>
            <w:r>
              <w:rPr>
                <w:rFonts w:ascii="Arial" w:cs="Arial" w:eastAsia="Arial" w:hAnsi="Arial"/>
                <w:sz w:val="18"/>
                <w:szCs w:val="18"/>
                <w:color w:val="auto"/>
              </w:rPr>
              <w:t>Total current income taxes prepaid and receivable</w:t>
            </w: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$6,162</w:t>
            </w:r>
          </w:p>
        </w:tc>
        <w:tc>
          <w:tcPr>
            <w:tcW w:w="32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$7,473</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and 2018, noncurrent deferred taxes and other liabilities consisted of the following:</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173"/>
        </w:trPr>
        <w:tc>
          <w:tcPr>
            <w:tcW w:w="20" w:type="dxa"/>
            <w:vAlign w:val="bottom"/>
          </w:tcPr>
          <w:p>
            <w:pPr>
              <w:spacing w:after="0"/>
              <w:rPr>
                <w:sz w:val="15"/>
                <w:szCs w:val="15"/>
                <w:color w:val="auto"/>
              </w:rPr>
            </w:pPr>
          </w:p>
        </w:tc>
        <w:tc>
          <w:tcPr>
            <w:tcW w:w="76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$11,002</w:t>
            </w:r>
          </w:p>
        </w:tc>
        <w:tc>
          <w:tcPr>
            <w:tcW w:w="3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$7,547</w:t>
            </w:r>
          </w:p>
        </w:tc>
      </w:tr>
      <w:tr>
        <w:trPr>
          <w:trHeight w:val="225"/>
        </w:trPr>
        <w:tc>
          <w:tcPr>
            <w:tcW w:w="80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1,224</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875</w:t>
            </w:r>
          </w:p>
        </w:tc>
      </w:tr>
      <w:tr>
        <w:trPr>
          <w:trHeight w:val="196"/>
        </w:trPr>
        <w:tc>
          <w:tcPr>
            <w:tcW w:w="8000" w:type="dxa"/>
            <w:vAlign w:val="bottom"/>
            <w:gridSpan w:val="3"/>
          </w:tcPr>
          <w:p>
            <w:pPr>
              <w:spacing w:after="0" w:line="196" w:lineRule="exact"/>
              <w:rPr>
                <w:sz w:val="20"/>
                <w:szCs w:val="20"/>
                <w:color w:val="auto"/>
              </w:rPr>
            </w:pPr>
            <w:r>
              <w:rPr>
                <w:rFonts w:ascii="Arial" w:cs="Arial" w:eastAsia="Arial" w:hAnsi="Arial"/>
                <w:sz w:val="18"/>
                <w:szCs w:val="18"/>
                <w:color w:val="auto"/>
              </w:rPr>
              <w:t>Total noncurrent deferred taxes and other liabilities</w:t>
            </w: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$ 12,226</w:t>
            </w:r>
          </w:p>
        </w:tc>
        <w:tc>
          <w:tcPr>
            <w:tcW w:w="32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$ 8,422</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Taxes paid, net of refunds, amounted to $25.9 million in 2019, $28.1 million in 2018 and $23.7 million in 2017.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6" w:lineRule="exact"/>
        <w:rPr>
          <w:sz w:val="20"/>
          <w:szCs w:val="20"/>
          <w:color w:val="auto"/>
        </w:rPr>
      </w:pPr>
    </w:p>
    <w:p>
      <w:pPr>
        <w:ind w:right="300" w:firstLine="378"/>
        <w:spacing w:after="0" w:line="246"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28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w:t>
            </w:r>
          </w:p>
        </w:tc>
        <w:tc>
          <w:tcPr>
            <w:tcW w:w="32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72"/>
              <w:spacing w:after="0" w:line="196" w:lineRule="exact"/>
              <w:rPr>
                <w:sz w:val="20"/>
                <w:szCs w:val="20"/>
                <w:color w:val="auto"/>
              </w:rPr>
            </w:pPr>
            <w:r>
              <w:rPr>
                <w:rFonts w:ascii="Arial" w:cs="Arial" w:eastAsia="Arial" w:hAnsi="Arial"/>
                <w:sz w:val="18"/>
                <w:szCs w:val="18"/>
                <w:b w:val="1"/>
                <w:bCs w:val="1"/>
                <w:color w:val="auto"/>
              </w:rPr>
              <w:t>$132,398</w:t>
            </w:r>
          </w:p>
        </w:tc>
        <w:tc>
          <w:tcPr>
            <w:tcW w:w="30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114"/>
              <w:spacing w:after="0" w:line="196" w:lineRule="exact"/>
              <w:rPr>
                <w:sz w:val="20"/>
                <w:szCs w:val="20"/>
                <w:color w:val="auto"/>
              </w:rPr>
            </w:pPr>
            <w:r>
              <w:rPr>
                <w:rFonts w:ascii="Arial" w:cs="Arial" w:eastAsia="Arial" w:hAnsi="Arial"/>
                <w:sz w:val="18"/>
                <w:szCs w:val="18"/>
                <w:color w:val="auto"/>
              </w:rPr>
              <w:t>$82,891</w:t>
            </w:r>
          </w:p>
        </w:tc>
        <w:tc>
          <w:tcPr>
            <w:tcW w:w="32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74"/>
              <w:spacing w:after="0" w:line="196" w:lineRule="exact"/>
              <w:rPr>
                <w:sz w:val="20"/>
                <w:szCs w:val="20"/>
                <w:color w:val="auto"/>
              </w:rPr>
            </w:pPr>
            <w:r>
              <w:rPr>
                <w:rFonts w:ascii="Arial" w:cs="Arial" w:eastAsia="Arial" w:hAnsi="Arial"/>
                <w:sz w:val="18"/>
                <w:szCs w:val="18"/>
                <w:color w:val="auto"/>
              </w:rPr>
              <w:t>$33,111</w:t>
            </w:r>
          </w:p>
        </w:tc>
        <w:tc>
          <w:tcPr>
            <w:tcW w:w="0" w:type="dxa"/>
            <w:vAlign w:val="bottom"/>
          </w:tcPr>
          <w:p>
            <w:pPr>
              <w:spacing w:after="0"/>
              <w:rPr>
                <w:sz w:val="1"/>
                <w:szCs w:val="1"/>
                <w:color w:val="auto"/>
              </w:rPr>
            </w:pPr>
          </w:p>
        </w:tc>
      </w:tr>
      <w:tr>
        <w:trPr>
          <w:trHeight w:val="195"/>
        </w:trPr>
        <w:tc>
          <w:tcPr>
            <w:tcW w:w="67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Weighted average number of shares: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Weighted average number of shares used in calculating basic net income per</w:t>
            </w:r>
          </w:p>
        </w:tc>
        <w:tc>
          <w:tcPr>
            <w:tcW w:w="280" w:type="dxa"/>
            <w:vAlign w:val="bottom"/>
          </w:tcPr>
          <w:p>
            <w:pPr>
              <w:spacing w:after="0"/>
              <w:rPr>
                <w:sz w:val="17"/>
                <w:szCs w:val="17"/>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32,296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40" w:type="dxa"/>
            <w:vAlign w:val="bottom"/>
            <w:gridSpan w:val="2"/>
          </w:tcPr>
          <w:p>
            <w:pPr>
              <w:ind w:left="340"/>
              <w:spacing w:after="0" w:line="181" w:lineRule="exact"/>
              <w:rPr>
                <w:sz w:val="20"/>
                <w:szCs w:val="20"/>
                <w:color w:val="auto"/>
              </w:rPr>
            </w:pPr>
            <w:r>
              <w:rPr>
                <w:rFonts w:ascii="Arial" w:cs="Arial" w:eastAsia="Arial" w:hAnsi="Arial"/>
                <w:sz w:val="18"/>
                <w:szCs w:val="18"/>
                <w:color w:val="auto"/>
              </w:rPr>
              <w:t>share</w:t>
            </w:r>
          </w:p>
        </w:tc>
        <w:tc>
          <w:tcPr>
            <w:tcW w:w="2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114"/>
              <w:spacing w:after="0" w:line="181" w:lineRule="exact"/>
              <w:rPr>
                <w:sz w:val="20"/>
                <w:szCs w:val="20"/>
                <w:color w:val="auto"/>
              </w:rPr>
            </w:pPr>
            <w:r>
              <w:rPr>
                <w:rFonts w:ascii="Arial" w:cs="Arial" w:eastAsia="Arial" w:hAnsi="Arial"/>
                <w:sz w:val="18"/>
                <w:szCs w:val="18"/>
                <w:color w:val="auto"/>
              </w:rPr>
              <w:t>32,252</w:t>
            </w:r>
          </w:p>
        </w:tc>
        <w:tc>
          <w:tcPr>
            <w:tcW w:w="320" w:type="dxa"/>
            <w:vAlign w:val="bottom"/>
          </w:tcPr>
          <w:p>
            <w:pPr>
              <w:spacing w:after="0"/>
              <w:rPr>
                <w:sz w:val="15"/>
                <w:szCs w:val="15"/>
                <w:color w:val="auto"/>
              </w:rPr>
            </w:pPr>
          </w:p>
        </w:tc>
        <w:tc>
          <w:tcPr>
            <w:tcW w:w="940" w:type="dxa"/>
            <w:vAlign w:val="bottom"/>
            <w:gridSpan w:val="2"/>
          </w:tcPr>
          <w:p>
            <w:pPr>
              <w:jc w:val="right"/>
              <w:ind w:right="74"/>
              <w:spacing w:after="0" w:line="181" w:lineRule="exact"/>
              <w:rPr>
                <w:sz w:val="20"/>
                <w:szCs w:val="20"/>
                <w:color w:val="auto"/>
              </w:rPr>
            </w:pPr>
            <w:r>
              <w:rPr>
                <w:rFonts w:ascii="Arial" w:cs="Arial" w:eastAsia="Arial" w:hAnsi="Arial"/>
                <w:sz w:val="18"/>
                <w:szCs w:val="18"/>
                <w:color w:val="auto"/>
              </w:rPr>
              <w:t>32,169</w:t>
            </w:r>
          </w:p>
        </w:tc>
        <w:tc>
          <w:tcPr>
            <w:tcW w:w="0" w:type="dxa"/>
            <w:vAlign w:val="bottom"/>
          </w:tcPr>
          <w:p>
            <w:pPr>
              <w:spacing w:after="0"/>
              <w:rPr>
                <w:sz w:val="1"/>
                <w:szCs w:val="1"/>
                <w:color w:val="auto"/>
              </w:rPr>
            </w:pPr>
          </w:p>
        </w:tc>
      </w:tr>
      <w:tr>
        <w:trPr>
          <w:trHeight w:val="225"/>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80" w:type="dxa"/>
            <w:vAlign w:val="bottom"/>
          </w:tcPr>
          <w:p>
            <w:pPr>
              <w:spacing w:after="0"/>
              <w:rPr>
                <w:sz w:val="19"/>
                <w:szCs w:val="19"/>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4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15</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94"/>
              <w:spacing w:after="0" w:line="181"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Long-term incentive plan</w:t>
            </w:r>
          </w:p>
        </w:tc>
        <w:tc>
          <w:tcPr>
            <w:tcW w:w="2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6760" w:type="dxa"/>
            <w:vAlign w:val="bottom"/>
            <w:gridSpan w:val="3"/>
          </w:tcPr>
          <w:p>
            <w:pPr>
              <w:spacing w:after="0" w:line="202" w:lineRule="exact"/>
              <w:rPr>
                <w:sz w:val="20"/>
                <w:szCs w:val="20"/>
                <w:color w:val="auto"/>
              </w:rPr>
            </w:pPr>
            <w:r>
              <w:rPr>
                <w:rFonts w:ascii="Arial" w:cs="Arial" w:eastAsia="Arial" w:hAnsi="Arial"/>
                <w:sz w:val="18"/>
                <w:szCs w:val="18"/>
                <w:color w:val="auto"/>
              </w:rPr>
              <w:t>Weighted average number of shares used in calculating diluted net income per</w:t>
            </w:r>
          </w:p>
        </w:tc>
        <w:tc>
          <w:tcPr>
            <w:tcW w:w="280" w:type="dxa"/>
            <w:vAlign w:val="bottom"/>
          </w:tcPr>
          <w:p>
            <w:pPr>
              <w:spacing w:after="0"/>
              <w:rPr>
                <w:sz w:val="17"/>
                <w:szCs w:val="17"/>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32,322</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14"/>
              <w:spacing w:after="0" w:line="203" w:lineRule="exact"/>
              <w:rPr>
                <w:sz w:val="20"/>
                <w:szCs w:val="20"/>
                <w:color w:val="auto"/>
              </w:rPr>
            </w:pPr>
            <w:r>
              <w:rPr>
                <w:rFonts w:ascii="Arial" w:cs="Arial" w:eastAsia="Arial" w:hAnsi="Arial"/>
                <w:sz w:val="18"/>
                <w:szCs w:val="18"/>
                <w:color w:val="auto"/>
              </w:rPr>
              <w:t>32,295</w:t>
            </w:r>
          </w:p>
        </w:tc>
        <w:tc>
          <w:tcPr>
            <w:tcW w:w="320" w:type="dxa"/>
            <w:vAlign w:val="bottom"/>
          </w:tcPr>
          <w:p>
            <w:pPr>
              <w:spacing w:after="0"/>
              <w:rPr>
                <w:sz w:val="17"/>
                <w:szCs w:val="17"/>
                <w:color w:val="auto"/>
              </w:rPr>
            </w:pPr>
          </w:p>
        </w:tc>
        <w:tc>
          <w:tcPr>
            <w:tcW w:w="940" w:type="dxa"/>
            <w:vAlign w:val="bottom"/>
            <w:tcBorders>
              <w:bottom w:val="single" w:sz="8" w:color="auto"/>
            </w:tcBorders>
            <w:gridSpan w:val="2"/>
          </w:tcPr>
          <w:p>
            <w:pPr>
              <w:jc w:val="right"/>
              <w:ind w:right="74"/>
              <w:spacing w:after="0" w:line="203" w:lineRule="exact"/>
              <w:rPr>
                <w:sz w:val="20"/>
                <w:szCs w:val="20"/>
                <w:color w:val="auto"/>
              </w:rPr>
            </w:pPr>
            <w:r>
              <w:rPr>
                <w:rFonts w:ascii="Arial" w:cs="Arial" w:eastAsia="Arial" w:hAnsi="Arial"/>
                <w:sz w:val="18"/>
                <w:szCs w:val="18"/>
                <w:color w:val="auto"/>
              </w:rPr>
              <w:t>32,244</w:t>
            </w:r>
          </w:p>
        </w:tc>
        <w:tc>
          <w:tcPr>
            <w:tcW w:w="0" w:type="dxa"/>
            <w:vAlign w:val="bottom"/>
          </w:tcPr>
          <w:p>
            <w:pPr>
              <w:spacing w:after="0"/>
              <w:rPr>
                <w:sz w:val="1"/>
                <w:szCs w:val="1"/>
                <w:color w:val="auto"/>
              </w:rPr>
            </w:pPr>
          </w:p>
        </w:tc>
      </w:tr>
      <w:tr>
        <w:trPr>
          <w:trHeight w:val="196"/>
        </w:trPr>
        <w:tc>
          <w:tcPr>
            <w:tcW w:w="6760" w:type="dxa"/>
            <w:vAlign w:val="bottom"/>
            <w:gridSpan w:val="3"/>
          </w:tcPr>
          <w:p>
            <w:pPr>
              <w:spacing w:after="0" w:line="196" w:lineRule="exact"/>
              <w:rPr>
                <w:sz w:val="20"/>
                <w:szCs w:val="20"/>
                <w:color w:val="auto"/>
              </w:rPr>
            </w:pPr>
            <w:r>
              <w:rPr>
                <w:rFonts w:ascii="Arial" w:cs="Arial" w:eastAsia="Arial" w:hAnsi="Arial"/>
                <w:sz w:val="18"/>
                <w:szCs w:val="18"/>
                <w:color w:val="auto"/>
              </w:rPr>
              <w:t>Average market price of common stock used for calculation of dilutive shares</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78.13</w:t>
            </w:r>
          </w:p>
        </w:tc>
        <w:tc>
          <w:tcPr>
            <w:tcW w:w="3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14"/>
              <w:spacing w:after="0" w:line="196" w:lineRule="exact"/>
              <w:rPr>
                <w:sz w:val="20"/>
                <w:szCs w:val="20"/>
                <w:color w:val="auto"/>
              </w:rPr>
            </w:pPr>
            <w:r>
              <w:rPr>
                <w:rFonts w:ascii="Arial" w:cs="Arial" w:eastAsia="Arial" w:hAnsi="Arial"/>
                <w:sz w:val="18"/>
                <w:szCs w:val="18"/>
                <w:color w:val="auto"/>
              </w:rPr>
              <w:t>$ 66.95</w:t>
            </w:r>
          </w:p>
        </w:tc>
        <w:tc>
          <w:tcPr>
            <w:tcW w:w="320" w:type="dxa"/>
            <w:vAlign w:val="bottom"/>
          </w:tcPr>
          <w:p>
            <w:pPr>
              <w:spacing w:after="0"/>
              <w:rPr>
                <w:sz w:val="17"/>
                <w:szCs w:val="17"/>
                <w:color w:val="auto"/>
              </w:rPr>
            </w:pPr>
          </w:p>
        </w:tc>
        <w:tc>
          <w:tcPr>
            <w:tcW w:w="940" w:type="dxa"/>
            <w:vAlign w:val="bottom"/>
            <w:tcBorders>
              <w:bottom w:val="single" w:sz="8" w:color="auto"/>
            </w:tcBorders>
            <w:gridSpan w:val="2"/>
          </w:tcPr>
          <w:p>
            <w:pPr>
              <w:jc w:val="right"/>
              <w:ind w:right="74"/>
              <w:spacing w:after="0" w:line="196" w:lineRule="exact"/>
              <w:rPr>
                <w:sz w:val="20"/>
                <w:szCs w:val="20"/>
                <w:color w:val="auto"/>
              </w:rPr>
            </w:pPr>
            <w:r>
              <w:rPr>
                <w:rFonts w:ascii="Arial" w:cs="Arial" w:eastAsia="Arial" w:hAnsi="Arial"/>
                <w:sz w:val="18"/>
                <w:szCs w:val="18"/>
                <w:color w:val="auto"/>
              </w:rPr>
              <w:t>$ 52.19</w:t>
            </w:r>
          </w:p>
        </w:tc>
        <w:tc>
          <w:tcPr>
            <w:tcW w:w="0" w:type="dxa"/>
            <w:vAlign w:val="bottom"/>
          </w:tcPr>
          <w:p>
            <w:pPr>
              <w:spacing w:after="0"/>
              <w:rPr>
                <w:sz w:val="1"/>
                <w:szCs w:val="1"/>
                <w:color w:val="auto"/>
              </w:rPr>
            </w:pPr>
          </w:p>
        </w:tc>
      </w:tr>
      <w:tr>
        <w:trPr>
          <w:trHeight w:val="195"/>
        </w:trPr>
        <w:tc>
          <w:tcPr>
            <w:tcW w:w="67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Net income per share:</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4.10</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4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Basic</w:t>
            </w:r>
          </w:p>
        </w:tc>
        <w:tc>
          <w:tcPr>
            <w:tcW w:w="2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4"/>
              <w:spacing w:after="0" w:line="181" w:lineRule="exact"/>
              <w:rPr>
                <w:sz w:val="20"/>
                <w:szCs w:val="20"/>
                <w:color w:val="auto"/>
              </w:rPr>
            </w:pPr>
            <w:r>
              <w:rPr>
                <w:rFonts w:ascii="Arial" w:cs="Arial" w:eastAsia="Arial" w:hAnsi="Arial"/>
                <w:sz w:val="18"/>
                <w:szCs w:val="18"/>
                <w:color w:val="auto"/>
              </w:rPr>
              <w:t>2.57</w:t>
            </w:r>
          </w:p>
        </w:tc>
        <w:tc>
          <w:tcPr>
            <w:tcW w:w="320" w:type="dxa"/>
            <w:vAlign w:val="bottom"/>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4.10</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firstLine="378"/>
        <w:spacing w:after="0" w:line="246" w:lineRule="auto"/>
        <w:rPr>
          <w:sz w:val="20"/>
          <w:szCs w:val="20"/>
          <w:color w:val="auto"/>
        </w:rPr>
      </w:pPr>
      <w:r>
        <w:rPr>
          <w:rFonts w:ascii="Arial" w:cs="Arial" w:eastAsia="Arial" w:hAnsi="Arial"/>
          <w:sz w:val="18"/>
          <w:szCs w:val="18"/>
          <w:color w:val="auto"/>
        </w:rPr>
        <w:t>Shares outstanding, net of treasury shares, were 32.3 million as of December 31, 2019 and 2018, and were 32.2 million as of December 31,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(AOCI)</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presents changes in the components of AOCI from January 1, 2017 to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 and</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Translation</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postretirement</w:t>
            </w: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 valuation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75"/>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adjustments</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liability adjustments</w:t>
            </w:r>
          </w:p>
        </w:tc>
        <w:tc>
          <w:tcPr>
            <w:tcW w:w="1700" w:type="dxa"/>
            <w:vAlign w:val="bottom"/>
            <w:gridSpan w:val="3"/>
          </w:tcPr>
          <w:p>
            <w:pPr>
              <w:ind w:left="360"/>
              <w:spacing w:after="0"/>
              <w:rPr>
                <w:sz w:val="20"/>
                <w:szCs w:val="20"/>
                <w:color w:val="auto"/>
              </w:rPr>
            </w:pPr>
            <w:r>
              <w:rPr>
                <w:rFonts w:ascii="Arial" w:cs="Arial" w:eastAsia="Arial" w:hAnsi="Arial"/>
                <w:sz w:val="14"/>
                <w:szCs w:val="14"/>
                <w:b w:val="1"/>
                <w:bCs w:val="1"/>
                <w:color w:val="auto"/>
              </w:rPr>
              <w:t>adjustment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January 1, 2017</w:t>
            </w:r>
          </w:p>
        </w:tc>
        <w:tc>
          <w:tcPr>
            <w:tcW w:w="24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191"/>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(133,298)</w:t>
            </w:r>
          </w:p>
        </w:tc>
        <w:tc>
          <w:tcPr>
            <w:tcW w:w="24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$(51,719)</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828</w:t>
            </w:r>
          </w:p>
        </w:tc>
        <w:tc>
          <w:tcPr>
            <w:tcW w:w="2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$(184,189)</w:t>
            </w:r>
          </w:p>
        </w:tc>
        <w:tc>
          <w:tcPr>
            <w:tcW w:w="0" w:type="dxa"/>
            <w:vAlign w:val="bottom"/>
          </w:tcPr>
          <w:p>
            <w:pPr>
              <w:spacing w:after="0"/>
              <w:rPr>
                <w:sz w:val="1"/>
                <w:szCs w:val="1"/>
                <w:color w:val="auto"/>
              </w:rPr>
            </w:pPr>
          </w:p>
        </w:tc>
      </w:tr>
      <w:tr>
        <w:trPr>
          <w:trHeight w:val="236"/>
        </w:trPr>
        <w:tc>
          <w:tcPr>
            <w:tcW w:w="4820" w:type="dxa"/>
            <w:vAlign w:val="bottom"/>
            <w:gridSpan w:val="3"/>
          </w:tcPr>
          <w:p>
            <w:pPr>
              <w:spacing w:after="0"/>
              <w:rPr>
                <w:sz w:val="20"/>
                <w:szCs w:val="20"/>
                <w:color w:val="auto"/>
              </w:rPr>
            </w:pPr>
            <w:r>
              <w:rPr>
                <w:rFonts w:ascii="Arial" w:cs="Arial" w:eastAsia="Arial" w:hAnsi="Arial"/>
                <w:sz w:val="18"/>
                <w:szCs w:val="18"/>
                <w:color w:val="auto"/>
              </w:rPr>
              <w:t>Other comprehensive income/(loss) before</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reclassifications</w:t>
            </w:r>
          </w:p>
        </w:tc>
        <w:tc>
          <w:tcPr>
            <w:tcW w:w="148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45,980</w:t>
            </w:r>
          </w:p>
        </w:tc>
        <w:tc>
          <w:tcPr>
            <w:tcW w:w="240" w:type="dxa"/>
            <w:vAlign w:val="bottom"/>
          </w:tcPr>
          <w:p>
            <w:pPr>
              <w:spacing w:after="0"/>
              <w:rPr>
                <w:sz w:val="17"/>
                <w:szCs w:val="17"/>
                <w:color w:val="auto"/>
              </w:rPr>
            </w:pP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(1,818)</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201</w:t>
            </w:r>
          </w:p>
        </w:tc>
        <w:tc>
          <w:tcPr>
            <w:tcW w:w="200" w:type="dxa"/>
            <w:vAlign w:val="bottom"/>
          </w:tcPr>
          <w:p>
            <w:pPr>
              <w:spacing w:after="0"/>
              <w:rPr>
                <w:sz w:val="17"/>
                <w:szCs w:val="17"/>
                <w:color w:val="auto"/>
              </w:rPr>
            </w:pP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44,363</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Pension/postretirement plan remeasurement .</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2,037</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Statements of Income, net of tax</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9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924</w:t>
            </w:r>
          </w:p>
        </w:tc>
        <w:tc>
          <w:tcPr>
            <w:tcW w:w="200" w:type="dxa"/>
            <w:vAlign w:val="bottom"/>
          </w:tcPr>
          <w:p>
            <w:pPr>
              <w:spacing w:after="0"/>
              <w:rPr>
                <w:sz w:val="17"/>
                <w:szCs w:val="17"/>
                <w:color w:val="auto"/>
              </w:rPr>
            </w:pPr>
          </w:p>
        </w:tc>
        <w:tc>
          <w:tcPr>
            <w:tcW w:w="14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reclassified to Statements of Income, net of tax</w:t>
            </w:r>
          </w:p>
        </w:tc>
        <w:tc>
          <w:tcPr>
            <w:tcW w:w="1720" w:type="dxa"/>
            <w:vAlign w:val="bottom"/>
            <w:gridSpan w:val="2"/>
          </w:tcPr>
          <w:p>
            <w:pPr>
              <w:ind w:left="920"/>
              <w:spacing w:after="0" w:line="203"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3" w:lineRule="exact"/>
              <w:rPr>
                <w:sz w:val="20"/>
                <w:szCs w:val="20"/>
                <w:color w:val="auto"/>
              </w:rPr>
            </w:pPr>
            <w:r>
              <w:rPr>
                <w:rFonts w:ascii="Arial" w:cs="Arial" w:eastAsia="Arial" w:hAnsi="Arial"/>
                <w:sz w:val="18"/>
                <w:szCs w:val="18"/>
                <w:color w:val="auto"/>
              </w:rPr>
              <w:t>964</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2"/>
              <w:spacing w:after="0" w:line="203" w:lineRule="exact"/>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96"/>
        </w:trPr>
        <w:tc>
          <w:tcPr>
            <w:tcW w:w="4820" w:type="dxa"/>
            <w:vAlign w:val="bottom"/>
            <w:gridSpan w:val="3"/>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480" w:type="dxa"/>
            <w:vAlign w:val="bottom"/>
            <w:tcBorders>
              <w:top w:val="single" w:sz="8" w:color="auto"/>
              <w:bottom w:val="single" w:sz="8" w:color="auto"/>
            </w:tcBorders>
          </w:tcPr>
          <w:p>
            <w:pPr>
              <w:jc w:val="right"/>
              <w:ind w:right="271"/>
              <w:spacing w:after="0" w:line="196" w:lineRule="exact"/>
              <w:rPr>
                <w:sz w:val="20"/>
                <w:szCs w:val="20"/>
                <w:color w:val="auto"/>
              </w:rPr>
            </w:pPr>
            <w:r>
              <w:rPr>
                <w:rFonts w:ascii="Arial" w:cs="Arial" w:eastAsia="Arial" w:hAnsi="Arial"/>
                <w:sz w:val="18"/>
                <w:szCs w:val="18"/>
                <w:color w:val="auto"/>
              </w:rPr>
              <w:t>45,980</w:t>
            </w:r>
          </w:p>
        </w:tc>
        <w:tc>
          <w:tcPr>
            <w:tcW w:w="24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312"/>
              <w:spacing w:after="0" w:line="196" w:lineRule="exact"/>
              <w:rPr>
                <w:sz w:val="20"/>
                <w:szCs w:val="20"/>
                <w:color w:val="auto"/>
              </w:rPr>
            </w:pPr>
            <w:r>
              <w:rPr>
                <w:rFonts w:ascii="Arial" w:cs="Arial" w:eastAsia="Arial" w:hAnsi="Arial"/>
                <w:sz w:val="18"/>
                <w:szCs w:val="18"/>
                <w:color w:val="auto"/>
              </w:rPr>
              <w:t>1,183</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1,125</w:t>
            </w:r>
          </w:p>
        </w:tc>
        <w:tc>
          <w:tcPr>
            <w:tcW w:w="2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252"/>
              <w:spacing w:after="0" w:line="196" w:lineRule="exact"/>
              <w:rPr>
                <w:sz w:val="20"/>
                <w:szCs w:val="20"/>
                <w:color w:val="auto"/>
              </w:rPr>
            </w:pPr>
            <w:r>
              <w:rPr>
                <w:rFonts w:ascii="Arial" w:cs="Arial" w:eastAsia="Arial" w:hAnsi="Arial"/>
                <w:sz w:val="18"/>
                <w:szCs w:val="18"/>
                <w:color w:val="auto"/>
              </w:rPr>
              <w:t>48,288</w:t>
            </w:r>
          </w:p>
        </w:tc>
        <w:tc>
          <w:tcPr>
            <w:tcW w:w="0" w:type="dxa"/>
            <w:vAlign w:val="bottom"/>
          </w:tcPr>
          <w:p>
            <w:pPr>
              <w:spacing w:after="0"/>
              <w:rPr>
                <w:sz w:val="1"/>
                <w:szCs w:val="1"/>
                <w:color w:val="auto"/>
              </w:rPr>
            </w:pPr>
          </w:p>
        </w:tc>
      </w:tr>
      <w:tr>
        <w:trPr>
          <w:trHeight w:val="196"/>
        </w:trPr>
        <w:tc>
          <w:tcPr>
            <w:tcW w:w="48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148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(87,318)</w:t>
            </w:r>
          </w:p>
        </w:tc>
        <w:tc>
          <w:tcPr>
            <w:tcW w:w="240" w:type="dxa"/>
            <w:vAlign w:val="bottom"/>
          </w:tcPr>
          <w:p>
            <w:pPr>
              <w:spacing w:after="0"/>
              <w:rPr>
                <w:sz w:val="17"/>
                <w:szCs w:val="17"/>
                <w:color w:val="auto"/>
              </w:rPr>
            </w:pPr>
          </w:p>
        </w:tc>
        <w:tc>
          <w:tcPr>
            <w:tcW w:w="148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(50,536)</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1,953</w:t>
            </w:r>
          </w:p>
        </w:tc>
        <w:tc>
          <w:tcPr>
            <w:tcW w:w="200" w:type="dxa"/>
            <w:vAlign w:val="bottom"/>
          </w:tcPr>
          <w:p>
            <w:pPr>
              <w:spacing w:after="0"/>
              <w:rPr>
                <w:sz w:val="17"/>
                <w:szCs w:val="17"/>
                <w:color w:val="auto"/>
              </w:rPr>
            </w:pPr>
          </w:p>
        </w:tc>
        <w:tc>
          <w:tcPr>
            <w:tcW w:w="148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(135,901)</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Other comprehensive income/(loss) before</w:t>
            </w: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gridSpan w:val="3"/>
            <w:vMerge w:val="continue"/>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reclassifications</w:t>
            </w:r>
          </w:p>
        </w:tc>
        <w:tc>
          <w:tcPr>
            <w:tcW w:w="14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(28,658)</w:t>
            </w:r>
          </w:p>
        </w:tc>
        <w:tc>
          <w:tcPr>
            <w:tcW w:w="240" w:type="dxa"/>
            <w:vAlign w:val="bottom"/>
          </w:tcPr>
          <w:p>
            <w:pPr>
              <w:spacing w:after="0"/>
              <w:rPr>
                <w:sz w:val="17"/>
                <w:szCs w:val="17"/>
                <w:color w:val="auto"/>
              </w:rPr>
            </w:pPr>
          </w:p>
        </w:tc>
        <w:tc>
          <w:tcPr>
            <w:tcW w:w="14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1,275</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2,853</w:t>
            </w:r>
          </w:p>
        </w:tc>
        <w:tc>
          <w:tcPr>
            <w:tcW w:w="200" w:type="dxa"/>
            <w:vAlign w:val="bottom"/>
          </w:tcPr>
          <w:p>
            <w:pPr>
              <w:spacing w:after="0"/>
              <w:rPr>
                <w:sz w:val="17"/>
                <w:szCs w:val="17"/>
                <w:color w:val="auto"/>
              </w:rPr>
            </w:pPr>
          </w:p>
        </w:tc>
        <w:tc>
          <w:tcPr>
            <w:tcW w:w="1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(24,530)</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1,146</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Pension/postretirement plan remeasurement .</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443</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Statements of Income, net of tax</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9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14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reclassified to Statements of Income, net of tax</w:t>
            </w:r>
          </w:p>
        </w:tc>
        <w:tc>
          <w:tcPr>
            <w:tcW w:w="1720" w:type="dxa"/>
            <w:vAlign w:val="bottom"/>
            <w:gridSpan w:val="2"/>
          </w:tcPr>
          <w:p>
            <w:pPr>
              <w:ind w:left="920"/>
              <w:spacing w:after="0" w:line="203"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3" w:lineRule="exact"/>
              <w:rPr>
                <w:sz w:val="20"/>
                <w:szCs w:val="20"/>
                <w:color w:val="auto"/>
              </w:rPr>
            </w:pPr>
            <w:r>
              <w:rPr>
                <w:rFonts w:ascii="Arial" w:cs="Arial" w:eastAsia="Arial" w:hAnsi="Arial"/>
                <w:sz w:val="18"/>
                <w:szCs w:val="18"/>
                <w:color w:val="auto"/>
              </w:rPr>
              <w:t>563</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2"/>
              <w:spacing w:after="0" w:line="203"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196"/>
        </w:trPr>
        <w:tc>
          <w:tcPr>
            <w:tcW w:w="4820" w:type="dxa"/>
            <w:vAlign w:val="bottom"/>
            <w:gridSpan w:val="3"/>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480" w:type="dxa"/>
            <w:vAlign w:val="bottom"/>
            <w:tcBorders>
              <w:top w:val="single" w:sz="8" w:color="auto"/>
              <w:bottom w:val="single" w:sz="8" w:color="auto"/>
            </w:tcBorders>
          </w:tcPr>
          <w:p>
            <w:pPr>
              <w:jc w:val="right"/>
              <w:ind w:right="211"/>
              <w:spacing w:after="0" w:line="196" w:lineRule="exact"/>
              <w:rPr>
                <w:sz w:val="20"/>
                <w:szCs w:val="20"/>
                <w:color w:val="auto"/>
              </w:rPr>
            </w:pPr>
            <w:r>
              <w:rPr>
                <w:rFonts w:ascii="Arial" w:cs="Arial" w:eastAsia="Arial" w:hAnsi="Arial"/>
                <w:sz w:val="18"/>
                <w:szCs w:val="18"/>
                <w:color w:val="auto"/>
              </w:rPr>
              <w:t>(28,658)</w:t>
            </w:r>
          </w:p>
        </w:tc>
        <w:tc>
          <w:tcPr>
            <w:tcW w:w="24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312"/>
              <w:spacing w:after="0" w:line="196" w:lineRule="exact"/>
              <w:rPr>
                <w:sz w:val="20"/>
                <w:szCs w:val="20"/>
                <w:color w:val="auto"/>
              </w:rPr>
            </w:pPr>
            <w:r>
              <w:rPr>
                <w:rFonts w:ascii="Arial" w:cs="Arial" w:eastAsia="Arial" w:hAnsi="Arial"/>
                <w:sz w:val="18"/>
                <w:szCs w:val="18"/>
                <w:color w:val="auto"/>
              </w:rPr>
              <w:t>3,427</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2,744</w:t>
            </w:r>
          </w:p>
        </w:tc>
        <w:tc>
          <w:tcPr>
            <w:tcW w:w="2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(22,487)</w:t>
            </w:r>
          </w:p>
        </w:tc>
        <w:tc>
          <w:tcPr>
            <w:tcW w:w="0" w:type="dxa"/>
            <w:vAlign w:val="bottom"/>
          </w:tcPr>
          <w:p>
            <w:pPr>
              <w:spacing w:after="0"/>
              <w:rPr>
                <w:sz w:val="1"/>
                <w:szCs w:val="1"/>
                <w:color w:val="auto"/>
              </w:rPr>
            </w:pPr>
          </w:p>
        </w:tc>
      </w:tr>
      <w:tr>
        <w:trPr>
          <w:trHeight w:val="196"/>
        </w:trPr>
        <w:tc>
          <w:tcPr>
            <w:tcW w:w="48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148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b w:val="1"/>
                <w:bCs w:val="1"/>
                <w:color w:val="auto"/>
              </w:rPr>
              <w:t>(115,976)</w:t>
            </w:r>
          </w:p>
        </w:tc>
        <w:tc>
          <w:tcPr>
            <w:tcW w:w="240" w:type="dxa"/>
            <w:vAlign w:val="bottom"/>
          </w:tcPr>
          <w:p>
            <w:pPr>
              <w:spacing w:after="0"/>
              <w:rPr>
                <w:sz w:val="17"/>
                <w:szCs w:val="17"/>
                <w:color w:val="auto"/>
              </w:rPr>
            </w:pPr>
          </w:p>
        </w:tc>
        <w:tc>
          <w:tcPr>
            <w:tcW w:w="148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(47,109)</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4,697</w:t>
            </w:r>
          </w:p>
        </w:tc>
        <w:tc>
          <w:tcPr>
            <w:tcW w:w="200" w:type="dxa"/>
            <w:vAlign w:val="bottom"/>
          </w:tcPr>
          <w:p>
            <w:pPr>
              <w:spacing w:after="0"/>
              <w:rPr>
                <w:sz w:val="17"/>
                <w:szCs w:val="17"/>
                <w:color w:val="auto"/>
              </w:rPr>
            </w:pPr>
          </w:p>
        </w:tc>
        <w:tc>
          <w:tcPr>
            <w:tcW w:w="148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(158,388)</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line="195" w:lineRule="exact"/>
              <w:rPr>
                <w:sz w:val="20"/>
                <w:szCs w:val="20"/>
                <w:color w:val="auto"/>
              </w:rPr>
            </w:pPr>
            <w:r>
              <w:rPr>
                <w:rFonts w:ascii="Arial" w:cs="Arial" w:eastAsia="Arial" w:hAnsi="Arial"/>
                <w:sz w:val="18"/>
                <w:szCs w:val="18"/>
                <w:color w:val="auto"/>
              </w:rPr>
              <w:t>Other comprehensive income/(loss) before</w:t>
            </w: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gridSpan w:val="3"/>
            <w:vMerge w:val="continue"/>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reclassifications</w:t>
            </w:r>
          </w:p>
        </w:tc>
        <w:tc>
          <w:tcPr>
            <w:tcW w:w="14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(6,876)</w:t>
            </w:r>
          </w:p>
        </w:tc>
        <w:tc>
          <w:tcPr>
            <w:tcW w:w="240" w:type="dxa"/>
            <w:vAlign w:val="bottom"/>
          </w:tcPr>
          <w:p>
            <w:pPr>
              <w:spacing w:after="0"/>
              <w:rPr>
                <w:sz w:val="17"/>
                <w:szCs w:val="17"/>
                <w:color w:val="auto"/>
              </w:rPr>
            </w:pPr>
          </w:p>
        </w:tc>
        <w:tc>
          <w:tcPr>
            <w:tcW w:w="14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(525)</w:t>
            </w:r>
          </w:p>
        </w:tc>
        <w:tc>
          <w:tcPr>
            <w:tcW w:w="220" w:type="dxa"/>
            <w:vAlign w:val="bottom"/>
          </w:tcPr>
          <w:p>
            <w:pPr>
              <w:spacing w:after="0"/>
              <w:rPr>
                <w:sz w:val="17"/>
                <w:szCs w:val="17"/>
                <w:color w:val="auto"/>
              </w:rPr>
            </w:pPr>
          </w:p>
        </w:tc>
        <w:tc>
          <w:tcPr>
            <w:tcW w:w="15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(10,523)</w:t>
            </w:r>
          </w:p>
        </w:tc>
        <w:tc>
          <w:tcPr>
            <w:tcW w:w="200" w:type="dxa"/>
            <w:vAlign w:val="bottom"/>
          </w:tcPr>
          <w:p>
            <w:pPr>
              <w:spacing w:after="0"/>
              <w:rPr>
                <w:sz w:val="17"/>
                <w:szCs w:val="17"/>
                <w:color w:val="auto"/>
              </w:rPr>
            </w:pPr>
          </w:p>
        </w:tc>
        <w:tc>
          <w:tcPr>
            <w:tcW w:w="1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376</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Pension/postretirement plan remeasurement .</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(1,437)</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Statements of Income, net of tax</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9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2,691</w:t>
            </w:r>
          </w:p>
        </w:tc>
        <w:tc>
          <w:tcPr>
            <w:tcW w:w="200" w:type="dxa"/>
            <w:vAlign w:val="bottom"/>
          </w:tcPr>
          <w:p>
            <w:pPr>
              <w:spacing w:after="0"/>
              <w:rPr>
                <w:sz w:val="17"/>
                <w:szCs w:val="17"/>
                <w:color w:val="auto"/>
              </w:rPr>
            </w:pP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reclassified to Statements of Income, net of tax</w:t>
            </w:r>
          </w:p>
        </w:tc>
        <w:tc>
          <w:tcPr>
            <w:tcW w:w="17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Adjustment related to prior period change in opening</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valuation allowance</w:t>
            </w:r>
          </w:p>
        </w:tc>
        <w:tc>
          <w:tcPr>
            <w:tcW w:w="1720" w:type="dxa"/>
            <w:vAlign w:val="bottom"/>
            <w:gridSpan w:val="2"/>
          </w:tcPr>
          <w:p>
            <w:pPr>
              <w:ind w:left="920"/>
              <w:spacing w:after="0" w:line="203"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52"/>
              <w:spacing w:after="0" w:line="203" w:lineRule="exact"/>
              <w:rPr>
                <w:sz w:val="20"/>
                <w:szCs w:val="20"/>
                <w:color w:val="auto"/>
              </w:rPr>
            </w:pPr>
            <w:r>
              <w:rPr>
                <w:rFonts w:ascii="Arial" w:cs="Arial" w:eastAsia="Arial" w:hAnsi="Arial"/>
                <w:sz w:val="18"/>
                <w:szCs w:val="18"/>
                <w:color w:val="auto"/>
              </w:rPr>
              <w:t>(1,346)</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2"/>
              <w:spacing w:after="0" w:line="203" w:lineRule="exact"/>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196"/>
        </w:trPr>
        <w:tc>
          <w:tcPr>
            <w:tcW w:w="4820" w:type="dxa"/>
            <w:vAlign w:val="bottom"/>
            <w:gridSpan w:val="3"/>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480" w:type="dxa"/>
            <w:vAlign w:val="bottom"/>
            <w:tcBorders>
              <w:top w:val="single" w:sz="8" w:color="auto"/>
              <w:bottom w:val="single" w:sz="8" w:color="auto"/>
            </w:tcBorders>
          </w:tcPr>
          <w:p>
            <w:pPr>
              <w:jc w:val="right"/>
              <w:ind w:right="211"/>
              <w:spacing w:after="0" w:line="196" w:lineRule="exact"/>
              <w:rPr>
                <w:sz w:val="20"/>
                <w:szCs w:val="20"/>
                <w:color w:val="auto"/>
              </w:rPr>
            </w:pPr>
            <w:r>
              <w:rPr>
                <w:rFonts w:ascii="Arial" w:cs="Arial" w:eastAsia="Arial" w:hAnsi="Arial"/>
                <w:sz w:val="18"/>
                <w:szCs w:val="18"/>
                <w:color w:val="auto"/>
              </w:rPr>
              <w:t>(6,876)</w:t>
            </w:r>
          </w:p>
        </w:tc>
        <w:tc>
          <w:tcPr>
            <w:tcW w:w="24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252"/>
              <w:spacing w:after="0" w:line="196" w:lineRule="exact"/>
              <w:rPr>
                <w:sz w:val="20"/>
                <w:szCs w:val="20"/>
                <w:color w:val="auto"/>
              </w:rPr>
            </w:pPr>
            <w:r>
              <w:rPr>
                <w:rFonts w:ascii="Arial" w:cs="Arial" w:eastAsia="Arial" w:hAnsi="Arial"/>
                <w:sz w:val="18"/>
                <w:szCs w:val="18"/>
                <w:color w:val="auto"/>
              </w:rPr>
              <w:t>(2,885)</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(7,832)</w:t>
            </w:r>
          </w:p>
        </w:tc>
        <w:tc>
          <w:tcPr>
            <w:tcW w:w="2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196"/>
        </w:trPr>
        <w:tc>
          <w:tcPr>
            <w:tcW w:w="48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December 31, 2019</w:t>
            </w:r>
          </w:p>
        </w:tc>
        <w:tc>
          <w:tcPr>
            <w:tcW w:w="148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b w:val="1"/>
                <w:bCs w:val="1"/>
                <w:color w:val="auto"/>
              </w:rPr>
              <w:t>$(122,852)</w:t>
            </w:r>
          </w:p>
        </w:tc>
        <w:tc>
          <w:tcPr>
            <w:tcW w:w="240" w:type="dxa"/>
            <w:vAlign w:val="bottom"/>
          </w:tcPr>
          <w:p>
            <w:pPr>
              <w:spacing w:after="0"/>
              <w:rPr>
                <w:sz w:val="17"/>
                <w:szCs w:val="17"/>
                <w:color w:val="auto"/>
              </w:rPr>
            </w:pPr>
          </w:p>
        </w:tc>
        <w:tc>
          <w:tcPr>
            <w:tcW w:w="148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$(49,994)</w:t>
            </w:r>
          </w:p>
        </w:tc>
        <w:tc>
          <w:tcPr>
            <w:tcW w:w="220" w:type="dxa"/>
            <w:vAlign w:val="bottom"/>
          </w:tcPr>
          <w:p>
            <w:pPr>
              <w:spacing w:after="0"/>
              <w:rPr>
                <w:sz w:val="17"/>
                <w:szCs w:val="17"/>
                <w:color w:val="auto"/>
              </w:rPr>
            </w:pPr>
          </w:p>
        </w:tc>
        <w:tc>
          <w:tcPr>
            <w:tcW w:w="540" w:type="dxa"/>
            <w:vAlign w:val="bottom"/>
            <w:tcBorders>
              <w:bottom w:val="single" w:sz="8" w:color="auto"/>
            </w:tcBorders>
          </w:tcPr>
          <w:p>
            <w:pPr>
              <w:ind w:left="34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(3,135)</w:t>
            </w:r>
          </w:p>
        </w:tc>
        <w:tc>
          <w:tcPr>
            <w:tcW w:w="200" w:type="dxa"/>
            <w:vAlign w:val="bottom"/>
          </w:tcPr>
          <w:p>
            <w:pPr>
              <w:spacing w:after="0"/>
              <w:rPr>
                <w:sz w:val="17"/>
                <w:szCs w:val="17"/>
                <w:color w:val="auto"/>
              </w:rPr>
            </w:pPr>
          </w:p>
        </w:tc>
        <w:tc>
          <w:tcPr>
            <w:tcW w:w="148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$(175,981)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(AOCI) — (continued)</w:t>
      </w:r>
    </w:p>
    <w:p>
      <w:pPr>
        <w:spacing w:after="0" w:line="126" w:lineRule="exact"/>
        <w:rPr>
          <w:sz w:val="20"/>
          <w:szCs w:val="20"/>
          <w:color w:val="auto"/>
        </w:rPr>
      </w:pPr>
    </w:p>
    <w:p>
      <w:pPr>
        <w:ind w:right="100" w:firstLine="378"/>
        <w:spacing w:after="0" w:line="24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89" w:lineRule="exact"/>
        <w:rPr>
          <w:sz w:val="20"/>
          <w:szCs w:val="20"/>
          <w:color w:val="auto"/>
        </w:rPr>
      </w:pPr>
    </w:p>
    <w:p>
      <w:pPr>
        <w:ind w:right="80" w:firstLine="37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years ended December 31, 2019,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gridSpan w:val="4"/>
          </w:tcPr>
          <w:p>
            <w:pPr>
              <w:ind w:left="5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66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6880" w:type="dxa"/>
            <w:vAlign w:val="bottom"/>
            <w:gridSpan w:val="3"/>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6880" w:type="dxa"/>
            <w:vAlign w:val="bottom"/>
            <w:gridSpan w:val="3"/>
          </w:tcPr>
          <w:p>
            <w:pPr>
              <w:ind w:left="180"/>
              <w:spacing w:after="0" w:line="221" w:lineRule="exact"/>
              <w:rPr>
                <w:sz w:val="20"/>
                <w:szCs w:val="20"/>
                <w:color w:val="auto"/>
              </w:rPr>
            </w:pPr>
            <w:r>
              <w:rPr>
                <w:rFonts w:ascii="Arial" w:cs="Arial" w:eastAsia="Arial" w:hAnsi="Arial"/>
                <w:sz w:val="16"/>
                <w:szCs w:val="16"/>
                <w:color w:val="auto"/>
              </w:rPr>
              <w:t>Expense related to interest rate swaps included in Income before taxes</w:t>
            </w:r>
            <w:r>
              <w:rPr>
                <w:rFonts w:ascii="Arial" w:cs="Arial" w:eastAsia="Arial" w:hAnsi="Arial"/>
                <w:sz w:val="25"/>
                <w:szCs w:val="25"/>
                <w:color w:val="auto"/>
                <w:vertAlign w:val="superscript"/>
              </w:rPr>
              <w:t>(a)</w:t>
            </w:r>
          </w:p>
        </w:tc>
        <w:tc>
          <w:tcPr>
            <w:tcW w:w="10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 (1,011)</w:t>
            </w: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$ 1,490</w:t>
            </w: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Income tax effect</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259</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83"/>
        </w:trPr>
        <w:tc>
          <w:tcPr>
            <w:tcW w:w="7400" w:type="dxa"/>
            <w:vAlign w:val="bottom"/>
            <w:gridSpan w:val="4"/>
          </w:tcPr>
          <w:p>
            <w:pPr>
              <w:ind w:left="520"/>
              <w:spacing w:after="0" w:line="182"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(752)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6880" w:type="dxa"/>
            <w:vAlign w:val="bottom"/>
            <w:gridSpan w:val="3"/>
          </w:tcPr>
          <w:p>
            <w:pPr>
              <w:ind w:left="180"/>
              <w:spacing w:after="0" w:line="181" w:lineRule="exact"/>
              <w:rPr>
                <w:sz w:val="20"/>
                <w:szCs w:val="20"/>
                <w:color w:val="auto"/>
              </w:rPr>
            </w:pPr>
            <w:r>
              <w:rPr>
                <w:rFonts w:ascii="Arial" w:cs="Arial" w:eastAsia="Arial" w:hAnsi="Arial"/>
                <w:sz w:val="18"/>
                <w:szCs w:val="18"/>
                <w:color w:val="auto"/>
              </w:rPr>
              <w:t>Comprehensive Income</w:t>
            </w:r>
          </w:p>
        </w:tc>
        <w:tc>
          <w:tcPr>
            <w:tcW w:w="3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line="181"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line="181" w:lineRule="exact"/>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
        </w:trPr>
        <w:tc>
          <w:tcPr>
            <w:tcW w:w="7400" w:type="dxa"/>
            <w:vAlign w:val="bottom"/>
            <w:gridSpan w:val="4"/>
            <w:vMerge w:val="restart"/>
          </w:tcPr>
          <w:p>
            <w:pPr>
              <w:ind w:left="520"/>
              <w:spacing w:after="0" w:line="202" w:lineRule="exact"/>
              <w:rPr>
                <w:sz w:val="20"/>
                <w:szCs w:val="20"/>
                <w:color w:val="auto"/>
              </w:rPr>
            </w:pPr>
            <w:r>
              <w:rPr>
                <w:rFonts w:ascii="Arial" w:cs="Arial" w:eastAsia="Arial" w:hAnsi="Arial"/>
                <w:sz w:val="18"/>
                <w:szCs w:val="18"/>
                <w:b w:val="1"/>
                <w:bCs w:val="1"/>
                <w:color w:val="auto"/>
              </w:rPr>
              <w:t>Pretax pension and postretirement liabilities reclassified from Accumulated</w:t>
            </w: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740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6880" w:type="dxa"/>
            <w:vAlign w:val="bottom"/>
            <w:gridSpan w:val="3"/>
          </w:tcPr>
          <w:p>
            <w:pPr>
              <w:ind w:left="180"/>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450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6880" w:type="dxa"/>
            <w:vAlign w:val="bottom"/>
            <w:gridSpan w:val="3"/>
          </w:tcPr>
          <w:p>
            <w:pPr>
              <w:ind w:left="18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3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line="181" w:lineRule="exact"/>
              <w:rPr>
                <w:sz w:val="20"/>
                <w:szCs w:val="20"/>
                <w:color w:val="auto"/>
              </w:rPr>
            </w:pPr>
            <w:r>
              <w:rPr>
                <w:rFonts w:ascii="Arial" w:cs="Arial" w:eastAsia="Arial" w:hAnsi="Arial"/>
                <w:sz w:val="18"/>
                <w:szCs w:val="18"/>
                <w:color w:val="auto"/>
              </w:rPr>
              <w:t>1,494</w:t>
            </w:r>
          </w:p>
        </w:tc>
        <w:tc>
          <w:tcPr>
            <w:tcW w:w="200" w:type="dxa"/>
            <w:vAlign w:val="bottom"/>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6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Amortization of prior service credit</w:t>
            </w:r>
          </w:p>
        </w:tc>
        <w:tc>
          <w:tcPr>
            <w:tcW w:w="104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(4,420)</w:t>
            </w:r>
          </w:p>
        </w:tc>
        <w:tc>
          <w:tcPr>
            <w:tcW w:w="200" w:type="dxa"/>
            <w:vAlign w:val="bottom"/>
          </w:tcPr>
          <w:p>
            <w:pPr>
              <w:spacing w:after="0"/>
              <w:rPr>
                <w:sz w:val="17"/>
                <w:szCs w:val="17"/>
                <w:color w:val="auto"/>
              </w:rPr>
            </w:pPr>
          </w:p>
        </w:tc>
        <w:tc>
          <w:tcPr>
            <w:tcW w:w="10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(4,454)</w:t>
            </w:r>
          </w:p>
        </w:tc>
        <w:tc>
          <w:tcPr>
            <w:tcW w:w="200" w:type="dxa"/>
            <w:vAlign w:val="bottom"/>
          </w:tcPr>
          <w:p>
            <w:pPr>
              <w:spacing w:after="0"/>
              <w:rPr>
                <w:sz w:val="17"/>
                <w:szCs w:val="17"/>
                <w:color w:val="auto"/>
              </w:rPr>
            </w:pPr>
          </w:p>
        </w:tc>
        <w:tc>
          <w:tcPr>
            <w:tcW w:w="10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7"/>
              </w:rPr>
              <w:t>4,480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5,175</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01"/>
        </w:trPr>
        <w:tc>
          <w:tcPr>
            <w:tcW w:w="7400" w:type="dxa"/>
            <w:vAlign w:val="bottom"/>
            <w:gridSpan w:val="4"/>
          </w:tcPr>
          <w:p>
            <w:pPr>
              <w:ind w:left="520"/>
              <w:spacing w:after="0" w:line="201" w:lineRule="exact"/>
              <w:rPr>
                <w:sz w:val="20"/>
                <w:szCs w:val="20"/>
                <w:color w:val="auto"/>
              </w:rPr>
            </w:pPr>
            <w:r>
              <w:rPr>
                <w:rFonts w:ascii="Arial" w:cs="Arial" w:eastAsia="Arial" w:hAnsi="Arial"/>
                <w:sz w:val="15"/>
                <w:szCs w:val="15"/>
                <w:color w:val="auto"/>
              </w:rPr>
              <w:t>Total pretax amount reclassified</w:t>
            </w:r>
            <w:r>
              <w:rPr>
                <w:rFonts w:ascii="Arial" w:cs="Arial" w:eastAsia="Arial" w:hAnsi="Arial"/>
                <w:sz w:val="23"/>
                <w:szCs w:val="23"/>
                <w:color w:val="auto"/>
                <w:vertAlign w:val="superscript"/>
              </w:rPr>
              <w:t>(b)</w:t>
            </w:r>
          </w:p>
        </w:tc>
        <w:tc>
          <w:tcPr>
            <w:tcW w:w="340" w:type="dxa"/>
            <w:vAlign w:val="bottom"/>
          </w:tcPr>
          <w:p>
            <w:pPr>
              <w:spacing w:after="0"/>
              <w:rPr>
                <w:sz w:val="17"/>
                <w:szCs w:val="17"/>
                <w:color w:val="auto"/>
              </w:rPr>
            </w:pPr>
          </w:p>
        </w:tc>
        <w:tc>
          <w:tcPr>
            <w:tcW w:w="700" w:type="dxa"/>
            <w:vAlign w:val="bottom"/>
          </w:tcPr>
          <w:p>
            <w:pPr>
              <w:jc w:val="right"/>
              <w:ind w:right="152"/>
              <w:spacing w:after="0" w:line="201" w:lineRule="exact"/>
              <w:rPr>
                <w:sz w:val="20"/>
                <w:szCs w:val="20"/>
                <w:color w:val="auto"/>
              </w:rPr>
            </w:pPr>
            <w:r>
              <w:rPr>
                <w:rFonts w:ascii="Arial" w:cs="Arial" w:eastAsia="Arial" w:hAnsi="Arial"/>
                <w:sz w:val="18"/>
                <w:szCs w:val="18"/>
                <w:b w:val="1"/>
                <w:bCs w:val="1"/>
                <w:color w:val="auto"/>
              </w:rPr>
              <w:t>510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2,215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52"/>
              <w:spacing w:after="0" w:line="201" w:lineRule="exact"/>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5"/>
        </w:trPr>
        <w:tc>
          <w:tcPr>
            <w:tcW w:w="7400" w:type="dxa"/>
            <w:vAlign w:val="bottom"/>
            <w:gridSpan w:val="4"/>
          </w:tcPr>
          <w:p>
            <w:pPr>
              <w:ind w:left="520"/>
              <w:spacing w:after="0"/>
              <w:rPr>
                <w:sz w:val="20"/>
                <w:szCs w:val="20"/>
                <w:color w:val="auto"/>
              </w:rPr>
            </w:pPr>
            <w:r>
              <w:rPr>
                <w:rFonts w:ascii="Arial" w:cs="Arial" w:eastAsia="Arial" w:hAnsi="Arial"/>
                <w:sz w:val="18"/>
                <w:szCs w:val="18"/>
                <w:color w:val="auto"/>
              </w:rPr>
              <w:t>Income tax effect</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7400" w:type="dxa"/>
            <w:vAlign w:val="bottom"/>
            <w:gridSpan w:val="4"/>
          </w:tcPr>
          <w:p>
            <w:pPr>
              <w:ind w:left="520"/>
              <w:spacing w:after="0" w:line="182"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423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688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1,709</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2"/>
              <w:spacing w:after="0" w:line="203" w:lineRule="exact"/>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91"/>
        </w:trPr>
        <w:tc>
          <w:tcPr>
            <w:tcW w:w="52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5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9861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357" w:lineRule="exact"/>
        <w:rPr>
          <w:sz w:val="20"/>
          <w:szCs w:val="20"/>
          <w:color w:val="auto"/>
        </w:rPr>
      </w:pPr>
    </w:p>
    <w:p>
      <w:pPr>
        <w:ind w:left="46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interest expense, net are payments related to the interest rate swap agreements and amortization of swap buyouts (see Notes 17 and 18).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4).</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w:t>
      </w:r>
    </w:p>
    <w:p>
      <w:pPr>
        <w:spacing w:after="0" w:line="126" w:lineRule="exact"/>
        <w:rPr>
          <w:sz w:val="20"/>
          <w:szCs w:val="20"/>
          <w:color w:val="auto"/>
        </w:rPr>
      </w:pPr>
    </w:p>
    <w:p>
      <w:pPr>
        <w:ind w:right="180" w:firstLine="37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97" w:lineRule="exact"/>
        <w:rPr>
          <w:sz w:val="20"/>
          <w:szCs w:val="20"/>
          <w:color w:val="auto"/>
        </w:rPr>
      </w:pPr>
    </w:p>
    <w:p>
      <w:pPr>
        <w:ind w:right="180" w:firstLine="378"/>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94" w:lineRule="exact"/>
        <w:rPr>
          <w:sz w:val="20"/>
          <w:szCs w:val="20"/>
          <w:color w:val="auto"/>
        </w:rPr>
      </w:pPr>
    </w:p>
    <w:p>
      <w:pPr>
        <w:ind w:right="120" w:firstLine="378"/>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 — (continued)</w:t>
      </w:r>
    </w:p>
    <w:p>
      <w:pPr>
        <w:spacing w:after="0" w:line="126" w:lineRule="exact"/>
        <w:rPr>
          <w:sz w:val="20"/>
          <w:szCs w:val="20"/>
          <w:color w:val="auto"/>
        </w:rPr>
      </w:pPr>
    </w:p>
    <w:p>
      <w:pPr>
        <w:ind w:right="200" w:firstLine="378"/>
        <w:spacing w:after="0" w:line="246"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subsidiary Albany Safran Composites, LLC, and the impact of transitioning to ASC 606: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2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 except percentages)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173"/>
        </w:trPr>
        <w:tc>
          <w:tcPr>
            <w:tcW w:w="520" w:type="dxa"/>
            <w:vAlign w:val="bottom"/>
          </w:tcPr>
          <w:p>
            <w:pPr>
              <w:spacing w:after="0"/>
              <w:rPr>
                <w:sz w:val="15"/>
                <w:szCs w:val="15"/>
                <w:color w:val="auto"/>
              </w:rPr>
            </w:pPr>
          </w:p>
        </w:tc>
        <w:tc>
          <w:tcPr>
            <w:tcW w:w="73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income of Albany Safran Composites (ASC)</w:t>
            </w:r>
          </w:p>
        </w:tc>
        <w:tc>
          <w:tcPr>
            <w:tcW w:w="30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$11,140</w:t>
            </w:r>
          </w:p>
        </w:tc>
        <w:tc>
          <w:tcPr>
            <w:tcW w:w="3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$2,578</w:t>
            </w:r>
          </w:p>
        </w:tc>
      </w:tr>
      <w:tr>
        <w:trPr>
          <w:trHeight w:val="225"/>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Less: Return attributable to the Company's preferred holding</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1,291</w:t>
            </w:r>
          </w:p>
        </w:tc>
        <w:tc>
          <w:tcPr>
            <w:tcW w:w="320" w:type="dxa"/>
            <w:vAlign w:val="bottom"/>
          </w:tcPr>
          <w:p>
            <w:pPr>
              <w:spacing w:after="0"/>
              <w:rPr>
                <w:sz w:val="19"/>
                <w:szCs w:val="19"/>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1,299</w:t>
            </w:r>
          </w:p>
        </w:tc>
      </w:tr>
      <w:tr>
        <w:trPr>
          <w:trHeight w:val="173"/>
        </w:trPr>
        <w:tc>
          <w:tcPr>
            <w:tcW w:w="8120" w:type="dxa"/>
            <w:vAlign w:val="bottom"/>
            <w:gridSpan w:val="3"/>
          </w:tcPr>
          <w:p>
            <w:pPr>
              <w:ind w:left="520"/>
              <w:spacing w:after="0" w:line="173" w:lineRule="exact"/>
              <w:rPr>
                <w:sz w:val="20"/>
                <w:szCs w:val="20"/>
                <w:color w:val="auto"/>
              </w:rPr>
            </w:pPr>
            <w:r>
              <w:rPr>
                <w:rFonts w:ascii="Arial" w:cs="Arial" w:eastAsia="Arial" w:hAnsi="Arial"/>
                <w:sz w:val="18"/>
                <w:szCs w:val="18"/>
                <w:color w:val="auto"/>
              </w:rPr>
              <w:t>Net income of ASC available for common ownership</w:t>
            </w:r>
          </w:p>
        </w:tc>
        <w:tc>
          <w:tcPr>
            <w:tcW w:w="12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$ 9,849</w:t>
            </w:r>
          </w:p>
        </w:tc>
        <w:tc>
          <w:tcPr>
            <w:tcW w:w="32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color w:val="auto"/>
                <w:w w:val="98"/>
              </w:rPr>
              <w:t>$1,279</w:t>
            </w:r>
          </w:p>
        </w:tc>
      </w:tr>
      <w:tr>
        <w:trPr>
          <w:trHeight w:val="225"/>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Ownership percentage of noncontrolling shareholder</w:t>
            </w: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9"/>
                <w:szCs w:val="19"/>
                <w:color w:val="auto"/>
              </w:rPr>
            </w:pP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10%</w:t>
            </w:r>
          </w:p>
        </w:tc>
      </w:tr>
      <w:tr>
        <w:trPr>
          <w:trHeight w:val="196"/>
        </w:trPr>
        <w:tc>
          <w:tcPr>
            <w:tcW w:w="8120" w:type="dxa"/>
            <w:vAlign w:val="bottom"/>
            <w:gridSpan w:val="3"/>
          </w:tcPr>
          <w:p>
            <w:pPr>
              <w:ind w:left="520"/>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  985</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  128</w:t>
            </w:r>
          </w:p>
        </w:tc>
      </w:tr>
      <w:tr>
        <w:trPr>
          <w:trHeight w:val="37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Noncontrolling interest, beginning of year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$ 3,031</w:t>
            </w:r>
          </w:p>
        </w:tc>
        <w:tc>
          <w:tcPr>
            <w:tcW w:w="3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$3,247</w:t>
            </w:r>
          </w:p>
        </w:tc>
      </w:tr>
      <w:tr>
        <w:trPr>
          <w:trHeight w:val="203"/>
        </w:trPr>
        <w:tc>
          <w:tcPr>
            <w:tcW w:w="812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Decrease attributable to 2018 adoption of ASC 606</w:t>
            </w:r>
          </w:p>
        </w:tc>
        <w:tc>
          <w:tcPr>
            <w:tcW w:w="15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(327)</w:t>
            </w:r>
          </w:p>
        </w:tc>
      </w:tr>
      <w:tr>
        <w:trPr>
          <w:trHeight w:val="203"/>
        </w:trPr>
        <w:tc>
          <w:tcPr>
            <w:tcW w:w="812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Net income/(loss) attributable to noncontrolling interest</w:t>
            </w:r>
          </w:p>
        </w:tc>
        <w:tc>
          <w:tcPr>
            <w:tcW w:w="124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985</w:t>
            </w:r>
          </w:p>
        </w:tc>
        <w:tc>
          <w:tcPr>
            <w:tcW w:w="320" w:type="dxa"/>
            <w:vAlign w:val="bottom"/>
          </w:tcPr>
          <w:p>
            <w:pPr>
              <w:spacing w:after="0"/>
              <w:rPr>
                <w:sz w:val="17"/>
                <w:szCs w:val="17"/>
                <w:color w:val="auto"/>
              </w:rPr>
            </w:pPr>
          </w:p>
        </w:tc>
        <w:tc>
          <w:tcPr>
            <w:tcW w:w="12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128</w:t>
            </w:r>
          </w:p>
        </w:tc>
      </w:tr>
      <w:tr>
        <w:trPr>
          <w:trHeight w:val="225"/>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w:t>
            </w: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(17)</w:t>
            </w:r>
          </w:p>
        </w:tc>
      </w:tr>
      <w:tr>
        <w:trPr>
          <w:trHeight w:val="196"/>
        </w:trPr>
        <w:tc>
          <w:tcPr>
            <w:tcW w:w="8120" w:type="dxa"/>
            <w:vAlign w:val="bottom"/>
            <w:gridSpan w:val="3"/>
          </w:tcPr>
          <w:p>
            <w:pPr>
              <w:ind w:left="520"/>
              <w:spacing w:after="0" w:line="196" w:lineRule="exact"/>
              <w:rPr>
                <w:sz w:val="20"/>
                <w:szCs w:val="20"/>
                <w:color w:val="auto"/>
              </w:rPr>
            </w:pPr>
            <w:r>
              <w:rPr>
                <w:rFonts w:ascii="Arial" w:cs="Arial" w:eastAsia="Arial" w:hAnsi="Arial"/>
                <w:sz w:val="18"/>
                <w:szCs w:val="18"/>
                <w:color w:val="auto"/>
              </w:rPr>
              <w:t>Noncontrolling interest, end of year</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$ 4,006</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$3,031</w:t>
            </w:r>
          </w:p>
        </w:tc>
      </w:tr>
      <w:tr>
        <w:trPr>
          <w:trHeight w:val="304"/>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11. Accounts Receivable</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8120" w:type="dxa"/>
            <w:vAlign w:val="bottom"/>
            <w:gridSpan w:val="3"/>
          </w:tcPr>
          <w:p>
            <w:pPr>
              <w:ind w:left="380"/>
              <w:spacing w:after="0"/>
              <w:rPr>
                <w:sz w:val="20"/>
                <w:szCs w:val="20"/>
                <w:color w:val="auto"/>
              </w:rPr>
            </w:pPr>
            <w:r>
              <w:rPr>
                <w:rFonts w:ascii="Arial" w:cs="Arial" w:eastAsia="Arial" w:hAnsi="Arial"/>
                <w:sz w:val="18"/>
                <w:szCs w:val="18"/>
                <w:color w:val="auto"/>
              </w:rPr>
              <w:t>As of December 31, 2019 and 2018, Accounts receivable consisted of the following:</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2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173"/>
        </w:trPr>
        <w:tc>
          <w:tcPr>
            <w:tcW w:w="520" w:type="dxa"/>
            <w:vAlign w:val="bottom"/>
          </w:tcPr>
          <w:p>
            <w:pPr>
              <w:spacing w:after="0"/>
              <w:rPr>
                <w:sz w:val="15"/>
                <w:szCs w:val="15"/>
                <w:color w:val="auto"/>
              </w:rPr>
            </w:pPr>
          </w:p>
        </w:tc>
        <w:tc>
          <w:tcPr>
            <w:tcW w:w="73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30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$201,427</w:t>
            </w:r>
          </w:p>
        </w:tc>
        <w:tc>
          <w:tcPr>
            <w:tcW w:w="3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$211,244</w:t>
            </w:r>
          </w:p>
        </w:tc>
      </w:tr>
      <w:tr>
        <w:trPr>
          <w:trHeight w:val="203"/>
        </w:trPr>
        <w:tc>
          <w:tcPr>
            <w:tcW w:w="812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Bank promissory notes</w:t>
            </w:r>
          </w:p>
        </w:tc>
        <w:tc>
          <w:tcPr>
            <w:tcW w:w="124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18,563</w:t>
            </w:r>
          </w:p>
        </w:tc>
        <w:tc>
          <w:tcPr>
            <w:tcW w:w="320" w:type="dxa"/>
            <w:vAlign w:val="bottom"/>
          </w:tcPr>
          <w:p>
            <w:pPr>
              <w:spacing w:after="0"/>
              <w:rPr>
                <w:sz w:val="17"/>
                <w:szCs w:val="17"/>
                <w:color w:val="auto"/>
              </w:rPr>
            </w:pPr>
          </w:p>
        </w:tc>
        <w:tc>
          <w:tcPr>
            <w:tcW w:w="1240" w:type="dxa"/>
            <w:vAlign w:val="bottom"/>
          </w:tcPr>
          <w:p>
            <w:pPr>
              <w:ind w:left="420"/>
              <w:spacing w:after="0" w:line="202" w:lineRule="exact"/>
              <w:rPr>
                <w:sz w:val="20"/>
                <w:szCs w:val="20"/>
                <w:color w:val="auto"/>
              </w:rPr>
            </w:pPr>
            <w:r>
              <w:rPr>
                <w:rFonts w:ascii="Arial" w:cs="Arial" w:eastAsia="Arial" w:hAnsi="Arial"/>
                <w:sz w:val="18"/>
                <w:szCs w:val="18"/>
                <w:color w:val="auto"/>
              </w:rPr>
              <w:t>19,269</w:t>
            </w:r>
          </w:p>
        </w:tc>
      </w:tr>
      <w:tr>
        <w:trPr>
          <w:trHeight w:val="225"/>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Allowance for doubtful accounts</w:t>
            </w: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(1,719)</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(7,337)</w:t>
            </w:r>
          </w:p>
        </w:tc>
      </w:tr>
      <w:tr>
        <w:trPr>
          <w:trHeight w:val="196"/>
        </w:trPr>
        <w:tc>
          <w:tcPr>
            <w:tcW w:w="8120" w:type="dxa"/>
            <w:vAlign w:val="bottom"/>
            <w:gridSpan w:val="3"/>
          </w:tcPr>
          <w:p>
            <w:pPr>
              <w:ind w:left="520"/>
              <w:spacing w:after="0" w:line="196" w:lineRule="exact"/>
              <w:rPr>
                <w:sz w:val="20"/>
                <w:szCs w:val="20"/>
                <w:color w:val="auto"/>
              </w:rPr>
            </w:pPr>
            <w:r>
              <w:rPr>
                <w:rFonts w:ascii="Arial" w:cs="Arial" w:eastAsia="Arial" w:hAnsi="Arial"/>
                <w:sz w:val="18"/>
                <w:szCs w:val="18"/>
                <w:color w:val="auto"/>
              </w:rPr>
              <w:t>Accounts receivable, net</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$218,271</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$223,176</w:t>
            </w:r>
          </w:p>
        </w:tc>
      </w:tr>
      <w:tr>
        <w:trPr>
          <w:trHeight w:val="20"/>
        </w:trPr>
        <w:tc>
          <w:tcPr>
            <w:tcW w:w="5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500" w:firstLine="378"/>
        <w:spacing w:after="0" w:line="246" w:lineRule="auto"/>
        <w:rPr>
          <w:sz w:val="20"/>
          <w:szCs w:val="20"/>
          <w:color w:val="auto"/>
        </w:rPr>
      </w:pPr>
      <w:r>
        <w:rPr>
          <w:rFonts w:ascii="Arial" w:cs="Arial" w:eastAsia="Arial" w:hAnsi="Arial"/>
          <w:sz w:val="18"/>
          <w:szCs w:val="18"/>
          <w:color w:val="auto"/>
        </w:rPr>
        <w:t>The 2019 decrease in Allowance for doubtful accounts was principally due to the write-off of Accounts receivables related to ongoing bankruptcy proceedings for certain Machine Clothing customers in Europe, which had been fully reserved as of December 31, 2018.</w:t>
      </w:r>
    </w:p>
    <w:p>
      <w:pPr>
        <w:spacing w:after="0" w:line="89" w:lineRule="exact"/>
        <w:rPr>
          <w:sz w:val="20"/>
          <w:szCs w:val="20"/>
          <w:color w:val="auto"/>
        </w:rPr>
      </w:pPr>
    </w:p>
    <w:p>
      <w:pPr>
        <w:ind w:right="360" w:firstLine="378"/>
        <w:spacing w:after="0"/>
        <w:rPr>
          <w:sz w:val="20"/>
          <w:szCs w:val="20"/>
          <w:color w:val="auto"/>
        </w:rPr>
      </w:pPr>
      <w:r>
        <w:rPr>
          <w:rFonts w:ascii="Arial" w:cs="Arial" w:eastAsia="Arial" w:hAnsi="Arial"/>
          <w:sz w:val="18"/>
          <w:szCs w:val="18"/>
          <w:color w:val="auto"/>
        </w:rPr>
        <w:t>The Noncurrent receivables will be invoiced to the customer over a 10-year period, beginning in 2020. Accordingly, $5.2 million was reclassified from Noncurrent receivables to Trade and other accounts receivable during 2019. As of December 31, 2019 and December 31, 2018, Noncurrent receivables were as follows:</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240" w:type="dxa"/>
            <w:vAlign w:val="bottom"/>
          </w:tcPr>
          <w:p>
            <w:pPr>
              <w:jc w:val="right"/>
              <w:ind w:right="382"/>
              <w:spacing w:after="0"/>
              <w:rPr>
                <w:sz w:val="20"/>
                <w:szCs w:val="20"/>
                <w:color w:val="auto"/>
              </w:rPr>
            </w:pPr>
            <w:r>
              <w:rPr>
                <w:rFonts w:ascii="Arial" w:cs="Arial" w:eastAsia="Arial" w:hAnsi="Arial"/>
                <w:sz w:val="14"/>
                <w:szCs w:val="14"/>
                <w:b w:val="1"/>
                <w:bCs w:val="1"/>
                <w:color w:val="auto"/>
              </w:rPr>
              <w:t>2018</w:t>
            </w:r>
          </w:p>
        </w:tc>
      </w:tr>
      <w:tr>
        <w:trPr>
          <w:trHeight w:val="232"/>
        </w:trPr>
        <w:tc>
          <w:tcPr>
            <w:tcW w:w="20" w:type="dxa"/>
            <w:vAlign w:val="bottom"/>
          </w:tcPr>
          <w:p>
            <w:pPr>
              <w:spacing w:after="0"/>
              <w:rPr>
                <w:sz w:val="20"/>
                <w:szCs w:val="20"/>
                <w:color w:val="auto"/>
              </w:rPr>
            </w:pPr>
          </w:p>
        </w:tc>
        <w:tc>
          <w:tcPr>
            <w:tcW w:w="7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Noncurrent receivables</w:t>
            </w:r>
          </w:p>
        </w:tc>
        <w:tc>
          <w:tcPr>
            <w:tcW w:w="300" w:type="dxa"/>
            <w:vAlign w:val="bottom"/>
          </w:tcPr>
          <w:p>
            <w:pPr>
              <w:spacing w:after="0"/>
              <w:rPr>
                <w:sz w:val="20"/>
                <w:szCs w:val="20"/>
                <w:color w:val="auto"/>
              </w:rPr>
            </w:pPr>
          </w:p>
        </w:tc>
        <w:tc>
          <w:tcPr>
            <w:tcW w:w="1240" w:type="dxa"/>
            <w:vAlign w:val="bottom"/>
            <w:tcBorders>
              <w:top w:val="single" w:sz="8" w:color="auto"/>
            </w:tcBorders>
          </w:tcPr>
          <w:p>
            <w:pPr>
              <w:jc w:val="right"/>
              <w:ind w:right="222"/>
              <w:spacing w:after="0"/>
              <w:rPr>
                <w:sz w:val="20"/>
                <w:szCs w:val="20"/>
                <w:color w:val="auto"/>
              </w:rPr>
            </w:pPr>
            <w:r>
              <w:rPr>
                <w:rFonts w:ascii="Arial" w:cs="Arial" w:eastAsia="Arial" w:hAnsi="Arial"/>
                <w:sz w:val="18"/>
                <w:szCs w:val="18"/>
                <w:b w:val="1"/>
                <w:bCs w:val="1"/>
                <w:color w:val="auto"/>
              </w:rPr>
              <w:t>$41,234</w:t>
            </w:r>
          </w:p>
        </w:tc>
        <w:tc>
          <w:tcPr>
            <w:tcW w:w="320" w:type="dxa"/>
            <w:vAlign w:val="bottom"/>
          </w:tcPr>
          <w:p>
            <w:pPr>
              <w:spacing w:after="0"/>
              <w:rPr>
                <w:sz w:val="20"/>
                <w:szCs w:val="20"/>
                <w:color w:val="auto"/>
              </w:rPr>
            </w:pPr>
          </w:p>
        </w:tc>
        <w:tc>
          <w:tcPr>
            <w:tcW w:w="1240" w:type="dxa"/>
            <w:vAlign w:val="bottom"/>
            <w:tcBorders>
              <w:top w:val="single" w:sz="8" w:color="auto"/>
            </w:tcBorders>
          </w:tcPr>
          <w:p>
            <w:pPr>
              <w:jc w:val="right"/>
              <w:ind w:right="222"/>
              <w:spacing w:after="0"/>
              <w:rPr>
                <w:sz w:val="20"/>
                <w:szCs w:val="20"/>
                <w:color w:val="auto"/>
              </w:rPr>
            </w:pPr>
            <w:r>
              <w:rPr>
                <w:rFonts w:ascii="Arial" w:cs="Arial" w:eastAsia="Arial" w:hAnsi="Arial"/>
                <w:sz w:val="18"/>
                <w:szCs w:val="18"/>
                <w:color w:val="auto"/>
              </w:rPr>
              <w:t>$45,061</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Contract Assets and Liabilities</w:t>
      </w:r>
    </w:p>
    <w:p>
      <w:pPr>
        <w:spacing w:after="0" w:line="126" w:lineRule="exact"/>
        <w:rPr>
          <w:sz w:val="20"/>
          <w:szCs w:val="20"/>
          <w:color w:val="auto"/>
        </w:rPr>
      </w:pPr>
    </w:p>
    <w:p>
      <w:pPr>
        <w:ind w:right="200" w:firstLine="378"/>
        <w:spacing w:after="0" w:line="246" w:lineRule="auto"/>
        <w:rPr>
          <w:sz w:val="20"/>
          <w:szCs w:val="20"/>
          <w:color w:val="auto"/>
        </w:rPr>
      </w:pPr>
      <w:r>
        <w:rPr>
          <w:rFonts w:ascii="Arial" w:cs="Arial" w:eastAsia="Arial" w:hAnsi="Arial"/>
          <w:sz w:val="18"/>
          <w:szCs w:val="18"/>
          <w:color w:val="auto"/>
        </w:rPr>
        <w:t>Contract assets and Contract liabilities (included in Accrued liabilities) are reported on the Consolidated Balance Sheets in a net position on a contract-by-contract basis at the end of each reporting period. Contract assets and contract liabilities were as follows:</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79"/>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240" w:type="dxa"/>
            <w:vAlign w:val="bottom"/>
          </w:tcPr>
          <w:p>
            <w:pPr>
              <w:jc w:val="right"/>
              <w:ind w:right="379"/>
              <w:spacing w:after="0"/>
              <w:rPr>
                <w:sz w:val="20"/>
                <w:szCs w:val="20"/>
                <w:color w:val="auto"/>
              </w:rPr>
            </w:pPr>
            <w:r>
              <w:rPr>
                <w:rFonts w:ascii="Arial" w:cs="Arial" w:eastAsia="Arial" w:hAnsi="Arial"/>
                <w:sz w:val="14"/>
                <w:szCs w:val="14"/>
                <w:b w:val="1"/>
                <w:bCs w:val="1"/>
                <w:color w:val="auto"/>
              </w:rPr>
              <w:t>2018</w:t>
            </w:r>
          </w:p>
        </w:tc>
      </w:tr>
      <w:tr>
        <w:trPr>
          <w:trHeight w:val="173"/>
        </w:trPr>
        <w:tc>
          <w:tcPr>
            <w:tcW w:w="20" w:type="dxa"/>
            <w:vAlign w:val="bottom"/>
          </w:tcPr>
          <w:p>
            <w:pPr>
              <w:spacing w:after="0"/>
              <w:rPr>
                <w:sz w:val="15"/>
                <w:szCs w:val="15"/>
                <w:color w:val="auto"/>
              </w:rPr>
            </w:pPr>
          </w:p>
        </w:tc>
        <w:tc>
          <w:tcPr>
            <w:tcW w:w="72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15"/>
                <w:szCs w:val="15"/>
                <w:color w:val="auto"/>
              </w:rPr>
            </w:pPr>
          </w:p>
        </w:tc>
        <w:tc>
          <w:tcPr>
            <w:tcW w:w="1240" w:type="dxa"/>
            <w:vAlign w:val="bottom"/>
            <w:tcBorders>
              <w:top w:val="single" w:sz="8" w:color="auto"/>
            </w:tcBorders>
          </w:tcPr>
          <w:p>
            <w:pPr>
              <w:jc w:val="right"/>
              <w:ind w:right="219"/>
              <w:spacing w:after="0" w:line="173" w:lineRule="exact"/>
              <w:rPr>
                <w:sz w:val="20"/>
                <w:szCs w:val="20"/>
                <w:color w:val="auto"/>
              </w:rPr>
            </w:pPr>
            <w:r>
              <w:rPr>
                <w:rFonts w:ascii="Arial" w:cs="Arial" w:eastAsia="Arial" w:hAnsi="Arial"/>
                <w:sz w:val="18"/>
                <w:szCs w:val="18"/>
                <w:b w:val="1"/>
                <w:bCs w:val="1"/>
                <w:color w:val="auto"/>
              </w:rPr>
              <w:t>$79,070</w:t>
            </w:r>
          </w:p>
        </w:tc>
        <w:tc>
          <w:tcPr>
            <w:tcW w:w="320" w:type="dxa"/>
            <w:vAlign w:val="bottom"/>
          </w:tcPr>
          <w:p>
            <w:pPr>
              <w:spacing w:after="0"/>
              <w:rPr>
                <w:sz w:val="15"/>
                <w:szCs w:val="15"/>
                <w:color w:val="auto"/>
              </w:rPr>
            </w:pPr>
          </w:p>
        </w:tc>
        <w:tc>
          <w:tcPr>
            <w:tcW w:w="1240" w:type="dxa"/>
            <w:vAlign w:val="bottom"/>
            <w:tcBorders>
              <w:top w:val="single" w:sz="8" w:color="auto"/>
            </w:tcBorders>
          </w:tcPr>
          <w:p>
            <w:pPr>
              <w:jc w:val="right"/>
              <w:ind w:right="219"/>
              <w:spacing w:after="0" w:line="173" w:lineRule="exact"/>
              <w:rPr>
                <w:sz w:val="20"/>
                <w:szCs w:val="20"/>
                <w:color w:val="auto"/>
              </w:rPr>
            </w:pPr>
            <w:r>
              <w:rPr>
                <w:rFonts w:ascii="Arial" w:cs="Arial" w:eastAsia="Arial" w:hAnsi="Arial"/>
                <w:sz w:val="18"/>
                <w:szCs w:val="18"/>
                <w:color w:val="auto"/>
              </w:rPr>
              <w:t>$57,447</w:t>
            </w:r>
          </w:p>
        </w:tc>
      </w:tr>
      <w:tr>
        <w:trPr>
          <w:trHeight w:val="239"/>
        </w:trPr>
        <w:tc>
          <w:tcPr>
            <w:tcW w:w="7600" w:type="dxa"/>
            <w:vAlign w:val="bottom"/>
            <w:gridSpan w:val="3"/>
          </w:tcPr>
          <w:p>
            <w:pPr>
              <w:spacing w:after="0"/>
              <w:rPr>
                <w:sz w:val="20"/>
                <w:szCs w:val="20"/>
                <w:color w:val="auto"/>
              </w:rPr>
            </w:pPr>
            <w:r>
              <w:rPr>
                <w:rFonts w:ascii="Arial" w:cs="Arial" w:eastAsia="Arial" w:hAnsi="Arial"/>
                <w:sz w:val="18"/>
                <w:szCs w:val="18"/>
                <w:color w:val="auto"/>
              </w:rPr>
              <w:t>Contract liabilities</w:t>
            </w:r>
          </w:p>
        </w:tc>
        <w:tc>
          <w:tcPr>
            <w:tcW w:w="1240" w:type="dxa"/>
            <w:vAlign w:val="bottom"/>
          </w:tcPr>
          <w:p>
            <w:pPr>
              <w:jc w:val="right"/>
              <w:ind w:right="219"/>
              <w:spacing w:after="0"/>
              <w:rPr>
                <w:sz w:val="20"/>
                <w:szCs w:val="20"/>
                <w:color w:val="auto"/>
              </w:rPr>
            </w:pPr>
            <w:r>
              <w:rPr>
                <w:rFonts w:ascii="Arial" w:cs="Arial" w:eastAsia="Arial" w:hAnsi="Arial"/>
                <w:sz w:val="18"/>
                <w:szCs w:val="18"/>
                <w:b w:val="1"/>
                <w:bCs w:val="1"/>
                <w:color w:val="auto"/>
              </w:rPr>
              <w:t>5,656</w:t>
            </w:r>
          </w:p>
        </w:tc>
        <w:tc>
          <w:tcPr>
            <w:tcW w:w="320" w:type="dxa"/>
            <w:vAlign w:val="bottom"/>
          </w:tcPr>
          <w:p>
            <w:pPr>
              <w:spacing w:after="0"/>
              <w:rPr>
                <w:sz w:val="20"/>
                <w:szCs w:val="20"/>
                <w:color w:val="auto"/>
              </w:rPr>
            </w:pPr>
          </w:p>
        </w:tc>
        <w:tc>
          <w:tcPr>
            <w:tcW w:w="1240" w:type="dxa"/>
            <w:vAlign w:val="bottom"/>
          </w:tcPr>
          <w:p>
            <w:pPr>
              <w:jc w:val="right"/>
              <w:ind w:right="239"/>
              <w:spacing w:after="0"/>
              <w:rPr>
                <w:sz w:val="20"/>
                <w:szCs w:val="20"/>
                <w:color w:val="auto"/>
              </w:rPr>
            </w:pPr>
            <w:r>
              <w:rPr>
                <w:rFonts w:ascii="Arial" w:cs="Arial" w:eastAsia="Arial" w:hAnsi="Arial"/>
                <w:sz w:val="18"/>
                <w:szCs w:val="18"/>
                <w:color w:val="auto"/>
              </w:rPr>
              <w:t>9,025</w:t>
            </w:r>
          </w:p>
        </w:tc>
      </w:tr>
    </w:tbl>
    <w:p>
      <w:pPr>
        <w:spacing w:after="0" w:line="80" w:lineRule="exact"/>
        <w:rPr>
          <w:sz w:val="20"/>
          <w:szCs w:val="20"/>
          <w:color w:val="auto"/>
        </w:rPr>
      </w:pPr>
    </w:p>
    <w:p>
      <w:pPr>
        <w:ind w:right="280" w:firstLine="378"/>
        <w:spacing w:after="0"/>
        <w:rPr>
          <w:sz w:val="20"/>
          <w:szCs w:val="20"/>
          <w:color w:val="auto"/>
        </w:rPr>
      </w:pPr>
      <w:r>
        <w:rPr>
          <w:rFonts w:ascii="Arial" w:cs="Arial" w:eastAsia="Arial" w:hAnsi="Arial"/>
          <w:sz w:val="18"/>
          <w:szCs w:val="18"/>
          <w:color w:val="auto"/>
        </w:rPr>
        <w:t>Contract assets increased $21.6 million during the year ended December 31, 2019. The increase was primarily due to an increase in unbilled revenue related to the satisfaction of performance obligations for the LEAP contract, in excess of the amounts billed. There were no impairment losses related to our Contract assets during the years ended December 31, 2019 and 2018.</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Contract Assets and Liabilities — (continued)</w:t>
      </w:r>
    </w:p>
    <w:p>
      <w:pPr>
        <w:spacing w:after="0" w:line="126" w:lineRule="exact"/>
        <w:rPr>
          <w:sz w:val="20"/>
          <w:szCs w:val="20"/>
          <w:color w:val="auto"/>
        </w:rPr>
      </w:pPr>
    </w:p>
    <w:p>
      <w:pPr>
        <w:ind w:right="220" w:firstLine="378"/>
        <w:spacing w:after="0" w:line="239" w:lineRule="auto"/>
        <w:rPr>
          <w:sz w:val="20"/>
          <w:szCs w:val="20"/>
          <w:color w:val="auto"/>
        </w:rPr>
      </w:pPr>
      <w:r>
        <w:rPr>
          <w:rFonts w:ascii="Arial" w:cs="Arial" w:eastAsia="Arial" w:hAnsi="Arial"/>
          <w:sz w:val="18"/>
          <w:szCs w:val="18"/>
          <w:color w:val="auto"/>
        </w:rPr>
        <w:t>Contract liabilities decreased $ 3.4 million during the year ended December 31, 2019, primarily due to revenue recognition from satisfied performance obligations exceeding the amounts invoiced to customers for contracts that were in a contract liability position. Revenue recognized for the years ended December 31, 2019 and 2018 that was included in the Contract liability balance at the beginning of the year was $6.0 million and $3.2 million, respectively.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5"/>
              </w:rPr>
              <w:t>13.</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Inventories</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80" w:type="dxa"/>
            <w:vAlign w:val="bottom"/>
          </w:tcPr>
          <w:p>
            <w:pPr>
              <w:spacing w:after="0"/>
              <w:rPr>
                <w:sz w:val="24"/>
                <w:szCs w:val="24"/>
                <w:color w:val="auto"/>
              </w:rPr>
            </w:pP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As of December 31, 2019 and 2018, inventories consisted of the following:</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784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3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8"/>
              </w:rPr>
              <w:t>$52,960</w:t>
            </w:r>
          </w:p>
        </w:tc>
        <w:tc>
          <w:tcPr>
            <w:tcW w:w="3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$40,489</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78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Work in process</w:t>
            </w:r>
          </w:p>
        </w:tc>
        <w:tc>
          <w:tcPr>
            <w:tcW w:w="124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31,744</w:t>
            </w:r>
          </w:p>
        </w:tc>
        <w:tc>
          <w:tcPr>
            <w:tcW w:w="320" w:type="dxa"/>
            <w:vAlign w:val="bottom"/>
          </w:tcPr>
          <w:p>
            <w:pPr>
              <w:spacing w:after="0"/>
              <w:rPr>
                <w:sz w:val="17"/>
                <w:szCs w:val="17"/>
                <w:color w:val="auto"/>
              </w:rPr>
            </w:pPr>
          </w:p>
        </w:tc>
        <w:tc>
          <w:tcPr>
            <w:tcW w:w="12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7840" w:type="dxa"/>
            <w:vAlign w:val="bottom"/>
            <w:gridSpan w:val="3"/>
          </w:tcPr>
          <w:p>
            <w:pPr>
              <w:ind w:left="240"/>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10,445</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12,234</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784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Total inventories</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$95,149</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$85,904</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14.</w:t>
            </w:r>
          </w:p>
        </w:tc>
        <w:tc>
          <w:tcPr>
            <w:tcW w:w="7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80" w:type="dxa"/>
            <w:vAlign w:val="bottom"/>
            <w:vMerge w:val="continue"/>
          </w:tcPr>
          <w:p>
            <w:pPr>
              <w:spacing w:after="0"/>
              <w:rPr>
                <w:sz w:val="24"/>
                <w:szCs w:val="24"/>
                <w:color w:val="auto"/>
              </w:rPr>
            </w:pPr>
          </w:p>
        </w:tc>
        <w:tc>
          <w:tcPr>
            <w:tcW w:w="784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sets forth the components of property, plant and equipment as of December 31, 2019 and 2018:</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2900" w:type="dxa"/>
            <w:vAlign w:val="bottom"/>
          </w:tcPr>
          <w:p>
            <w:pPr>
              <w:ind w:left="740"/>
              <w:spacing w:after="0"/>
              <w:rPr>
                <w:sz w:val="20"/>
                <w:szCs w:val="20"/>
                <w:color w:val="auto"/>
              </w:rPr>
            </w:pPr>
            <w:r>
              <w:rPr>
                <w:rFonts w:ascii="Arial" w:cs="Arial" w:eastAsia="Arial" w:hAnsi="Arial"/>
                <w:sz w:val="14"/>
                <w:szCs w:val="14"/>
                <w:b w:val="1"/>
                <w:bCs w:val="1"/>
                <w:color w:val="auto"/>
              </w:rPr>
              <w:t>Estimated useful life</w:t>
            </w:r>
          </w:p>
        </w:tc>
      </w:tr>
      <w:tr>
        <w:trPr>
          <w:trHeight w:val="173"/>
        </w:trPr>
        <w:tc>
          <w:tcPr>
            <w:tcW w:w="20" w:type="dxa"/>
            <w:vAlign w:val="bottom"/>
          </w:tcPr>
          <w:p>
            <w:pPr>
              <w:spacing w:after="0"/>
              <w:rPr>
                <w:sz w:val="15"/>
                <w:szCs w:val="15"/>
                <w:color w:val="auto"/>
              </w:rPr>
            </w:pPr>
          </w:p>
        </w:tc>
        <w:tc>
          <w:tcPr>
            <w:tcW w:w="466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Land and land improvements</w:t>
            </w:r>
          </w:p>
        </w:tc>
        <w:tc>
          <w:tcPr>
            <w:tcW w:w="200" w:type="dxa"/>
            <w:vAlign w:val="bottom"/>
          </w:tcPr>
          <w:p>
            <w:pPr>
              <w:spacing w:after="0"/>
              <w:rPr>
                <w:sz w:val="15"/>
                <w:szCs w:val="15"/>
                <w:color w:val="auto"/>
              </w:rPr>
            </w:pPr>
          </w:p>
        </w:tc>
        <w:tc>
          <w:tcPr>
            <w:tcW w:w="1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14,168</w:t>
            </w:r>
          </w:p>
        </w:tc>
        <w:tc>
          <w:tcPr>
            <w:tcW w:w="300" w:type="dxa"/>
            <w:vAlign w:val="bottom"/>
          </w:tcPr>
          <w:p>
            <w:pPr>
              <w:spacing w:after="0"/>
              <w:rPr>
                <w:sz w:val="15"/>
                <w:szCs w:val="15"/>
                <w:color w:val="auto"/>
              </w:rPr>
            </w:pPr>
          </w:p>
        </w:tc>
        <w:tc>
          <w:tcPr>
            <w:tcW w:w="2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14,287</w:t>
            </w:r>
          </w:p>
        </w:tc>
        <w:tc>
          <w:tcPr>
            <w:tcW w:w="320" w:type="dxa"/>
            <w:vAlign w:val="bottom"/>
          </w:tcPr>
          <w:p>
            <w:pPr>
              <w:spacing w:after="0"/>
              <w:rPr>
                <w:sz w:val="15"/>
                <w:szCs w:val="15"/>
                <w:color w:val="auto"/>
              </w:rPr>
            </w:pPr>
          </w:p>
        </w:tc>
        <w:tc>
          <w:tcPr>
            <w:tcW w:w="29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25 years for improvements</w:t>
            </w:r>
          </w:p>
        </w:tc>
      </w:tr>
      <w:tr>
        <w:trPr>
          <w:trHeight w:val="203"/>
        </w:trPr>
        <w:tc>
          <w:tcPr>
            <w:tcW w:w="4880" w:type="dxa"/>
            <w:vAlign w:val="bottom"/>
            <w:gridSpan w:val="3"/>
          </w:tcPr>
          <w:p>
            <w:pPr>
              <w:spacing w:after="0" w:line="202" w:lineRule="exact"/>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227,875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245,805</w:t>
            </w:r>
          </w:p>
        </w:tc>
        <w:tc>
          <w:tcPr>
            <w:tcW w:w="32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15 to 40 years</w:t>
            </w:r>
          </w:p>
        </w:tc>
      </w:tr>
      <w:tr>
        <w:trPr>
          <w:trHeight w:val="203"/>
        </w:trPr>
        <w:tc>
          <w:tcPr>
            <w:tcW w:w="4880" w:type="dxa"/>
            <w:vAlign w:val="bottom"/>
            <w:gridSpan w:val="3"/>
          </w:tcPr>
          <w:p>
            <w:pPr>
              <w:spacing w:after="0" w:line="202" w:lineRule="exact"/>
              <w:rPr>
                <w:sz w:val="20"/>
                <w:szCs w:val="20"/>
                <w:color w:val="auto"/>
              </w:rPr>
            </w:pPr>
            <w:r>
              <w:rPr>
                <w:rFonts w:ascii="Arial" w:cs="Arial" w:eastAsia="Arial" w:hAnsi="Arial"/>
                <w:sz w:val="18"/>
                <w:szCs w:val="18"/>
                <w:color w:val="auto"/>
              </w:rPr>
              <w:t>Right of use assets</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16,686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2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10 to 15 years</w:t>
            </w:r>
          </w:p>
        </w:tc>
      </w:tr>
      <w:tr>
        <w:trPr>
          <w:trHeight w:val="203"/>
        </w:trPr>
        <w:tc>
          <w:tcPr>
            <w:tcW w:w="4880" w:type="dxa"/>
            <w:vAlign w:val="bottom"/>
            <w:gridSpan w:val="3"/>
          </w:tcPr>
          <w:p>
            <w:pPr>
              <w:spacing w:after="0" w:line="202" w:lineRule="exact"/>
              <w:rPr>
                <w:sz w:val="20"/>
                <w:szCs w:val="20"/>
                <w:color w:val="auto"/>
              </w:rPr>
            </w:pPr>
            <w:r>
              <w:rPr>
                <w:rFonts w:ascii="Arial" w:cs="Arial" w:eastAsia="Arial" w:hAnsi="Arial"/>
                <w:sz w:val="18"/>
                <w:szCs w:val="18"/>
                <w:color w:val="auto"/>
              </w:rPr>
              <w:t>Machinery and equipment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1,020,348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989,925</w:t>
            </w:r>
          </w:p>
        </w:tc>
        <w:tc>
          <w:tcPr>
            <w:tcW w:w="32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5 to 15 years</w:t>
            </w:r>
          </w:p>
        </w:tc>
      </w:tr>
      <w:tr>
        <w:trPr>
          <w:trHeight w:val="203"/>
        </w:trPr>
        <w:tc>
          <w:tcPr>
            <w:tcW w:w="4880" w:type="dxa"/>
            <w:vAlign w:val="bottom"/>
            <w:gridSpan w:val="3"/>
          </w:tcPr>
          <w:p>
            <w:pPr>
              <w:spacing w:after="0" w:line="202" w:lineRule="exact"/>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8,126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8,091</w:t>
            </w:r>
          </w:p>
        </w:tc>
        <w:tc>
          <w:tcPr>
            <w:tcW w:w="32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5 years</w:t>
            </w:r>
          </w:p>
        </w:tc>
      </w:tr>
      <w:tr>
        <w:trPr>
          <w:trHeight w:val="203"/>
        </w:trPr>
        <w:tc>
          <w:tcPr>
            <w:tcW w:w="4880" w:type="dxa"/>
            <w:vAlign w:val="bottom"/>
            <w:gridSpan w:val="3"/>
          </w:tcPr>
          <w:p>
            <w:pPr>
              <w:spacing w:after="0" w:line="202" w:lineRule="exact"/>
              <w:rPr>
                <w:sz w:val="20"/>
                <w:szCs w:val="20"/>
                <w:color w:val="auto"/>
              </w:rPr>
            </w:pPr>
            <w:r>
              <w:rPr>
                <w:rFonts w:ascii="Arial" w:cs="Arial" w:eastAsia="Arial" w:hAnsi="Arial"/>
                <w:sz w:val="18"/>
                <w:szCs w:val="18"/>
                <w:color w:val="auto"/>
              </w:rPr>
              <w:t>Computer and other equipment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18,808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16,473</w:t>
            </w:r>
          </w:p>
        </w:tc>
        <w:tc>
          <w:tcPr>
            <w:tcW w:w="32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3 to 10 years</w:t>
            </w:r>
          </w:p>
        </w:tc>
      </w:tr>
      <w:tr>
        <w:trPr>
          <w:trHeight w:val="203"/>
        </w:trPr>
        <w:tc>
          <w:tcPr>
            <w:tcW w:w="4880" w:type="dxa"/>
            <w:vAlign w:val="bottom"/>
            <w:gridSpan w:val="3"/>
          </w:tcPr>
          <w:p>
            <w:pPr>
              <w:spacing w:after="0" w:line="202" w:lineRule="exact"/>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60,995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60,182</w:t>
            </w:r>
          </w:p>
        </w:tc>
        <w:tc>
          <w:tcPr>
            <w:tcW w:w="32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5 to 8 years</w:t>
            </w:r>
          </w:p>
        </w:tc>
      </w:tr>
      <w:tr>
        <w:trPr>
          <w:trHeight w:val="225"/>
        </w:trPr>
        <w:tc>
          <w:tcPr>
            <w:tcW w:w="4880" w:type="dxa"/>
            <w:vAlign w:val="bottom"/>
            <w:gridSpan w:val="3"/>
          </w:tcPr>
          <w:p>
            <w:pPr>
              <w:spacing w:after="0"/>
              <w:rPr>
                <w:sz w:val="20"/>
                <w:szCs w:val="20"/>
                <w:color w:val="auto"/>
              </w:rPr>
            </w:pPr>
            <w:r>
              <w:rPr>
                <w:rFonts w:ascii="Arial" w:cs="Arial" w:eastAsia="Arial" w:hAnsi="Arial"/>
                <w:sz w:val="18"/>
                <w:szCs w:val="18"/>
                <w:color w:val="auto"/>
              </w:rPr>
              <w:t>Capital expenditures in progress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45,588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46,749</w:t>
            </w: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173"/>
        </w:trPr>
        <w:tc>
          <w:tcPr>
            <w:tcW w:w="4880" w:type="dxa"/>
            <w:vAlign w:val="bottom"/>
            <w:gridSpan w:val="3"/>
          </w:tcPr>
          <w:p>
            <w:pPr>
              <w:spacing w:after="0" w:line="173" w:lineRule="exact"/>
              <w:rPr>
                <w:sz w:val="20"/>
                <w:szCs w:val="20"/>
                <w:color w:val="auto"/>
              </w:rPr>
            </w:pPr>
            <w:r>
              <w:rPr>
                <w:rFonts w:ascii="Arial" w:cs="Arial" w:eastAsia="Arial" w:hAnsi="Arial"/>
                <w:sz w:val="18"/>
                <w:szCs w:val="18"/>
                <w:color w:val="auto"/>
              </w:rPr>
              <w:t>Property, plant and equipment, gross</w:t>
            </w:r>
          </w:p>
        </w:tc>
        <w:tc>
          <w:tcPr>
            <w:tcW w:w="1000" w:type="dxa"/>
            <w:vAlign w:val="bottom"/>
            <w:gridSpan w:val="2"/>
          </w:tcPr>
          <w:p>
            <w:pPr>
              <w:jc w:val="right"/>
              <w:spacing w:after="0" w:line="173" w:lineRule="exact"/>
              <w:rPr>
                <w:sz w:val="20"/>
                <w:szCs w:val="20"/>
                <w:color w:val="auto"/>
              </w:rPr>
            </w:pPr>
            <w:r>
              <w:rPr>
                <w:rFonts w:ascii="Arial" w:cs="Arial" w:eastAsia="Arial" w:hAnsi="Arial"/>
                <w:sz w:val="18"/>
                <w:szCs w:val="18"/>
                <w:b w:val="1"/>
                <w:bCs w:val="1"/>
                <w:color w:val="auto"/>
              </w:rPr>
              <w:t>1,412,594</w:t>
            </w:r>
          </w:p>
        </w:tc>
        <w:tc>
          <w:tcPr>
            <w:tcW w:w="300" w:type="dxa"/>
            <w:vAlign w:val="bottom"/>
          </w:tcPr>
          <w:p>
            <w:pPr>
              <w:spacing w:after="0"/>
              <w:rPr>
                <w:sz w:val="15"/>
                <w:szCs w:val="15"/>
                <w:color w:val="auto"/>
              </w:rPr>
            </w:pPr>
          </w:p>
        </w:tc>
        <w:tc>
          <w:tcPr>
            <w:tcW w:w="100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1,381,512</w:t>
            </w:r>
          </w:p>
        </w:tc>
        <w:tc>
          <w:tcPr>
            <w:tcW w:w="32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225"/>
        </w:trPr>
        <w:tc>
          <w:tcPr>
            <w:tcW w:w="4880" w:type="dxa"/>
            <w:vAlign w:val="bottom"/>
            <w:gridSpan w:val="3"/>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(946,132)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(919,457)</w:t>
            </w: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196"/>
        </w:trPr>
        <w:tc>
          <w:tcPr>
            <w:tcW w:w="4880" w:type="dxa"/>
            <w:vAlign w:val="bottom"/>
            <w:gridSpan w:val="3"/>
          </w:tcPr>
          <w:p>
            <w:pPr>
              <w:spacing w:after="0" w:line="196" w:lineRule="exact"/>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466,462</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462,055</w:t>
            </w: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378"/>
        <w:spacing w:after="0" w:line="246" w:lineRule="auto"/>
        <w:rPr>
          <w:sz w:val="20"/>
          <w:szCs w:val="20"/>
          <w:color w:val="auto"/>
        </w:rPr>
      </w:pPr>
      <w:r>
        <w:rPr>
          <w:rFonts w:ascii="Arial" w:cs="Arial" w:eastAsia="Arial" w:hAnsi="Arial"/>
          <w:sz w:val="18"/>
          <w:szCs w:val="18"/>
          <w:color w:val="auto"/>
        </w:rPr>
        <w:t>Depreciation expense was $62.1 million in 2019, $68.8 million in 2018, and $61.5 million in 2017. Software amortization is recorded in Selling, general, and administrative expense and was $2.4 million in 2019, $3.2 million in 2018, and $3.6 million in 2017.</w:t>
      </w:r>
    </w:p>
    <w:p>
      <w:pPr>
        <w:spacing w:after="0" w:line="89"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Capital expenditures, including purchased software, were $68.0 million in 2019, $82.9 million in 2018, and $87.6 million in 2017. Unamortized software cost was $5.3 million in 2019, $6.9 million and $7.6 million as of December 31, 2018 and 2017, respectively. Expenditures for maintenance and repairs are charged to income as incurred and amounted to $19.8 million in 2019, $19.4 million in 2018, and $19.1 million in 2017.</w:t>
      </w:r>
    </w:p>
    <w:p>
      <w:pPr>
        <w:spacing w:after="0" w:line="94" w:lineRule="exact"/>
        <w:rPr>
          <w:sz w:val="20"/>
          <w:szCs w:val="20"/>
          <w:color w:val="auto"/>
        </w:rPr>
      </w:pPr>
    </w:p>
    <w:p>
      <w:pPr>
        <w:ind w:right="60" w:firstLine="378"/>
        <w:spacing w:after="0" w:line="246" w:lineRule="auto"/>
        <w:rPr>
          <w:sz w:val="20"/>
          <w:szCs w:val="20"/>
          <w:color w:val="auto"/>
        </w:rPr>
      </w:pPr>
      <w:r>
        <w:rPr>
          <w:rFonts w:ascii="Arial" w:cs="Arial" w:eastAsia="Arial" w:hAnsi="Arial"/>
          <w:sz w:val="18"/>
          <w:szCs w:val="18"/>
          <w:color w:val="auto"/>
        </w:rPr>
        <w:t>In 2019, the Company acquired CirComp GmbH, which resulted in an increase of $10.6 million to Property, plant and equipment, of which $5.7 million is a finance lease included in the above table as a Right of use asset as of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Property, Plant and Equipment — (continued)</w:t>
      </w:r>
    </w:p>
    <w:p>
      <w:pPr>
        <w:spacing w:after="0" w:line="126" w:lineRule="exact"/>
        <w:rPr>
          <w:sz w:val="20"/>
          <w:szCs w:val="20"/>
          <w:color w:val="auto"/>
        </w:rPr>
      </w:pPr>
    </w:p>
    <w:p>
      <w:pPr>
        <w:ind w:right="20" w:firstLine="378"/>
        <w:spacing w:after="0" w:line="236" w:lineRule="auto"/>
        <w:rPr>
          <w:sz w:val="20"/>
          <w:szCs w:val="20"/>
          <w:color w:val="auto"/>
        </w:rPr>
      </w:pPr>
      <w:r>
        <w:rPr>
          <w:rFonts w:ascii="Arial" w:cs="Arial" w:eastAsia="Arial" w:hAnsi="Arial"/>
          <w:sz w:val="18"/>
          <w:szCs w:val="18"/>
          <w:color w:val="auto"/>
        </w:rPr>
        <w:t>The capitalized value of our primary manufacturing facility in Salt Lake City, Utah (SLC lease), which was accounted for as a build-to-suit lease with a failed sale-leaseback, was included in Buildings in the above table during 2018. AEC finalized a modification to the lease during 2018, which included additional manufacturing space, extended the minimum lease period until December 31, 2029 and resulted in an increase of $12.7 million to Property, plant and equipment, net (see discussion of Finance obligation in Note 17). As described in Note 20, effective January 1, 2019, we adopted the provisions of ASC 842, Leases, using the effective date (or modified retrospective) approach for transition, which resulted in the derecognition and reassessment of assets and liabilities related to our SLC lease. We determined that the original leased space met the criteria for recording as a finance lease, and is included as a Right of use asset in the above table. The incremental expansion space added in the modification met the criteria for recording as an Operating lease and is included in Other assets.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Other Intangible Assets</w:t>
      </w:r>
    </w:p>
    <w:p>
      <w:pPr>
        <w:spacing w:after="0" w:line="126" w:lineRule="exact"/>
        <w:rPr>
          <w:sz w:val="20"/>
          <w:szCs w:val="20"/>
          <w:color w:val="auto"/>
        </w:rPr>
      </w:pPr>
    </w:p>
    <w:p>
      <w:pPr>
        <w:ind w:right="180" w:firstLine="37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95" w:lineRule="exact"/>
        <w:rPr>
          <w:sz w:val="20"/>
          <w:szCs w:val="20"/>
          <w:color w:val="auto"/>
        </w:rPr>
      </w:pPr>
    </w:p>
    <w:p>
      <w:pPr>
        <w:ind w:right="300" w:firstLine="37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4" w:lineRule="exact"/>
        <w:rPr>
          <w:sz w:val="20"/>
          <w:szCs w:val="20"/>
          <w:color w:val="auto"/>
        </w:rPr>
      </w:pPr>
    </w:p>
    <w:p>
      <w:pPr>
        <w:ind w:right="20" w:firstLine="37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5" w:lineRule="exact"/>
        <w:rPr>
          <w:sz w:val="20"/>
          <w:szCs w:val="20"/>
          <w:color w:val="auto"/>
        </w:rPr>
      </w:pPr>
    </w:p>
    <w:p>
      <w:pPr>
        <w:ind w:right="40" w:firstLine="378"/>
        <w:spacing w:after="0"/>
        <w:rPr>
          <w:sz w:val="20"/>
          <w:szCs w:val="20"/>
          <w:color w:val="auto"/>
        </w:rPr>
      </w:pPr>
      <w:r>
        <w:rPr>
          <w:rFonts w:ascii="Arial" w:cs="Arial" w:eastAsia="Arial" w:hAnsi="Arial"/>
          <w:sz w:val="18"/>
          <w:szCs w:val="18"/>
          <w:color w:val="auto"/>
        </w:rPr>
        <w:t>In the second quarter of 2019, the Company applied the qualitative assessment approach in performing its annual evaluation of goodwill and concluded that no impairment provision was required. There were no amounts at risk due to the large spread between the fair and carrying values, of each reporting unit.</w:t>
      </w:r>
    </w:p>
    <w:p>
      <w:pPr>
        <w:spacing w:after="0" w:line="95" w:lineRule="exact"/>
        <w:rPr>
          <w:sz w:val="20"/>
          <w:szCs w:val="20"/>
          <w:color w:val="auto"/>
        </w:rPr>
      </w:pPr>
    </w:p>
    <w:p>
      <w:pPr>
        <w:ind w:right="380" w:firstLine="378"/>
        <w:spacing w:after="0"/>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The assets acquired include amortizable intangible assets of $10.0 million and goodwill of $17.3 million.</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Other Intangible Assets — (continued)</w:t>
      </w:r>
    </w:p>
    <w:p>
      <w:pPr>
        <w:spacing w:after="0" w:line="126" w:lineRule="exact"/>
        <w:rPr>
          <w:sz w:val="20"/>
          <w:szCs w:val="20"/>
          <w:color w:val="auto"/>
        </w:rPr>
      </w:pPr>
    </w:p>
    <w:p>
      <w:pPr>
        <w:ind w:right="120" w:firstLine="378"/>
        <w:spacing w:after="0" w:line="246" w:lineRule="auto"/>
        <w:rPr>
          <w:sz w:val="20"/>
          <w:szCs w:val="20"/>
          <w:color w:val="auto"/>
        </w:rPr>
      </w:pPr>
      <w:r>
        <w:rPr>
          <w:rFonts w:ascii="Arial" w:cs="Arial" w:eastAsia="Arial" w:hAnsi="Arial"/>
          <w:sz w:val="18"/>
          <w:szCs w:val="18"/>
          <w:color w:val="auto"/>
        </w:rPr>
        <w:t>We are continuing to amortize certain patents, trademarks and names, customer contracts, relationships and technology assets that have finite lives. The changes in intangible assets and goodwill from December 31, 2017 to December 31, 2019,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Amortization life</w:t>
            </w: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ind w:left="260"/>
              <w:spacing w:after="0"/>
              <w:rPr>
                <w:sz w:val="20"/>
                <w:szCs w:val="20"/>
                <w:color w:val="auto"/>
              </w:rPr>
            </w:pPr>
            <w:r>
              <w:rPr>
                <w:rFonts w:ascii="Arial" w:cs="Arial" w:eastAsia="Arial" w:hAnsi="Arial"/>
                <w:sz w:val="14"/>
                <w:szCs w:val="14"/>
                <w:b w:val="1"/>
                <w:bCs w:val="1"/>
                <w:color w:val="auto"/>
              </w:rPr>
              <w:t>Currency</w:t>
            </w:r>
          </w:p>
        </w:tc>
        <w:tc>
          <w:tcPr>
            <w:tcW w:w="11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for years)</w:t>
            </w:r>
          </w:p>
        </w:tc>
        <w:tc>
          <w:tcPr>
            <w:tcW w:w="1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Aquisition</w:t>
            </w:r>
          </w:p>
        </w:tc>
        <w:tc>
          <w:tcPr>
            <w:tcW w:w="100" w:type="dxa"/>
            <w:vAlign w:val="bottom"/>
          </w:tcPr>
          <w:p>
            <w:pPr>
              <w:spacing w:after="0"/>
              <w:rPr>
                <w:sz w:val="15"/>
                <w:szCs w:val="15"/>
                <w:color w:val="auto"/>
              </w:rPr>
            </w:pPr>
          </w:p>
        </w:tc>
        <w:tc>
          <w:tcPr>
            <w:tcW w:w="124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5"/>
                <w:szCs w:val="15"/>
                <w:color w:val="auto"/>
              </w:rPr>
            </w:pPr>
          </w:p>
        </w:tc>
        <w:tc>
          <w:tcPr>
            <w:tcW w:w="780" w:type="dxa"/>
            <w:vAlign w:val="bottom"/>
          </w:tcPr>
          <w:p>
            <w:pPr>
              <w:jc w:val="center"/>
              <w:ind w:right="2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Amortized intangible assets:</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trademarks and trade names</w:t>
            </w:r>
          </w:p>
        </w:tc>
        <w:tc>
          <w:tcPr>
            <w:tcW w:w="1160" w:type="dxa"/>
            <w:vAlign w:val="bottom"/>
            <w:gridSpan w:val="3"/>
          </w:tcPr>
          <w:p>
            <w:pPr>
              <w:jc w:val="right"/>
              <w:ind w:right="288"/>
              <w:spacing w:after="0" w:line="202" w:lineRule="exact"/>
              <w:rPr>
                <w:sz w:val="20"/>
                <w:szCs w:val="20"/>
                <w:color w:val="auto"/>
              </w:rPr>
            </w:pPr>
            <w:r>
              <w:rPr>
                <w:rFonts w:ascii="Arial" w:cs="Arial" w:eastAsia="Arial" w:hAnsi="Arial"/>
                <w:sz w:val="18"/>
                <w:szCs w:val="18"/>
                <w:color w:val="auto"/>
              </w:rPr>
              <w:t>6-15</w:t>
            </w:r>
          </w:p>
        </w:tc>
        <w:tc>
          <w:tcPr>
            <w:tcW w:w="120" w:type="dxa"/>
            <w:vAlign w:val="bottom"/>
          </w:tcPr>
          <w:p>
            <w:pPr>
              <w:spacing w:after="0"/>
              <w:rPr>
                <w:sz w:val="17"/>
                <w:szCs w:val="17"/>
                <w:color w:val="auto"/>
              </w:rPr>
            </w:pPr>
          </w:p>
        </w:tc>
        <w:tc>
          <w:tcPr>
            <w:tcW w:w="44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6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68</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technology</w:t>
            </w:r>
          </w:p>
        </w:tc>
        <w:tc>
          <w:tcPr>
            <w:tcW w:w="116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10-15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10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5,821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Intellectual property</w:t>
            </w:r>
          </w:p>
        </w:tc>
        <w:tc>
          <w:tcPr>
            <w:tcW w:w="1160" w:type="dxa"/>
            <w:vAlign w:val="bottom"/>
            <w:gridSpan w:val="3"/>
          </w:tcPr>
          <w:p>
            <w:pPr>
              <w:jc w:val="right"/>
              <w:ind w:right="288"/>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0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1,250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customer contracts</w:t>
            </w:r>
          </w:p>
        </w:tc>
        <w:tc>
          <w:tcPr>
            <w:tcW w:w="1160" w:type="dxa"/>
            <w:vAlign w:val="bottom"/>
            <w:gridSpan w:val="3"/>
          </w:tcPr>
          <w:p>
            <w:pPr>
              <w:jc w:val="right"/>
              <w:ind w:right="288"/>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(2,912)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customer relationships</w:t>
            </w:r>
          </w:p>
        </w:tc>
        <w:tc>
          <w:tcPr>
            <w:tcW w:w="1160" w:type="dxa"/>
            <w:vAlign w:val="bottom"/>
            <w:gridSpan w:val="3"/>
          </w:tcPr>
          <w:p>
            <w:pPr>
              <w:jc w:val="right"/>
              <w:ind w:right="288"/>
              <w:spacing w:after="0" w:line="202" w:lineRule="exact"/>
              <w:rPr>
                <w:sz w:val="20"/>
                <w:szCs w:val="20"/>
                <w:color w:val="auto"/>
              </w:rPr>
            </w:pPr>
            <w:r>
              <w:rPr>
                <w:rFonts w:ascii="Arial" w:cs="Arial" w:eastAsia="Arial" w:hAnsi="Arial"/>
                <w:sz w:val="18"/>
                <w:szCs w:val="18"/>
                <w:color w:val="auto"/>
              </w:rPr>
              <w:t>8-15</w:t>
            </w:r>
          </w:p>
        </w:tc>
        <w:tc>
          <w:tcPr>
            <w:tcW w:w="12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39,538</w:t>
            </w:r>
          </w:p>
        </w:tc>
        <w:tc>
          <w:tcPr>
            <w:tcW w:w="160" w:type="dxa"/>
            <w:vAlign w:val="bottom"/>
          </w:tcPr>
          <w:p>
            <w:pPr>
              <w:spacing w:after="0"/>
              <w:rPr>
                <w:sz w:val="17"/>
                <w:szCs w:val="17"/>
                <w:color w:val="auto"/>
              </w:rPr>
            </w:pPr>
          </w:p>
        </w:tc>
        <w:tc>
          <w:tcPr>
            <w:tcW w:w="10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2,834</w:t>
            </w:r>
          </w:p>
        </w:tc>
        <w:tc>
          <w:tcPr>
            <w:tcW w:w="124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(3,247)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39,147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AEC other intangibles</w:t>
            </w:r>
          </w:p>
        </w:tc>
        <w:tc>
          <w:tcPr>
            <w:tcW w:w="1160" w:type="dxa"/>
            <w:vAlign w:val="bottom"/>
            <w:gridSpan w:val="3"/>
          </w:tcPr>
          <w:p>
            <w:pPr>
              <w:jc w:val="right"/>
              <w:ind w:right="288"/>
              <w:spacing w:after="0" w:line="203"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133"/>
              <w:spacing w:after="0" w:line="203"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$ 49,206</w:t>
            </w: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gridSpan w:val="3"/>
          </w:tcPr>
          <w:p>
            <w:pPr>
              <w:jc w:val="right"/>
              <w:ind w:right="140"/>
              <w:spacing w:after="0" w:line="196" w:lineRule="exact"/>
              <w:rPr>
                <w:sz w:val="20"/>
                <w:szCs w:val="20"/>
                <w:color w:val="auto"/>
              </w:rPr>
            </w:pPr>
            <w:r>
              <w:rPr>
                <w:rFonts w:ascii="Arial" w:cs="Arial" w:eastAsia="Arial" w:hAnsi="Arial"/>
                <w:sz w:val="18"/>
                <w:szCs w:val="18"/>
                <w:color w:val="auto"/>
              </w:rPr>
              <w:t>$ 9,973</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200"/>
              <w:spacing w:after="0" w:line="196" w:lineRule="exact"/>
              <w:rPr>
                <w:sz w:val="20"/>
                <w:szCs w:val="20"/>
                <w:color w:val="auto"/>
              </w:rPr>
            </w:pPr>
            <w:r>
              <w:rPr>
                <w:rFonts w:ascii="Arial" w:cs="Arial" w:eastAsia="Arial" w:hAnsi="Arial"/>
                <w:sz w:val="18"/>
                <w:szCs w:val="18"/>
                <w:color w:val="auto"/>
              </w:rPr>
              <w:t>$(6,309)</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34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gridSpan w:val="2"/>
          </w:tcPr>
          <w:p>
            <w:pPr>
              <w:jc w:val="right"/>
              <w:ind w:right="113"/>
              <w:spacing w:after="0" w:line="196" w:lineRule="exact"/>
              <w:rPr>
                <w:sz w:val="20"/>
                <w:szCs w:val="20"/>
                <w:color w:val="auto"/>
              </w:rPr>
            </w:pPr>
            <w:r>
              <w:rPr>
                <w:rFonts w:ascii="Arial" w:cs="Arial" w:eastAsia="Arial" w:hAnsi="Arial"/>
                <w:sz w:val="18"/>
                <w:szCs w:val="18"/>
                <w:color w:val="auto"/>
              </w:rPr>
              <w:t>$ 52,892</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Unamortized intangible assets:</w:t>
            </w: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MC Goodwill</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$ 68,652</w:t>
            </w:r>
          </w:p>
        </w:tc>
        <w:tc>
          <w:tcPr>
            <w:tcW w:w="160" w:type="dxa"/>
            <w:vAlign w:val="bottom"/>
          </w:tcPr>
          <w:p>
            <w:pPr>
              <w:spacing w:after="0"/>
              <w:rPr>
                <w:sz w:val="17"/>
                <w:szCs w:val="17"/>
                <w:color w:val="auto"/>
              </w:rPr>
            </w:pPr>
          </w:p>
        </w:tc>
        <w:tc>
          <w:tcPr>
            <w:tcW w:w="6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$(980)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13"/>
              <w:spacing w:after="0" w:line="202" w:lineRule="exact"/>
              <w:rPr>
                <w:sz w:val="20"/>
                <w:szCs w:val="20"/>
                <w:color w:val="auto"/>
              </w:rPr>
            </w:pPr>
            <w:r>
              <w:rPr>
                <w:rFonts w:ascii="Arial" w:cs="Arial" w:eastAsia="Arial" w:hAnsi="Arial"/>
                <w:sz w:val="18"/>
                <w:szCs w:val="18"/>
                <w:color w:val="auto"/>
              </w:rPr>
              <w:t>$ 67,672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AEC Goodwill</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95,730</w:t>
            </w:r>
          </w:p>
        </w:tc>
        <w:tc>
          <w:tcPr>
            <w:tcW w:w="160" w:type="dxa"/>
            <w:vAlign w:val="bottom"/>
          </w:tcPr>
          <w:p>
            <w:pPr>
              <w:spacing w:after="0"/>
              <w:rPr>
                <w:sz w:val="17"/>
                <w:szCs w:val="17"/>
                <w:color w:val="auto"/>
              </w:rPr>
            </w:pPr>
          </w:p>
        </w:tc>
        <w:tc>
          <w:tcPr>
            <w:tcW w:w="1040" w:type="dxa"/>
            <w:vAlign w:val="bottom"/>
            <w:gridSpan w:val="4"/>
          </w:tcPr>
          <w:p>
            <w:pPr>
              <w:jc w:val="right"/>
              <w:ind w:right="140"/>
              <w:spacing w:after="0" w:line="203" w:lineRule="exact"/>
              <w:rPr>
                <w:sz w:val="20"/>
                <w:szCs w:val="20"/>
                <w:color w:val="auto"/>
              </w:rPr>
            </w:pPr>
            <w:r>
              <w:rPr>
                <w:rFonts w:ascii="Arial" w:cs="Arial" w:eastAsia="Arial" w:hAnsi="Arial"/>
                <w:sz w:val="18"/>
                <w:szCs w:val="18"/>
                <w:color w:val="auto"/>
              </w:rPr>
              <w:t>17,343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3"/>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40" w:type="dxa"/>
            <w:vAlign w:val="bottom"/>
          </w:tcPr>
          <w:p>
            <w:pPr>
              <w:jc w:val="center"/>
              <w:ind w:right="110"/>
              <w:spacing w:after="0" w:line="203" w:lineRule="exact"/>
              <w:rPr>
                <w:sz w:val="20"/>
                <w:szCs w:val="20"/>
                <w:color w:val="auto"/>
              </w:rPr>
            </w:pPr>
            <w:r>
              <w:rPr>
                <w:rFonts w:ascii="Arial" w:cs="Arial" w:eastAsia="Arial" w:hAnsi="Arial"/>
                <w:sz w:val="18"/>
                <w:szCs w:val="18"/>
                <w:color w:val="auto"/>
                <w:w w:val="99"/>
              </w:rPr>
              <w:t>189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13"/>
              <w:spacing w:after="0" w:line="203" w:lineRule="exact"/>
              <w:rPr>
                <w:sz w:val="20"/>
                <w:szCs w:val="20"/>
                <w:color w:val="auto"/>
              </w:rPr>
            </w:pPr>
            <w:r>
              <w:rPr>
                <w:rFonts w:ascii="Arial" w:cs="Arial" w:eastAsia="Arial" w:hAnsi="Arial"/>
                <w:sz w:val="18"/>
                <w:szCs w:val="18"/>
                <w:color w:val="auto"/>
              </w:rPr>
              <w:t>113,262</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$164,382</w:t>
            </w: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gridSpan w:val="3"/>
          </w:tcPr>
          <w:p>
            <w:pPr>
              <w:jc w:val="right"/>
              <w:ind w:right="140"/>
              <w:spacing w:after="0" w:line="196" w:lineRule="exact"/>
              <w:rPr>
                <w:sz w:val="20"/>
                <w:szCs w:val="20"/>
                <w:color w:val="auto"/>
              </w:rPr>
            </w:pPr>
            <w:r>
              <w:rPr>
                <w:rFonts w:ascii="Arial" w:cs="Arial" w:eastAsia="Arial" w:hAnsi="Arial"/>
                <w:sz w:val="18"/>
                <w:szCs w:val="18"/>
                <w:color w:val="auto"/>
              </w:rPr>
              <w:t>$17,343</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gridSpan w:val="2"/>
          </w:tcPr>
          <w:p>
            <w:pPr>
              <w:ind w:left="340"/>
              <w:spacing w:after="0" w:line="196" w:lineRule="exact"/>
              <w:rPr>
                <w:sz w:val="20"/>
                <w:szCs w:val="20"/>
                <w:color w:val="auto"/>
              </w:rPr>
            </w:pPr>
            <w:r>
              <w:rPr>
                <w:rFonts w:ascii="Arial" w:cs="Arial" w:eastAsia="Arial" w:hAnsi="Arial"/>
                <w:sz w:val="18"/>
                <w:szCs w:val="18"/>
                <w:color w:val="auto"/>
              </w:rPr>
              <w:t>$(791)</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8"/>
              </w:rPr>
              <w:t>$180,934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Amortization life</w:t>
            </w:r>
          </w:p>
        </w:tc>
        <w:tc>
          <w:tcPr>
            <w:tcW w:w="360" w:type="dxa"/>
            <w:vAlign w:val="bottom"/>
          </w:tcPr>
          <w:p>
            <w:pPr>
              <w:spacing w:after="0"/>
              <w:rPr>
                <w:sz w:val="14"/>
                <w:szCs w:val="14"/>
                <w:color w:val="auto"/>
              </w:rPr>
            </w:pPr>
          </w:p>
        </w:tc>
        <w:tc>
          <w:tcPr>
            <w:tcW w:w="13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ind w:left="140"/>
              <w:spacing w:after="0"/>
              <w:rPr>
                <w:sz w:val="20"/>
                <w:szCs w:val="20"/>
                <w:color w:val="auto"/>
              </w:rPr>
            </w:pPr>
            <w:r>
              <w:rPr>
                <w:rFonts w:ascii="Arial" w:cs="Arial" w:eastAsia="Arial" w:hAnsi="Arial"/>
                <w:sz w:val="14"/>
                <w:szCs w:val="14"/>
                <w:b w:val="1"/>
                <w:bCs w:val="1"/>
                <w:color w:val="auto"/>
              </w:rPr>
              <w:t>Currency</w:t>
            </w:r>
          </w:p>
        </w:tc>
        <w:tc>
          <w:tcPr>
            <w:tcW w:w="11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for years)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years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5"/>
                <w:szCs w:val="15"/>
                <w:color w:val="auto"/>
              </w:rPr>
            </w:pPr>
          </w:p>
        </w:tc>
        <w:tc>
          <w:tcPr>
            <w:tcW w:w="780" w:type="dxa"/>
            <w:vAlign w:val="bottom"/>
          </w:tcPr>
          <w:p>
            <w:pPr>
              <w:jc w:val="center"/>
              <w:ind w:right="2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Amortized intangible assets:</w:t>
            </w:r>
          </w:p>
        </w:tc>
        <w:tc>
          <w:tcPr>
            <w:tcW w:w="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trademarks and trade names</w:t>
            </w:r>
          </w:p>
        </w:tc>
        <w:tc>
          <w:tcPr>
            <w:tcW w:w="12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technology</w:t>
            </w:r>
          </w:p>
        </w:tc>
        <w:tc>
          <w:tcPr>
            <w:tcW w:w="12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customer contracts</w:t>
            </w:r>
          </w:p>
        </w:tc>
        <w:tc>
          <w:tcPr>
            <w:tcW w:w="12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12,369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(2,913)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9,456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AEC customer relationships</w:t>
            </w:r>
          </w:p>
        </w:tc>
        <w:tc>
          <w:tcPr>
            <w:tcW w:w="12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42,767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(3,229)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39,538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AEC other intangibles</w:t>
            </w:r>
          </w:p>
        </w:tc>
        <w:tc>
          <w:tcPr>
            <w:tcW w:w="1280" w:type="dxa"/>
            <w:vAlign w:val="bottom"/>
            <w:gridSpan w:val="4"/>
          </w:tcPr>
          <w:p>
            <w:pPr>
              <w:jc w:val="right"/>
              <w:ind w:right="40"/>
              <w:spacing w:after="0" w:line="203" w:lineRule="exact"/>
              <w:rPr>
                <w:sz w:val="20"/>
                <w:szCs w:val="20"/>
                <w:color w:val="auto"/>
              </w:rPr>
            </w:pPr>
            <w:r>
              <w:rPr>
                <w:rFonts w:ascii="Arial" w:cs="Arial" w:eastAsia="Arial" w:hAnsi="Arial"/>
                <w:sz w:val="18"/>
                <w:szCs w:val="18"/>
                <w:color w:val="auto"/>
              </w:rPr>
              <w:t>5</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280"/>
              <w:spacing w:after="0" w:line="203" w:lineRule="exact"/>
              <w:rPr>
                <w:sz w:val="20"/>
                <w:szCs w:val="20"/>
                <w:color w:val="auto"/>
              </w:rPr>
            </w:pPr>
            <w:r>
              <w:rPr>
                <w:rFonts w:ascii="Arial" w:cs="Arial" w:eastAsia="Arial" w:hAnsi="Arial"/>
                <w:sz w:val="18"/>
                <w:szCs w:val="18"/>
                <w:color w:val="auto"/>
              </w:rPr>
              <w:t>210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tcPr>
          <w:p>
            <w:pPr>
              <w:jc w:val="center"/>
              <w:ind w:right="420"/>
              <w:spacing w:after="0" w:line="203"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780" w:type="dxa"/>
            <w:vAlign w:val="bottom"/>
          </w:tcPr>
          <w:p>
            <w:pPr>
              <w:jc w:val="right"/>
              <w:ind w:right="133"/>
              <w:spacing w:after="0" w:line="203"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$ 55,441</w:t>
            </w: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bottom w:val="single" w:sz="8" w:color="auto"/>
            </w:tcBorders>
            <w:gridSpan w:val="3"/>
          </w:tcPr>
          <w:p>
            <w:pPr>
              <w:jc w:val="right"/>
              <w:ind w:right="70"/>
              <w:spacing w:after="0" w:line="196" w:lineRule="exact"/>
              <w:rPr>
                <w:sz w:val="20"/>
                <w:szCs w:val="20"/>
                <w:color w:val="auto"/>
              </w:rPr>
            </w:pPr>
            <w:r>
              <w:rPr>
                <w:rFonts w:ascii="Arial" w:cs="Arial" w:eastAsia="Arial" w:hAnsi="Arial"/>
                <w:sz w:val="18"/>
                <w:szCs w:val="18"/>
                <w:color w:val="auto"/>
              </w:rPr>
              <w:t>$(6,235)</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7"/>
                <w:szCs w:val="17"/>
                <w:color w:val="auto"/>
              </w:rPr>
            </w:pPr>
          </w:p>
        </w:tc>
        <w:tc>
          <w:tcPr>
            <w:tcW w:w="1140" w:type="dxa"/>
            <w:vAlign w:val="bottom"/>
            <w:tcBorders>
              <w:top w:val="single" w:sz="8" w:color="auto"/>
              <w:bottom w:val="single" w:sz="8" w:color="auto"/>
            </w:tcBorders>
            <w:gridSpan w:val="2"/>
          </w:tcPr>
          <w:p>
            <w:pPr>
              <w:jc w:val="right"/>
              <w:ind w:right="113"/>
              <w:spacing w:after="0" w:line="196" w:lineRule="exact"/>
              <w:rPr>
                <w:sz w:val="20"/>
                <w:szCs w:val="20"/>
                <w:color w:val="auto"/>
              </w:rPr>
            </w:pPr>
            <w:r>
              <w:rPr>
                <w:rFonts w:ascii="Arial" w:cs="Arial" w:eastAsia="Arial" w:hAnsi="Arial"/>
                <w:sz w:val="18"/>
                <w:szCs w:val="18"/>
                <w:color w:val="auto"/>
              </w:rPr>
              <w:t>$ 49,206</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line="195" w:lineRule="exact"/>
              <w:rPr>
                <w:sz w:val="20"/>
                <w:szCs w:val="20"/>
                <w:color w:val="auto"/>
              </w:rPr>
            </w:pPr>
            <w:r>
              <w:rPr>
                <w:rFonts w:ascii="Arial" w:cs="Arial" w:eastAsia="Arial" w:hAnsi="Arial"/>
                <w:sz w:val="18"/>
                <w:szCs w:val="18"/>
                <w:b w:val="1"/>
                <w:bCs w:val="1"/>
                <w:color w:val="auto"/>
              </w:rPr>
              <w:t>Unamortized intangible assets:</w:t>
            </w: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MC Goodwill</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$ 71,066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$(2,414)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13"/>
              <w:spacing w:after="0" w:line="202" w:lineRule="exact"/>
              <w:rPr>
                <w:sz w:val="20"/>
                <w:szCs w:val="20"/>
                <w:color w:val="auto"/>
              </w:rPr>
            </w:pPr>
            <w:r>
              <w:rPr>
                <w:rFonts w:ascii="Arial" w:cs="Arial" w:eastAsia="Arial" w:hAnsi="Arial"/>
                <w:sz w:val="18"/>
                <w:szCs w:val="18"/>
                <w:color w:val="auto"/>
              </w:rPr>
              <w:t>$ 68,652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AEC Goodwill</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95,730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3"/>
          </w:tcPr>
          <w:p>
            <w:pPr>
              <w:ind w:left="100"/>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60" w:type="dxa"/>
            <w:vAlign w:val="bottom"/>
            <w:gridSpan w:val="3"/>
          </w:tcPr>
          <w:p>
            <w:pPr>
              <w:jc w:val="center"/>
              <w:ind w:right="420"/>
              <w:spacing w:after="0" w:line="203"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780" w:type="dxa"/>
            <w:vAlign w:val="bottom"/>
          </w:tcPr>
          <w:p>
            <w:pPr>
              <w:jc w:val="right"/>
              <w:ind w:right="113"/>
              <w:spacing w:after="0" w:line="203" w:lineRule="exact"/>
              <w:rPr>
                <w:sz w:val="20"/>
                <w:szCs w:val="20"/>
                <w:color w:val="auto"/>
              </w:rPr>
            </w:pPr>
            <w:r>
              <w:rPr>
                <w:rFonts w:ascii="Arial" w:cs="Arial" w:eastAsia="Arial" w:hAnsi="Arial"/>
                <w:sz w:val="18"/>
                <w:szCs w:val="18"/>
                <w:color w:val="auto"/>
              </w:rPr>
              <w:t>95,730</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8"/>
              </w:rPr>
              <w:t>$166,796</w:t>
            </w: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ind w:left="160"/>
              <w:spacing w:after="0" w:line="196" w:lineRule="exact"/>
              <w:rPr>
                <w:sz w:val="20"/>
                <w:szCs w:val="20"/>
                <w:color w:val="auto"/>
              </w:rPr>
            </w:pPr>
            <w:r>
              <w:rPr>
                <w:rFonts w:ascii="Arial" w:cs="Arial" w:eastAsia="Arial" w:hAnsi="Arial"/>
                <w:sz w:val="18"/>
                <w:szCs w:val="18"/>
                <w:color w:val="auto"/>
              </w:rPr>
              <w:t>$(2,414)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8"/>
              </w:rPr>
              <w:t>$164,382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78"/>
        <w:spacing w:after="0" w:line="246" w:lineRule="auto"/>
        <w:rPr>
          <w:sz w:val="20"/>
          <w:szCs w:val="20"/>
          <w:color w:val="auto"/>
        </w:rPr>
      </w:pPr>
      <w:r>
        <w:rPr>
          <w:rFonts w:ascii="Arial" w:cs="Arial" w:eastAsia="Arial" w:hAnsi="Arial"/>
          <w:sz w:val="18"/>
          <w:szCs w:val="18"/>
          <w:color w:val="auto"/>
        </w:rPr>
        <w:t>As of December 31, 2019, the gross carrying amount and accumulated amortization of amortized intangible assets was $76.7 million and $23.8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Other Intangible Assets — (continued)</w:t>
      </w:r>
    </w:p>
    <w:p>
      <w:pPr>
        <w:spacing w:after="0" w:line="126" w:lineRule="exact"/>
        <w:rPr>
          <w:sz w:val="20"/>
          <w:szCs w:val="20"/>
          <w:color w:val="auto"/>
        </w:rPr>
      </w:pPr>
    </w:p>
    <w:p>
      <w:pPr>
        <w:ind w:right="60" w:firstLine="378"/>
        <w:spacing w:after="0" w:line="238" w:lineRule="auto"/>
        <w:rPr>
          <w:sz w:val="20"/>
          <w:szCs w:val="20"/>
          <w:color w:val="auto"/>
        </w:rPr>
      </w:pPr>
      <w:r>
        <w:rPr>
          <w:rFonts w:ascii="Arial" w:cs="Arial" w:eastAsia="Arial" w:hAnsi="Arial"/>
          <w:sz w:val="18"/>
          <w:szCs w:val="18"/>
          <w:color w:val="auto"/>
        </w:rPr>
        <w:t>Amortization expense related to intangible assets was reported in the Consolidated Statement of Income as follows: $ 3.0 million in Cost of goods sold and $3.3 million in Selling, general and administrative expenses in 2019; $2.9 million in Cost of goods sold and $3.3 million in Selling, general and administrative expenses in 2018; and $3.3 million in Cost of goods sold and $3.6 million in Selling, general and administrative expenses in 2017. Estimated amortization expense of intangibles for the years ending December 31, 2020 through 2024, is as follows: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tcPr>
          <w:p>
            <w:pPr>
              <w:jc w:val="right"/>
              <w:ind w:right="275"/>
              <w:spacing w:after="0"/>
              <w:rPr>
                <w:sz w:val="20"/>
                <w:szCs w:val="20"/>
                <w:color w:val="auto"/>
              </w:rPr>
            </w:pPr>
            <w:r>
              <w:rPr>
                <w:rFonts w:ascii="Arial" w:cs="Arial" w:eastAsia="Arial" w:hAnsi="Arial"/>
                <w:sz w:val="14"/>
                <w:szCs w:val="14"/>
                <w:b w:val="1"/>
                <w:bCs w:val="1"/>
                <w:color w:val="auto"/>
              </w:rPr>
              <w:t>Annual amortization</w:t>
            </w:r>
          </w:p>
        </w:tc>
      </w:tr>
      <w:tr>
        <w:trPr>
          <w:trHeight w:val="175"/>
        </w:trPr>
        <w:tc>
          <w:tcPr>
            <w:tcW w:w="83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(in thousands)</w:t>
            </w:r>
          </w:p>
        </w:tc>
      </w:tr>
      <w:tr>
        <w:trPr>
          <w:trHeight w:val="195"/>
        </w:trPr>
        <w:tc>
          <w:tcPr>
            <w:tcW w:w="20" w:type="dxa"/>
            <w:vAlign w:val="bottom"/>
          </w:tcPr>
          <w:p>
            <w:pPr>
              <w:spacing w:after="0"/>
              <w:rPr>
                <w:sz w:val="16"/>
                <w:szCs w:val="16"/>
                <w:color w:val="auto"/>
              </w:rPr>
            </w:pPr>
          </w:p>
        </w:tc>
        <w:tc>
          <w:tcPr>
            <w:tcW w:w="8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6"/>
                <w:szCs w:val="16"/>
                <w:color w:val="auto"/>
              </w:rPr>
            </w:pPr>
          </w:p>
        </w:tc>
        <w:tc>
          <w:tcPr>
            <w:tcW w:w="2080" w:type="dxa"/>
            <w:vAlign w:val="bottom"/>
            <w:tcBorders>
              <w:top w:val="single" w:sz="8" w:color="auto"/>
            </w:tcBorders>
          </w:tcPr>
          <w:p>
            <w:pPr>
              <w:jc w:val="right"/>
              <w:ind w:right="695"/>
              <w:spacing w:after="0" w:line="195" w:lineRule="exact"/>
              <w:rPr>
                <w:sz w:val="20"/>
                <w:szCs w:val="20"/>
                <w:color w:val="auto"/>
              </w:rPr>
            </w:pPr>
            <w:r>
              <w:rPr>
                <w:rFonts w:ascii="Arial" w:cs="Arial" w:eastAsia="Arial" w:hAnsi="Arial"/>
                <w:sz w:val="18"/>
                <w:szCs w:val="18"/>
                <w:color w:val="auto"/>
              </w:rPr>
              <w:t>$7,141</w:t>
            </w: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7"/>
                <w:szCs w:val="17"/>
                <w:color w:val="auto"/>
              </w:rPr>
            </w:pPr>
          </w:p>
        </w:tc>
        <w:tc>
          <w:tcPr>
            <w:tcW w:w="2080" w:type="dxa"/>
            <w:vAlign w:val="bottom"/>
          </w:tcPr>
          <w:p>
            <w:pPr>
              <w:jc w:val="right"/>
              <w:ind w:right="695"/>
              <w:spacing w:after="0" w:line="202" w:lineRule="exact"/>
              <w:rPr>
                <w:sz w:val="20"/>
                <w:szCs w:val="20"/>
                <w:color w:val="auto"/>
              </w:rPr>
            </w:pPr>
            <w:r>
              <w:rPr>
                <w:rFonts w:ascii="Arial" w:cs="Arial" w:eastAsia="Arial" w:hAnsi="Arial"/>
                <w:sz w:val="18"/>
                <w:szCs w:val="18"/>
                <w:color w:val="auto"/>
              </w:rPr>
              <w:t>7,071</w:t>
            </w: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2022</w:t>
            </w:r>
          </w:p>
        </w:tc>
        <w:tc>
          <w:tcPr>
            <w:tcW w:w="200" w:type="dxa"/>
            <w:vAlign w:val="bottom"/>
          </w:tcPr>
          <w:p>
            <w:pPr>
              <w:spacing w:after="0"/>
              <w:rPr>
                <w:sz w:val="17"/>
                <w:szCs w:val="17"/>
                <w:color w:val="auto"/>
              </w:rPr>
            </w:pPr>
          </w:p>
        </w:tc>
        <w:tc>
          <w:tcPr>
            <w:tcW w:w="2080" w:type="dxa"/>
            <w:vAlign w:val="bottom"/>
          </w:tcPr>
          <w:p>
            <w:pPr>
              <w:jc w:val="right"/>
              <w:ind w:right="695"/>
              <w:spacing w:after="0" w:line="202" w:lineRule="exact"/>
              <w:rPr>
                <w:sz w:val="20"/>
                <w:szCs w:val="20"/>
                <w:color w:val="auto"/>
              </w:rPr>
            </w:pPr>
            <w:r>
              <w:rPr>
                <w:rFonts w:ascii="Arial" w:cs="Arial" w:eastAsia="Arial" w:hAnsi="Arial"/>
                <w:sz w:val="18"/>
                <w:szCs w:val="18"/>
                <w:color w:val="auto"/>
              </w:rPr>
              <w:t>4,856</w:t>
            </w: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2080" w:type="dxa"/>
            <w:vAlign w:val="bottom"/>
          </w:tcPr>
          <w:p>
            <w:pPr>
              <w:jc w:val="right"/>
              <w:ind w:right="695"/>
              <w:spacing w:after="0" w:line="202" w:lineRule="exact"/>
              <w:rPr>
                <w:sz w:val="20"/>
                <w:szCs w:val="20"/>
                <w:color w:val="auto"/>
              </w:rPr>
            </w:pPr>
            <w:r>
              <w:rPr>
                <w:rFonts w:ascii="Arial" w:cs="Arial" w:eastAsia="Arial" w:hAnsi="Arial"/>
                <w:sz w:val="18"/>
                <w:szCs w:val="18"/>
                <w:color w:val="auto"/>
              </w:rPr>
              <w:t>4,135</w:t>
            </w:r>
          </w:p>
        </w:tc>
      </w:tr>
      <w:tr>
        <w:trPr>
          <w:trHeight w:val="217"/>
        </w:trPr>
        <w:tc>
          <w:tcPr>
            <w:tcW w:w="8120" w:type="dxa"/>
            <w:vAlign w:val="bottom"/>
            <w:gridSpan w:val="2"/>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2080" w:type="dxa"/>
            <w:vAlign w:val="bottom"/>
          </w:tcPr>
          <w:p>
            <w:pPr>
              <w:jc w:val="right"/>
              <w:ind w:right="695"/>
              <w:spacing w:after="0"/>
              <w:rPr>
                <w:sz w:val="20"/>
                <w:szCs w:val="20"/>
                <w:color w:val="auto"/>
              </w:rPr>
            </w:pPr>
            <w:r>
              <w:rPr>
                <w:rFonts w:ascii="Arial" w:cs="Arial" w:eastAsia="Arial" w:hAnsi="Arial"/>
                <w:sz w:val="18"/>
                <w:szCs w:val="18"/>
                <w:color w:val="auto"/>
              </w:rPr>
              <w:t>4,135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Accrued Liabilities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 consist of:</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2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173"/>
        </w:trPr>
        <w:tc>
          <w:tcPr>
            <w:tcW w:w="20" w:type="dxa"/>
            <w:vAlign w:val="bottom"/>
          </w:tcPr>
          <w:p>
            <w:pPr>
              <w:spacing w:after="0"/>
              <w:rPr>
                <w:sz w:val="15"/>
                <w:szCs w:val="15"/>
                <w:color w:val="auto"/>
              </w:rPr>
            </w:pPr>
          </w:p>
        </w:tc>
        <w:tc>
          <w:tcPr>
            <w:tcW w:w="72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Salaries and wages</w:t>
            </w:r>
          </w:p>
        </w:tc>
        <w:tc>
          <w:tcPr>
            <w:tcW w:w="300" w:type="dxa"/>
            <w:vAlign w:val="bottom"/>
          </w:tcPr>
          <w:p>
            <w:pPr>
              <w:spacing w:after="0"/>
              <w:rPr>
                <w:sz w:val="15"/>
                <w:szCs w:val="15"/>
                <w:color w:val="auto"/>
              </w:rPr>
            </w:pPr>
          </w:p>
        </w:tc>
        <w:tc>
          <w:tcPr>
            <w:tcW w:w="1240" w:type="dxa"/>
            <w:vAlign w:val="bottom"/>
            <w:tcBorders>
              <w:top w:val="single" w:sz="8" w:color="auto"/>
            </w:tcBorders>
          </w:tcPr>
          <w:p>
            <w:pPr>
              <w:jc w:val="right"/>
              <w:ind w:right="171"/>
              <w:spacing w:after="0" w:line="173" w:lineRule="exact"/>
              <w:rPr>
                <w:sz w:val="20"/>
                <w:szCs w:val="20"/>
                <w:color w:val="auto"/>
              </w:rPr>
            </w:pPr>
            <w:r>
              <w:rPr>
                <w:rFonts w:ascii="Arial" w:cs="Arial" w:eastAsia="Arial" w:hAnsi="Arial"/>
                <w:sz w:val="18"/>
                <w:szCs w:val="18"/>
                <w:b w:val="1"/>
                <w:bCs w:val="1"/>
                <w:color w:val="auto"/>
              </w:rPr>
              <w:t>$ 22,878</w:t>
            </w:r>
          </w:p>
        </w:tc>
        <w:tc>
          <w:tcPr>
            <w:tcW w:w="320" w:type="dxa"/>
            <w:vAlign w:val="bottom"/>
          </w:tcPr>
          <w:p>
            <w:pPr>
              <w:spacing w:after="0"/>
              <w:rPr>
                <w:sz w:val="15"/>
                <w:szCs w:val="15"/>
                <w:color w:val="auto"/>
              </w:rPr>
            </w:pPr>
          </w:p>
        </w:tc>
        <w:tc>
          <w:tcPr>
            <w:tcW w:w="1240" w:type="dxa"/>
            <w:vAlign w:val="bottom"/>
            <w:tcBorders>
              <w:top w:val="single" w:sz="8" w:color="auto"/>
            </w:tcBorders>
          </w:tcPr>
          <w:p>
            <w:pPr>
              <w:jc w:val="right"/>
              <w:ind w:right="171"/>
              <w:spacing w:after="0" w:line="173" w:lineRule="exact"/>
              <w:rPr>
                <w:sz w:val="20"/>
                <w:szCs w:val="20"/>
                <w:color w:val="auto"/>
              </w:rPr>
            </w:pPr>
            <w:r>
              <w:rPr>
                <w:rFonts w:ascii="Arial" w:cs="Arial" w:eastAsia="Arial" w:hAnsi="Arial"/>
                <w:sz w:val="18"/>
                <w:szCs w:val="18"/>
                <w:color w:val="auto"/>
              </w:rPr>
              <w:t>$ 20,821</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Contract loss reserve</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17,190</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20,708</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Employee benefits</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14,235</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12,316</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Returns and allowances</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11,249</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11,343</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Accrual for compensated absences</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10,445</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10,636</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Dividends</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6,139</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5,808</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Contract liabilities</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5,656</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9,025</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Lease liability - Operating lease</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4,023</w:t>
            </w:r>
          </w:p>
        </w:tc>
        <w:tc>
          <w:tcPr>
            <w:tcW w:w="320" w:type="dxa"/>
            <w:vAlign w:val="bottom"/>
          </w:tcPr>
          <w:p>
            <w:pPr>
              <w:spacing w:after="0"/>
              <w:rPr>
                <w:sz w:val="17"/>
                <w:szCs w:val="17"/>
                <w:color w:val="auto"/>
              </w:rPr>
            </w:pPr>
          </w:p>
        </w:tc>
        <w:tc>
          <w:tcPr>
            <w:tcW w:w="1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Lease liability - Financing lease</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1,835</w:t>
            </w:r>
          </w:p>
        </w:tc>
        <w:tc>
          <w:tcPr>
            <w:tcW w:w="320" w:type="dxa"/>
            <w:vAlign w:val="bottom"/>
          </w:tcPr>
          <w:p>
            <w:pPr>
              <w:spacing w:after="0"/>
              <w:rPr>
                <w:sz w:val="17"/>
                <w:szCs w:val="17"/>
                <w:color w:val="auto"/>
              </w:rPr>
            </w:pPr>
          </w:p>
        </w:tc>
        <w:tc>
          <w:tcPr>
            <w:tcW w:w="1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Postretirement medical benefits – current portion</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3,808</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3,890</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Restructuring costs</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1,342</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5,534</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Professional fees</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2,999</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2,575</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Pension liability – current portion</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2,155</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2,124</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Workers' compensation</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1,982</w:t>
            </w:r>
          </w:p>
        </w:tc>
        <w:tc>
          <w:tcPr>
            <w:tcW w:w="320" w:type="dxa"/>
            <w:vAlign w:val="bottom"/>
          </w:tcPr>
          <w:p>
            <w:pPr>
              <w:spacing w:after="0"/>
              <w:rPr>
                <w:sz w:val="17"/>
                <w:szCs w:val="17"/>
                <w:color w:val="auto"/>
              </w:rPr>
            </w:pP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1,794</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Utilities</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790</w:t>
            </w:r>
          </w:p>
        </w:tc>
        <w:tc>
          <w:tcPr>
            <w:tcW w:w="320" w:type="dxa"/>
            <w:vAlign w:val="bottom"/>
          </w:tcPr>
          <w:p>
            <w:pPr>
              <w:spacing w:after="0"/>
              <w:rPr>
                <w:sz w:val="17"/>
                <w:szCs w:val="17"/>
                <w:color w:val="auto"/>
              </w:rPr>
            </w:pPr>
          </w:p>
        </w:tc>
        <w:tc>
          <w:tcPr>
            <w:tcW w:w="12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974</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Interest</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517</w:t>
            </w:r>
          </w:p>
        </w:tc>
        <w:tc>
          <w:tcPr>
            <w:tcW w:w="320" w:type="dxa"/>
            <w:vAlign w:val="bottom"/>
          </w:tcPr>
          <w:p>
            <w:pPr>
              <w:spacing w:after="0"/>
              <w:rPr>
                <w:sz w:val="17"/>
                <w:szCs w:val="17"/>
                <w:color w:val="auto"/>
              </w:rPr>
            </w:pPr>
          </w:p>
        </w:tc>
        <w:tc>
          <w:tcPr>
            <w:tcW w:w="12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901</w:t>
            </w:r>
          </w:p>
        </w:tc>
      </w:tr>
      <w:tr>
        <w:trPr>
          <w:trHeight w:val="225"/>
        </w:trPr>
        <w:tc>
          <w:tcPr>
            <w:tcW w:w="76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18,642</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20,581</w:t>
            </w:r>
          </w:p>
        </w:tc>
      </w:tr>
      <w:tr>
        <w:trPr>
          <w:trHeight w:val="196"/>
        </w:trPr>
        <w:tc>
          <w:tcPr>
            <w:tcW w:w="760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b w:val="1"/>
                <w:bCs w:val="1"/>
                <w:color w:val="auto"/>
              </w:rPr>
              <w:t>$125,885</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$129,030</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78"/>
        <w:spacing w:after="0" w:line="239" w:lineRule="auto"/>
        <w:rPr>
          <w:sz w:val="20"/>
          <w:szCs w:val="20"/>
          <w:color w:val="auto"/>
        </w:rPr>
      </w:pPr>
      <w:r>
        <w:rPr>
          <w:rFonts w:ascii="Arial" w:cs="Arial" w:eastAsia="Arial" w:hAnsi="Arial"/>
          <w:sz w:val="18"/>
          <w:szCs w:val="18"/>
          <w:color w:val="auto"/>
        </w:rPr>
        <w:t>As described in Note 20, the Company adopted ASC 842, Leases effective January 1, 2019, which required the recognition of right of use assets, representing our right to use the underlying asset for the lease term, and lease liabilities, representing our obligation to make lease payments over the lease term, on the balance sheet. The cumulative effect of initially applying the new standard increased accrued liabilities $5.0 million.</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interest rates)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Revolving credit agreement with borrowings outstanding at an end of period interest rate of</w:t>
            </w:r>
          </w:p>
        </w:tc>
        <w:tc>
          <w:tcPr>
            <w:tcW w:w="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3.43% in 2019 and 3.69% in 2018 (including the effect of interest rate hedging transactions,</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$424,000</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6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as described below), due in 2022</w:t>
            </w: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8"/>
                <w:szCs w:val="18"/>
                <w:color w:val="auto"/>
                <w:w w:val="98"/>
              </w:rPr>
              <w:t>$499,000</w:t>
            </w:r>
          </w:p>
        </w:tc>
        <w:tc>
          <w:tcPr>
            <w:tcW w:w="0" w:type="dxa"/>
            <w:vAlign w:val="bottom"/>
          </w:tcPr>
          <w:p>
            <w:pPr>
              <w:spacing w:after="0"/>
              <w:rPr>
                <w:sz w:val="1"/>
                <w:szCs w:val="1"/>
                <w:color w:val="auto"/>
              </w:rPr>
            </w:pPr>
          </w:p>
        </w:tc>
      </w:tr>
      <w:tr>
        <w:trPr>
          <w:trHeight w:val="225"/>
        </w:trPr>
        <w:tc>
          <w:tcPr>
            <w:tcW w:w="7780" w:type="dxa"/>
            <w:vAlign w:val="bottom"/>
            <w:gridSpan w:val="3"/>
          </w:tcPr>
          <w:p>
            <w:pPr>
              <w:spacing w:after="0"/>
              <w:rPr>
                <w:sz w:val="20"/>
                <w:szCs w:val="20"/>
                <w:color w:val="auto"/>
              </w:rPr>
            </w:pPr>
            <w:r>
              <w:rPr>
                <w:rFonts w:ascii="Arial" w:cs="Arial" w:eastAsia="Arial" w:hAnsi="Arial"/>
                <w:sz w:val="18"/>
                <w:szCs w:val="18"/>
                <w:color w:val="auto"/>
              </w:rPr>
              <w:t>Finance obligation</w:t>
            </w:r>
          </w:p>
        </w:tc>
        <w:tc>
          <w:tcPr>
            <w:tcW w:w="1460" w:type="dxa"/>
            <w:vAlign w:val="bottom"/>
            <w:gridSpan w:val="2"/>
          </w:tcPr>
          <w:p>
            <w:pPr>
              <w:jc w:val="center"/>
              <w:ind w:left="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25,886</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Other debt, at an average end of period rate of 5.50% in both 2019 and 2018, due in varying</w:t>
            </w:r>
          </w:p>
        </w:tc>
        <w:tc>
          <w:tcPr>
            <w:tcW w:w="1140" w:type="dxa"/>
            <w:vAlign w:val="bottom"/>
            <w:vMerge w:val="restart"/>
          </w:tcPr>
          <w:p>
            <w:pPr>
              <w:jc w:val="center"/>
              <w:ind w:left="413"/>
              <w:spacing w:after="0"/>
              <w:rPr>
                <w:sz w:val="20"/>
                <w:szCs w:val="20"/>
                <w:color w:val="auto"/>
              </w:rPr>
            </w:pPr>
            <w:r>
              <w:rPr>
                <w:rFonts w:ascii="Arial" w:cs="Arial" w:eastAsia="Arial" w:hAnsi="Arial"/>
                <w:sz w:val="18"/>
                <w:szCs w:val="18"/>
                <w:b w:val="1"/>
                <w:bCs w:val="1"/>
                <w:color w:val="auto"/>
                <w:w w:val="99"/>
              </w:rPr>
              <w:t>29</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amounts through 2021</w:t>
            </w:r>
          </w:p>
        </w:tc>
        <w:tc>
          <w:tcPr>
            <w:tcW w:w="114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3"/>
        </w:trPr>
        <w:tc>
          <w:tcPr>
            <w:tcW w:w="7780" w:type="dxa"/>
            <w:vAlign w:val="bottom"/>
            <w:gridSpan w:val="3"/>
          </w:tcPr>
          <w:p>
            <w:pPr>
              <w:spacing w:after="0" w:line="173" w:lineRule="exact"/>
              <w:rPr>
                <w:sz w:val="20"/>
                <w:szCs w:val="20"/>
                <w:color w:val="auto"/>
              </w:rPr>
            </w:pPr>
            <w:r>
              <w:rPr>
                <w:rFonts w:ascii="Arial" w:cs="Arial" w:eastAsia="Arial" w:hAnsi="Arial"/>
                <w:sz w:val="18"/>
                <w:szCs w:val="18"/>
                <w:color w:val="auto"/>
              </w:rPr>
              <w:t>Long-term debt</w:t>
            </w:r>
          </w:p>
        </w:tc>
        <w:tc>
          <w:tcPr>
            <w:tcW w:w="1140" w:type="dxa"/>
            <w:vAlign w:val="bottom"/>
          </w:tcPr>
          <w:p>
            <w:pPr>
              <w:jc w:val="right"/>
              <w:ind w:right="113"/>
              <w:spacing w:after="0" w:line="173" w:lineRule="exact"/>
              <w:rPr>
                <w:sz w:val="20"/>
                <w:szCs w:val="20"/>
                <w:color w:val="auto"/>
              </w:rPr>
            </w:pPr>
            <w:r>
              <w:rPr>
                <w:rFonts w:ascii="Arial" w:cs="Arial" w:eastAsia="Arial" w:hAnsi="Arial"/>
                <w:sz w:val="18"/>
                <w:szCs w:val="18"/>
                <w:b w:val="1"/>
                <w:bCs w:val="1"/>
                <w:color w:val="auto"/>
              </w:rPr>
              <w:t>424,029</w:t>
            </w:r>
          </w:p>
        </w:tc>
        <w:tc>
          <w:tcPr>
            <w:tcW w:w="320" w:type="dxa"/>
            <w:vAlign w:val="bottom"/>
          </w:tcPr>
          <w:p>
            <w:pPr>
              <w:spacing w:after="0"/>
              <w:rPr>
                <w:sz w:val="15"/>
                <w:szCs w:val="15"/>
                <w:color w:val="auto"/>
              </w:rPr>
            </w:pPr>
          </w:p>
        </w:tc>
        <w:tc>
          <w:tcPr>
            <w:tcW w:w="1160" w:type="dxa"/>
            <w:vAlign w:val="bottom"/>
          </w:tcPr>
          <w:p>
            <w:pPr>
              <w:jc w:val="right"/>
              <w:ind w:right="133"/>
              <w:spacing w:after="0" w:line="173" w:lineRule="exact"/>
              <w:rPr>
                <w:sz w:val="20"/>
                <w:szCs w:val="20"/>
                <w:color w:val="auto"/>
              </w:rPr>
            </w:pPr>
            <w:r>
              <w:rPr>
                <w:rFonts w:ascii="Arial" w:cs="Arial" w:eastAsia="Arial" w:hAnsi="Arial"/>
                <w:sz w:val="18"/>
                <w:szCs w:val="18"/>
                <w:color w:val="auto"/>
              </w:rPr>
              <w:t>524,931</w:t>
            </w:r>
          </w:p>
        </w:tc>
        <w:tc>
          <w:tcPr>
            <w:tcW w:w="0" w:type="dxa"/>
            <w:vAlign w:val="bottom"/>
          </w:tcPr>
          <w:p>
            <w:pPr>
              <w:spacing w:after="0"/>
              <w:rPr>
                <w:sz w:val="1"/>
                <w:szCs w:val="1"/>
                <w:color w:val="auto"/>
              </w:rPr>
            </w:pPr>
          </w:p>
        </w:tc>
      </w:tr>
      <w:tr>
        <w:trPr>
          <w:trHeight w:val="225"/>
        </w:trPr>
        <w:tc>
          <w:tcPr>
            <w:tcW w:w="778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114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b w:val="1"/>
                <w:bCs w:val="1"/>
                <w:color w:val="auto"/>
                <w:w w:val="99"/>
              </w:rPr>
              <w:t>(20)</w:t>
            </w:r>
          </w:p>
        </w:tc>
        <w:tc>
          <w:tcPr>
            <w:tcW w:w="320" w:type="dxa"/>
            <w:vAlign w:val="bottom"/>
          </w:tcPr>
          <w:p>
            <w:pPr>
              <w:spacing w:after="0"/>
              <w:rPr>
                <w:sz w:val="19"/>
                <w:szCs w:val="19"/>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196"/>
        </w:trPr>
        <w:tc>
          <w:tcPr>
            <w:tcW w:w="7780" w:type="dxa"/>
            <w:vAlign w:val="bottom"/>
            <w:gridSpan w:val="3"/>
          </w:tcPr>
          <w:p>
            <w:pPr>
              <w:spacing w:after="0" w:line="196" w:lineRule="exact"/>
              <w:rPr>
                <w:sz w:val="20"/>
                <w:szCs w:val="20"/>
                <w:color w:val="auto"/>
              </w:rPr>
            </w:pPr>
            <w:r>
              <w:rPr>
                <w:rFonts w:ascii="Arial" w:cs="Arial" w:eastAsia="Arial" w:hAnsi="Arial"/>
                <w:sz w:val="18"/>
                <w:szCs w:val="18"/>
                <w:color w:val="auto"/>
              </w:rPr>
              <w:t>Long-term debt, net of current portion</w:t>
            </w:r>
          </w:p>
        </w:tc>
        <w:tc>
          <w:tcPr>
            <w:tcW w:w="11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$424,009</w:t>
            </w:r>
          </w:p>
        </w:tc>
        <w:tc>
          <w:tcPr>
            <w:tcW w:w="320" w:type="dxa"/>
            <w:vAlign w:val="bottom"/>
          </w:tcPr>
          <w:p>
            <w:pPr>
              <w:spacing w:after="0"/>
              <w:rPr>
                <w:sz w:val="17"/>
                <w:szCs w:val="17"/>
                <w:color w:val="auto"/>
              </w:rPr>
            </w:pPr>
          </w:p>
        </w:tc>
        <w:tc>
          <w:tcPr>
            <w:tcW w:w="11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$523,707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378"/>
        <w:spacing w:after="0" w:line="246" w:lineRule="auto"/>
        <w:rPr>
          <w:sz w:val="20"/>
          <w:szCs w:val="20"/>
          <w:color w:val="auto"/>
        </w:rPr>
      </w:pPr>
      <w:r>
        <w:rPr>
          <w:rFonts w:ascii="Arial" w:cs="Arial" w:eastAsia="Arial" w:hAnsi="Arial"/>
          <w:sz w:val="18"/>
          <w:szCs w:val="18"/>
          <w:color w:val="auto"/>
        </w:rPr>
        <w:t>Principal payments of $424 million are due on long-term debt in 2022. Cash payments of interest amounted to $17.4 million in 2019, $18.8 million in 2018 and $16.0 million in 2017.</w:t>
      </w:r>
    </w:p>
    <w:p>
      <w:pPr>
        <w:spacing w:after="0" w:line="89" w:lineRule="exact"/>
        <w:rPr>
          <w:sz w:val="20"/>
          <w:szCs w:val="20"/>
          <w:color w:val="auto"/>
        </w:rPr>
      </w:pPr>
    </w:p>
    <w:p>
      <w:pPr>
        <w:ind w:right="20" w:firstLine="378"/>
        <w:spacing w:after="0" w:line="234"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$424 million of borrowings were outstanding as of December 31, 2019. The applicable interest rate for borrowings was LIBOR plus a spread, based on our leverage ratio at the time of borrowing. At the time of the last borrowing on December 30, 2019, the spread was</w:t>
      </w:r>
    </w:p>
    <w:p>
      <w:pPr>
        <w:spacing w:after="0" w:line="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1.375%. The spread was based on a pricing grid, which ranged from 1.250% to 1.750%, based on our leverage ratio. Based on our maximum leverage ratio and our Consolidated EBITDA, and without modification to any other credit agreements, as of December 31, 2019, we would have been able to borrow an additional $261 million under the Agreement.</w:t>
      </w:r>
    </w:p>
    <w:p>
      <w:pPr>
        <w:spacing w:after="0" w:line="95" w:lineRule="exact"/>
        <w:rPr>
          <w:sz w:val="20"/>
          <w:szCs w:val="20"/>
          <w:color w:val="auto"/>
        </w:rPr>
      </w:pPr>
    </w:p>
    <w:p>
      <w:pPr>
        <w:ind w:right="480" w:firstLine="378"/>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89" w:lineRule="exact"/>
        <w:rPr>
          <w:sz w:val="20"/>
          <w:szCs w:val="20"/>
          <w:color w:val="auto"/>
        </w:rPr>
      </w:pPr>
    </w:p>
    <w:p>
      <w:pPr>
        <w:ind w:right="580" w:firstLine="378"/>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71" w:lineRule="exact"/>
        <w:rPr>
          <w:sz w:val="20"/>
          <w:szCs w:val="20"/>
          <w:color w:val="auto"/>
        </w:rPr>
      </w:pPr>
    </w:p>
    <w:p>
      <w:pPr>
        <w:ind w:right="400" w:firstLine="378"/>
        <w:spacing w:after="0" w:line="251" w:lineRule="auto"/>
        <w:rPr>
          <w:sz w:val="20"/>
          <w:szCs w:val="20"/>
          <w:color w:val="auto"/>
        </w:rPr>
      </w:pPr>
      <w:r>
        <w:rPr>
          <w:rFonts w:ascii="Arial" w:cs="Arial" w:eastAsia="Arial" w:hAnsi="Arial"/>
          <w:sz w:val="18"/>
          <w:szCs w:val="18"/>
          <w:color w:val="auto"/>
        </w:rPr>
        <w:t xml:space="preserve">Due to the implementation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as further described in Note 20, the finance obligation that had a balance of $25.9 million as of December 31, 2018, was eliminated and replaced with a finance lease obligation that is included in Other noncurrent liabilities and Accrued liabilities.</w:t>
      </w:r>
    </w:p>
    <w:p>
      <w:pPr>
        <w:spacing w:after="0" w:line="84"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94" w:lineRule="exact"/>
        <w:rPr>
          <w:sz w:val="20"/>
          <w:szCs w:val="20"/>
          <w:color w:val="auto"/>
        </w:rPr>
      </w:pPr>
    </w:p>
    <w:p>
      <w:pPr>
        <w:ind w:right="60" w:firstLine="378"/>
        <w:spacing w:after="0"/>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 (continued)</w:t>
      </w:r>
    </w:p>
    <w:p>
      <w:pPr>
        <w:spacing w:after="0" w:line="126" w:lineRule="exact"/>
        <w:rPr>
          <w:sz w:val="20"/>
          <w:szCs w:val="20"/>
          <w:color w:val="auto"/>
        </w:rPr>
      </w:pPr>
    </w:p>
    <w:p>
      <w:pPr>
        <w:ind w:firstLine="378"/>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December 16, 2019 was 1.74%, during the swap period. On December 16, 2019, the all-in-rate on the $350 million of debt was 3.485%.</w:t>
      </w:r>
    </w:p>
    <w:p>
      <w:pPr>
        <w:spacing w:after="0" w:line="95" w:lineRule="exact"/>
        <w:rPr>
          <w:sz w:val="20"/>
          <w:szCs w:val="20"/>
          <w:color w:val="auto"/>
        </w:rPr>
      </w:pPr>
    </w:p>
    <w:p>
      <w:pPr>
        <w:ind w:right="520" w:firstLine="37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18. No cash collateral was received or pledged in relation to the swap agreements.</w:t>
      </w:r>
    </w:p>
    <w:p>
      <w:pPr>
        <w:spacing w:after="0" w:line="89" w:lineRule="exact"/>
        <w:rPr>
          <w:sz w:val="20"/>
          <w:szCs w:val="20"/>
          <w:color w:val="auto"/>
        </w:rPr>
      </w:pPr>
    </w:p>
    <w:p>
      <w:pPr>
        <w:ind w:right="140" w:firstLine="378"/>
        <w:spacing w:after="0" w:line="246"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89" w:lineRule="exact"/>
        <w:rPr>
          <w:sz w:val="20"/>
          <w:szCs w:val="20"/>
          <w:color w:val="auto"/>
        </w:rPr>
      </w:pPr>
    </w:p>
    <w:p>
      <w:pPr>
        <w:ind w:right="300" w:firstLine="378"/>
        <w:spacing w:after="0"/>
        <w:rPr>
          <w:sz w:val="20"/>
          <w:szCs w:val="20"/>
          <w:color w:val="auto"/>
        </w:rPr>
      </w:pPr>
      <w:r>
        <w:rPr>
          <w:rFonts w:ascii="Arial" w:cs="Arial" w:eastAsia="Arial" w:hAnsi="Arial"/>
          <w:sz w:val="18"/>
          <w:szCs w:val="18"/>
          <w:color w:val="auto"/>
        </w:rPr>
        <w:t>As of December 31, 2019, our leverage ratio was 1.35 to 1.00 and our interest coverage ratio was 14.21 to 1.00. We may purchase our Common Stock or pay dividends to the extent our leverage ratio remains at or below 3.50 to 1.00, and may make acquisitions with cash provided our leverage ratio does not exceed the limits noted above.</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were in compliance with all debt covenants as of December 31, 2019.</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Fair-Value Measurements</w:t>
      </w:r>
    </w:p>
    <w:p>
      <w:pPr>
        <w:spacing w:after="0" w:line="126"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December 31, 2019, or at December 31, 2018.</w:t>
      </w:r>
    </w:p>
    <w:p>
      <w:pPr>
        <w:spacing w:after="0" w:line="97" w:lineRule="exact"/>
        <w:rPr>
          <w:sz w:val="20"/>
          <w:szCs w:val="20"/>
          <w:color w:val="auto"/>
        </w:rPr>
      </w:pPr>
    </w:p>
    <w:p>
      <w:pPr>
        <w:ind w:right="80" w:firstLine="37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gridSpan w:val="4"/>
          </w:tcPr>
          <w:p>
            <w:pPr>
              <w:ind w:left="1060"/>
              <w:spacing w:after="0"/>
              <w:rPr>
                <w:sz w:val="20"/>
                <w:szCs w:val="20"/>
                <w:color w:val="auto"/>
              </w:rPr>
            </w:pPr>
            <w:r>
              <w:rPr>
                <w:rFonts w:ascii="Arial" w:cs="Arial" w:eastAsia="Arial" w:hAnsi="Arial"/>
                <w:sz w:val="14"/>
                <w:szCs w:val="14"/>
                <w:b w:val="1"/>
                <w:bCs w:val="1"/>
                <w:color w:val="auto"/>
              </w:rPr>
              <w:t>December 31, 2019</w:t>
            </w:r>
          </w:p>
        </w:tc>
        <w:tc>
          <w:tcPr>
            <w:tcW w:w="3400" w:type="dxa"/>
            <w:vAlign w:val="bottom"/>
            <w:gridSpan w:val="3"/>
          </w:tcPr>
          <w:p>
            <w:pPr>
              <w:jc w:val="right"/>
              <w:ind w:right="979"/>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Borders>
              <w:top w:val="single" w:sz="8" w:color="auto"/>
            </w:tcBorders>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Quoted prices in active</w:t>
            </w:r>
          </w:p>
        </w:tc>
        <w:tc>
          <w:tcPr>
            <w:tcW w:w="17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170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Quoted prices in active</w:t>
            </w:r>
          </w:p>
        </w:tc>
        <w:tc>
          <w:tcPr>
            <w:tcW w:w="17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markets</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observable inputs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markets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75"/>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 1)</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(Level 2)</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(Level 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80" w:type="dxa"/>
            <w:vAlign w:val="bottom"/>
            <w:gridSpan w:val="3"/>
          </w:tcPr>
          <w:p>
            <w:pPr>
              <w:spacing w:after="0"/>
              <w:rPr>
                <w:sz w:val="20"/>
                <w:szCs w:val="20"/>
                <w:color w:val="auto"/>
              </w:rPr>
            </w:pPr>
            <w:r>
              <w:rPr>
                <w:rFonts w:ascii="Arial" w:cs="Arial" w:eastAsia="Arial" w:hAnsi="Arial"/>
                <w:sz w:val="18"/>
                <w:szCs w:val="18"/>
                <w:i w:val="1"/>
                <w:iCs w:val="1"/>
                <w:color w:val="auto"/>
              </w:rPr>
              <w:t>Assets: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8"/>
              </w:rPr>
              <w:t>$16,375</w:t>
            </w:r>
          </w:p>
        </w:tc>
        <w:tc>
          <w:tcPr>
            <w:tcW w:w="120" w:type="dxa"/>
            <w:vAlign w:val="bottom"/>
          </w:tcPr>
          <w:p>
            <w:pPr>
              <w:spacing w:after="0"/>
              <w:rPr>
                <w:sz w:val="17"/>
                <w:szCs w:val="17"/>
                <w:color w:val="auto"/>
              </w:rPr>
            </w:pPr>
          </w:p>
        </w:tc>
        <w:tc>
          <w:tcPr>
            <w:tcW w:w="18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   —</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$14,234</w:t>
            </w:r>
          </w:p>
        </w:tc>
        <w:tc>
          <w:tcPr>
            <w:tcW w:w="100" w:type="dxa"/>
            <w:vAlign w:val="bottom"/>
          </w:tcPr>
          <w:p>
            <w:pPr>
              <w:spacing w:after="0"/>
              <w:rPr>
                <w:sz w:val="17"/>
                <w:szCs w:val="17"/>
                <w:color w:val="auto"/>
              </w:rPr>
            </w:pPr>
          </w:p>
        </w:tc>
        <w:tc>
          <w:tcPr>
            <w:tcW w:w="1700" w:type="dxa"/>
            <w:vAlign w:val="bottom"/>
          </w:tcPr>
          <w:p>
            <w:pPr>
              <w:jc w:val="right"/>
              <w:ind w:right="519"/>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Other Assets: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Common stock of unaffiliated foreign public</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520"/>
              <w:spacing w:after="0" w:line="243" w:lineRule="exact"/>
              <w:rPr>
                <w:sz w:val="20"/>
                <w:szCs w:val="20"/>
                <w:color w:val="auto"/>
              </w:rPr>
            </w:pPr>
            <w:r>
              <w:rPr>
                <w:rFonts w:ascii="Arial" w:cs="Arial" w:eastAsia="Arial" w:hAnsi="Arial"/>
                <w:sz w:val="17"/>
                <w:szCs w:val="17"/>
                <w:color w:val="auto"/>
              </w:rPr>
              <w:t xml:space="preserve">company </w:t>
            </w:r>
            <w:r>
              <w:rPr>
                <w:rFonts w:ascii="Arial" w:cs="Arial" w:eastAsia="Arial" w:hAnsi="Arial"/>
                <w:sz w:val="28"/>
                <w:szCs w:val="28"/>
                <w:color w:val="auto"/>
                <w:vertAlign w:val="superscript"/>
              </w:rPr>
              <w:t>(a)</w:t>
            </w:r>
          </w:p>
        </w:tc>
        <w:tc>
          <w:tcPr>
            <w:tcW w:w="1600" w:type="dxa"/>
            <w:vAlign w:val="bottom"/>
          </w:tcPr>
          <w:p>
            <w:pPr>
              <w:jc w:val="right"/>
              <w:ind w:right="419"/>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18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19"/>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70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Interest rate swaps</w:t>
            </w: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19"/>
              <w:spacing w:after="0" w:line="225" w:lineRule="exact"/>
              <w:rPr>
                <w:sz w:val="20"/>
                <w:szCs w:val="20"/>
                <w:color w:val="auto"/>
              </w:rPr>
            </w:pPr>
            <w:r>
              <w:rPr>
                <w:rFonts w:ascii="Arial" w:cs="Arial" w:eastAsia="Arial" w:hAnsi="Arial"/>
                <w:sz w:val="16"/>
                <w:szCs w:val="16"/>
                <w:color w:val="auto"/>
              </w:rPr>
              <w:t>4,548</w:t>
            </w:r>
            <w:r>
              <w:rPr>
                <w:rFonts w:ascii="Arial" w:cs="Arial" w:eastAsia="Arial" w:hAnsi="Arial"/>
                <w:sz w:val="26"/>
                <w:szCs w:val="26"/>
                <w:color w:val="auto"/>
                <w:vertAlign w:val="superscript"/>
              </w:rPr>
              <w:t>(c)</w:t>
            </w:r>
          </w:p>
        </w:tc>
        <w:tc>
          <w:tcPr>
            <w:tcW w:w="0" w:type="dxa"/>
            <w:vAlign w:val="bottom"/>
          </w:tcPr>
          <w:p>
            <w:pPr>
              <w:spacing w:after="0"/>
              <w:rPr>
                <w:sz w:val="1"/>
                <w:szCs w:val="1"/>
                <w:color w:val="auto"/>
              </w:rPr>
            </w:pPr>
          </w:p>
        </w:tc>
      </w:tr>
      <w:tr>
        <w:trPr>
          <w:trHeight w:val="221"/>
        </w:trPr>
        <w:tc>
          <w:tcPr>
            <w:tcW w:w="4480" w:type="dxa"/>
            <w:vAlign w:val="bottom"/>
            <w:gridSpan w:val="3"/>
          </w:tcPr>
          <w:p>
            <w:pPr>
              <w:spacing w:after="0"/>
              <w:rPr>
                <w:sz w:val="20"/>
                <w:szCs w:val="20"/>
                <w:color w:val="auto"/>
              </w:rPr>
            </w:pPr>
            <w:r>
              <w:rPr>
                <w:rFonts w:ascii="Arial" w:cs="Arial" w:eastAsia="Arial" w:hAnsi="Arial"/>
                <w:sz w:val="18"/>
                <w:szCs w:val="18"/>
                <w:i w:val="1"/>
                <w:iCs w:val="1"/>
                <w:color w:val="auto"/>
              </w:rPr>
              <w:t>Liabilities: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80" w:type="dxa"/>
            <w:vAlign w:val="bottom"/>
            <w:gridSpan w:val="3"/>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vMerge w:val="restart"/>
          </w:tcPr>
          <w:p>
            <w:pPr>
              <w:ind w:left="520"/>
              <w:spacing w:after="0"/>
              <w:rPr>
                <w:sz w:val="20"/>
                <w:szCs w:val="20"/>
                <w:color w:val="auto"/>
              </w:rPr>
            </w:pPr>
            <w:r>
              <w:rPr>
                <w:rFonts w:ascii="Arial" w:cs="Arial" w:eastAsia="Arial" w:hAnsi="Arial"/>
                <w:sz w:val="18"/>
                <w:szCs w:val="18"/>
                <w:color w:val="auto"/>
              </w:rPr>
              <w:t xml:space="preserve">(5,518) </w:t>
            </w:r>
            <w:r>
              <w:rPr>
                <w:rFonts w:ascii="Arial" w:cs="Arial" w:eastAsia="Arial" w:hAnsi="Arial"/>
                <w:sz w:val="30"/>
                <w:szCs w:val="30"/>
                <w:color w:val="auto"/>
                <w:vertAlign w:val="superscript"/>
              </w:rPr>
              <w:t>(b)</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4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vMerge w:val="continue"/>
          </w:tcPr>
          <w:p>
            <w:pPr>
              <w:spacing w:after="0"/>
              <w:rPr>
                <w:sz w:val="24"/>
                <w:szCs w:val="24"/>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9861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321" w:lineRule="exact"/>
        <w:rPr>
          <w:sz w:val="20"/>
          <w:szCs w:val="20"/>
          <w:color w:val="auto"/>
        </w:rPr>
      </w:pPr>
    </w:p>
    <w:p>
      <w:pPr>
        <w:ind w:left="700" w:hanging="692"/>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Original cost basis $0.5 million.</w:t>
      </w:r>
    </w:p>
    <w:p>
      <w:pPr>
        <w:ind w:left="700" w:hanging="692"/>
        <w:spacing w:after="0" w:line="23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of $15.2 million receivable floating leg and $20.7 million liability fixed leg.</w:t>
      </w:r>
    </w:p>
    <w:p>
      <w:pPr>
        <w:ind w:left="700" w:hanging="692"/>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of $32.0 million receivable floating leg and $27.5 million liability fixed leg.</w:t>
      </w:r>
    </w:p>
    <w:p>
      <w:pPr>
        <w:spacing w:after="0" w:line="104" w:lineRule="exact"/>
        <w:rPr>
          <w:sz w:val="20"/>
          <w:szCs w:val="20"/>
          <w:color w:val="auto"/>
        </w:rPr>
      </w:pPr>
    </w:p>
    <w:p>
      <w:pPr>
        <w:ind w:right="460" w:firstLine="37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Fair-Value Measurements — (continued)</w:t>
      </w:r>
    </w:p>
    <w:p>
      <w:pPr>
        <w:spacing w:after="0" w:line="126" w:lineRule="exact"/>
        <w:rPr>
          <w:sz w:val="20"/>
          <w:szCs w:val="20"/>
          <w:color w:val="auto"/>
        </w:rPr>
      </w:pPr>
    </w:p>
    <w:p>
      <w:pPr>
        <w:ind w:right="400" w:firstLine="378"/>
        <w:spacing w:after="0"/>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95" w:lineRule="exact"/>
        <w:rPr>
          <w:sz w:val="20"/>
          <w:szCs w:val="20"/>
          <w:color w:val="auto"/>
        </w:rPr>
      </w:pPr>
    </w:p>
    <w:p>
      <w:pPr>
        <w:ind w:right="240" w:firstLine="378"/>
        <w:spacing w:after="0" w:line="23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95" w:lineRule="exact"/>
        <w:rPr>
          <w:sz w:val="20"/>
          <w:szCs w:val="20"/>
          <w:color w:val="auto"/>
        </w:rPr>
      </w:pPr>
    </w:p>
    <w:p>
      <w:pPr>
        <w:ind w:right="440" w:firstLine="37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95" w:lineRule="exact"/>
        <w:rPr>
          <w:sz w:val="20"/>
          <w:szCs w:val="20"/>
          <w:color w:val="auto"/>
        </w:rPr>
      </w:pPr>
    </w:p>
    <w:p>
      <w:pPr>
        <w:ind w:right="60" w:firstLine="37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cash, intercompany (recorded in Other (income)/expense, net) or third-party trade (recorded in selling, general and administrative expenses) receivable or payable balances in a currency other than their local reporting (or functional) currency.</w:t>
      </w:r>
    </w:p>
    <w:p>
      <w:pPr>
        <w:spacing w:after="0" w:line="94" w:lineRule="exact"/>
        <w:rPr>
          <w:sz w:val="20"/>
          <w:szCs w:val="20"/>
          <w:color w:val="auto"/>
        </w:rPr>
      </w:pPr>
    </w:p>
    <w:p>
      <w:pPr>
        <w:ind w:right="200" w:firstLine="37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94" w:lineRule="exact"/>
        <w:rPr>
          <w:sz w:val="20"/>
          <w:szCs w:val="20"/>
          <w:color w:val="auto"/>
        </w:rPr>
      </w:pPr>
    </w:p>
    <w:p>
      <w:pPr>
        <w:ind w:right="60" w:firstLine="37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December 31, 2019,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($0.6) million in 2019, $0.5 million in 2018 and $0.8 million in 2017. Additionally, non-cash interest income related to the amortization of swap buyouts totaled $0.5 million in 2019, $0.6 million in 2018, and $0.7 million in 2017, and is expected to reduce interest expense by $1.3 million in 2020.</w:t>
      </w:r>
    </w:p>
    <w:p>
      <w:pPr>
        <w:spacing w:after="0" w:line="99" w:lineRule="exact"/>
        <w:rPr>
          <w:sz w:val="20"/>
          <w:szCs w:val="20"/>
          <w:color w:val="auto"/>
        </w:rPr>
      </w:pPr>
    </w:p>
    <w:p>
      <w:pPr>
        <w:ind w:right="800" w:firstLine="378"/>
        <w:spacing w:after="0" w:line="246" w:lineRule="auto"/>
        <w:rPr>
          <w:sz w:val="20"/>
          <w:szCs w:val="20"/>
          <w:color w:val="auto"/>
        </w:rPr>
      </w:pPr>
      <w:r>
        <w:rPr>
          <w:rFonts w:ascii="Arial" w:cs="Arial" w:eastAsia="Arial" w:hAnsi="Arial"/>
          <w:sz w:val="18"/>
          <w:szCs w:val="18"/>
          <w:color w:val="auto"/>
        </w:rPr>
        <w:t>Gains/(losses) related to changes in fair value of derivative instruments not designated as a hedge that were recognized in Other (income)/expense, net in the Consolidated Statements of Income were as follows:</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Years ended December 31,</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60" w:type="dxa"/>
            <w:vAlign w:val="bottom"/>
            <w:gridSpan w:val="3"/>
            <w:vMerge w:val="continue"/>
          </w:tcPr>
          <w:p>
            <w:pPr>
              <w:spacing w:after="0"/>
              <w:rPr>
                <w:sz w:val="14"/>
                <w:szCs w:val="14"/>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1240" w:type="dxa"/>
            <w:vAlign w:val="bottom"/>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Derivatives not designated as hedging instruments</w:t>
            </w:r>
          </w:p>
        </w:tc>
        <w:tc>
          <w:tcPr>
            <w:tcW w:w="340" w:type="dxa"/>
            <w:vAlign w:val="bottom"/>
          </w:tcPr>
          <w:p>
            <w:pPr>
              <w:spacing w:after="0"/>
              <w:rPr>
                <w:sz w:val="16"/>
                <w:szCs w:val="16"/>
                <w:color w:val="auto"/>
              </w:rPr>
            </w:pP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 —</w:t>
            </w:r>
          </w:p>
        </w:tc>
        <w:tc>
          <w:tcPr>
            <w:tcW w:w="3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Foreign currency options gains/(losses)</w:t>
            </w:r>
          </w:p>
        </w:tc>
        <w:tc>
          <w:tcPr>
            <w:tcW w:w="1240" w:type="dxa"/>
            <w:vAlign w:val="bottom"/>
            <w:vMerge w:val="continue"/>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Noncurrent Liabilities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and 2018, Other Noncurrent Liabilities consisted of the following:</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173"/>
        </w:trPr>
        <w:tc>
          <w:tcPr>
            <w:tcW w:w="20" w:type="dxa"/>
            <w:vAlign w:val="bottom"/>
          </w:tcPr>
          <w:p>
            <w:pPr>
              <w:spacing w:after="0"/>
              <w:rPr>
                <w:sz w:val="15"/>
                <w:szCs w:val="15"/>
                <w:color w:val="auto"/>
              </w:rPr>
            </w:pPr>
          </w:p>
        </w:tc>
        <w:tc>
          <w:tcPr>
            <w:tcW w:w="72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Postretirement benefits other than pensions</w:t>
            </w:r>
          </w:p>
        </w:tc>
        <w:tc>
          <w:tcPr>
            <w:tcW w:w="300" w:type="dxa"/>
            <w:vAlign w:val="bottom"/>
          </w:tcPr>
          <w:p>
            <w:pPr>
              <w:spacing w:after="0"/>
              <w:rPr>
                <w:sz w:val="15"/>
                <w:szCs w:val="15"/>
                <w:color w:val="auto"/>
              </w:rPr>
            </w:pPr>
          </w:p>
        </w:tc>
        <w:tc>
          <w:tcPr>
            <w:tcW w:w="1240" w:type="dxa"/>
            <w:vAlign w:val="bottom"/>
            <w:tcBorders>
              <w:top w:val="single" w:sz="8" w:color="auto"/>
            </w:tcBorders>
          </w:tcPr>
          <w:p>
            <w:pPr>
              <w:jc w:val="right"/>
              <w:ind w:right="172"/>
              <w:spacing w:after="0" w:line="173" w:lineRule="exact"/>
              <w:rPr>
                <w:sz w:val="20"/>
                <w:szCs w:val="20"/>
                <w:color w:val="auto"/>
              </w:rPr>
            </w:pPr>
            <w:r>
              <w:rPr>
                <w:rFonts w:ascii="Arial" w:cs="Arial" w:eastAsia="Arial" w:hAnsi="Arial"/>
                <w:sz w:val="18"/>
                <w:szCs w:val="18"/>
                <w:b w:val="1"/>
                <w:bCs w:val="1"/>
                <w:color w:val="auto"/>
              </w:rPr>
              <w:t>$ 50,576</w:t>
            </w:r>
          </w:p>
        </w:tc>
        <w:tc>
          <w:tcPr>
            <w:tcW w:w="3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rPr>
              <w:t>$47,237</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Pension liabilities</w:t>
            </w: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34,638</w:t>
            </w:r>
          </w:p>
        </w:tc>
        <w:tc>
          <w:tcPr>
            <w:tcW w:w="32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34,590</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Finance leases</w:t>
            </w: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22,700</w:t>
            </w:r>
          </w:p>
        </w:tc>
        <w:tc>
          <w:tcPr>
            <w:tcW w:w="320" w:type="dxa"/>
            <w:vAlign w:val="bottom"/>
          </w:tcPr>
          <w:p>
            <w:pPr>
              <w:spacing w:after="0"/>
              <w:rPr>
                <w:sz w:val="17"/>
                <w:szCs w:val="17"/>
                <w:color w:val="auto"/>
              </w:rPr>
            </w:pP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Operating leases</w:t>
            </w: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14,386</w:t>
            </w:r>
          </w:p>
        </w:tc>
        <w:tc>
          <w:tcPr>
            <w:tcW w:w="320" w:type="dxa"/>
            <w:vAlign w:val="bottom"/>
          </w:tcPr>
          <w:p>
            <w:pPr>
              <w:spacing w:after="0"/>
              <w:rPr>
                <w:sz w:val="17"/>
                <w:szCs w:val="17"/>
                <w:color w:val="auto"/>
              </w:rPr>
            </w:pP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5,518</w:t>
            </w:r>
          </w:p>
        </w:tc>
        <w:tc>
          <w:tcPr>
            <w:tcW w:w="320" w:type="dxa"/>
            <w:vAlign w:val="bottom"/>
          </w:tcPr>
          <w:p>
            <w:pPr>
              <w:spacing w:after="0"/>
              <w:rPr>
                <w:sz w:val="17"/>
                <w:szCs w:val="17"/>
                <w:color w:val="auto"/>
              </w:rPr>
            </w:pP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Incentive and deferred compensation</w:t>
            </w: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2,925</w:t>
            </w:r>
          </w:p>
        </w:tc>
        <w:tc>
          <w:tcPr>
            <w:tcW w:w="32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3,810</w:t>
            </w: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1,282</w:t>
            </w:r>
          </w:p>
        </w:tc>
        <w:tc>
          <w:tcPr>
            <w:tcW w:w="32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2,540</w:t>
            </w:r>
          </w:p>
        </w:tc>
      </w:tr>
      <w:tr>
        <w:trPr>
          <w:trHeight w:val="225"/>
        </w:trPr>
        <w:tc>
          <w:tcPr>
            <w:tcW w:w="7600" w:type="dxa"/>
            <w:vAlign w:val="bottom"/>
            <w:gridSpan w:val="3"/>
          </w:tcPr>
          <w:p>
            <w:pPr>
              <w:spacing w:after="0"/>
              <w:rPr>
                <w:sz w:val="20"/>
                <w:szCs w:val="20"/>
                <w:color w:val="auto"/>
              </w:rPr>
            </w:pPr>
            <w:r>
              <w:rPr>
                <w:rFonts w:ascii="Arial" w:cs="Arial" w:eastAsia="Arial" w:hAnsi="Arial"/>
                <w:sz w:val="18"/>
                <w:szCs w:val="18"/>
                <w:color w:val="auto"/>
              </w:rPr>
              <w:t>Restructuring</w:t>
            </w: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700</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100</w:t>
            </w:r>
          </w:p>
        </w:tc>
      </w:tr>
      <w:tr>
        <w:trPr>
          <w:trHeight w:val="196"/>
        </w:trPr>
        <w:tc>
          <w:tcPr>
            <w:tcW w:w="760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$132,725</w:t>
            </w: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$88,277</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78"/>
        <w:spacing w:after="0"/>
        <w:rPr>
          <w:sz w:val="20"/>
          <w:szCs w:val="20"/>
          <w:color w:val="auto"/>
        </w:rPr>
      </w:pPr>
      <w:r>
        <w:rPr>
          <w:rFonts w:ascii="Arial" w:cs="Arial" w:eastAsia="Arial" w:hAnsi="Arial"/>
          <w:sz w:val="18"/>
          <w:szCs w:val="18"/>
          <w:color w:val="auto"/>
        </w:rPr>
        <w:t>The increase in Other Noncurrent liabilities in 2019 was in part due to the cumulative effect of adopting ASC 842 (see Note 20) which upon adoption, increased Other Noncurrent liabilities by $28.0 million. For the year ended December 31, 2019 lease liabilities included in Other noncurrent liabilities are comprised of Finance and Operating leases, and account for an increase over December 31, 2018 of $37.1 million.</w:t>
      </w:r>
    </w:p>
    <w:p>
      <w:pPr>
        <w:spacing w:after="0" w:line="95" w:lineRule="exact"/>
        <w:rPr>
          <w:sz w:val="20"/>
          <w:szCs w:val="20"/>
          <w:color w:val="auto"/>
        </w:rPr>
      </w:pPr>
    </w:p>
    <w:p>
      <w:pPr>
        <w:jc w:val="both"/>
        <w:ind w:right="280" w:firstLine="378"/>
        <w:spacing w:after="0" w:line="239" w:lineRule="auto"/>
        <w:rPr>
          <w:sz w:val="20"/>
          <w:szCs w:val="20"/>
          <w:color w:val="auto"/>
        </w:rPr>
      </w:pPr>
      <w:r>
        <w:rPr>
          <w:rFonts w:ascii="Arial" w:cs="Arial" w:eastAsia="Arial" w:hAnsi="Arial"/>
          <w:sz w:val="18"/>
          <w:szCs w:val="18"/>
          <w:color w:val="auto"/>
        </w:rPr>
        <w:t>Our interest rate swap agreements which are accounted for as a hedge of future cash flows and are further described in Note 18, Fair-Value Measurements, are measured at fair value each period. As of December 31, 2019 the fair value was a liability of $5.5 million, which is reflected in Other noncurrent liabilities, and as of December 31, 2018 the fair value was an asset of $4.5 million, which is reflected in Other assets.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w:t>
      </w:r>
    </w:p>
    <w:p>
      <w:pPr>
        <w:spacing w:after="0" w:line="126" w:lineRule="exact"/>
        <w:rPr>
          <w:sz w:val="20"/>
          <w:szCs w:val="20"/>
          <w:color w:val="auto"/>
        </w:rPr>
      </w:pPr>
    </w:p>
    <w:p>
      <w:pPr>
        <w:ind w:firstLine="378"/>
        <w:spacing w:after="0"/>
        <w:rPr>
          <w:sz w:val="20"/>
          <w:szCs w:val="20"/>
          <w:color w:val="auto"/>
        </w:rPr>
      </w:pPr>
      <w:r>
        <w:rPr>
          <w:rFonts w:ascii="Arial" w:cs="Arial" w:eastAsia="Arial" w:hAnsi="Arial"/>
          <w:sz w:val="18"/>
          <w:szCs w:val="18"/>
          <w:color w:val="auto"/>
        </w:rPr>
        <w:t>Effective January 1, 2019, we adopted the provisions of ASC 842, Leases, using the effective date (or modified retrospective) approach for transition. Under this transition method, periods prior to 2019 have not been restated and the cumulative effect of initially applying the new standard was recorded as an adjustment to Retained earnings at January 1, 2019.</w:t>
      </w:r>
    </w:p>
    <w:p>
      <w:pPr>
        <w:spacing w:after="0" w:line="95" w:lineRule="exact"/>
        <w:rPr>
          <w:sz w:val="20"/>
          <w:szCs w:val="20"/>
          <w:color w:val="auto"/>
        </w:rPr>
      </w:pPr>
    </w:p>
    <w:p>
      <w:pPr>
        <w:ind w:right="120" w:firstLine="378"/>
        <w:spacing w:after="0" w:line="237" w:lineRule="auto"/>
        <w:rPr>
          <w:sz w:val="20"/>
          <w:szCs w:val="20"/>
          <w:color w:val="auto"/>
        </w:rPr>
      </w:pPr>
      <w:r>
        <w:rPr>
          <w:rFonts w:ascii="Arial" w:cs="Arial" w:eastAsia="Arial" w:hAnsi="Arial"/>
          <w:sz w:val="18"/>
          <w:szCs w:val="18"/>
          <w:color w:val="auto"/>
        </w:rPr>
        <w:t>The most significant impact resulting from the adoption of the new standard was the recognition of right of use assets and lease liabilities for operating leases on our balance sheet for our real estate and automobile operating leases, in addition to the derecognition and reassessment of assets and liabilities related to our primary manufacturing facility in Salt Lake City, Utah (SLC lease), which had been accounted for as a build-to-suit lease with a failed sale leaseback. For that lease, transitional guidance required the derecognition of existing assets and liabilities and a reassessment of lease classification. We determined that the lease met the criteria for recording as a finance lease and we determined the January 1, 2019 values of the ROU asset and lease liability on the basis of that reassessment. The change in the SLC lease-related assets and liabilities resulted in a $0.3 million pre-tax reduction to retained earnings at the date of adoption.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 — (continued)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presents the cumulative effect of changes made to our December 31, 2018 Balance Sheet as a result of the adoption of</w:t>
      </w:r>
    </w:p>
    <w:p>
      <w:pPr>
        <w:spacing w:after="0"/>
        <w:rPr>
          <w:sz w:val="20"/>
          <w:szCs w:val="20"/>
          <w:color w:val="auto"/>
        </w:rPr>
      </w:pPr>
      <w:r>
        <w:rPr>
          <w:rFonts w:ascii="Arial" w:cs="Arial" w:eastAsia="Arial" w:hAnsi="Arial"/>
          <w:sz w:val="18"/>
          <w:szCs w:val="18"/>
          <w:color w:val="auto"/>
        </w:rPr>
        <w:t>ASC 842, Leases: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18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6"/>
              </w:rPr>
              <w:t>As previously reported at</w:t>
            </w:r>
          </w:p>
        </w:tc>
        <w:tc>
          <w:tcPr>
            <w:tcW w:w="1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Adjustments Increase/</w:t>
            </w:r>
          </w:p>
        </w:tc>
        <w:tc>
          <w:tcPr>
            <w:tcW w:w="1700" w:type="dxa"/>
            <w:vAlign w:val="bottom"/>
            <w:gridSpan w:val="2"/>
          </w:tcPr>
          <w:p>
            <w:pPr>
              <w:jc w:val="right"/>
              <w:ind w:right="168"/>
              <w:spacing w:after="0"/>
              <w:rPr>
                <w:sz w:val="20"/>
                <w:szCs w:val="20"/>
                <w:color w:val="auto"/>
              </w:rPr>
            </w:pPr>
            <w:r>
              <w:rPr>
                <w:rFonts w:ascii="Arial" w:cs="Arial" w:eastAsia="Arial" w:hAnsi="Arial"/>
                <w:sz w:val="13"/>
                <w:szCs w:val="13"/>
                <w:b w:val="1"/>
                <w:bCs w:val="1"/>
                <w:color w:val="auto"/>
              </w:rPr>
              <w:t>Opening balance, as</w:t>
            </w:r>
          </w:p>
        </w:tc>
        <w:tc>
          <w:tcPr>
            <w:tcW w:w="0" w:type="dxa"/>
            <w:vAlign w:val="bottom"/>
          </w:tcPr>
          <w:p>
            <w:pPr>
              <w:spacing w:after="0"/>
              <w:rPr>
                <w:sz w:val="1"/>
                <w:szCs w:val="1"/>
                <w:color w:val="auto"/>
              </w:rPr>
            </w:pPr>
          </w:p>
        </w:tc>
      </w:tr>
      <w:tr>
        <w:trPr>
          <w:trHeight w:val="157"/>
        </w:trPr>
        <w:tc>
          <w:tcPr>
            <w:tcW w:w="608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1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December 31, 2018</w:t>
            </w:r>
          </w:p>
        </w:tc>
        <w:tc>
          <w:tcPr>
            <w:tcW w:w="1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(decrease)</w:t>
            </w:r>
          </w:p>
        </w:tc>
        <w:tc>
          <w:tcPr>
            <w:tcW w:w="170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adjusted, January 1, 2019</w:t>
            </w:r>
          </w:p>
        </w:tc>
        <w:tc>
          <w:tcPr>
            <w:tcW w:w="0" w:type="dxa"/>
            <w:vAlign w:val="bottom"/>
          </w:tcPr>
          <w:p>
            <w:pPr>
              <w:spacing w:after="0"/>
              <w:rPr>
                <w:sz w:val="1"/>
                <w:szCs w:val="1"/>
                <w:color w:val="auto"/>
              </w:rPr>
            </w:pPr>
          </w:p>
        </w:tc>
      </w:tr>
      <w:tr>
        <w:trPr>
          <w:trHeight w:val="147"/>
        </w:trPr>
        <w:tc>
          <w:tcPr>
            <w:tcW w:w="6080" w:type="dxa"/>
            <w:vAlign w:val="bottom"/>
            <w:vMerge w:val="continue"/>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197,755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197,755</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223,176</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223,176</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Contract assets</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57,447</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57,447</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85,904</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85,904</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Income taxes prepaid and receivable</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7,473</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7,473</w:t>
            </w:r>
          </w:p>
        </w:tc>
        <w:tc>
          <w:tcPr>
            <w:tcW w:w="0" w:type="dxa"/>
            <w:vAlign w:val="bottom"/>
          </w:tcPr>
          <w:p>
            <w:pPr>
              <w:spacing w:after="0"/>
              <w:rPr>
                <w:sz w:val="1"/>
                <w:szCs w:val="1"/>
                <w:color w:val="auto"/>
              </w:rPr>
            </w:pPr>
          </w:p>
        </w:tc>
      </w:tr>
      <w:tr>
        <w:trPr>
          <w:trHeight w:val="157"/>
        </w:trPr>
        <w:tc>
          <w:tcPr>
            <w:tcW w:w="6080" w:type="dxa"/>
            <w:vAlign w:val="bottom"/>
          </w:tcPr>
          <w:p>
            <w:pPr>
              <w:ind w:left="180"/>
              <w:spacing w:after="0" w:line="157" w:lineRule="exact"/>
              <w:rPr>
                <w:sz w:val="20"/>
                <w:szCs w:val="20"/>
                <w:color w:val="auto"/>
              </w:rPr>
            </w:pPr>
            <w:r>
              <w:rPr>
                <w:rFonts w:ascii="Arial" w:cs="Arial" w:eastAsia="Arial" w:hAnsi="Arial"/>
                <w:sz w:val="14"/>
                <w:szCs w:val="14"/>
                <w:color w:val="auto"/>
              </w:rPr>
              <w:t>Prepaid expenses and other current assets</w:t>
            </w: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8"/>
              <w:spacing w:after="0" w:line="157" w:lineRule="exact"/>
              <w:rPr>
                <w:sz w:val="20"/>
                <w:szCs w:val="20"/>
                <w:color w:val="auto"/>
              </w:rPr>
            </w:pPr>
            <w:r>
              <w:rPr>
                <w:rFonts w:ascii="Arial" w:cs="Arial" w:eastAsia="Arial" w:hAnsi="Arial"/>
                <w:sz w:val="14"/>
                <w:szCs w:val="14"/>
                <w:color w:val="auto"/>
              </w:rPr>
              <w:t>21,294</w:t>
            </w: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7" w:lineRule="exact"/>
              <w:rPr>
                <w:sz w:val="20"/>
                <w:szCs w:val="20"/>
                <w:color w:val="auto"/>
              </w:rPr>
            </w:pPr>
            <w:r>
              <w:rPr>
                <w:rFonts w:ascii="Arial" w:cs="Arial" w:eastAsia="Arial" w:hAnsi="Arial"/>
                <w:sz w:val="14"/>
                <w:szCs w:val="14"/>
                <w:color w:val="auto"/>
              </w:rPr>
              <w:t>(370)</w:t>
            </w: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8"/>
              <w:spacing w:after="0" w:line="157" w:lineRule="exact"/>
              <w:rPr>
                <w:sz w:val="20"/>
                <w:szCs w:val="20"/>
                <w:color w:val="auto"/>
              </w:rPr>
            </w:pPr>
            <w:r>
              <w:rPr>
                <w:rFonts w:ascii="Arial" w:cs="Arial" w:eastAsia="Arial" w:hAnsi="Arial"/>
                <w:sz w:val="14"/>
                <w:szCs w:val="14"/>
                <w:color w:val="auto"/>
              </w:rPr>
              <w:t>20,924</w:t>
            </w:r>
          </w:p>
        </w:tc>
        <w:tc>
          <w:tcPr>
            <w:tcW w:w="0" w:type="dxa"/>
            <w:vAlign w:val="bottom"/>
          </w:tcPr>
          <w:p>
            <w:pPr>
              <w:spacing w:after="0"/>
              <w:rPr>
                <w:sz w:val="1"/>
                <w:szCs w:val="1"/>
                <w:color w:val="auto"/>
              </w:rPr>
            </w:pPr>
          </w:p>
        </w:tc>
      </w:tr>
      <w:tr>
        <w:trPr>
          <w:trHeight w:val="171"/>
        </w:trPr>
        <w:tc>
          <w:tcPr>
            <w:tcW w:w="608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593,049</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592,679</w:t>
            </w:r>
          </w:p>
        </w:tc>
        <w:tc>
          <w:tcPr>
            <w:tcW w:w="0" w:type="dxa"/>
            <w:vAlign w:val="bottom"/>
          </w:tcPr>
          <w:p>
            <w:pPr>
              <w:spacing w:after="0"/>
              <w:rPr>
                <w:sz w:val="1"/>
                <w:szCs w:val="1"/>
                <w:color w:val="auto"/>
              </w:rPr>
            </w:pPr>
          </w:p>
        </w:tc>
      </w:tr>
      <w:tr>
        <w:trPr>
          <w:trHeight w:val="314"/>
        </w:trPr>
        <w:tc>
          <w:tcPr>
            <w:tcW w:w="6080" w:type="dxa"/>
            <w:vAlign w:val="bottom"/>
          </w:tcPr>
          <w:p>
            <w:pPr>
              <w:ind w:left="180"/>
              <w:spacing w:after="0"/>
              <w:rPr>
                <w:sz w:val="20"/>
                <w:szCs w:val="20"/>
                <w:color w:val="auto"/>
              </w:rPr>
            </w:pPr>
            <w:r>
              <w:rPr>
                <w:rFonts w:ascii="Arial" w:cs="Arial" w:eastAsia="Arial" w:hAnsi="Arial"/>
                <w:sz w:val="14"/>
                <w:szCs w:val="14"/>
                <w:color w:val="auto"/>
              </w:rPr>
              <w:t>Property, plant and equipment, net</w:t>
            </w:r>
          </w:p>
        </w:tc>
        <w:tc>
          <w:tcPr>
            <w:tcW w:w="620" w:type="dxa"/>
            <w:vAlign w:val="bottom"/>
          </w:tcPr>
          <w:p>
            <w:pPr>
              <w:spacing w:after="0"/>
              <w:rPr>
                <w:sz w:val="24"/>
                <w:szCs w:val="2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462,055</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(6,144)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455,911</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Intangibles, net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49,206</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49,206</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Goodwill</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164,382</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164,382</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62,622</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62,602</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Noncurrent receivables</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45,061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45,061</w:t>
            </w:r>
          </w:p>
        </w:tc>
        <w:tc>
          <w:tcPr>
            <w:tcW w:w="0" w:type="dxa"/>
            <w:vAlign w:val="bottom"/>
          </w:tcPr>
          <w:p>
            <w:pPr>
              <w:spacing w:after="0"/>
              <w:rPr>
                <w:sz w:val="1"/>
                <w:szCs w:val="1"/>
                <w:color w:val="auto"/>
              </w:rPr>
            </w:pPr>
          </w:p>
        </w:tc>
      </w:tr>
      <w:tr>
        <w:trPr>
          <w:trHeight w:val="157"/>
        </w:trPr>
        <w:tc>
          <w:tcPr>
            <w:tcW w:w="6080" w:type="dxa"/>
            <w:vAlign w:val="bottom"/>
          </w:tcPr>
          <w:p>
            <w:pPr>
              <w:ind w:left="180"/>
              <w:spacing w:after="0" w:line="157" w:lineRule="exact"/>
              <w:rPr>
                <w:sz w:val="20"/>
                <w:szCs w:val="20"/>
                <w:color w:val="auto"/>
              </w:rPr>
            </w:pPr>
            <w:r>
              <w:rPr>
                <w:rFonts w:ascii="Arial" w:cs="Arial" w:eastAsia="Arial" w:hAnsi="Arial"/>
                <w:sz w:val="14"/>
                <w:szCs w:val="14"/>
                <w:color w:val="auto"/>
              </w:rPr>
              <w:t>Other assets</w:t>
            </w: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8"/>
              <w:spacing w:after="0" w:line="157" w:lineRule="exact"/>
              <w:rPr>
                <w:sz w:val="20"/>
                <w:szCs w:val="20"/>
                <w:color w:val="auto"/>
              </w:rPr>
            </w:pPr>
            <w:r>
              <w:rPr>
                <w:rFonts w:ascii="Arial" w:cs="Arial" w:eastAsia="Arial" w:hAnsi="Arial"/>
                <w:sz w:val="14"/>
                <w:szCs w:val="14"/>
                <w:color w:val="auto"/>
              </w:rPr>
              <w:t>41,617</w:t>
            </w: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08"/>
              <w:spacing w:after="0" w:line="157" w:lineRule="exact"/>
              <w:rPr>
                <w:sz w:val="20"/>
                <w:szCs w:val="20"/>
                <w:color w:val="auto"/>
              </w:rPr>
            </w:pPr>
            <w:r>
              <w:rPr>
                <w:rFonts w:ascii="Arial" w:cs="Arial" w:eastAsia="Arial" w:hAnsi="Arial"/>
                <w:sz w:val="14"/>
                <w:szCs w:val="14"/>
                <w:color w:val="auto"/>
              </w:rPr>
              <w:t>13,615</w:t>
            </w: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8"/>
              <w:spacing w:after="0" w:line="157" w:lineRule="exact"/>
              <w:rPr>
                <w:sz w:val="20"/>
                <w:szCs w:val="20"/>
                <w:color w:val="auto"/>
              </w:rPr>
            </w:pPr>
            <w:r>
              <w:rPr>
                <w:rFonts w:ascii="Arial" w:cs="Arial" w:eastAsia="Arial" w:hAnsi="Arial"/>
                <w:sz w:val="14"/>
                <w:szCs w:val="14"/>
                <w:color w:val="auto"/>
              </w:rPr>
              <w:t>55,232</w:t>
            </w:r>
          </w:p>
        </w:tc>
        <w:tc>
          <w:tcPr>
            <w:tcW w:w="0" w:type="dxa"/>
            <w:vAlign w:val="bottom"/>
          </w:tcPr>
          <w:p>
            <w:pPr>
              <w:spacing w:after="0"/>
              <w:rPr>
                <w:sz w:val="1"/>
                <w:szCs w:val="1"/>
                <w:color w:val="auto"/>
              </w:rPr>
            </w:pPr>
          </w:p>
        </w:tc>
      </w:tr>
      <w:tr>
        <w:trPr>
          <w:trHeight w:val="156"/>
        </w:trPr>
        <w:tc>
          <w:tcPr>
            <w:tcW w:w="6080" w:type="dxa"/>
            <w:vAlign w:val="bottom"/>
          </w:tcPr>
          <w:p>
            <w:pPr>
              <w:ind w:left="360"/>
              <w:spacing w:after="0" w:line="155" w:lineRule="exact"/>
              <w:rPr>
                <w:sz w:val="20"/>
                <w:szCs w:val="20"/>
                <w:color w:val="auto"/>
              </w:rPr>
            </w:pPr>
            <w:r>
              <w:rPr>
                <w:rFonts w:ascii="Arial" w:cs="Arial" w:eastAsia="Arial" w:hAnsi="Arial"/>
                <w:sz w:val="14"/>
                <w:szCs w:val="14"/>
                <w:color w:val="auto"/>
              </w:rPr>
              <w:t>Total assets</w:t>
            </w:r>
          </w:p>
        </w:tc>
        <w:tc>
          <w:tcPr>
            <w:tcW w:w="1700" w:type="dxa"/>
            <w:vAlign w:val="bottom"/>
            <w:tcBorders>
              <w:bottom w:val="single" w:sz="8" w:color="auto"/>
            </w:tcBorders>
            <w:gridSpan w:val="2"/>
          </w:tcPr>
          <w:p>
            <w:pPr>
              <w:jc w:val="right"/>
              <w:ind w:right="428"/>
              <w:spacing w:after="0" w:line="155" w:lineRule="exact"/>
              <w:rPr>
                <w:sz w:val="20"/>
                <w:szCs w:val="20"/>
                <w:color w:val="auto"/>
              </w:rPr>
            </w:pPr>
            <w:r>
              <w:rPr>
                <w:rFonts w:ascii="Arial" w:cs="Arial" w:eastAsia="Arial" w:hAnsi="Arial"/>
                <w:sz w:val="14"/>
                <w:szCs w:val="14"/>
                <w:color w:val="auto"/>
              </w:rPr>
              <w:t>$1,417,992</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7,081</w:t>
            </w:r>
          </w:p>
        </w:tc>
        <w:tc>
          <w:tcPr>
            <w:tcW w:w="100" w:type="dxa"/>
            <w:vAlign w:val="bottom"/>
          </w:tcPr>
          <w:p>
            <w:pPr>
              <w:spacing w:after="0"/>
              <w:rPr>
                <w:sz w:val="13"/>
                <w:szCs w:val="13"/>
                <w:color w:val="auto"/>
              </w:rPr>
            </w:pPr>
          </w:p>
        </w:tc>
        <w:tc>
          <w:tcPr>
            <w:tcW w:w="1700" w:type="dxa"/>
            <w:vAlign w:val="bottom"/>
            <w:tcBorders>
              <w:bottom w:val="single" w:sz="8" w:color="auto"/>
            </w:tcBorders>
            <w:gridSpan w:val="2"/>
          </w:tcPr>
          <w:p>
            <w:pPr>
              <w:jc w:val="right"/>
              <w:ind w:right="428"/>
              <w:spacing w:after="0" w:line="155" w:lineRule="exact"/>
              <w:rPr>
                <w:sz w:val="20"/>
                <w:szCs w:val="20"/>
                <w:color w:val="auto"/>
              </w:rPr>
            </w:pPr>
            <w:r>
              <w:rPr>
                <w:rFonts w:ascii="Arial" w:cs="Arial" w:eastAsia="Arial" w:hAnsi="Arial"/>
                <w:sz w:val="14"/>
                <w:szCs w:val="14"/>
                <w:color w:val="auto"/>
              </w:rPr>
              <w:t>$1,425,073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4"/>
                <w:szCs w:val="14"/>
                <w:color w:val="auto"/>
              </w:rPr>
              <w:t>LIABILITIES AND SHAREHOLDERS' EQUITY</w:t>
            </w: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Notes and loans payable</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52,246</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52,246</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Accrued liabilities</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129,030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508"/>
              <w:spacing w:after="0"/>
              <w:rPr>
                <w:sz w:val="20"/>
                <w:szCs w:val="20"/>
                <w:color w:val="auto"/>
              </w:rPr>
            </w:pPr>
            <w:r>
              <w:rPr>
                <w:rFonts w:ascii="Arial" w:cs="Arial" w:eastAsia="Arial" w:hAnsi="Arial"/>
                <w:sz w:val="14"/>
                <w:szCs w:val="14"/>
                <w:color w:val="auto"/>
              </w:rPr>
              <w:t>4,964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133,994</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Current maturities of long-term debt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6080" w:type="dxa"/>
            <w:vAlign w:val="bottom"/>
          </w:tcPr>
          <w:p>
            <w:pPr>
              <w:ind w:left="180"/>
              <w:spacing w:after="0" w:line="157" w:lineRule="exact"/>
              <w:rPr>
                <w:sz w:val="20"/>
                <w:szCs w:val="20"/>
                <w:color w:val="auto"/>
              </w:rPr>
            </w:pPr>
            <w:r>
              <w:rPr>
                <w:rFonts w:ascii="Arial" w:cs="Arial" w:eastAsia="Arial" w:hAnsi="Arial"/>
                <w:sz w:val="14"/>
                <w:szCs w:val="14"/>
                <w:color w:val="auto"/>
              </w:rPr>
              <w:t>Income taxes payable</w:t>
            </w:r>
          </w:p>
        </w:tc>
        <w:tc>
          <w:tcPr>
            <w:tcW w:w="620" w:type="dxa"/>
            <w:vAlign w:val="bottom"/>
          </w:tcPr>
          <w:p>
            <w:pPr>
              <w:spacing w:after="0"/>
              <w:rPr>
                <w:sz w:val="13"/>
                <w:szCs w:val="13"/>
                <w:color w:val="auto"/>
              </w:rPr>
            </w:pPr>
          </w:p>
        </w:tc>
        <w:tc>
          <w:tcPr>
            <w:tcW w:w="108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6,806</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gridSpan w:val="2"/>
          </w:tcPr>
          <w:p>
            <w:pPr>
              <w:jc w:val="right"/>
              <w:ind w:right="70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8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6,806</w:t>
            </w:r>
          </w:p>
        </w:tc>
        <w:tc>
          <w:tcPr>
            <w:tcW w:w="0" w:type="dxa"/>
            <w:vAlign w:val="bottom"/>
          </w:tcPr>
          <w:p>
            <w:pPr>
              <w:spacing w:after="0"/>
              <w:rPr>
                <w:sz w:val="1"/>
                <w:szCs w:val="1"/>
                <w:color w:val="auto"/>
              </w:rPr>
            </w:pPr>
          </w:p>
        </w:tc>
      </w:tr>
      <w:tr>
        <w:trPr>
          <w:trHeight w:val="171"/>
        </w:trPr>
        <w:tc>
          <w:tcPr>
            <w:tcW w:w="608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6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189,306</w:t>
            </w: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rPr>
              <w:t>3,758</w:t>
            </w: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193,064</w:t>
            </w:r>
          </w:p>
        </w:tc>
        <w:tc>
          <w:tcPr>
            <w:tcW w:w="0" w:type="dxa"/>
            <w:vAlign w:val="bottom"/>
          </w:tcPr>
          <w:p>
            <w:pPr>
              <w:spacing w:after="0"/>
              <w:rPr>
                <w:sz w:val="1"/>
                <w:szCs w:val="1"/>
                <w:color w:val="auto"/>
              </w:rPr>
            </w:pPr>
          </w:p>
        </w:tc>
      </w:tr>
      <w:tr>
        <w:trPr>
          <w:trHeight w:val="314"/>
        </w:trPr>
        <w:tc>
          <w:tcPr>
            <w:tcW w:w="6080" w:type="dxa"/>
            <w:vAlign w:val="bottom"/>
          </w:tcPr>
          <w:p>
            <w:pPr>
              <w:ind w:left="180"/>
              <w:spacing w:after="0"/>
              <w:rPr>
                <w:sz w:val="20"/>
                <w:szCs w:val="20"/>
                <w:color w:val="auto"/>
              </w:rPr>
            </w:pPr>
            <w:r>
              <w:rPr>
                <w:rFonts w:ascii="Arial" w:cs="Arial" w:eastAsia="Arial" w:hAnsi="Arial"/>
                <w:sz w:val="14"/>
                <w:szCs w:val="14"/>
                <w:color w:val="auto"/>
              </w:rPr>
              <w:t>Long-term debt</w:t>
            </w:r>
          </w:p>
        </w:tc>
        <w:tc>
          <w:tcPr>
            <w:tcW w:w="620" w:type="dxa"/>
            <w:vAlign w:val="bottom"/>
          </w:tcPr>
          <w:p>
            <w:pPr>
              <w:spacing w:after="0"/>
              <w:rPr>
                <w:sz w:val="24"/>
                <w:szCs w:val="2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523,707</w:t>
            </w:r>
          </w:p>
        </w:tc>
        <w:tc>
          <w:tcPr>
            <w:tcW w:w="120" w:type="dxa"/>
            <w:vAlign w:val="bottom"/>
          </w:tcPr>
          <w:p>
            <w:pPr>
              <w:spacing w:after="0"/>
              <w:rPr>
                <w:sz w:val="24"/>
                <w:szCs w:val="24"/>
                <w:color w:val="auto"/>
              </w:rPr>
            </w:pPr>
          </w:p>
        </w:tc>
        <w:tc>
          <w:tcPr>
            <w:tcW w:w="1720" w:type="dxa"/>
            <w:vAlign w:val="bottom"/>
            <w:gridSpan w:val="2"/>
          </w:tcPr>
          <w:p>
            <w:pPr>
              <w:jc w:val="right"/>
              <w:ind w:right="468"/>
              <w:spacing w:after="0"/>
              <w:rPr>
                <w:sz w:val="20"/>
                <w:szCs w:val="20"/>
                <w:color w:val="auto"/>
              </w:rPr>
            </w:pPr>
            <w:r>
              <w:rPr>
                <w:rFonts w:ascii="Arial" w:cs="Arial" w:eastAsia="Arial" w:hAnsi="Arial"/>
                <w:sz w:val="14"/>
                <w:szCs w:val="14"/>
                <w:color w:val="auto"/>
              </w:rPr>
              <w:t>(24,680)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499,027</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Other noncurrent liabilities</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88,277</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508"/>
              <w:spacing w:after="0"/>
              <w:rPr>
                <w:sz w:val="20"/>
                <w:szCs w:val="20"/>
                <w:color w:val="auto"/>
              </w:rPr>
            </w:pPr>
            <w:r>
              <w:rPr>
                <w:rFonts w:ascii="Arial" w:cs="Arial" w:eastAsia="Arial" w:hAnsi="Arial"/>
                <w:sz w:val="14"/>
                <w:szCs w:val="14"/>
                <w:color w:val="auto"/>
              </w:rPr>
              <w:t>27,968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116,245</w:t>
            </w:r>
          </w:p>
        </w:tc>
        <w:tc>
          <w:tcPr>
            <w:tcW w:w="0" w:type="dxa"/>
            <w:vAlign w:val="bottom"/>
          </w:tcPr>
          <w:p>
            <w:pPr>
              <w:spacing w:after="0"/>
              <w:rPr>
                <w:sz w:val="1"/>
                <w:szCs w:val="1"/>
                <w:color w:val="auto"/>
              </w:rPr>
            </w:pPr>
          </w:p>
        </w:tc>
      </w:tr>
      <w:tr>
        <w:trPr>
          <w:trHeight w:val="157"/>
        </w:trPr>
        <w:tc>
          <w:tcPr>
            <w:tcW w:w="6080" w:type="dxa"/>
            <w:vAlign w:val="bottom"/>
          </w:tcPr>
          <w:p>
            <w:pPr>
              <w:ind w:left="180"/>
              <w:spacing w:after="0" w:line="157" w:lineRule="exact"/>
              <w:rPr>
                <w:sz w:val="20"/>
                <w:szCs w:val="20"/>
                <w:color w:val="auto"/>
              </w:rPr>
            </w:pPr>
            <w:r>
              <w:rPr>
                <w:rFonts w:ascii="Arial" w:cs="Arial" w:eastAsia="Arial" w:hAnsi="Arial"/>
                <w:sz w:val="14"/>
                <w:szCs w:val="14"/>
                <w:color w:val="auto"/>
              </w:rPr>
              <w:t>Deferred taxes and other liabilities</w:t>
            </w:r>
          </w:p>
        </w:tc>
        <w:tc>
          <w:tcPr>
            <w:tcW w:w="620" w:type="dxa"/>
            <w:vAlign w:val="bottom"/>
          </w:tcPr>
          <w:p>
            <w:pPr>
              <w:spacing w:after="0"/>
              <w:rPr>
                <w:sz w:val="13"/>
                <w:szCs w:val="13"/>
                <w:color w:val="auto"/>
              </w:rPr>
            </w:pPr>
          </w:p>
        </w:tc>
        <w:tc>
          <w:tcPr>
            <w:tcW w:w="108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8,422</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gridSpan w:val="2"/>
          </w:tcPr>
          <w:p>
            <w:pPr>
              <w:jc w:val="right"/>
              <w:ind w:right="70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8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8,422</w:t>
            </w:r>
          </w:p>
        </w:tc>
        <w:tc>
          <w:tcPr>
            <w:tcW w:w="0" w:type="dxa"/>
            <w:vAlign w:val="bottom"/>
          </w:tcPr>
          <w:p>
            <w:pPr>
              <w:spacing w:after="0"/>
              <w:rPr>
                <w:sz w:val="1"/>
                <w:szCs w:val="1"/>
                <w:color w:val="auto"/>
              </w:rPr>
            </w:pPr>
          </w:p>
        </w:tc>
      </w:tr>
      <w:tr>
        <w:trPr>
          <w:trHeight w:val="156"/>
        </w:trPr>
        <w:tc>
          <w:tcPr>
            <w:tcW w:w="6080" w:type="dxa"/>
            <w:vAlign w:val="bottom"/>
          </w:tcPr>
          <w:p>
            <w:pPr>
              <w:ind w:left="360"/>
              <w:spacing w:after="0" w:line="155" w:lineRule="exact"/>
              <w:rPr>
                <w:sz w:val="20"/>
                <w:szCs w:val="20"/>
                <w:color w:val="auto"/>
              </w:rPr>
            </w:pPr>
            <w:r>
              <w:rPr>
                <w:rFonts w:ascii="Arial" w:cs="Arial" w:eastAsia="Arial" w:hAnsi="Arial"/>
                <w:sz w:val="14"/>
                <w:szCs w:val="14"/>
                <w:color w:val="auto"/>
              </w:rPr>
              <w:t>Total liabilities</w:t>
            </w:r>
          </w:p>
        </w:tc>
        <w:tc>
          <w:tcPr>
            <w:tcW w:w="6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809,712</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7,046</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816,758</w:t>
            </w:r>
          </w:p>
        </w:tc>
        <w:tc>
          <w:tcPr>
            <w:tcW w:w="0" w:type="dxa"/>
            <w:vAlign w:val="bottom"/>
          </w:tcPr>
          <w:p>
            <w:pPr>
              <w:spacing w:after="0"/>
              <w:rPr>
                <w:sz w:val="1"/>
                <w:szCs w:val="1"/>
                <w:color w:val="auto"/>
              </w:rPr>
            </w:pPr>
          </w:p>
        </w:tc>
      </w:tr>
      <w:tr>
        <w:trPr>
          <w:trHeight w:val="309"/>
        </w:trPr>
        <w:tc>
          <w:tcPr>
            <w:tcW w:w="6080" w:type="dxa"/>
            <w:vAlign w:val="bottom"/>
          </w:tcPr>
          <w:p>
            <w:pPr>
              <w:spacing w:after="0"/>
              <w:rPr>
                <w:sz w:val="20"/>
                <w:szCs w:val="20"/>
                <w:color w:val="auto"/>
              </w:rPr>
            </w:pPr>
            <w:r>
              <w:rPr>
                <w:rFonts w:ascii="Arial" w:cs="Arial" w:eastAsia="Arial" w:hAnsi="Arial"/>
                <w:sz w:val="14"/>
                <w:szCs w:val="14"/>
                <w:color w:val="auto"/>
              </w:rPr>
              <w:t>SHAREHOLDERS' EQUITY</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Preferred stock, par value $5.00 per share;</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360"/>
              <w:spacing w:after="0"/>
              <w:rPr>
                <w:sz w:val="20"/>
                <w:szCs w:val="20"/>
                <w:color w:val="auto"/>
              </w:rPr>
            </w:pPr>
            <w:r>
              <w:rPr>
                <w:rFonts w:ascii="Arial" w:cs="Arial" w:eastAsia="Arial" w:hAnsi="Arial"/>
                <w:sz w:val="14"/>
                <w:szCs w:val="14"/>
                <w:color w:val="auto"/>
              </w:rPr>
              <w:t>authorized 2,000,000 shares; none issued</w:t>
            </w:r>
          </w:p>
        </w:tc>
        <w:tc>
          <w:tcPr>
            <w:tcW w:w="62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80" w:type="dxa"/>
            <w:vAlign w:val="bottom"/>
          </w:tcPr>
          <w:p>
            <w:pPr>
              <w:ind w:left="360"/>
              <w:spacing w:after="0"/>
              <w:rPr>
                <w:sz w:val="20"/>
                <w:szCs w:val="20"/>
                <w:color w:val="auto"/>
              </w:rPr>
            </w:pPr>
            <w:r>
              <w:rPr>
                <w:rFonts w:ascii="Arial" w:cs="Arial" w:eastAsia="Arial" w:hAnsi="Arial"/>
                <w:sz w:val="14"/>
                <w:szCs w:val="14"/>
                <w:color w:val="auto"/>
              </w:rPr>
              <w:t>Class A Common Stock, par value $.001 per share; authorized 100,000,000 shares;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540"/>
              <w:spacing w:after="0"/>
              <w:rPr>
                <w:sz w:val="20"/>
                <w:szCs w:val="20"/>
                <w:color w:val="auto"/>
              </w:rPr>
            </w:pPr>
            <w:r>
              <w:rPr>
                <w:rFonts w:ascii="Arial" w:cs="Arial" w:eastAsia="Arial" w:hAnsi="Arial"/>
                <w:sz w:val="14"/>
                <w:szCs w:val="14"/>
                <w:color w:val="auto"/>
              </w:rPr>
              <w:t>issued 37,450,329 in 2018 and 37,395,753 in 2017</w:t>
            </w:r>
          </w:p>
        </w:tc>
        <w:tc>
          <w:tcPr>
            <w:tcW w:w="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6080" w:type="dxa"/>
            <w:vAlign w:val="bottom"/>
          </w:tcPr>
          <w:p>
            <w:pPr>
              <w:ind w:left="360"/>
              <w:spacing w:after="0"/>
              <w:rPr>
                <w:sz w:val="20"/>
                <w:szCs w:val="20"/>
                <w:color w:val="auto"/>
              </w:rPr>
            </w:pPr>
            <w:r>
              <w:rPr>
                <w:rFonts w:ascii="Arial" w:cs="Arial" w:eastAsia="Arial" w:hAnsi="Arial"/>
                <w:sz w:val="14"/>
                <w:szCs w:val="14"/>
                <w:color w:val="auto"/>
              </w:rPr>
              <w:t>Class B Common Stock, par value $.001 per share; authorized 25,000,000 shares;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540"/>
              <w:spacing w:after="0"/>
              <w:rPr>
                <w:sz w:val="20"/>
                <w:szCs w:val="20"/>
                <w:color w:val="auto"/>
              </w:rPr>
            </w:pPr>
            <w:r>
              <w:rPr>
                <w:rFonts w:ascii="Arial" w:cs="Arial" w:eastAsia="Arial" w:hAnsi="Arial"/>
                <w:sz w:val="14"/>
                <w:szCs w:val="14"/>
                <w:color w:val="auto"/>
              </w:rPr>
              <w:t>issued and outstanding 3,233,998 in 2018 and 2017</w:t>
            </w:r>
          </w:p>
        </w:tc>
        <w:tc>
          <w:tcPr>
            <w:tcW w:w="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Additional paid in capital</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430,555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430,555</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589,645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589,680</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Accumulated items of other comprehensive income:</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Translation adjustments</w:t>
            </w:r>
          </w:p>
        </w:tc>
        <w:tc>
          <w:tcPr>
            <w:tcW w:w="62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(115,976)</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(115,976)</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Pension and postretirement liability adjustments</w:t>
            </w:r>
          </w:p>
        </w:tc>
        <w:tc>
          <w:tcPr>
            <w:tcW w:w="62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(47,109)</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(47,109)</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rPr>
                <w:sz w:val="20"/>
                <w:szCs w:val="20"/>
                <w:color w:val="auto"/>
              </w:rPr>
            </w:pPr>
            <w:r>
              <w:rPr>
                <w:rFonts w:ascii="Arial" w:cs="Arial" w:eastAsia="Arial" w:hAnsi="Arial"/>
                <w:sz w:val="14"/>
                <w:szCs w:val="14"/>
                <w:color w:val="auto"/>
              </w:rPr>
              <w:t>Derivative valuation adjustment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4,697</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4,697</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color w:val="auto"/>
              </w:rPr>
              <w:t>Treasury stock (Class A), at cost 8,418,620 shares in 2018</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80" w:type="dxa"/>
            <w:vAlign w:val="bottom"/>
          </w:tcPr>
          <w:p>
            <w:pPr>
              <w:ind w:left="180"/>
              <w:spacing w:after="0" w:line="157" w:lineRule="exact"/>
              <w:rPr>
                <w:sz w:val="20"/>
                <w:szCs w:val="20"/>
                <w:color w:val="auto"/>
              </w:rPr>
            </w:pPr>
            <w:r>
              <w:rPr>
                <w:rFonts w:ascii="Arial" w:cs="Arial" w:eastAsia="Arial" w:hAnsi="Arial"/>
                <w:sz w:val="14"/>
                <w:szCs w:val="14"/>
                <w:color w:val="auto"/>
              </w:rPr>
              <w:t>and 8,431,335 shares in 2017</w:t>
            </w:r>
          </w:p>
        </w:tc>
        <w:tc>
          <w:tcPr>
            <w:tcW w:w="620" w:type="dxa"/>
            <w:vAlign w:val="bottom"/>
          </w:tcPr>
          <w:p>
            <w:pPr>
              <w:spacing w:after="0"/>
              <w:rPr>
                <w:sz w:val="13"/>
                <w:szCs w:val="13"/>
                <w:color w:val="auto"/>
              </w:rPr>
            </w:pPr>
          </w:p>
        </w:tc>
        <w:tc>
          <w:tcPr>
            <w:tcW w:w="1080" w:type="dxa"/>
            <w:vAlign w:val="bottom"/>
          </w:tcPr>
          <w:p>
            <w:pPr>
              <w:jc w:val="right"/>
              <w:ind w:right="388"/>
              <w:spacing w:after="0" w:line="157" w:lineRule="exact"/>
              <w:rPr>
                <w:sz w:val="20"/>
                <w:szCs w:val="20"/>
                <w:color w:val="auto"/>
              </w:rPr>
            </w:pPr>
            <w:r>
              <w:rPr>
                <w:rFonts w:ascii="Arial" w:cs="Arial" w:eastAsia="Arial" w:hAnsi="Arial"/>
                <w:sz w:val="14"/>
                <w:szCs w:val="14"/>
                <w:color w:val="auto"/>
              </w:rPr>
              <w:t>(256,603)</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gridSpan w:val="2"/>
          </w:tcPr>
          <w:p>
            <w:pPr>
              <w:jc w:val="right"/>
              <w:ind w:right="70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80" w:type="dxa"/>
            <w:vAlign w:val="bottom"/>
          </w:tcPr>
          <w:p>
            <w:pPr>
              <w:jc w:val="right"/>
              <w:ind w:right="388"/>
              <w:spacing w:after="0" w:line="157" w:lineRule="exact"/>
              <w:rPr>
                <w:sz w:val="20"/>
                <w:szCs w:val="20"/>
                <w:color w:val="auto"/>
              </w:rPr>
            </w:pPr>
            <w:r>
              <w:rPr>
                <w:rFonts w:ascii="Arial" w:cs="Arial" w:eastAsia="Arial" w:hAnsi="Arial"/>
                <w:sz w:val="14"/>
                <w:szCs w:val="14"/>
                <w:color w:val="auto"/>
              </w:rPr>
              <w:t>(256,603)</w:t>
            </w:r>
          </w:p>
        </w:tc>
        <w:tc>
          <w:tcPr>
            <w:tcW w:w="0" w:type="dxa"/>
            <w:vAlign w:val="bottom"/>
          </w:tcPr>
          <w:p>
            <w:pPr>
              <w:spacing w:after="0"/>
              <w:rPr>
                <w:sz w:val="1"/>
                <w:szCs w:val="1"/>
                <w:color w:val="auto"/>
              </w:rPr>
            </w:pPr>
          </w:p>
        </w:tc>
      </w:tr>
      <w:tr>
        <w:trPr>
          <w:trHeight w:val="160"/>
        </w:trPr>
        <w:tc>
          <w:tcPr>
            <w:tcW w:w="6080" w:type="dxa"/>
            <w:vAlign w:val="bottom"/>
          </w:tcPr>
          <w:p>
            <w:pPr>
              <w:ind w:left="360"/>
              <w:spacing w:after="0"/>
              <w:rPr>
                <w:sz w:val="20"/>
                <w:szCs w:val="20"/>
                <w:color w:val="auto"/>
              </w:rPr>
            </w:pPr>
            <w:r>
              <w:rPr>
                <w:rFonts w:ascii="Arial" w:cs="Arial" w:eastAsia="Arial" w:hAnsi="Arial"/>
                <w:sz w:val="14"/>
                <w:szCs w:val="14"/>
                <w:color w:val="auto"/>
              </w:rPr>
              <w:t>Total Company shareholders' equity</w:t>
            </w:r>
          </w:p>
        </w:tc>
        <w:tc>
          <w:tcPr>
            <w:tcW w:w="6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605,249</w:t>
            </w: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605,284</w:t>
            </w:r>
          </w:p>
        </w:tc>
        <w:tc>
          <w:tcPr>
            <w:tcW w:w="0" w:type="dxa"/>
            <w:vAlign w:val="bottom"/>
          </w:tcPr>
          <w:p>
            <w:pPr>
              <w:spacing w:after="0"/>
              <w:rPr>
                <w:sz w:val="1"/>
                <w:szCs w:val="1"/>
                <w:color w:val="auto"/>
              </w:rPr>
            </w:pPr>
          </w:p>
        </w:tc>
      </w:tr>
      <w:tr>
        <w:trPr>
          <w:trHeight w:val="157"/>
        </w:trPr>
        <w:tc>
          <w:tcPr>
            <w:tcW w:w="6080" w:type="dxa"/>
            <w:vAlign w:val="bottom"/>
          </w:tcPr>
          <w:p>
            <w:pPr>
              <w:spacing w:after="0" w:line="157" w:lineRule="exact"/>
              <w:rPr>
                <w:sz w:val="20"/>
                <w:szCs w:val="20"/>
                <w:color w:val="auto"/>
              </w:rPr>
            </w:pPr>
            <w:r>
              <w:rPr>
                <w:rFonts w:ascii="Arial" w:cs="Arial" w:eastAsia="Arial" w:hAnsi="Arial"/>
                <w:sz w:val="14"/>
                <w:szCs w:val="14"/>
                <w:color w:val="auto"/>
              </w:rPr>
              <w:t>Noncontrolling interest</w:t>
            </w:r>
          </w:p>
        </w:tc>
        <w:tc>
          <w:tcPr>
            <w:tcW w:w="620" w:type="dxa"/>
            <w:vAlign w:val="bottom"/>
          </w:tcPr>
          <w:p>
            <w:pPr>
              <w:spacing w:after="0"/>
              <w:rPr>
                <w:sz w:val="13"/>
                <w:szCs w:val="13"/>
                <w:color w:val="auto"/>
              </w:rPr>
            </w:pPr>
          </w:p>
        </w:tc>
        <w:tc>
          <w:tcPr>
            <w:tcW w:w="108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3,031</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gridSpan w:val="2"/>
          </w:tcPr>
          <w:p>
            <w:pPr>
              <w:jc w:val="right"/>
              <w:ind w:right="70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8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3,031</w:t>
            </w:r>
          </w:p>
        </w:tc>
        <w:tc>
          <w:tcPr>
            <w:tcW w:w="0" w:type="dxa"/>
            <w:vAlign w:val="bottom"/>
          </w:tcPr>
          <w:p>
            <w:pPr>
              <w:spacing w:after="0"/>
              <w:rPr>
                <w:sz w:val="1"/>
                <w:szCs w:val="1"/>
                <w:color w:val="auto"/>
              </w:rPr>
            </w:pPr>
          </w:p>
        </w:tc>
      </w:tr>
      <w:tr>
        <w:trPr>
          <w:trHeight w:val="156"/>
        </w:trPr>
        <w:tc>
          <w:tcPr>
            <w:tcW w:w="6080" w:type="dxa"/>
            <w:vAlign w:val="bottom"/>
          </w:tcPr>
          <w:p>
            <w:pPr>
              <w:spacing w:after="0" w:line="155" w:lineRule="exact"/>
              <w:rPr>
                <w:sz w:val="20"/>
                <w:szCs w:val="20"/>
                <w:color w:val="auto"/>
              </w:rPr>
            </w:pPr>
            <w:r>
              <w:rPr>
                <w:rFonts w:ascii="Arial" w:cs="Arial" w:eastAsia="Arial" w:hAnsi="Arial"/>
                <w:sz w:val="14"/>
                <w:szCs w:val="14"/>
                <w:color w:val="auto"/>
              </w:rPr>
              <w:t>Total equity</w:t>
            </w:r>
          </w:p>
        </w:tc>
        <w:tc>
          <w:tcPr>
            <w:tcW w:w="6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608,280</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608,315</w:t>
            </w:r>
          </w:p>
        </w:tc>
        <w:tc>
          <w:tcPr>
            <w:tcW w:w="0" w:type="dxa"/>
            <w:vAlign w:val="bottom"/>
          </w:tcPr>
          <w:p>
            <w:pPr>
              <w:spacing w:after="0"/>
              <w:rPr>
                <w:sz w:val="1"/>
                <w:szCs w:val="1"/>
                <w:color w:val="auto"/>
              </w:rPr>
            </w:pPr>
          </w:p>
        </w:tc>
      </w:tr>
      <w:tr>
        <w:trPr>
          <w:trHeight w:val="156"/>
        </w:trPr>
        <w:tc>
          <w:tcPr>
            <w:tcW w:w="6080" w:type="dxa"/>
            <w:vAlign w:val="bottom"/>
          </w:tcPr>
          <w:p>
            <w:pPr>
              <w:ind w:left="36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700" w:type="dxa"/>
            <w:vAlign w:val="bottom"/>
            <w:tcBorders>
              <w:bottom w:val="single" w:sz="8" w:color="auto"/>
            </w:tcBorders>
            <w:gridSpan w:val="2"/>
          </w:tcPr>
          <w:p>
            <w:pPr>
              <w:jc w:val="right"/>
              <w:ind w:right="428"/>
              <w:spacing w:after="0" w:line="155" w:lineRule="exact"/>
              <w:rPr>
                <w:sz w:val="20"/>
                <w:szCs w:val="20"/>
                <w:color w:val="auto"/>
              </w:rPr>
            </w:pPr>
            <w:r>
              <w:rPr>
                <w:rFonts w:ascii="Arial" w:cs="Arial" w:eastAsia="Arial" w:hAnsi="Arial"/>
                <w:sz w:val="14"/>
                <w:szCs w:val="14"/>
                <w:color w:val="auto"/>
              </w:rPr>
              <w:t>$1,417,992</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7,081</w:t>
            </w:r>
          </w:p>
        </w:tc>
        <w:tc>
          <w:tcPr>
            <w:tcW w:w="100" w:type="dxa"/>
            <w:vAlign w:val="bottom"/>
          </w:tcPr>
          <w:p>
            <w:pPr>
              <w:spacing w:after="0"/>
              <w:rPr>
                <w:sz w:val="13"/>
                <w:szCs w:val="13"/>
                <w:color w:val="auto"/>
              </w:rPr>
            </w:pPr>
          </w:p>
        </w:tc>
        <w:tc>
          <w:tcPr>
            <w:tcW w:w="1700" w:type="dxa"/>
            <w:vAlign w:val="bottom"/>
            <w:tcBorders>
              <w:bottom w:val="single" w:sz="8" w:color="auto"/>
            </w:tcBorders>
            <w:gridSpan w:val="2"/>
          </w:tcPr>
          <w:p>
            <w:pPr>
              <w:jc w:val="right"/>
              <w:ind w:right="428"/>
              <w:spacing w:after="0" w:line="155" w:lineRule="exact"/>
              <w:rPr>
                <w:sz w:val="20"/>
                <w:szCs w:val="20"/>
                <w:color w:val="auto"/>
              </w:rPr>
            </w:pPr>
            <w:r>
              <w:rPr>
                <w:rFonts w:ascii="Arial" w:cs="Arial" w:eastAsia="Arial" w:hAnsi="Arial"/>
                <w:sz w:val="14"/>
                <w:szCs w:val="14"/>
                <w:color w:val="auto"/>
              </w:rPr>
              <w:t>$1,425,073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Adoption of the standard had no impact to our Consolidated Statements of Cash Flows.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 — (continued)</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changes to our accounting policies as a result of adopting the new standard are discussed below.</w:t>
      </w:r>
    </w:p>
    <w:p>
      <w:pPr>
        <w:spacing w:after="0" w:line="104" w:lineRule="exact"/>
        <w:rPr>
          <w:sz w:val="20"/>
          <w:szCs w:val="20"/>
          <w:color w:val="auto"/>
        </w:rPr>
      </w:pPr>
    </w:p>
    <w:p>
      <w:pPr>
        <w:jc w:val="both"/>
        <w:ind w:firstLine="378"/>
        <w:spacing w:after="0"/>
        <w:rPr>
          <w:sz w:val="20"/>
          <w:szCs w:val="20"/>
          <w:color w:val="auto"/>
        </w:rPr>
      </w:pPr>
      <w:r>
        <w:rPr>
          <w:rFonts w:ascii="Arial" w:cs="Arial" w:eastAsia="Arial" w:hAnsi="Arial"/>
          <w:sz w:val="18"/>
          <w:szCs w:val="18"/>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81" w:lineRule="exact"/>
        <w:rPr>
          <w:sz w:val="20"/>
          <w:szCs w:val="20"/>
          <w:color w:val="auto"/>
        </w:rPr>
      </w:pPr>
    </w:p>
    <w:p>
      <w:pPr>
        <w:ind w:left="220" w:right="780" w:hanging="212"/>
        <w:spacing w:after="0" w:line="246" w:lineRule="auto"/>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 This may be specified explicitly or implicitly, and should be physically distinct or represent substantially all of the capacity of a physically distinct asset,</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lessee has the right to obtain substantially all of the economic benefits from use of the asset throughout the period of use, and</w:t>
      </w:r>
    </w:p>
    <w:p>
      <w:pPr>
        <w:spacing w:after="0" w:line="90" w:lineRule="exact"/>
        <w:rPr>
          <w:rFonts w:ascii="Arial" w:cs="Arial" w:eastAsia="Arial" w:hAnsi="Arial"/>
          <w:sz w:val="18"/>
          <w:szCs w:val="18"/>
          <w:color w:val="auto"/>
        </w:rPr>
      </w:pPr>
    </w:p>
    <w:p>
      <w:pPr>
        <w:ind w:left="220" w:right="440" w:hanging="212"/>
        <w:spacing w:after="0" w:line="246" w:lineRule="auto"/>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lessee has the right to direct the use of the asset, which is demonstrated when the lessee has decision-making rights that are most relevant to changing how and for what purpose the asset is used.</w:t>
      </w:r>
    </w:p>
    <w:p>
      <w:pPr>
        <w:spacing w:after="0" w:line="89" w:lineRule="exact"/>
        <w:rPr>
          <w:sz w:val="20"/>
          <w:szCs w:val="20"/>
          <w:color w:val="auto"/>
        </w:rPr>
      </w:pPr>
    </w:p>
    <w:p>
      <w:pPr>
        <w:ind w:right="280" w:firstLine="378"/>
        <w:spacing w:after="0" w:line="239" w:lineRule="auto"/>
        <w:rPr>
          <w:sz w:val="20"/>
          <w:szCs w:val="20"/>
          <w:color w:val="auto"/>
        </w:rPr>
      </w:pPr>
      <w:r>
        <w:rPr>
          <w:rFonts w:ascii="Arial" w:cs="Arial" w:eastAsia="Arial" w:hAnsi="Arial"/>
          <w:sz w:val="18"/>
          <w:szCs w:val="18"/>
          <w:color w:val="auto"/>
        </w:rPr>
        <w:t>Judgment is required in the application of ASC 842, including the determination of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94" w:lineRule="exact"/>
        <w:rPr>
          <w:sz w:val="20"/>
          <w:szCs w:val="20"/>
          <w:color w:val="auto"/>
        </w:rPr>
      </w:pPr>
    </w:p>
    <w:p>
      <w:pPr>
        <w:ind w:right="120" w:firstLine="378"/>
        <w:spacing w:after="0"/>
        <w:rPr>
          <w:sz w:val="20"/>
          <w:szCs w:val="20"/>
          <w:color w:val="auto"/>
        </w:rPr>
      </w:pPr>
      <w:r>
        <w:rPr>
          <w:rFonts w:ascii="Arial" w:cs="Arial" w:eastAsia="Arial" w:hAnsi="Arial"/>
          <w:sz w:val="18"/>
          <w:szCs w:val="18"/>
          <w:color w:val="auto"/>
        </w:rPr>
        <w:t>We are generally the lessee in our lease transactions. For periods ending after December 31, 2018, lessees are required to recognize a lease liability and a right of use asset for leases with terms greater than 12 months, in accordance with the practical expedient that is available for ongoing accounting.</w:t>
      </w:r>
    </w:p>
    <w:p>
      <w:pPr>
        <w:spacing w:after="0" w:line="95" w:lineRule="exact"/>
        <w:rPr>
          <w:sz w:val="20"/>
          <w:szCs w:val="20"/>
          <w:color w:val="auto"/>
        </w:rPr>
      </w:pPr>
    </w:p>
    <w:p>
      <w:pPr>
        <w:ind w:right="80" w:firstLine="378"/>
        <w:spacing w:after="0" w:line="236" w:lineRule="auto"/>
        <w:rPr>
          <w:sz w:val="20"/>
          <w:szCs w:val="20"/>
          <w:color w:val="auto"/>
        </w:rPr>
      </w:pPr>
      <w:r>
        <w:rPr>
          <w:rFonts w:ascii="Arial" w:cs="Arial" w:eastAsia="Arial" w:hAnsi="Arial"/>
          <w:sz w:val="18"/>
          <w:szCs w:val="18"/>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00" w:lineRule="exact"/>
        <w:rPr>
          <w:sz w:val="20"/>
          <w:szCs w:val="20"/>
          <w:color w:val="auto"/>
        </w:rPr>
      </w:pPr>
    </w:p>
    <w:p>
      <w:pPr>
        <w:jc w:val="both"/>
        <w:ind w:right="100" w:firstLine="378"/>
        <w:spacing w:after="0"/>
        <w:rPr>
          <w:sz w:val="20"/>
          <w:szCs w:val="20"/>
          <w:color w:val="auto"/>
        </w:rPr>
      </w:pPr>
      <w:r>
        <w:rPr>
          <w:rFonts w:ascii="Arial" w:cs="Arial" w:eastAsia="Arial" w:hAnsi="Arial"/>
          <w:sz w:val="18"/>
          <w:szCs w:val="18"/>
          <w:color w:val="auto"/>
        </w:rPr>
        <w:t>We have operating and finance leases for offices, manufacturing facilities, warehouses, vehicles, and certain equipment. Our leases have remaining lease terms of 1 year to 15 years, some of which include options to extend the leases for up to 10 years, and some of which include options to terminate the leases within 1 year.</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lease expense were as follows:</w:t>
      </w:r>
    </w:p>
    <w:p>
      <w:pPr>
        <w:spacing w:after="0" w:line="15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5"/>
        </w:trPr>
        <w:tc>
          <w:tcPr>
            <w:tcW w:w="88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Finance lease</w:t>
            </w:r>
          </w:p>
        </w:tc>
        <w:tc>
          <w:tcPr>
            <w:tcW w:w="200" w:type="dxa"/>
            <w:vAlign w:val="bottom"/>
          </w:tcPr>
          <w:p>
            <w:pPr>
              <w:spacing w:after="0"/>
              <w:rPr>
                <w:sz w:val="16"/>
                <w:szCs w:val="16"/>
                <w:color w:val="auto"/>
              </w:rPr>
            </w:pPr>
          </w:p>
        </w:tc>
        <w:tc>
          <w:tcPr>
            <w:tcW w:w="156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8"/>
                <w:szCs w:val="18"/>
                <w:b w:val="1"/>
                <w:bCs w:val="1"/>
                <w:color w:val="auto"/>
              </w:rPr>
              <w:t>$  997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2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Amortization of right-of-use asset</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Interest on lease liabilities</w:t>
            </w:r>
          </w:p>
        </w:tc>
        <w:tc>
          <w:tcPr>
            <w:tcW w:w="1560" w:type="dxa"/>
            <w:vAlign w:val="bottom"/>
          </w:tcPr>
          <w:p>
            <w:pPr>
              <w:jc w:val="right"/>
              <w:ind w:right="434"/>
              <w:spacing w:after="0"/>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03"/>
        </w:trPr>
        <w:tc>
          <w:tcPr>
            <w:tcW w:w="8840" w:type="dxa"/>
            <w:vAlign w:val="bottom"/>
            <w:gridSpan w:val="3"/>
          </w:tcPr>
          <w:p>
            <w:pPr>
              <w:spacing w:after="0" w:line="202" w:lineRule="exact"/>
              <w:rPr>
                <w:sz w:val="20"/>
                <w:szCs w:val="20"/>
                <w:color w:val="auto"/>
              </w:rPr>
            </w:pPr>
            <w:r>
              <w:rPr>
                <w:rFonts w:ascii="Arial" w:cs="Arial" w:eastAsia="Arial" w:hAnsi="Arial"/>
                <w:sz w:val="18"/>
                <w:szCs w:val="18"/>
                <w:color w:val="auto"/>
              </w:rPr>
              <w:t>Operating lease</w:t>
            </w:r>
          </w:p>
        </w:tc>
        <w:tc>
          <w:tcPr>
            <w:tcW w:w="1560" w:type="dxa"/>
            <w:vAlign w:val="bottom"/>
            <w:vMerge w:val="restart"/>
          </w:tcPr>
          <w:p>
            <w:pPr>
              <w:jc w:val="right"/>
              <w:ind w:right="434"/>
              <w:spacing w:after="0"/>
              <w:rPr>
                <w:sz w:val="20"/>
                <w:szCs w:val="20"/>
                <w:color w:val="auto"/>
              </w:rPr>
            </w:pPr>
            <w:r>
              <w:rPr>
                <w:rFonts w:ascii="Arial" w:cs="Arial" w:eastAsia="Arial" w:hAnsi="Arial"/>
                <w:sz w:val="18"/>
                <w:szCs w:val="18"/>
                <w:b w:val="1"/>
                <w:bCs w:val="1"/>
                <w:color w:val="auto"/>
              </w:rPr>
              <w:t>5,063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2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Fixed lease cost</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Variable lease cost</w:t>
            </w:r>
          </w:p>
        </w:tc>
        <w:tc>
          <w:tcPr>
            <w:tcW w:w="1560" w:type="dxa"/>
            <w:vAlign w:val="bottom"/>
          </w:tcPr>
          <w:p>
            <w:pPr>
              <w:jc w:val="right"/>
              <w:ind w:right="434"/>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Short-term lease cost</w:t>
            </w:r>
          </w:p>
        </w:tc>
        <w:tc>
          <w:tcPr>
            <w:tcW w:w="156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1,283</w:t>
            </w:r>
          </w:p>
        </w:tc>
        <w:tc>
          <w:tcPr>
            <w:tcW w:w="0" w:type="dxa"/>
            <w:vAlign w:val="bottom"/>
          </w:tcPr>
          <w:p>
            <w:pPr>
              <w:spacing w:after="0"/>
              <w:rPr>
                <w:sz w:val="1"/>
                <w:szCs w:val="1"/>
                <w:color w:val="auto"/>
              </w:rPr>
            </w:pPr>
          </w:p>
        </w:tc>
      </w:tr>
      <w:tr>
        <w:trPr>
          <w:trHeight w:val="196"/>
        </w:trPr>
        <w:tc>
          <w:tcPr>
            <w:tcW w:w="8840" w:type="dxa"/>
            <w:vAlign w:val="bottom"/>
            <w:gridSpan w:val="3"/>
          </w:tcPr>
          <w:p>
            <w:pPr>
              <w:spacing w:after="0" w:line="196" w:lineRule="exact"/>
              <w:rPr>
                <w:sz w:val="20"/>
                <w:szCs w:val="20"/>
                <w:color w:val="auto"/>
              </w:rPr>
            </w:pPr>
            <w:r>
              <w:rPr>
                <w:rFonts w:ascii="Arial" w:cs="Arial" w:eastAsia="Arial" w:hAnsi="Arial"/>
                <w:sz w:val="18"/>
                <w:szCs w:val="18"/>
                <w:color w:val="auto"/>
              </w:rPr>
              <w:t>Total lease expense</w:t>
            </w:r>
          </w:p>
        </w:tc>
        <w:tc>
          <w:tcPr>
            <w:tcW w:w="15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$ 8,941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 — (continued)</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 expense for the years ended December 31, 2018 and 2017 was $8.4 million and $9.7 million, respectively.</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5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297"/>
              <w:spacing w:after="0"/>
              <w:rPr>
                <w:sz w:val="20"/>
                <w:szCs w:val="20"/>
                <w:color w:val="auto"/>
              </w:rPr>
            </w:pPr>
            <w:r>
              <w:rPr>
                <w:rFonts w:ascii="Arial" w:cs="Arial" w:eastAsia="Arial" w:hAnsi="Arial"/>
                <w:sz w:val="14"/>
                <w:szCs w:val="14"/>
                <w:b w:val="1"/>
                <w:bCs w:val="1"/>
                <w:color w:val="auto"/>
              </w:rPr>
              <w:t>For the year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5"/>
        </w:trPr>
        <w:tc>
          <w:tcPr>
            <w:tcW w:w="88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Pr>
          <w:p>
            <w:pPr>
              <w:spacing w:after="0"/>
              <w:rPr>
                <w:sz w:val="16"/>
                <w:szCs w:val="16"/>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$ 4,932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2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Operating cash flows from operating leases</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Operating cash flows from finance leases</w:t>
            </w:r>
          </w:p>
        </w:tc>
        <w:tc>
          <w:tcPr>
            <w:tcW w:w="1560" w:type="dxa"/>
            <w:vAlign w:val="bottom"/>
          </w:tcPr>
          <w:p>
            <w:pPr>
              <w:jc w:val="right"/>
              <w:ind w:right="437"/>
              <w:spacing w:after="0" w:line="202" w:lineRule="exact"/>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Financing cash flows from finance leases</w:t>
            </w:r>
          </w:p>
        </w:tc>
        <w:tc>
          <w:tcPr>
            <w:tcW w:w="1560" w:type="dxa"/>
            <w:vAlign w:val="bottom"/>
          </w:tcPr>
          <w:p>
            <w:pPr>
              <w:jc w:val="right"/>
              <w:ind w:right="437"/>
              <w:spacing w:after="0"/>
              <w:rPr>
                <w:sz w:val="20"/>
                <w:szCs w:val="20"/>
                <w:color w:val="auto"/>
              </w:rPr>
            </w:pPr>
            <w:r>
              <w:rPr>
                <w:rFonts w:ascii="Arial" w:cs="Arial" w:eastAsia="Arial" w:hAnsi="Arial"/>
                <w:sz w:val="18"/>
                <w:szCs w:val="18"/>
                <w:b w:val="1"/>
                <w:bCs w:val="1"/>
                <w:color w:val="auto"/>
              </w:rPr>
              <w:t>1,180</w:t>
            </w:r>
          </w:p>
        </w:tc>
        <w:tc>
          <w:tcPr>
            <w:tcW w:w="0" w:type="dxa"/>
            <w:vAlign w:val="bottom"/>
          </w:tcPr>
          <w:p>
            <w:pPr>
              <w:spacing w:after="0"/>
              <w:rPr>
                <w:sz w:val="1"/>
                <w:szCs w:val="1"/>
                <w:color w:val="auto"/>
              </w:rPr>
            </w:pPr>
          </w:p>
        </w:tc>
      </w:tr>
      <w:tr>
        <w:trPr>
          <w:trHeight w:val="203"/>
        </w:trPr>
        <w:tc>
          <w:tcPr>
            <w:tcW w:w="8840" w:type="dxa"/>
            <w:vAlign w:val="bottom"/>
            <w:gridSpan w:val="3"/>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$ 9,250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2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Operating leases</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Finance leases</w:t>
            </w:r>
          </w:p>
        </w:tc>
        <w:tc>
          <w:tcPr>
            <w:tcW w:w="1560" w:type="dxa"/>
            <w:vAlign w:val="bottom"/>
          </w:tcPr>
          <w:p>
            <w:pPr>
              <w:jc w:val="right"/>
              <w:ind w:right="437"/>
              <w:spacing w:after="0"/>
              <w:rPr>
                <w:sz w:val="20"/>
                <w:szCs w:val="20"/>
                <w:color w:val="auto"/>
              </w:rPr>
            </w:pPr>
            <w:r>
              <w:rPr>
                <w:rFonts w:ascii="Arial" w:cs="Arial" w:eastAsia="Arial" w:hAnsi="Arial"/>
                <w:sz w:val="18"/>
                <w:szCs w:val="18"/>
                <w:b w:val="1"/>
                <w:bCs w:val="1"/>
                <w:color w:val="auto"/>
              </w:rPr>
              <w:t>5,686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20" w:firstLine="378"/>
        <w:spacing w:after="0" w:line="246" w:lineRule="auto"/>
        <w:rPr>
          <w:sz w:val="20"/>
          <w:szCs w:val="20"/>
          <w:color w:val="auto"/>
        </w:rPr>
      </w:pPr>
      <w:r>
        <w:rPr>
          <w:rFonts w:ascii="Arial" w:cs="Arial" w:eastAsia="Arial" w:hAnsi="Arial"/>
          <w:sz w:val="18"/>
          <w:szCs w:val="18"/>
          <w:color w:val="auto"/>
        </w:rPr>
        <w:t>The initial recognition of each ROU asset and lease liability at lease commencement is a noncash transaction that is excluded from amounts reported in the Consolidated Statements of Cash Flows.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898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jc w:val="right"/>
              <w:ind w:right="5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8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Operating leases</w:t>
            </w:r>
          </w:p>
        </w:tc>
        <w:tc>
          <w:tcPr>
            <w:tcW w:w="200" w:type="dxa"/>
            <w:vAlign w:val="bottom"/>
          </w:tcPr>
          <w:p>
            <w:pPr>
              <w:spacing w:after="0"/>
              <w:rPr>
                <w:sz w:val="16"/>
                <w:szCs w:val="16"/>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$18,223</w:t>
            </w:r>
          </w:p>
        </w:tc>
        <w:tc>
          <w:tcPr>
            <w:tcW w:w="0" w:type="dxa"/>
            <w:vAlign w:val="bottom"/>
          </w:tcPr>
          <w:p>
            <w:pPr>
              <w:spacing w:after="0"/>
              <w:rPr>
                <w:sz w:val="1"/>
                <w:szCs w:val="1"/>
                <w:color w:val="auto"/>
              </w:rPr>
            </w:pPr>
          </w:p>
        </w:tc>
      </w:tr>
      <w:tr>
        <w:trPr>
          <w:trHeight w:val="208"/>
        </w:trPr>
        <w:tc>
          <w:tcPr>
            <w:tcW w:w="89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Right of use assets included in Other assets</w:t>
            </w: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98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Lease liabilities included in</w:t>
            </w: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$ 4,023</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84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Accrued liabilities</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8840" w:type="dxa"/>
            <w:vAlign w:val="bottom"/>
            <w:gridSpan w:val="2"/>
          </w:tcPr>
          <w:p>
            <w:pPr>
              <w:ind w:left="180"/>
              <w:spacing w:after="0"/>
              <w:rPr>
                <w:sz w:val="20"/>
                <w:szCs w:val="20"/>
                <w:color w:val="auto"/>
              </w:rPr>
            </w:pPr>
            <w:r>
              <w:rPr>
                <w:rFonts w:ascii="Arial" w:cs="Arial" w:eastAsia="Arial" w:hAnsi="Arial"/>
                <w:sz w:val="18"/>
                <w:szCs w:val="18"/>
                <w:color w:val="auto"/>
              </w:rPr>
              <w:t>Other noncurrent liabilities</w:t>
            </w:r>
          </w:p>
        </w:tc>
        <w:tc>
          <w:tcPr>
            <w:tcW w:w="1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14,386</w:t>
            </w:r>
          </w:p>
        </w:tc>
        <w:tc>
          <w:tcPr>
            <w:tcW w:w="0" w:type="dxa"/>
            <w:vAlign w:val="bottom"/>
          </w:tcPr>
          <w:p>
            <w:pPr>
              <w:spacing w:after="0"/>
              <w:rPr>
                <w:sz w:val="1"/>
                <w:szCs w:val="1"/>
                <w:color w:val="auto"/>
              </w:rPr>
            </w:pPr>
          </w:p>
        </w:tc>
      </w:tr>
      <w:tr>
        <w:trPr>
          <w:trHeight w:val="196"/>
        </w:trPr>
        <w:tc>
          <w:tcPr>
            <w:tcW w:w="898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Total operating lease liabilities</w:t>
            </w:r>
          </w:p>
        </w:tc>
        <w:tc>
          <w:tcPr>
            <w:tcW w:w="15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$ 18,409</w:t>
            </w: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ind w:left="140"/>
              <w:spacing w:after="0" w:line="195" w:lineRule="exact"/>
              <w:rPr>
                <w:sz w:val="20"/>
                <w:szCs w:val="20"/>
                <w:color w:val="auto"/>
              </w:rPr>
            </w:pPr>
            <w:r>
              <w:rPr>
                <w:rFonts w:ascii="Arial" w:cs="Arial" w:eastAsia="Arial" w:hAnsi="Arial"/>
                <w:sz w:val="18"/>
                <w:szCs w:val="18"/>
                <w:b w:val="1"/>
                <w:bCs w:val="1"/>
                <w:color w:val="auto"/>
              </w:rPr>
              <w:t>Finance leases</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980" w:type="dxa"/>
            <w:vAlign w:val="bottom"/>
            <w:gridSpan w:val="3"/>
            <w:vMerge w:val="continue"/>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$ 15,689</w:t>
            </w:r>
          </w:p>
        </w:tc>
        <w:tc>
          <w:tcPr>
            <w:tcW w:w="0" w:type="dxa"/>
            <w:vAlign w:val="bottom"/>
          </w:tcPr>
          <w:p>
            <w:pPr>
              <w:spacing w:after="0"/>
              <w:rPr>
                <w:sz w:val="1"/>
                <w:szCs w:val="1"/>
                <w:color w:val="auto"/>
              </w:rPr>
            </w:pPr>
          </w:p>
        </w:tc>
      </w:tr>
      <w:tr>
        <w:trPr>
          <w:trHeight w:val="208"/>
        </w:trPr>
        <w:tc>
          <w:tcPr>
            <w:tcW w:w="89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Right-of-use assets included in Property, plant and equipment, net</w:t>
            </w: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98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Lease liabilities included in</w:t>
            </w: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$ 1,835</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84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Accrued liabilities</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8840" w:type="dxa"/>
            <w:vAlign w:val="bottom"/>
            <w:gridSpan w:val="2"/>
          </w:tcPr>
          <w:p>
            <w:pPr>
              <w:ind w:left="180"/>
              <w:spacing w:after="0"/>
              <w:rPr>
                <w:sz w:val="20"/>
                <w:szCs w:val="20"/>
                <w:color w:val="auto"/>
              </w:rPr>
            </w:pPr>
            <w:r>
              <w:rPr>
                <w:rFonts w:ascii="Arial" w:cs="Arial" w:eastAsia="Arial" w:hAnsi="Arial"/>
                <w:sz w:val="18"/>
                <w:szCs w:val="18"/>
                <w:color w:val="auto"/>
              </w:rPr>
              <w:t>Other noncurrent liabilities</w:t>
            </w:r>
          </w:p>
        </w:tc>
        <w:tc>
          <w:tcPr>
            <w:tcW w:w="1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22,700</w:t>
            </w:r>
          </w:p>
        </w:tc>
        <w:tc>
          <w:tcPr>
            <w:tcW w:w="0" w:type="dxa"/>
            <w:vAlign w:val="bottom"/>
          </w:tcPr>
          <w:p>
            <w:pPr>
              <w:spacing w:after="0"/>
              <w:rPr>
                <w:sz w:val="1"/>
                <w:szCs w:val="1"/>
                <w:color w:val="auto"/>
              </w:rPr>
            </w:pPr>
          </w:p>
        </w:tc>
      </w:tr>
      <w:tr>
        <w:trPr>
          <w:trHeight w:val="196"/>
        </w:trPr>
        <w:tc>
          <w:tcPr>
            <w:tcW w:w="898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Total finance lease liabilities</w:t>
            </w:r>
          </w:p>
        </w:tc>
        <w:tc>
          <w:tcPr>
            <w:tcW w:w="15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$24,535</w:t>
            </w: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spacing w:after="0"/>
              <w:rPr>
                <w:sz w:val="20"/>
                <w:szCs w:val="20"/>
                <w:color w:val="auto"/>
              </w:rPr>
            </w:pPr>
            <w:r>
              <w:rPr>
                <w:rFonts w:ascii="Arial" w:cs="Arial" w:eastAsia="Arial" w:hAnsi="Arial"/>
                <w:sz w:val="18"/>
                <w:szCs w:val="18"/>
                <w:color w:val="auto"/>
              </w:rPr>
              <w:t>Additional information for leases existing at December 31, 2019 was as follows:</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8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980" w:type="dxa"/>
            <w:vAlign w:val="bottom"/>
            <w:gridSpan w:val="3"/>
          </w:tcPr>
          <w:p>
            <w:pPr>
              <w:ind w:left="140"/>
              <w:spacing w:after="0"/>
              <w:rPr>
                <w:sz w:val="20"/>
                <w:szCs w:val="20"/>
                <w:color w:val="auto"/>
              </w:rPr>
            </w:pPr>
            <w:r>
              <w:rPr>
                <w:rFonts w:ascii="Arial" w:cs="Arial" w:eastAsia="Arial" w:hAnsi="Arial"/>
                <w:sz w:val="18"/>
                <w:szCs w:val="18"/>
                <w:b w:val="1"/>
                <w:bCs w:val="1"/>
                <w:color w:val="auto"/>
              </w:rPr>
              <w:t>Weighted average remaining lease term</w:t>
            </w:r>
          </w:p>
        </w:tc>
        <w:tc>
          <w:tcPr>
            <w:tcW w:w="156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6 years</w:t>
            </w:r>
          </w:p>
        </w:tc>
        <w:tc>
          <w:tcPr>
            <w:tcW w:w="0" w:type="dxa"/>
            <w:vAlign w:val="bottom"/>
          </w:tcPr>
          <w:p>
            <w:pPr>
              <w:spacing w:after="0"/>
              <w:rPr>
                <w:sz w:val="1"/>
                <w:szCs w:val="1"/>
                <w:color w:val="auto"/>
              </w:rPr>
            </w:pPr>
          </w:p>
        </w:tc>
      </w:tr>
      <w:tr>
        <w:trPr>
          <w:trHeight w:val="181"/>
        </w:trPr>
        <w:tc>
          <w:tcPr>
            <w:tcW w:w="8980" w:type="dxa"/>
            <w:vAlign w:val="bottom"/>
            <w:gridSpan w:val="3"/>
          </w:tcPr>
          <w:p>
            <w:pPr>
              <w:ind w:left="140"/>
              <w:spacing w:after="0" w:line="181" w:lineRule="exact"/>
              <w:rPr>
                <w:sz w:val="20"/>
                <w:szCs w:val="20"/>
                <w:color w:val="auto"/>
              </w:rPr>
            </w:pPr>
            <w:r>
              <w:rPr>
                <w:rFonts w:ascii="Arial" w:cs="Arial" w:eastAsia="Arial" w:hAnsi="Arial"/>
                <w:sz w:val="18"/>
                <w:szCs w:val="18"/>
                <w:color w:val="auto"/>
              </w:rPr>
              <w:t>Operating leases</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Finance leases</w:t>
            </w:r>
          </w:p>
        </w:tc>
        <w:tc>
          <w:tcPr>
            <w:tcW w:w="1560" w:type="dxa"/>
            <w:vAlign w:val="bottom"/>
          </w:tcPr>
          <w:p>
            <w:pPr>
              <w:jc w:val="right"/>
              <w:ind w:right="331"/>
              <w:spacing w:after="0" w:line="202" w:lineRule="exact"/>
              <w:rPr>
                <w:sz w:val="20"/>
                <w:szCs w:val="20"/>
                <w:color w:val="auto"/>
              </w:rPr>
            </w:pPr>
            <w:r>
              <w:rPr>
                <w:rFonts w:ascii="Arial" w:cs="Arial" w:eastAsia="Arial" w:hAnsi="Arial"/>
                <w:sz w:val="18"/>
                <w:szCs w:val="18"/>
                <w:b w:val="1"/>
                <w:bCs w:val="1"/>
                <w:color w:val="auto"/>
              </w:rPr>
              <w:t>10 years</w:t>
            </w:r>
          </w:p>
        </w:tc>
        <w:tc>
          <w:tcPr>
            <w:tcW w:w="0" w:type="dxa"/>
            <w:vAlign w:val="bottom"/>
          </w:tcPr>
          <w:p>
            <w:pPr>
              <w:spacing w:after="0"/>
              <w:rPr>
                <w:sz w:val="1"/>
                <w:szCs w:val="1"/>
                <w:color w:val="auto"/>
              </w:rPr>
            </w:pPr>
          </w:p>
        </w:tc>
      </w:tr>
      <w:tr>
        <w:trPr>
          <w:trHeight w:val="23"/>
        </w:trPr>
        <w:tc>
          <w:tcPr>
            <w:tcW w:w="898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Weighted average discount rate</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8980" w:type="dxa"/>
            <w:vAlign w:val="bottom"/>
            <w:gridSpan w:val="3"/>
            <w:vMerge w:val="continue"/>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4.9%</w:t>
            </w:r>
          </w:p>
        </w:tc>
        <w:tc>
          <w:tcPr>
            <w:tcW w:w="0" w:type="dxa"/>
            <w:vAlign w:val="bottom"/>
          </w:tcPr>
          <w:p>
            <w:pPr>
              <w:spacing w:after="0"/>
              <w:rPr>
                <w:sz w:val="1"/>
                <w:szCs w:val="1"/>
                <w:color w:val="auto"/>
              </w:rPr>
            </w:pPr>
          </w:p>
        </w:tc>
      </w:tr>
      <w:tr>
        <w:trPr>
          <w:trHeight w:val="181"/>
        </w:trPr>
        <w:tc>
          <w:tcPr>
            <w:tcW w:w="8980" w:type="dxa"/>
            <w:vAlign w:val="bottom"/>
            <w:gridSpan w:val="3"/>
          </w:tcPr>
          <w:p>
            <w:pPr>
              <w:ind w:left="140"/>
              <w:spacing w:after="0" w:line="181" w:lineRule="exact"/>
              <w:rPr>
                <w:sz w:val="20"/>
                <w:szCs w:val="20"/>
                <w:color w:val="auto"/>
              </w:rPr>
            </w:pPr>
            <w:r>
              <w:rPr>
                <w:rFonts w:ascii="Arial" w:cs="Arial" w:eastAsia="Arial" w:hAnsi="Arial"/>
                <w:sz w:val="18"/>
                <w:szCs w:val="18"/>
                <w:color w:val="auto"/>
              </w:rPr>
              <w:t>Operating leases</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980" w:type="dxa"/>
            <w:vAlign w:val="bottom"/>
            <w:gridSpan w:val="3"/>
          </w:tcPr>
          <w:p>
            <w:pPr>
              <w:ind w:left="140"/>
              <w:spacing w:after="0"/>
              <w:rPr>
                <w:sz w:val="20"/>
                <w:szCs w:val="20"/>
                <w:color w:val="auto"/>
              </w:rPr>
            </w:pPr>
            <w:r>
              <w:rPr>
                <w:rFonts w:ascii="Arial" w:cs="Arial" w:eastAsia="Arial" w:hAnsi="Arial"/>
                <w:sz w:val="18"/>
                <w:szCs w:val="18"/>
                <w:color w:val="auto"/>
              </w:rPr>
              <w:t>Finance leases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 — (continued)</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lease liabilities as of December 31, 2019 were as follows: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Operating leases</w:t>
            </w:r>
          </w:p>
        </w:tc>
        <w:tc>
          <w:tcPr>
            <w:tcW w:w="1560" w:type="dxa"/>
            <w:vAlign w:val="bottom"/>
          </w:tcPr>
          <w:p>
            <w:pPr>
              <w:jc w:val="right"/>
              <w:ind w:right="192"/>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Year ending December 31,</w:t>
            </w:r>
          </w:p>
        </w:tc>
        <w:tc>
          <w:tcPr>
            <w:tcW w:w="320" w:type="dxa"/>
            <w:vAlign w:val="bottom"/>
          </w:tcPr>
          <w:p>
            <w:pPr>
              <w:spacing w:after="0"/>
              <w:rPr>
                <w:sz w:val="16"/>
                <w:szCs w:val="16"/>
                <w:color w:val="auto"/>
              </w:rPr>
            </w:pPr>
          </w:p>
        </w:tc>
        <w:tc>
          <w:tcPr>
            <w:tcW w:w="156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8"/>
                <w:szCs w:val="18"/>
                <w:b w:val="1"/>
                <w:bCs w:val="1"/>
                <w:color w:val="auto"/>
              </w:rPr>
              <w:t>$ 5,153</w:t>
            </w:r>
          </w:p>
        </w:tc>
        <w:tc>
          <w:tcPr>
            <w:tcW w:w="300" w:type="dxa"/>
            <w:vAlign w:val="bottom"/>
          </w:tcPr>
          <w:p>
            <w:pPr>
              <w:spacing w:after="0"/>
              <w:rPr>
                <w:sz w:val="16"/>
                <w:szCs w:val="16"/>
                <w:color w:val="auto"/>
              </w:rPr>
            </w:pPr>
          </w:p>
        </w:tc>
        <w:tc>
          <w:tcPr>
            <w:tcW w:w="156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8"/>
                <w:szCs w:val="18"/>
                <w:b w:val="1"/>
                <w:bCs w:val="1"/>
                <w:color w:val="auto"/>
              </w:rPr>
              <w:t>$ 3,347</w:t>
            </w:r>
          </w:p>
        </w:tc>
        <w:tc>
          <w:tcPr>
            <w:tcW w:w="0" w:type="dxa"/>
            <w:vAlign w:val="bottom"/>
          </w:tcPr>
          <w:p>
            <w:pPr>
              <w:spacing w:after="0"/>
              <w:rPr>
                <w:sz w:val="1"/>
                <w:szCs w:val="1"/>
                <w:color w:val="auto"/>
              </w:rPr>
            </w:pPr>
          </w:p>
        </w:tc>
      </w:tr>
      <w:tr>
        <w:trPr>
          <w:trHeight w:val="181"/>
        </w:trPr>
        <w:tc>
          <w:tcPr>
            <w:tcW w:w="6660" w:type="dxa"/>
            <w:vAlign w:val="bottom"/>
            <w:gridSpan w:val="2"/>
          </w:tcPr>
          <w:p>
            <w:pPr>
              <w:spacing w:after="0" w:line="181" w:lineRule="exact"/>
              <w:rPr>
                <w:sz w:val="20"/>
                <w:szCs w:val="20"/>
                <w:color w:val="auto"/>
              </w:rPr>
            </w:pPr>
            <w:r>
              <w:rPr>
                <w:rFonts w:ascii="Arial" w:cs="Arial" w:eastAsia="Arial" w:hAnsi="Arial"/>
                <w:sz w:val="18"/>
                <w:szCs w:val="18"/>
                <w:color w:val="auto"/>
              </w:rPr>
              <w:t>2020</w:t>
            </w:r>
          </w:p>
        </w:tc>
        <w:tc>
          <w:tcPr>
            <w:tcW w:w="3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2021</w:t>
            </w:r>
          </w:p>
        </w:tc>
        <w:tc>
          <w:tcPr>
            <w:tcW w:w="3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4,133</w:t>
            </w:r>
          </w:p>
        </w:tc>
        <w:tc>
          <w:tcPr>
            <w:tcW w:w="300" w:type="dxa"/>
            <w:vAlign w:val="bottom"/>
          </w:tcPr>
          <w:p>
            <w:pPr>
              <w:spacing w:after="0"/>
              <w:rPr>
                <w:sz w:val="17"/>
                <w:szCs w:val="17"/>
                <w:color w:val="auto"/>
              </w:rPr>
            </w:pP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3,347</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2022</w:t>
            </w:r>
          </w:p>
        </w:tc>
        <w:tc>
          <w:tcPr>
            <w:tcW w:w="3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3,096</w:t>
            </w:r>
          </w:p>
        </w:tc>
        <w:tc>
          <w:tcPr>
            <w:tcW w:w="300" w:type="dxa"/>
            <w:vAlign w:val="bottom"/>
          </w:tcPr>
          <w:p>
            <w:pPr>
              <w:spacing w:after="0"/>
              <w:rPr>
                <w:sz w:val="17"/>
                <w:szCs w:val="17"/>
                <w:color w:val="auto"/>
              </w:rPr>
            </w:pP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3,394</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2,128</w:t>
            </w:r>
          </w:p>
        </w:tc>
        <w:tc>
          <w:tcPr>
            <w:tcW w:w="300" w:type="dxa"/>
            <w:vAlign w:val="bottom"/>
          </w:tcPr>
          <w:p>
            <w:pPr>
              <w:spacing w:after="0"/>
              <w:rPr>
                <w:sz w:val="17"/>
                <w:szCs w:val="17"/>
                <w:color w:val="auto"/>
              </w:rPr>
            </w:pP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3,560</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2024</w:t>
            </w:r>
          </w:p>
        </w:tc>
        <w:tc>
          <w:tcPr>
            <w:tcW w:w="320" w:type="dxa"/>
            <w:vAlign w:val="bottom"/>
          </w:tcPr>
          <w:p>
            <w:pPr>
              <w:spacing w:after="0"/>
              <w:rPr>
                <w:sz w:val="17"/>
                <w:szCs w:val="17"/>
                <w:color w:val="auto"/>
              </w:rPr>
            </w:pPr>
          </w:p>
        </w:tc>
        <w:tc>
          <w:tcPr>
            <w:tcW w:w="156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1,496</w:t>
            </w:r>
          </w:p>
        </w:tc>
        <w:tc>
          <w:tcPr>
            <w:tcW w:w="300" w:type="dxa"/>
            <w:vAlign w:val="bottom"/>
          </w:tcPr>
          <w:p>
            <w:pPr>
              <w:spacing w:after="0"/>
              <w:rPr>
                <w:sz w:val="17"/>
                <w:szCs w:val="17"/>
                <w:color w:val="auto"/>
              </w:rPr>
            </w:pP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3,560</w:t>
            </w:r>
          </w:p>
        </w:tc>
        <w:tc>
          <w:tcPr>
            <w:tcW w:w="0" w:type="dxa"/>
            <w:vAlign w:val="bottom"/>
          </w:tcPr>
          <w:p>
            <w:pPr>
              <w:spacing w:after="0"/>
              <w:rPr>
                <w:sz w:val="1"/>
                <w:szCs w:val="1"/>
                <w:color w:val="auto"/>
              </w:rPr>
            </w:pPr>
          </w:p>
        </w:tc>
      </w:tr>
      <w:tr>
        <w:trPr>
          <w:trHeight w:val="225"/>
        </w:trPr>
        <w:tc>
          <w:tcPr>
            <w:tcW w:w="69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5,332</w:t>
            </w:r>
          </w:p>
        </w:tc>
        <w:tc>
          <w:tcPr>
            <w:tcW w:w="300" w:type="dxa"/>
            <w:vAlign w:val="bottom"/>
          </w:tcPr>
          <w:p>
            <w:pPr>
              <w:spacing w:after="0"/>
              <w:rPr>
                <w:sz w:val="19"/>
                <w:szCs w:val="19"/>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15,692</w:t>
            </w:r>
          </w:p>
        </w:tc>
        <w:tc>
          <w:tcPr>
            <w:tcW w:w="0" w:type="dxa"/>
            <w:vAlign w:val="bottom"/>
          </w:tcPr>
          <w:p>
            <w:pPr>
              <w:spacing w:after="0"/>
              <w:rPr>
                <w:sz w:val="1"/>
                <w:szCs w:val="1"/>
                <w:color w:val="auto"/>
              </w:rPr>
            </w:pPr>
          </w:p>
        </w:tc>
      </w:tr>
      <w:tr>
        <w:trPr>
          <w:trHeight w:val="173"/>
        </w:trPr>
        <w:tc>
          <w:tcPr>
            <w:tcW w:w="6980" w:type="dxa"/>
            <w:vAlign w:val="bottom"/>
            <w:gridSpan w:val="3"/>
          </w:tcPr>
          <w:p>
            <w:pPr>
              <w:spacing w:after="0" w:line="173" w:lineRule="exact"/>
              <w:rPr>
                <w:sz w:val="20"/>
                <w:szCs w:val="20"/>
                <w:color w:val="auto"/>
              </w:rPr>
            </w:pPr>
            <w:r>
              <w:rPr>
                <w:rFonts w:ascii="Arial" w:cs="Arial" w:eastAsia="Arial" w:hAnsi="Arial"/>
                <w:sz w:val="18"/>
                <w:szCs w:val="18"/>
                <w:color w:val="auto"/>
              </w:rPr>
              <w:t>Total lease payments</w:t>
            </w:r>
          </w:p>
        </w:tc>
        <w:tc>
          <w:tcPr>
            <w:tcW w:w="1560" w:type="dxa"/>
            <w:vAlign w:val="bottom"/>
          </w:tcPr>
          <w:p>
            <w:pPr>
              <w:jc w:val="right"/>
              <w:ind w:right="392"/>
              <w:spacing w:after="0" w:line="173" w:lineRule="exact"/>
              <w:rPr>
                <w:sz w:val="20"/>
                <w:szCs w:val="20"/>
                <w:color w:val="auto"/>
              </w:rPr>
            </w:pPr>
            <w:r>
              <w:rPr>
                <w:rFonts w:ascii="Arial" w:cs="Arial" w:eastAsia="Arial" w:hAnsi="Arial"/>
                <w:sz w:val="18"/>
                <w:szCs w:val="18"/>
                <w:b w:val="1"/>
                <w:bCs w:val="1"/>
                <w:color w:val="auto"/>
              </w:rPr>
              <w:t>21,338</w:t>
            </w:r>
          </w:p>
        </w:tc>
        <w:tc>
          <w:tcPr>
            <w:tcW w:w="300" w:type="dxa"/>
            <w:vAlign w:val="bottom"/>
          </w:tcPr>
          <w:p>
            <w:pPr>
              <w:spacing w:after="0"/>
              <w:rPr>
                <w:sz w:val="15"/>
                <w:szCs w:val="15"/>
                <w:color w:val="auto"/>
              </w:rPr>
            </w:pPr>
          </w:p>
        </w:tc>
        <w:tc>
          <w:tcPr>
            <w:tcW w:w="1560" w:type="dxa"/>
            <w:vAlign w:val="bottom"/>
          </w:tcPr>
          <w:p>
            <w:pPr>
              <w:jc w:val="right"/>
              <w:ind w:right="372"/>
              <w:spacing w:after="0" w:line="173" w:lineRule="exact"/>
              <w:rPr>
                <w:sz w:val="20"/>
                <w:szCs w:val="20"/>
                <w:color w:val="auto"/>
              </w:rPr>
            </w:pPr>
            <w:r>
              <w:rPr>
                <w:rFonts w:ascii="Arial" w:cs="Arial" w:eastAsia="Arial" w:hAnsi="Arial"/>
                <w:sz w:val="18"/>
                <w:szCs w:val="18"/>
                <w:b w:val="1"/>
                <w:bCs w:val="1"/>
                <w:color w:val="auto"/>
              </w:rPr>
              <w:t>32,900</w:t>
            </w:r>
          </w:p>
        </w:tc>
        <w:tc>
          <w:tcPr>
            <w:tcW w:w="0" w:type="dxa"/>
            <w:vAlign w:val="bottom"/>
          </w:tcPr>
          <w:p>
            <w:pPr>
              <w:spacing w:after="0"/>
              <w:rPr>
                <w:sz w:val="1"/>
                <w:szCs w:val="1"/>
                <w:color w:val="auto"/>
              </w:rPr>
            </w:pPr>
          </w:p>
        </w:tc>
      </w:tr>
      <w:tr>
        <w:trPr>
          <w:trHeight w:val="225"/>
        </w:trPr>
        <w:tc>
          <w:tcPr>
            <w:tcW w:w="6980" w:type="dxa"/>
            <w:vAlign w:val="bottom"/>
            <w:gridSpan w:val="3"/>
          </w:tcPr>
          <w:p>
            <w:pPr>
              <w:spacing w:after="0"/>
              <w:rPr>
                <w:sz w:val="20"/>
                <w:szCs w:val="20"/>
                <w:color w:val="auto"/>
              </w:rPr>
            </w:pPr>
            <w:r>
              <w:rPr>
                <w:rFonts w:ascii="Arial" w:cs="Arial" w:eastAsia="Arial" w:hAnsi="Arial"/>
                <w:sz w:val="18"/>
                <w:szCs w:val="18"/>
                <w:color w:val="auto"/>
              </w:rPr>
              <w:t>Less imputed interest</w:t>
            </w: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(2,929)</w:t>
            </w:r>
          </w:p>
        </w:tc>
        <w:tc>
          <w:tcPr>
            <w:tcW w:w="300" w:type="dxa"/>
            <w:vAlign w:val="bottom"/>
          </w:tcPr>
          <w:p>
            <w:pPr>
              <w:spacing w:after="0"/>
              <w:rPr>
                <w:sz w:val="19"/>
                <w:szCs w:val="19"/>
                <w:color w:val="auto"/>
              </w:rPr>
            </w:pP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(8,365)</w:t>
            </w:r>
          </w:p>
        </w:tc>
        <w:tc>
          <w:tcPr>
            <w:tcW w:w="0" w:type="dxa"/>
            <w:vAlign w:val="bottom"/>
          </w:tcPr>
          <w:p>
            <w:pPr>
              <w:spacing w:after="0"/>
              <w:rPr>
                <w:sz w:val="1"/>
                <w:szCs w:val="1"/>
                <w:color w:val="auto"/>
              </w:rPr>
            </w:pPr>
          </w:p>
        </w:tc>
      </w:tr>
      <w:tr>
        <w:trPr>
          <w:trHeight w:val="196"/>
        </w:trPr>
        <w:tc>
          <w:tcPr>
            <w:tcW w:w="6980" w:type="dxa"/>
            <w:vAlign w:val="bottom"/>
            <w:gridSpan w:val="3"/>
          </w:tcPr>
          <w:p>
            <w:pPr>
              <w:spacing w:after="0" w:line="196" w:lineRule="exact"/>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352"/>
              <w:spacing w:after="0" w:line="196" w:lineRule="exact"/>
              <w:rPr>
                <w:sz w:val="20"/>
                <w:szCs w:val="20"/>
                <w:color w:val="auto"/>
              </w:rPr>
            </w:pPr>
            <w:r>
              <w:rPr>
                <w:rFonts w:ascii="Arial" w:cs="Arial" w:eastAsia="Arial" w:hAnsi="Arial"/>
                <w:sz w:val="18"/>
                <w:szCs w:val="18"/>
                <w:b w:val="1"/>
                <w:bCs w:val="1"/>
                <w:color w:val="auto"/>
              </w:rPr>
              <w:t>$ 18,409</w:t>
            </w:r>
          </w:p>
        </w:tc>
        <w:tc>
          <w:tcPr>
            <w:tcW w:w="300" w:type="dxa"/>
            <w:vAlign w:val="bottom"/>
          </w:tcPr>
          <w:p>
            <w:pPr>
              <w:spacing w:after="0"/>
              <w:rPr>
                <w:sz w:val="17"/>
                <w:szCs w:val="17"/>
                <w:color w:val="auto"/>
              </w:rPr>
            </w:pPr>
          </w:p>
        </w:tc>
        <w:tc>
          <w:tcPr>
            <w:tcW w:w="1560" w:type="dxa"/>
            <w:vAlign w:val="bottom"/>
            <w:tcBorders>
              <w:bottom w:val="single" w:sz="8" w:color="auto"/>
            </w:tcBorders>
          </w:tcPr>
          <w:p>
            <w:pPr>
              <w:jc w:val="right"/>
              <w:ind w:right="352"/>
              <w:spacing w:after="0" w:line="196" w:lineRule="exact"/>
              <w:rPr>
                <w:sz w:val="20"/>
                <w:szCs w:val="20"/>
                <w:color w:val="auto"/>
              </w:rPr>
            </w:pPr>
            <w:r>
              <w:rPr>
                <w:rFonts w:ascii="Arial" w:cs="Arial" w:eastAsia="Arial" w:hAnsi="Arial"/>
                <w:sz w:val="18"/>
                <w:szCs w:val="18"/>
                <w:b w:val="1"/>
                <w:bCs w:val="1"/>
                <w:color w:val="auto"/>
              </w:rPr>
              <w:t>$ 24,535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78"/>
        <w:spacing w:after="0" w:line="246" w:lineRule="auto"/>
        <w:rPr>
          <w:sz w:val="20"/>
          <w:szCs w:val="20"/>
          <w:color w:val="auto"/>
        </w:rPr>
      </w:pPr>
      <w:r>
        <w:rPr>
          <w:rFonts w:ascii="Arial" w:cs="Arial" w:eastAsia="Arial" w:hAnsi="Arial"/>
          <w:sz w:val="18"/>
          <w:szCs w:val="18"/>
          <w:color w:val="auto"/>
        </w:rPr>
        <w:t>As of December 31, 2018, future rental payments required under operating leases with initial or remaining non-cancelable lease terms in excess of one year, were: 2019, $4.6 million; 2020, $3.2 million; 2021, $2.1 million; 2022, $1.5 million; and 2023 and thereafter, $6.5 million.</w:t>
      </w:r>
    </w:p>
    <w:p>
      <w:pPr>
        <w:spacing w:after="0" w:line="89" w:lineRule="exact"/>
        <w:rPr>
          <w:sz w:val="20"/>
          <w:szCs w:val="20"/>
          <w:color w:val="auto"/>
        </w:rPr>
      </w:pPr>
    </w:p>
    <w:p>
      <w:pPr>
        <w:ind w:right="100" w:firstLine="378"/>
        <w:spacing w:after="0" w:line="246" w:lineRule="auto"/>
        <w:rPr>
          <w:sz w:val="20"/>
          <w:szCs w:val="20"/>
          <w:color w:val="auto"/>
        </w:rPr>
      </w:pPr>
      <w:r>
        <w:rPr>
          <w:rFonts w:ascii="Arial" w:cs="Arial" w:eastAsia="Arial" w:hAnsi="Arial"/>
          <w:sz w:val="18"/>
          <w:szCs w:val="18"/>
          <w:color w:val="auto"/>
        </w:rPr>
        <w:t>The following schedule presents future minimum annual payments under the SLC lease finance obligation, and the present value of the minimum payments as of December 31, 2018:</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8840" w:type="dxa"/>
            <w:vAlign w:val="bottom"/>
            <w:vMerge w:val="restart"/>
          </w:tcPr>
          <w:p>
            <w:pPr>
              <w:spacing w:after="0"/>
              <w:rPr>
                <w:sz w:val="20"/>
                <w:szCs w:val="20"/>
                <w:color w:val="auto"/>
              </w:rPr>
            </w:pPr>
            <w:r>
              <w:rPr>
                <w:rFonts w:ascii="Arial" w:cs="Arial" w:eastAsia="Arial" w:hAnsi="Arial"/>
                <w:sz w:val="18"/>
                <w:szCs w:val="18"/>
                <w:color w:val="auto"/>
              </w:rPr>
              <w:t>Year ending December 31,</w:t>
            </w: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2"/>
        </w:trPr>
        <w:tc>
          <w:tcPr>
            <w:tcW w:w="884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$ 2,451</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5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03"/>
        </w:trPr>
        <w:tc>
          <w:tcPr>
            <w:tcW w:w="8840" w:type="dxa"/>
            <w:vAlign w:val="bottom"/>
          </w:tcPr>
          <w:p>
            <w:pPr>
              <w:spacing w:after="0" w:line="203" w:lineRule="exact"/>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auto"/>
            </w:tcBorders>
          </w:tcPr>
          <w:p>
            <w:pPr>
              <w:jc w:val="right"/>
              <w:ind w:right="372"/>
              <w:spacing w:after="0" w:line="203" w:lineRule="exact"/>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195"/>
        </w:trPr>
        <w:tc>
          <w:tcPr>
            <w:tcW w:w="8840" w:type="dxa"/>
            <w:vAlign w:val="bottom"/>
          </w:tcPr>
          <w:p>
            <w:pPr>
              <w:spacing w:after="0" w:line="195" w:lineRule="exact"/>
              <w:rPr>
                <w:sz w:val="20"/>
                <w:szCs w:val="20"/>
                <w:color w:val="auto"/>
              </w:rPr>
            </w:pPr>
            <w:r>
              <w:rPr>
                <w:rFonts w:ascii="Arial" w:cs="Arial" w:eastAsia="Arial" w:hAnsi="Arial"/>
                <w:sz w:val="18"/>
                <w:szCs w:val="18"/>
                <w:color w:val="auto"/>
              </w:rPr>
              <w:t>Total minimum payments</w:t>
            </w:r>
          </w:p>
        </w:tc>
        <w:tc>
          <w:tcPr>
            <w:tcW w:w="1560" w:type="dxa"/>
            <w:vAlign w:val="bottom"/>
          </w:tcPr>
          <w:p>
            <w:pPr>
              <w:jc w:val="right"/>
              <w:ind w:right="372"/>
              <w:spacing w:after="0" w:line="195" w:lineRule="exact"/>
              <w:rPr>
                <w:sz w:val="20"/>
                <w:szCs w:val="20"/>
                <w:color w:val="auto"/>
              </w:rPr>
            </w:pPr>
            <w:r>
              <w:rPr>
                <w:rFonts w:ascii="Arial" w:cs="Arial" w:eastAsia="Arial" w:hAnsi="Arial"/>
                <w:sz w:val="18"/>
                <w:szCs w:val="18"/>
                <w:color w:val="auto"/>
              </w:rPr>
              <w:t>33,676</w:t>
            </w:r>
          </w:p>
        </w:tc>
        <w:tc>
          <w:tcPr>
            <w:tcW w:w="0" w:type="dxa"/>
            <w:vAlign w:val="bottom"/>
          </w:tcPr>
          <w:p>
            <w:pPr>
              <w:spacing w:after="0"/>
              <w:rPr>
                <w:sz w:val="1"/>
                <w:szCs w:val="1"/>
                <w:color w:val="auto"/>
              </w:rPr>
            </w:pPr>
          </w:p>
        </w:tc>
      </w:tr>
      <w:tr>
        <w:trPr>
          <w:trHeight w:val="203"/>
        </w:trPr>
        <w:tc>
          <w:tcPr>
            <w:tcW w:w="8840" w:type="dxa"/>
            <w:vAlign w:val="bottom"/>
          </w:tcPr>
          <w:p>
            <w:pPr>
              <w:spacing w:after="0" w:line="203" w:lineRule="exact"/>
              <w:rPr>
                <w:sz w:val="20"/>
                <w:szCs w:val="20"/>
                <w:color w:val="auto"/>
              </w:rPr>
            </w:pPr>
            <w:r>
              <w:rPr>
                <w:rFonts w:ascii="Arial" w:cs="Arial" w:eastAsia="Arial" w:hAnsi="Arial"/>
                <w:sz w:val="18"/>
                <w:szCs w:val="18"/>
                <w:color w:val="auto"/>
              </w:rPr>
              <w:t>Less imputed interest</w:t>
            </w:r>
          </w:p>
        </w:tc>
        <w:tc>
          <w:tcPr>
            <w:tcW w:w="1560" w:type="dxa"/>
            <w:vAlign w:val="bottom"/>
            <w:tcBorders>
              <w:bottom w:val="single" w:sz="8" w:color="auto"/>
            </w:tcBorders>
          </w:tcPr>
          <w:p>
            <w:pPr>
              <w:jc w:val="right"/>
              <w:ind w:right="332"/>
              <w:spacing w:after="0" w:line="203" w:lineRule="exact"/>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196"/>
        </w:trPr>
        <w:tc>
          <w:tcPr>
            <w:tcW w:w="88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372"/>
              <w:spacing w:after="0" w:line="196" w:lineRule="exact"/>
              <w:rPr>
                <w:sz w:val="20"/>
                <w:szCs w:val="20"/>
                <w:color w:val="auto"/>
              </w:rPr>
            </w:pPr>
            <w:r>
              <w:rPr>
                <w:rFonts w:ascii="Arial" w:cs="Arial" w:eastAsia="Arial" w:hAnsi="Arial"/>
                <w:sz w:val="18"/>
                <w:szCs w:val="18"/>
                <w:color w:val="auto"/>
              </w:rPr>
              <w:t>$25,886</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78"/>
        <w:spacing w:after="0" w:line="246" w:lineRule="auto"/>
        <w:rPr>
          <w:sz w:val="20"/>
          <w:szCs w:val="20"/>
          <w:color w:val="auto"/>
        </w:rPr>
      </w:pPr>
      <w:r>
        <w:rPr>
          <w:rFonts w:ascii="Arial" w:cs="Arial" w:eastAsia="Arial" w:hAnsi="Arial"/>
          <w:sz w:val="18"/>
          <w:szCs w:val="18"/>
          <w:color w:val="auto"/>
        </w:rPr>
        <w:t>As of December 31, 2018, the capitalized value associated with the SLC lease was included in Property, plant, and equipment, net at a value of $17.3 million, which included a gross cost of $20.8 million, and Accumulated depreciation of $3.6 million.</w:t>
      </w:r>
    </w:p>
    <w:p>
      <w:pPr>
        <w:spacing w:after="0" w:line="67" w:lineRule="exact"/>
        <w:rPr>
          <w:sz w:val="20"/>
          <w:szCs w:val="20"/>
          <w:color w:val="auto"/>
        </w:rPr>
      </w:pPr>
    </w:p>
    <w:p>
      <w:pPr>
        <w:ind w:right="8080" w:firstLine="8"/>
        <w:spacing w:after="0" w:line="372" w:lineRule="auto"/>
        <w:tabs>
          <w:tab w:leader="none" w:pos="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Asbestos Litigation</w:t>
      </w:r>
    </w:p>
    <w:p>
      <w:pPr>
        <w:spacing w:after="0" w:line="2" w:lineRule="exact"/>
        <w:rPr>
          <w:sz w:val="20"/>
          <w:szCs w:val="20"/>
          <w:color w:val="auto"/>
        </w:rPr>
      </w:pPr>
    </w:p>
    <w:p>
      <w:pPr>
        <w:jc w:val="both"/>
        <w:ind w:right="280" w:firstLine="378"/>
        <w:spacing w:after="0"/>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were defending 3,708 claims as of December 31,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240"/>
          </w:cols>
          <w:pgMar w:left="240" w:top="269" w:right="41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 — (continued)</w:t>
      </w:r>
    </w:p>
    <w:p>
      <w:pPr>
        <w:spacing w:after="0" w:line="126" w:lineRule="exact"/>
        <w:rPr>
          <w:sz w:val="20"/>
          <w:szCs w:val="20"/>
          <w:color w:val="auto"/>
        </w:rPr>
      </w:pPr>
    </w:p>
    <w:p>
      <w:pPr>
        <w:ind w:right="60" w:firstLine="37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Claims</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Opening</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Dismissed,</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Closing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(thousands) to</w:t>
            </w: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Settled, or</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Settle or</w:t>
            </w:r>
          </w:p>
        </w:tc>
      </w:tr>
      <w:tr>
        <w:trPr>
          <w:trHeight w:val="175"/>
        </w:trPr>
        <w:tc>
          <w:tcPr>
            <w:tcW w:w="20" w:type="dxa"/>
            <w:vAlign w:val="bottom"/>
          </w:tcPr>
          <w:p>
            <w:pPr>
              <w:spacing w:after="0"/>
              <w:rPr>
                <w:sz w:val="15"/>
                <w:szCs w:val="15"/>
                <w:color w:val="auto"/>
              </w:rPr>
            </w:pPr>
          </w:p>
        </w:tc>
        <w:tc>
          <w:tcPr>
            <w:tcW w:w="3940" w:type="dxa"/>
            <w:vAlign w:val="bottom"/>
            <w:gridSpan w:val="2"/>
          </w:tcPr>
          <w:p>
            <w:pPr>
              <w:ind w:left="92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Claims</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Resolved</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New Claims</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Claims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Resolve</w:t>
            </w:r>
          </w:p>
        </w:tc>
      </w:tr>
      <w:tr>
        <w:trPr>
          <w:trHeight w:val="195"/>
        </w:trPr>
        <w:tc>
          <w:tcPr>
            <w:tcW w:w="20" w:type="dxa"/>
            <w:vAlign w:val="bottom"/>
          </w:tcPr>
          <w:p>
            <w:pPr>
              <w:spacing w:after="0"/>
              <w:rPr>
                <w:sz w:val="16"/>
                <w:szCs w:val="16"/>
                <w:color w:val="auto"/>
              </w:rPr>
            </w:pPr>
          </w:p>
        </w:tc>
        <w:tc>
          <w:tcPr>
            <w:tcW w:w="3620" w:type="dxa"/>
            <w:vAlign w:val="bottom"/>
            <w:tcBorders>
              <w:top w:val="single" w:sz="8" w:color="auto"/>
            </w:tcBorders>
          </w:tcPr>
          <w:p>
            <w:pPr>
              <w:jc w:val="right"/>
              <w:ind w:right="3159"/>
              <w:spacing w:after="0" w:line="195" w:lineRule="exact"/>
              <w:rPr>
                <w:sz w:val="20"/>
                <w:szCs w:val="20"/>
                <w:color w:val="auto"/>
              </w:rPr>
            </w:pPr>
            <w:r>
              <w:rPr>
                <w:rFonts w:ascii="Arial" w:cs="Arial" w:eastAsia="Arial" w:hAnsi="Arial"/>
                <w:sz w:val="18"/>
                <w:szCs w:val="18"/>
                <w:color w:val="auto"/>
                <w:w w:val="89"/>
              </w:rPr>
              <w:t>2014</w:t>
            </w:r>
          </w:p>
        </w:tc>
        <w:tc>
          <w:tcPr>
            <w:tcW w:w="3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4,299</w:t>
            </w:r>
          </w:p>
        </w:tc>
        <w:tc>
          <w:tcPr>
            <w:tcW w:w="3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625</w:t>
            </w:r>
          </w:p>
        </w:tc>
        <w:tc>
          <w:tcPr>
            <w:tcW w:w="320" w:type="dxa"/>
            <w:vAlign w:val="bottom"/>
          </w:tcPr>
          <w:p>
            <w:pPr>
              <w:spacing w:after="0"/>
              <w:rPr>
                <w:sz w:val="16"/>
                <w:szCs w:val="16"/>
                <w:color w:val="auto"/>
              </w:rPr>
            </w:pPr>
          </w:p>
        </w:tc>
        <w:tc>
          <w:tcPr>
            <w:tcW w:w="1040" w:type="dxa"/>
            <w:vAlign w:val="bottom"/>
            <w:tcBorders>
              <w:top w:val="single" w:sz="8" w:color="auto"/>
            </w:tcBorders>
          </w:tcPr>
          <w:p>
            <w:pPr>
              <w:jc w:val="right"/>
              <w:ind w:right="293"/>
              <w:spacing w:after="0" w:line="195" w:lineRule="exact"/>
              <w:rPr>
                <w:sz w:val="20"/>
                <w:szCs w:val="20"/>
                <w:color w:val="auto"/>
              </w:rPr>
            </w:pPr>
            <w:r>
              <w:rPr>
                <w:rFonts w:ascii="Arial" w:cs="Arial" w:eastAsia="Arial" w:hAnsi="Arial"/>
                <w:sz w:val="18"/>
                <w:szCs w:val="18"/>
                <w:color w:val="auto"/>
              </w:rPr>
              <w:t>147</w:t>
            </w:r>
          </w:p>
        </w:tc>
        <w:tc>
          <w:tcPr>
            <w:tcW w:w="3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3,821</w:t>
            </w:r>
          </w:p>
        </w:tc>
        <w:tc>
          <w:tcPr>
            <w:tcW w:w="3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$437</w:t>
            </w:r>
          </w:p>
        </w:tc>
      </w:tr>
      <w:tr>
        <w:trPr>
          <w:trHeight w:val="203"/>
        </w:trPr>
        <w:tc>
          <w:tcPr>
            <w:tcW w:w="3640" w:type="dxa"/>
            <w:vAlign w:val="bottom"/>
            <w:gridSpan w:val="2"/>
          </w:tcPr>
          <w:p>
            <w:pPr>
              <w:jc w:val="right"/>
              <w:ind w:right="3159"/>
              <w:spacing w:after="0" w:line="202" w:lineRule="exact"/>
              <w:rPr>
                <w:sz w:val="20"/>
                <w:szCs w:val="20"/>
                <w:color w:val="auto"/>
              </w:rPr>
            </w:pPr>
            <w:r>
              <w:rPr>
                <w:rFonts w:ascii="Arial" w:cs="Arial" w:eastAsia="Arial" w:hAnsi="Arial"/>
                <w:sz w:val="18"/>
                <w:szCs w:val="18"/>
                <w:color w:val="auto"/>
                <w:w w:val="94"/>
              </w:rPr>
              <w:t>2015</w:t>
            </w:r>
          </w:p>
        </w:tc>
        <w:tc>
          <w:tcPr>
            <w:tcW w:w="32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rPr>
              <w:t>3,821</w:t>
            </w:r>
          </w:p>
        </w:tc>
        <w:tc>
          <w:tcPr>
            <w:tcW w:w="3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9"/>
              </w:rPr>
              <w:t>116</w:t>
            </w:r>
          </w:p>
        </w:tc>
        <w:tc>
          <w:tcPr>
            <w:tcW w:w="320" w:type="dxa"/>
            <w:vAlign w:val="bottom"/>
          </w:tcPr>
          <w:p>
            <w:pPr>
              <w:spacing w:after="0"/>
              <w:rPr>
                <w:sz w:val="17"/>
                <w:szCs w:val="17"/>
                <w:color w:val="auto"/>
              </w:rPr>
            </w:pPr>
          </w:p>
        </w:tc>
        <w:tc>
          <w:tcPr>
            <w:tcW w:w="10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7"/>
              </w:rPr>
              <w:t>3,791</w:t>
            </w:r>
          </w:p>
        </w:tc>
        <w:tc>
          <w:tcPr>
            <w:tcW w:w="320" w:type="dxa"/>
            <w:vAlign w:val="bottom"/>
          </w:tcPr>
          <w:p>
            <w:pPr>
              <w:spacing w:after="0"/>
              <w:rPr>
                <w:sz w:val="17"/>
                <w:szCs w:val="17"/>
                <w:color w:val="auto"/>
              </w:rPr>
            </w:pPr>
          </w:p>
        </w:tc>
        <w:tc>
          <w:tcPr>
            <w:tcW w:w="10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164</w:t>
            </w:r>
          </w:p>
        </w:tc>
      </w:tr>
      <w:tr>
        <w:trPr>
          <w:trHeight w:val="203"/>
        </w:trPr>
        <w:tc>
          <w:tcPr>
            <w:tcW w:w="3640" w:type="dxa"/>
            <w:vAlign w:val="bottom"/>
            <w:gridSpan w:val="2"/>
          </w:tcPr>
          <w:p>
            <w:pPr>
              <w:jc w:val="right"/>
              <w:ind w:right="3159"/>
              <w:spacing w:after="0" w:line="202" w:lineRule="exact"/>
              <w:rPr>
                <w:sz w:val="20"/>
                <w:szCs w:val="20"/>
                <w:color w:val="auto"/>
              </w:rPr>
            </w:pPr>
            <w:r>
              <w:rPr>
                <w:rFonts w:ascii="Arial" w:cs="Arial" w:eastAsia="Arial" w:hAnsi="Arial"/>
                <w:sz w:val="18"/>
                <w:szCs w:val="18"/>
                <w:color w:val="auto"/>
                <w:w w:val="94"/>
              </w:rPr>
              <w:t>2016</w:t>
            </w:r>
          </w:p>
        </w:tc>
        <w:tc>
          <w:tcPr>
            <w:tcW w:w="32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rPr>
              <w:t>3,791</w:t>
            </w:r>
          </w:p>
        </w:tc>
        <w:tc>
          <w:tcPr>
            <w:tcW w:w="3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9"/>
              </w:rPr>
              <w:t>148</w:t>
            </w:r>
          </w:p>
        </w:tc>
        <w:tc>
          <w:tcPr>
            <w:tcW w:w="320" w:type="dxa"/>
            <w:vAlign w:val="bottom"/>
          </w:tcPr>
          <w:p>
            <w:pPr>
              <w:spacing w:after="0"/>
              <w:rPr>
                <w:sz w:val="17"/>
                <w:szCs w:val="17"/>
                <w:color w:val="auto"/>
              </w:rPr>
            </w:pPr>
          </w:p>
        </w:tc>
        <w:tc>
          <w:tcPr>
            <w:tcW w:w="10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7"/>
              </w:rPr>
              <w:t>3,745</w:t>
            </w:r>
          </w:p>
        </w:tc>
        <w:tc>
          <w:tcPr>
            <w:tcW w:w="320" w:type="dxa"/>
            <w:vAlign w:val="bottom"/>
          </w:tcPr>
          <w:p>
            <w:pPr>
              <w:spacing w:after="0"/>
              <w:rPr>
                <w:sz w:val="17"/>
                <w:szCs w:val="17"/>
                <w:color w:val="auto"/>
              </w:rPr>
            </w:pPr>
          </w:p>
        </w:tc>
        <w:tc>
          <w:tcPr>
            <w:tcW w:w="10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758</w:t>
            </w:r>
          </w:p>
        </w:tc>
      </w:tr>
      <w:tr>
        <w:trPr>
          <w:trHeight w:val="203"/>
        </w:trPr>
        <w:tc>
          <w:tcPr>
            <w:tcW w:w="3640" w:type="dxa"/>
            <w:vAlign w:val="bottom"/>
            <w:gridSpan w:val="2"/>
          </w:tcPr>
          <w:p>
            <w:pPr>
              <w:jc w:val="right"/>
              <w:ind w:right="3159"/>
              <w:spacing w:after="0" w:line="202" w:lineRule="exact"/>
              <w:rPr>
                <w:sz w:val="20"/>
                <w:szCs w:val="20"/>
                <w:color w:val="auto"/>
              </w:rPr>
            </w:pPr>
            <w:r>
              <w:rPr>
                <w:rFonts w:ascii="Arial" w:cs="Arial" w:eastAsia="Arial" w:hAnsi="Arial"/>
                <w:sz w:val="18"/>
                <w:szCs w:val="18"/>
                <w:color w:val="auto"/>
                <w:w w:val="94"/>
              </w:rPr>
              <w:t>2017</w:t>
            </w:r>
          </w:p>
        </w:tc>
        <w:tc>
          <w:tcPr>
            <w:tcW w:w="32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rPr>
              <w:t>3,745</w:t>
            </w:r>
          </w:p>
        </w:tc>
        <w:tc>
          <w:tcPr>
            <w:tcW w:w="3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9"/>
              </w:rPr>
              <w:t>105</w:t>
            </w:r>
          </w:p>
        </w:tc>
        <w:tc>
          <w:tcPr>
            <w:tcW w:w="320" w:type="dxa"/>
            <w:vAlign w:val="bottom"/>
          </w:tcPr>
          <w:p>
            <w:pPr>
              <w:spacing w:after="0"/>
              <w:rPr>
                <w:sz w:val="17"/>
                <w:szCs w:val="17"/>
                <w:color w:val="auto"/>
              </w:rPr>
            </w:pPr>
          </w:p>
        </w:tc>
        <w:tc>
          <w:tcPr>
            <w:tcW w:w="10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90</w:t>
            </w:r>
          </w:p>
        </w:tc>
        <w:tc>
          <w:tcPr>
            <w:tcW w:w="3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7"/>
              </w:rPr>
              <w:t>3,730</w:t>
            </w:r>
          </w:p>
        </w:tc>
        <w:tc>
          <w:tcPr>
            <w:tcW w:w="320" w:type="dxa"/>
            <w:vAlign w:val="bottom"/>
          </w:tcPr>
          <w:p>
            <w:pPr>
              <w:spacing w:after="0"/>
              <w:rPr>
                <w:sz w:val="17"/>
                <w:szCs w:val="17"/>
                <w:color w:val="auto"/>
              </w:rPr>
            </w:pPr>
          </w:p>
        </w:tc>
        <w:tc>
          <w:tcPr>
            <w:tcW w:w="10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55</w:t>
            </w:r>
          </w:p>
        </w:tc>
      </w:tr>
      <w:tr>
        <w:trPr>
          <w:trHeight w:val="181"/>
        </w:trPr>
        <w:tc>
          <w:tcPr>
            <w:tcW w:w="3640" w:type="dxa"/>
            <w:vAlign w:val="bottom"/>
            <w:gridSpan w:val="2"/>
          </w:tcPr>
          <w:p>
            <w:pPr>
              <w:jc w:val="right"/>
              <w:ind w:right="3159"/>
              <w:spacing w:after="0" w:line="181" w:lineRule="exact"/>
              <w:rPr>
                <w:sz w:val="20"/>
                <w:szCs w:val="20"/>
                <w:color w:val="auto"/>
              </w:rPr>
            </w:pPr>
            <w:r>
              <w:rPr>
                <w:rFonts w:ascii="Arial" w:cs="Arial" w:eastAsia="Arial" w:hAnsi="Arial"/>
                <w:sz w:val="18"/>
                <w:szCs w:val="18"/>
                <w:color w:val="auto"/>
                <w:w w:val="94"/>
              </w:rPr>
              <w:t>2018</w:t>
            </w:r>
          </w:p>
        </w:tc>
        <w:tc>
          <w:tcPr>
            <w:tcW w:w="32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8"/>
                <w:szCs w:val="18"/>
                <w:color w:val="auto"/>
              </w:rPr>
              <w:t>3,730</w:t>
            </w:r>
          </w:p>
        </w:tc>
        <w:tc>
          <w:tcPr>
            <w:tcW w:w="30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8"/>
                <w:szCs w:val="18"/>
                <w:color w:val="auto"/>
                <w:w w:val="99"/>
              </w:rPr>
              <w:t>152</w:t>
            </w:r>
          </w:p>
        </w:tc>
        <w:tc>
          <w:tcPr>
            <w:tcW w:w="320" w:type="dxa"/>
            <w:vAlign w:val="bottom"/>
          </w:tcPr>
          <w:p>
            <w:pPr>
              <w:spacing w:after="0"/>
              <w:rPr>
                <w:sz w:val="15"/>
                <w:szCs w:val="15"/>
                <w:color w:val="auto"/>
              </w:rPr>
            </w:pPr>
          </w:p>
        </w:tc>
        <w:tc>
          <w:tcPr>
            <w:tcW w:w="1040" w:type="dxa"/>
            <w:vAlign w:val="bottom"/>
          </w:tcPr>
          <w:p>
            <w:pPr>
              <w:jc w:val="right"/>
              <w:ind w:right="293"/>
              <w:spacing w:after="0" w:line="181" w:lineRule="exact"/>
              <w:rPr>
                <w:sz w:val="20"/>
                <w:szCs w:val="20"/>
                <w:color w:val="auto"/>
              </w:rPr>
            </w:pPr>
            <w:r>
              <w:rPr>
                <w:rFonts w:ascii="Arial" w:cs="Arial" w:eastAsia="Arial" w:hAnsi="Arial"/>
                <w:sz w:val="18"/>
                <w:szCs w:val="18"/>
                <w:color w:val="auto"/>
              </w:rPr>
              <w:t>106</w:t>
            </w:r>
          </w:p>
        </w:tc>
        <w:tc>
          <w:tcPr>
            <w:tcW w:w="30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8"/>
                <w:szCs w:val="18"/>
                <w:color w:val="auto"/>
                <w:w w:val="97"/>
              </w:rPr>
              <w:t>3,684</w:t>
            </w:r>
          </w:p>
        </w:tc>
        <w:tc>
          <w:tcPr>
            <w:tcW w:w="320" w:type="dxa"/>
            <w:vAlign w:val="bottom"/>
          </w:tcPr>
          <w:p>
            <w:pPr>
              <w:spacing w:after="0"/>
              <w:rPr>
                <w:sz w:val="15"/>
                <w:szCs w:val="15"/>
                <w:color w:val="auto"/>
              </w:rPr>
            </w:pPr>
          </w:p>
        </w:tc>
        <w:tc>
          <w:tcPr>
            <w:tcW w:w="1040" w:type="dxa"/>
            <w:vAlign w:val="bottom"/>
          </w:tcPr>
          <w:p>
            <w:pPr>
              <w:jc w:val="right"/>
              <w:ind w:right="257"/>
              <w:spacing w:after="0" w:line="181" w:lineRule="exact"/>
              <w:rPr>
                <w:sz w:val="20"/>
                <w:szCs w:val="20"/>
                <w:color w:val="auto"/>
              </w:rPr>
            </w:pPr>
            <w:r>
              <w:rPr>
                <w:rFonts w:ascii="Arial" w:cs="Arial" w:eastAsia="Arial" w:hAnsi="Arial"/>
                <w:sz w:val="18"/>
                <w:szCs w:val="18"/>
                <w:color w:val="auto"/>
              </w:rPr>
              <w:t>100</w:t>
            </w:r>
          </w:p>
        </w:tc>
      </w:tr>
      <w:tr>
        <w:trPr>
          <w:trHeight w:val="239"/>
        </w:trPr>
        <w:tc>
          <w:tcPr>
            <w:tcW w:w="3640" w:type="dxa"/>
            <w:vAlign w:val="bottom"/>
            <w:gridSpan w:val="2"/>
          </w:tcPr>
          <w:p>
            <w:pPr>
              <w:jc w:val="right"/>
              <w:ind w:right="3159"/>
              <w:spacing w:after="0"/>
              <w:rPr>
                <w:sz w:val="20"/>
                <w:szCs w:val="20"/>
                <w:color w:val="auto"/>
              </w:rPr>
            </w:pPr>
            <w:r>
              <w:rPr>
                <w:rFonts w:ascii="Arial" w:cs="Arial" w:eastAsia="Arial" w:hAnsi="Arial"/>
                <w:sz w:val="18"/>
                <w:szCs w:val="18"/>
                <w:b w:val="1"/>
                <w:bCs w:val="1"/>
                <w:color w:val="auto"/>
                <w:w w:val="94"/>
              </w:rPr>
              <w:t>2019</w:t>
            </w: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rPr>
              <w:t>3,684</w:t>
            </w:r>
          </w:p>
        </w:tc>
        <w:tc>
          <w:tcPr>
            <w:tcW w:w="300" w:type="dxa"/>
            <w:vAlign w:val="bottom"/>
          </w:tcPr>
          <w:p>
            <w:pPr>
              <w:spacing w:after="0"/>
              <w:rPr>
                <w:sz w:val="20"/>
                <w:szCs w:val="20"/>
                <w:color w:val="auto"/>
              </w:rPr>
            </w:pPr>
          </w:p>
        </w:tc>
        <w:tc>
          <w:tcPr>
            <w:tcW w:w="1040" w:type="dxa"/>
            <w:vAlign w:val="bottom"/>
          </w:tcPr>
          <w:p>
            <w:pPr>
              <w:jc w:val="right"/>
              <w:ind w:right="297"/>
              <w:spacing w:after="0"/>
              <w:rPr>
                <w:sz w:val="20"/>
                <w:szCs w:val="20"/>
                <w:color w:val="auto"/>
              </w:rPr>
            </w:pPr>
            <w:r>
              <w:rPr>
                <w:rFonts w:ascii="Arial" w:cs="Arial" w:eastAsia="Arial" w:hAnsi="Arial"/>
                <w:sz w:val="18"/>
                <w:szCs w:val="18"/>
                <w:b w:val="1"/>
                <w:bCs w:val="1"/>
                <w:color w:val="auto"/>
              </w:rPr>
              <w:t>51</w:t>
            </w:r>
          </w:p>
        </w:tc>
        <w:tc>
          <w:tcPr>
            <w:tcW w:w="320" w:type="dxa"/>
            <w:vAlign w:val="bottom"/>
          </w:tcPr>
          <w:p>
            <w:pPr>
              <w:spacing w:after="0"/>
              <w:rPr>
                <w:sz w:val="20"/>
                <w:szCs w:val="20"/>
                <w:color w:val="auto"/>
              </w:rPr>
            </w:pPr>
          </w:p>
        </w:tc>
        <w:tc>
          <w:tcPr>
            <w:tcW w:w="1040" w:type="dxa"/>
            <w:vAlign w:val="bottom"/>
          </w:tcPr>
          <w:p>
            <w:pPr>
              <w:jc w:val="right"/>
              <w:ind w:right="293"/>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7"/>
              </w:rPr>
              <w:t>3,708</w:t>
            </w:r>
          </w:p>
        </w:tc>
        <w:tc>
          <w:tcPr>
            <w:tcW w:w="320" w:type="dxa"/>
            <w:vAlign w:val="bottom"/>
          </w:tcPr>
          <w:p>
            <w:pPr>
              <w:spacing w:after="0"/>
              <w:rPr>
                <w:sz w:val="20"/>
                <w:szCs w:val="20"/>
                <w:color w:val="auto"/>
              </w:rPr>
            </w:pPr>
          </w:p>
        </w:tc>
        <w:tc>
          <w:tcPr>
            <w:tcW w:w="1040" w:type="dxa"/>
            <w:vAlign w:val="bottom"/>
          </w:tcPr>
          <w:p>
            <w:pPr>
              <w:jc w:val="right"/>
              <w:ind w:right="257"/>
              <w:spacing w:after="0"/>
              <w:rPr>
                <w:sz w:val="20"/>
                <w:szCs w:val="20"/>
                <w:color w:val="auto"/>
              </w:rPr>
            </w:pPr>
            <w:r>
              <w:rPr>
                <w:rFonts w:ascii="Arial" w:cs="Arial" w:eastAsia="Arial" w:hAnsi="Arial"/>
                <w:sz w:val="18"/>
                <w:szCs w:val="18"/>
                <w:b w:val="1"/>
                <w:bCs w:val="1"/>
                <w:color w:val="auto"/>
              </w:rPr>
              <w:t>$ 25</w:t>
            </w:r>
          </w:p>
        </w:tc>
      </w:tr>
    </w:tbl>
    <w:p>
      <w:pPr>
        <w:spacing w:after="0" w:line="80" w:lineRule="exact"/>
        <w:rPr>
          <w:sz w:val="20"/>
          <w:szCs w:val="20"/>
          <w:color w:val="auto"/>
        </w:rPr>
      </w:pPr>
    </w:p>
    <w:p>
      <w:pPr>
        <w:ind w:right="60" w:firstLine="378"/>
        <w:spacing w:after="0" w:line="238"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95" w:lineRule="exact"/>
        <w:rPr>
          <w:sz w:val="20"/>
          <w:szCs w:val="20"/>
          <w:color w:val="auto"/>
        </w:rPr>
      </w:pPr>
    </w:p>
    <w:p>
      <w:pPr>
        <w:ind w:right="40" w:firstLine="378"/>
        <w:spacing w:after="0" w:line="238"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December 31, 2019 we had resolved, by means of settlement or dismissal, 37,797 claims. The total cost of resolving all claims was $10.3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95" w:lineRule="exact"/>
        <w:rPr>
          <w:sz w:val="20"/>
          <w:szCs w:val="20"/>
          <w:color w:val="auto"/>
        </w:rPr>
      </w:pPr>
    </w:p>
    <w:p>
      <w:pPr>
        <w:ind w:right="40" w:firstLine="378"/>
        <w:spacing w:after="0" w:line="23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7,710 claims as of December 31, 2019, only twelve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97" w:lineRule="exact"/>
        <w:rPr>
          <w:sz w:val="20"/>
          <w:szCs w:val="20"/>
          <w:color w:val="auto"/>
        </w:rPr>
      </w:pPr>
    </w:p>
    <w:p>
      <w:pPr>
        <w:ind w:right="120" w:firstLine="37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97" w:lineRule="exact"/>
        <w:rPr>
          <w:sz w:val="20"/>
          <w:szCs w:val="20"/>
          <w:color w:val="auto"/>
        </w:rPr>
      </w:pPr>
    </w:p>
    <w:p>
      <w:pPr>
        <w:ind w:right="40" w:firstLine="378"/>
        <w:spacing w:after="0" w:line="238"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 Options and Incentive Plans</w:t>
      </w:r>
    </w:p>
    <w:p>
      <w:pPr>
        <w:spacing w:after="0" w:line="126" w:lineRule="exact"/>
        <w:rPr>
          <w:sz w:val="20"/>
          <w:szCs w:val="20"/>
          <w:color w:val="auto"/>
        </w:rPr>
      </w:pPr>
    </w:p>
    <w:p>
      <w:pPr>
        <w:ind w:right="480" w:firstLine="378"/>
        <w:spacing w:after="0" w:line="246" w:lineRule="auto"/>
        <w:rPr>
          <w:sz w:val="20"/>
          <w:szCs w:val="20"/>
          <w:color w:val="auto"/>
        </w:rPr>
      </w:pPr>
      <w:r>
        <w:rPr>
          <w:rFonts w:ascii="Arial" w:cs="Arial" w:eastAsia="Arial" w:hAnsi="Arial"/>
          <w:sz w:val="18"/>
          <w:szCs w:val="18"/>
          <w:color w:val="auto"/>
        </w:rPr>
        <w:t>We recognized no stock option expense during 2019, 2018, or 2017 and there are currently no remaining unvested options for which stock-option compensation costs will be recognized in future periods.</w:t>
      </w:r>
    </w:p>
    <w:p>
      <w:pPr>
        <w:spacing w:after="0" w:line="89" w:lineRule="exact"/>
        <w:rPr>
          <w:sz w:val="20"/>
          <w:szCs w:val="20"/>
          <w:color w:val="auto"/>
        </w:rPr>
      </w:pPr>
    </w:p>
    <w:p>
      <w:pPr>
        <w:ind w:firstLine="378"/>
        <w:spacing w:after="0" w:line="238" w:lineRule="auto"/>
        <w:rPr>
          <w:sz w:val="20"/>
          <w:szCs w:val="20"/>
          <w:color w:val="auto"/>
        </w:rPr>
      </w:pPr>
      <w:r>
        <w:rPr>
          <w:rFonts w:ascii="Arial" w:cs="Arial" w:eastAsia="Arial" w:hAnsi="Arial"/>
          <w:sz w:val="18"/>
          <w:szCs w:val="18"/>
          <w:color w:val="auto"/>
        </w:rPr>
        <w:t>There have been no stock options granted since November 2002 and we have no stock option plan under which options may be granted, although options may be granted under the Company’s 2011 incentive plan. Options issued under previous plans and still outstanding were exercisable in five cumulative annual amounts beginning twelve months after date of grant. Option exercise prices were normally equal to and were not permitted to be less than the market value on the date of grant. Unexercised options generally terminate twenty years after the date of grant for all plans, and must be exercised within ten years of retirement.</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Activity with respect to these plans is as follows:</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200" w:type="dxa"/>
            <w:vAlign w:val="bottom"/>
            <w:vMerge w:val="restart"/>
          </w:tcPr>
          <w:p>
            <w:pPr>
              <w:ind w:left="140"/>
              <w:spacing w:after="0"/>
              <w:rPr>
                <w:sz w:val="20"/>
                <w:szCs w:val="20"/>
                <w:color w:val="auto"/>
              </w:rPr>
            </w:pPr>
            <w:r>
              <w:rPr>
                <w:rFonts w:ascii="Arial" w:cs="Arial" w:eastAsia="Arial" w:hAnsi="Arial"/>
                <w:sz w:val="18"/>
                <w:szCs w:val="18"/>
                <w:color w:val="auto"/>
              </w:rPr>
              <w:t>Shares under option January 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8"/>
              </w:rPr>
              <w:t>18,940</w:t>
            </w:r>
          </w:p>
        </w:tc>
        <w:tc>
          <w:tcPr>
            <w:tcW w:w="30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color w:val="auto"/>
              </w:rPr>
              <w:t>29,340</w:t>
            </w:r>
          </w:p>
        </w:tc>
        <w:tc>
          <w:tcPr>
            <w:tcW w:w="32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color w:val="auto"/>
                <w:w w:val="98"/>
              </w:rPr>
              <w:t>62,390</w:t>
            </w:r>
          </w:p>
        </w:tc>
        <w:tc>
          <w:tcPr>
            <w:tcW w:w="0" w:type="dxa"/>
            <w:vAlign w:val="bottom"/>
          </w:tcPr>
          <w:p>
            <w:pPr>
              <w:spacing w:after="0"/>
              <w:rPr>
                <w:sz w:val="1"/>
                <w:szCs w:val="1"/>
                <w:color w:val="auto"/>
              </w:rPr>
            </w:pPr>
          </w:p>
        </w:tc>
      </w:tr>
      <w:tr>
        <w:trPr>
          <w:trHeight w:val="203"/>
        </w:trPr>
        <w:tc>
          <w:tcPr>
            <w:tcW w:w="6200" w:type="dxa"/>
            <w:vAlign w:val="bottom"/>
          </w:tcPr>
          <w:p>
            <w:pPr>
              <w:ind w:left="140"/>
              <w:spacing w:after="0" w:line="202" w:lineRule="exact"/>
              <w:rPr>
                <w:sz w:val="20"/>
                <w:szCs w:val="20"/>
                <w:color w:val="auto"/>
              </w:rPr>
            </w:pPr>
            <w:r>
              <w:rPr>
                <w:rFonts w:ascii="Arial" w:cs="Arial" w:eastAsia="Arial" w:hAnsi="Arial"/>
                <w:sz w:val="18"/>
                <w:szCs w:val="18"/>
                <w:color w:val="auto"/>
              </w:rPr>
              <w:t>Options canceled</w:t>
            </w: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6,990</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10,400</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32,900</w:t>
            </w:r>
          </w:p>
        </w:tc>
        <w:tc>
          <w:tcPr>
            <w:tcW w:w="0" w:type="dxa"/>
            <w:vAlign w:val="bottom"/>
          </w:tcPr>
          <w:p>
            <w:pPr>
              <w:spacing w:after="0"/>
              <w:rPr>
                <w:sz w:val="1"/>
                <w:szCs w:val="1"/>
                <w:color w:val="auto"/>
              </w:rPr>
            </w:pPr>
          </w:p>
        </w:tc>
      </w:tr>
      <w:tr>
        <w:trPr>
          <w:trHeight w:val="173"/>
        </w:trPr>
        <w:tc>
          <w:tcPr>
            <w:tcW w:w="6200" w:type="dxa"/>
            <w:vAlign w:val="bottom"/>
          </w:tcPr>
          <w:p>
            <w:pPr>
              <w:ind w:left="140"/>
              <w:spacing w:after="0" w:line="173" w:lineRule="exact"/>
              <w:rPr>
                <w:sz w:val="20"/>
                <w:szCs w:val="20"/>
                <w:color w:val="auto"/>
              </w:rPr>
            </w:pPr>
            <w:r>
              <w:rPr>
                <w:rFonts w:ascii="Arial" w:cs="Arial" w:eastAsia="Arial" w:hAnsi="Arial"/>
                <w:sz w:val="18"/>
                <w:szCs w:val="18"/>
                <w:color w:val="auto"/>
              </w:rPr>
              <w:t>Shares under option at December 31</w:t>
            </w:r>
          </w:p>
        </w:tc>
        <w:tc>
          <w:tcPr>
            <w:tcW w:w="12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8"/>
              </w:rPr>
              <w:t>11,950</w:t>
            </w:r>
          </w:p>
        </w:tc>
        <w:tc>
          <w:tcPr>
            <w:tcW w:w="30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color w:val="auto"/>
              </w:rPr>
              <w:t>18,940</w:t>
            </w:r>
          </w:p>
        </w:tc>
        <w:tc>
          <w:tcPr>
            <w:tcW w:w="32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color w:val="auto"/>
                <w:w w:val="98"/>
              </w:rPr>
              <w:t>29,340</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Arial" w:cs="Arial" w:eastAsia="Arial" w:hAnsi="Arial"/>
                <w:sz w:val="18"/>
                <w:szCs w:val="18"/>
                <w:color w:val="auto"/>
              </w:rPr>
              <w:t>Options exercisable at December 31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11,950</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18,940</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29,340</w:t>
            </w:r>
          </w:p>
        </w:tc>
        <w:tc>
          <w:tcPr>
            <w:tcW w:w="0" w:type="dxa"/>
            <w:vAlign w:val="bottom"/>
          </w:tcPr>
          <w:p>
            <w:pPr>
              <w:spacing w:after="0"/>
              <w:rPr>
                <w:sz w:val="1"/>
                <w:szCs w:val="1"/>
                <w:color w:val="auto"/>
              </w:rPr>
            </w:pPr>
          </w:p>
        </w:tc>
      </w:tr>
      <w:tr>
        <w:trPr>
          <w:trHeight w:val="412"/>
        </w:trPr>
        <w:tc>
          <w:tcPr>
            <w:tcW w:w="6200" w:type="dxa"/>
            <w:vAlign w:val="bottom"/>
          </w:tcPr>
          <w:p>
            <w:pPr>
              <w:spacing w:after="0"/>
              <w:rPr>
                <w:sz w:val="20"/>
                <w:szCs w:val="20"/>
                <w:color w:val="auto"/>
              </w:rPr>
            </w:pPr>
            <w:r>
              <w:rPr>
                <w:rFonts w:ascii="Arial" w:cs="Arial" w:eastAsia="Arial" w:hAnsi="Arial"/>
                <w:sz w:val="18"/>
                <w:szCs w:val="18"/>
                <w:color w:val="auto"/>
              </w:rPr>
              <w:t>The weighted average exercise price is as follows: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200" w:type="dxa"/>
            <w:vAlign w:val="bottom"/>
            <w:vMerge w:val="restart"/>
          </w:tcPr>
          <w:p>
            <w:pPr>
              <w:ind w:left="140"/>
              <w:spacing w:after="0"/>
              <w:rPr>
                <w:sz w:val="20"/>
                <w:szCs w:val="20"/>
                <w:color w:val="auto"/>
              </w:rPr>
            </w:pPr>
            <w:r>
              <w:rPr>
                <w:rFonts w:ascii="Arial" w:cs="Arial" w:eastAsia="Arial" w:hAnsi="Arial"/>
                <w:sz w:val="18"/>
                <w:szCs w:val="18"/>
                <w:color w:val="auto"/>
              </w:rPr>
              <w:t>Shares under option January 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8"/>
              </w:rPr>
              <w:t>$17.87</w:t>
            </w:r>
          </w:p>
        </w:tc>
        <w:tc>
          <w:tcPr>
            <w:tcW w:w="30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color w:val="auto"/>
              </w:rPr>
              <w:t>$18.40</w:t>
            </w:r>
          </w:p>
        </w:tc>
        <w:tc>
          <w:tcPr>
            <w:tcW w:w="32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8"/>
                <w:szCs w:val="18"/>
                <w:color w:val="auto"/>
                <w:w w:val="98"/>
              </w:rPr>
              <w:t>$18.28</w:t>
            </w:r>
          </w:p>
        </w:tc>
        <w:tc>
          <w:tcPr>
            <w:tcW w:w="0" w:type="dxa"/>
            <w:vAlign w:val="bottom"/>
          </w:tcPr>
          <w:p>
            <w:pPr>
              <w:spacing w:after="0"/>
              <w:rPr>
                <w:sz w:val="1"/>
                <w:szCs w:val="1"/>
                <w:color w:val="auto"/>
              </w:rPr>
            </w:pPr>
          </w:p>
        </w:tc>
      </w:tr>
      <w:tr>
        <w:trPr>
          <w:trHeight w:val="203"/>
        </w:trPr>
        <w:tc>
          <w:tcPr>
            <w:tcW w:w="6200" w:type="dxa"/>
            <w:vAlign w:val="bottom"/>
          </w:tcPr>
          <w:p>
            <w:pPr>
              <w:ind w:left="140"/>
              <w:spacing w:after="0" w:line="202" w:lineRule="exact"/>
              <w:rPr>
                <w:sz w:val="20"/>
                <w:szCs w:val="20"/>
                <w:color w:val="auto"/>
              </w:rPr>
            </w:pPr>
            <w:r>
              <w:rPr>
                <w:rFonts w:ascii="Arial" w:cs="Arial" w:eastAsia="Arial" w:hAnsi="Arial"/>
                <w:sz w:val="18"/>
                <w:szCs w:val="18"/>
                <w:color w:val="auto"/>
              </w:rPr>
              <w:t>Options canceled</w:t>
            </w: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16.06</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19.38</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173"/>
        </w:trPr>
        <w:tc>
          <w:tcPr>
            <w:tcW w:w="6200" w:type="dxa"/>
            <w:vAlign w:val="bottom"/>
          </w:tcPr>
          <w:p>
            <w:pPr>
              <w:ind w:left="140"/>
              <w:spacing w:after="0" w:line="173" w:lineRule="exact"/>
              <w:rPr>
                <w:sz w:val="20"/>
                <w:szCs w:val="20"/>
                <w:color w:val="auto"/>
              </w:rPr>
            </w:pPr>
            <w:r>
              <w:rPr>
                <w:rFonts w:ascii="Arial" w:cs="Arial" w:eastAsia="Arial" w:hAnsi="Arial"/>
                <w:sz w:val="18"/>
                <w:szCs w:val="18"/>
                <w:color w:val="auto"/>
              </w:rPr>
              <w:t>Shares under option December 31</w:t>
            </w:r>
          </w:p>
        </w:tc>
        <w:tc>
          <w:tcPr>
            <w:tcW w:w="1240" w:type="dxa"/>
            <w:vAlign w:val="bottom"/>
          </w:tcPr>
          <w:p>
            <w:pPr>
              <w:jc w:val="right"/>
              <w:ind w:right="273"/>
              <w:spacing w:after="0" w:line="173" w:lineRule="exact"/>
              <w:rPr>
                <w:sz w:val="20"/>
                <w:szCs w:val="20"/>
                <w:color w:val="auto"/>
              </w:rPr>
            </w:pPr>
            <w:r>
              <w:rPr>
                <w:rFonts w:ascii="Arial" w:cs="Arial" w:eastAsia="Arial" w:hAnsi="Arial"/>
                <w:sz w:val="18"/>
                <w:szCs w:val="18"/>
                <w:b w:val="1"/>
                <w:bCs w:val="1"/>
                <w:color w:val="auto"/>
              </w:rPr>
              <w:t>18.93</w:t>
            </w:r>
          </w:p>
        </w:tc>
        <w:tc>
          <w:tcPr>
            <w:tcW w:w="300" w:type="dxa"/>
            <w:vAlign w:val="bottom"/>
          </w:tcPr>
          <w:p>
            <w:pPr>
              <w:spacing w:after="0"/>
              <w:rPr>
                <w:sz w:val="15"/>
                <w:szCs w:val="15"/>
                <w:color w:val="auto"/>
              </w:rPr>
            </w:pPr>
          </w:p>
        </w:tc>
        <w:tc>
          <w:tcPr>
            <w:tcW w:w="1240" w:type="dxa"/>
            <w:vAlign w:val="bottom"/>
          </w:tcPr>
          <w:p>
            <w:pPr>
              <w:jc w:val="right"/>
              <w:ind w:right="273"/>
              <w:spacing w:after="0" w:line="173" w:lineRule="exact"/>
              <w:rPr>
                <w:sz w:val="20"/>
                <w:szCs w:val="20"/>
                <w:color w:val="auto"/>
              </w:rPr>
            </w:pPr>
            <w:r>
              <w:rPr>
                <w:rFonts w:ascii="Arial" w:cs="Arial" w:eastAsia="Arial" w:hAnsi="Arial"/>
                <w:sz w:val="18"/>
                <w:szCs w:val="18"/>
                <w:color w:val="auto"/>
              </w:rPr>
              <w:t>17.87</w:t>
            </w:r>
          </w:p>
        </w:tc>
        <w:tc>
          <w:tcPr>
            <w:tcW w:w="320" w:type="dxa"/>
            <w:vAlign w:val="bottom"/>
          </w:tcPr>
          <w:p>
            <w:pPr>
              <w:spacing w:after="0"/>
              <w:rPr>
                <w:sz w:val="15"/>
                <w:szCs w:val="15"/>
                <w:color w:val="auto"/>
              </w:rPr>
            </w:pPr>
          </w:p>
        </w:tc>
        <w:tc>
          <w:tcPr>
            <w:tcW w:w="1240" w:type="dxa"/>
            <w:vAlign w:val="bottom"/>
          </w:tcPr>
          <w:p>
            <w:pPr>
              <w:jc w:val="right"/>
              <w:ind w:right="273"/>
              <w:spacing w:after="0" w:line="173" w:lineRule="exact"/>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Arial" w:cs="Arial" w:eastAsia="Arial" w:hAnsi="Arial"/>
                <w:sz w:val="18"/>
                <w:szCs w:val="18"/>
                <w:color w:val="auto"/>
              </w:rPr>
              <w:t>Options exercisable December 31</w:t>
            </w: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18.93</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17.87</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40" w:firstLine="378"/>
        <w:spacing w:after="0" w:line="246" w:lineRule="auto"/>
        <w:rPr>
          <w:sz w:val="20"/>
          <w:szCs w:val="20"/>
          <w:color w:val="auto"/>
        </w:rPr>
      </w:pPr>
      <w:r>
        <w:rPr>
          <w:rFonts w:ascii="Arial" w:cs="Arial" w:eastAsia="Arial" w:hAnsi="Arial"/>
          <w:sz w:val="18"/>
          <w:szCs w:val="18"/>
          <w:color w:val="auto"/>
        </w:rPr>
        <w:t>As of December 31, 2019, the aggregate intrinsic value of vested options was $0.7 million. The aggregate intrinsic value of options exercised was $0.4 million in 2019, $0.5 million in 2018, and $1.1 million in 2017.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 share-based compensation:</w:t>
      </w:r>
    </w:p>
    <w:p>
      <w:pPr>
        <w:spacing w:after="0" w:line="126" w:lineRule="exact"/>
        <w:rPr>
          <w:sz w:val="20"/>
          <w:szCs w:val="20"/>
          <w:color w:val="auto"/>
        </w:rPr>
      </w:pPr>
    </w:p>
    <w:p>
      <w:pPr>
        <w:ind w:right="60" w:firstLine="378"/>
        <w:spacing w:after="0" w:line="236" w:lineRule="auto"/>
        <w:rPr>
          <w:sz w:val="20"/>
          <w:szCs w:val="20"/>
          <w:color w:val="auto"/>
        </w:rPr>
      </w:pPr>
      <w:r>
        <w:rPr>
          <w:rFonts w:ascii="Arial" w:cs="Arial" w:eastAsia="Arial" w:hAnsi="Arial"/>
          <w:sz w:val="18"/>
          <w:szCs w:val="18"/>
          <w:color w:val="auto"/>
        </w:rPr>
        <w:t>In 2011, shareholders approved the Albany International 2011 Incentive Plan under which awards were granted through 2017. The multi-year awards granted to date under this Plan provide key members of management with incentive compensation based on achieving certain performance targets over a three year period. Such awards are paid out partly in cash and partly in shares of Class A Common Stock. Participants may elect to receive shares net of applicable income taxes. In March 2019, we issued 25,473 shares and made cash payments totaling $1.0 million. In March 2018, we issued 33,425 shares and made cash payments totaling $1.3 million. In March 2017, we issued 25,899 shares and made cash payments totaling $1.0 million. If a person terminates employment prior to the award becoming fully vested, the person may forfeit all or a portion of the incentive compensation award. The grant date share price is determined when the awards are approved each year and that price is used for measuring the cost for the share-based portion of the award. Expense associated with these awards is recognized over the three year vesting period. In connection with this plan, we recognized an insignificant amount of expense in 2019, $0.8 million in 2018, and $2.6 million in 2017. There are no unvested share-based awards in this Plan that are dependent on performance after 2019. Therefore, we do not expect to record additional compensation expense in future periods.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 Options and Incentive Plans — (continued)</w:t>
      </w:r>
    </w:p>
    <w:p>
      <w:pPr>
        <w:spacing w:after="0" w:line="126" w:lineRule="exact"/>
        <w:rPr>
          <w:sz w:val="20"/>
          <w:szCs w:val="20"/>
          <w:color w:val="auto"/>
        </w:rPr>
      </w:pPr>
    </w:p>
    <w:p>
      <w:pPr>
        <w:ind w:right="380" w:firstLine="378"/>
        <w:spacing w:after="0" w:line="237" w:lineRule="auto"/>
        <w:rPr>
          <w:sz w:val="20"/>
          <w:szCs w:val="20"/>
          <w:color w:val="auto"/>
        </w:rPr>
      </w:pPr>
      <w:r>
        <w:rPr>
          <w:rFonts w:ascii="Arial" w:cs="Arial" w:eastAsia="Arial" w:hAnsi="Arial"/>
          <w:sz w:val="18"/>
          <w:szCs w:val="18"/>
          <w:color w:val="auto"/>
        </w:rPr>
        <w:t>During 2016 and 2017, the Company had an annual incentive plan for executive management whereby 40 to 50 percent of the earned incentive compensation was payable in the form of shares of Class A Common Stock. Participants could elect to receive shares net of applicable income taxes. In March 2018, the Company issued 10,751 shares and made cash payments totaling $ 1.4 million as a result of performance in 2017. In March 2017, the Company issued 18,784 shares and made cash payments totaling $1.9 million as a result of performance in 2016. The allocation of the award between cash and shares is determined by an average share price after the year of performance. Expense recorded for this plan was $2.6 million in 2017, and $3.3 million in 2016.</w:t>
      </w:r>
    </w:p>
    <w:p>
      <w:pPr>
        <w:spacing w:after="0" w:line="97" w:lineRule="exact"/>
        <w:rPr>
          <w:sz w:val="20"/>
          <w:szCs w:val="20"/>
          <w:color w:val="auto"/>
        </w:rPr>
      </w:pPr>
    </w:p>
    <w:p>
      <w:pPr>
        <w:ind w:firstLine="378"/>
        <w:spacing w:after="0" w:line="236" w:lineRule="auto"/>
        <w:rPr>
          <w:sz w:val="20"/>
          <w:szCs w:val="20"/>
          <w:color w:val="auto"/>
        </w:rPr>
      </w:pPr>
      <w:r>
        <w:rPr>
          <w:rFonts w:ascii="Arial" w:cs="Arial" w:eastAsia="Arial" w:hAnsi="Arial"/>
          <w:sz w:val="18"/>
          <w:szCs w:val="18"/>
          <w:color w:val="auto"/>
        </w:rPr>
        <w:t>In 2017, shareholders approved the Albany International 2017 Incentive Plan. This plan provides key members of management with incentive compensation based on achieving certain performance or service measures. Awards can be paid in cash, shares of Class A Common Stock, Options, or other stock-based or incentive compensation awards pursuant to the Plan. Participants may elect to receive shares net of applicable income taxes. The first awards were granted in 2018, under this plan, with a performance period of one year, with cash payments made in March 2019 totaling $1.5 million as a result of performance in 2018. Awards that were granted in 2018 and 2019, with a performance period of three years, have payments scheduled for March 2021 and 2022. If a participant terminates employment prior to the award becoming fully vested, the person may forfeit all or a portion of the incentive compensation award. The grant date share price is determined when the awards are approved each year and that price is used for measuring the cost for the share-based portion of an award. Expense associated with these awards is recognized over the vesting period of the performance period which is generally one to three years.</w:t>
      </w:r>
    </w:p>
    <w:p>
      <w:pPr>
        <w:spacing w:after="0" w:line="99" w:lineRule="exact"/>
        <w:rPr>
          <w:sz w:val="20"/>
          <w:szCs w:val="20"/>
          <w:color w:val="auto"/>
        </w:rPr>
      </w:pPr>
    </w:p>
    <w:p>
      <w:pPr>
        <w:ind w:right="180" w:firstLine="378"/>
        <w:spacing w:after="0"/>
        <w:rPr>
          <w:sz w:val="20"/>
          <w:szCs w:val="20"/>
          <w:color w:val="auto"/>
        </w:rPr>
      </w:pPr>
      <w:r>
        <w:rPr>
          <w:rFonts w:ascii="Arial" w:cs="Arial" w:eastAsia="Arial" w:hAnsi="Arial"/>
          <w:sz w:val="18"/>
          <w:szCs w:val="18"/>
          <w:color w:val="auto"/>
        </w:rPr>
        <w:t>In connection with the 2017 Incentive Plan, we recognized expense of $4.9 million in 2019 and $3.4 million in 2018. For share-based awards that are dependent on performance after 2019, we expect to record additional compensation expense of approximately $0.4 million in 2020 and $0.2 million in 2021. Shares payable under these plans generally vest immediately prior to payment.</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there were 1,115,472 shares of Company stock authorized for the payment of awards under these plans.</w:t>
      </w:r>
    </w:p>
    <w:p>
      <w:pPr>
        <w:spacing w:after="0"/>
        <w:rPr>
          <w:sz w:val="20"/>
          <w:szCs w:val="20"/>
          <w:color w:val="auto"/>
        </w:rPr>
      </w:pPr>
      <w:r>
        <w:rPr>
          <w:rFonts w:ascii="Arial" w:cs="Arial" w:eastAsia="Arial" w:hAnsi="Arial"/>
          <w:sz w:val="18"/>
          <w:szCs w:val="18"/>
          <w:color w:val="auto"/>
        </w:rPr>
        <w:t>Information with respect to these plans is presented below:</w:t>
      </w:r>
    </w:p>
    <w:p>
      <w:pPr>
        <w:spacing w:after="0" w:line="15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162"/>
        </w:trPr>
        <w:tc>
          <w:tcPr>
            <w:tcW w:w="66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grant date value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6680" w:type="dxa"/>
            <w:vAlign w:val="bottom"/>
            <w:vMerge w:val="restart"/>
          </w:tcPr>
          <w:p>
            <w:pPr>
              <w:spacing w:after="0"/>
              <w:rPr>
                <w:sz w:val="20"/>
                <w:szCs w:val="20"/>
                <w:color w:val="auto"/>
              </w:rPr>
            </w:pPr>
            <w:r>
              <w:rPr>
                <w:rFonts w:ascii="Arial" w:cs="Arial" w:eastAsia="Arial" w:hAnsi="Arial"/>
                <w:sz w:val="18"/>
                <w:szCs w:val="18"/>
                <w:color w:val="auto"/>
              </w:rPr>
              <w:t>Shares potentially payable at January 1, 2017</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6680" w:type="dxa"/>
            <w:vAlign w:val="bottom"/>
            <w:vMerge w:val="continue"/>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189,418</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$36.90</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$6,989</w:t>
            </w:r>
          </w:p>
        </w:tc>
        <w:tc>
          <w:tcPr>
            <w:tcW w:w="0" w:type="dxa"/>
            <w:vAlign w:val="bottom"/>
          </w:tcPr>
          <w:p>
            <w:pPr>
              <w:spacing w:after="0"/>
              <w:rPr>
                <w:sz w:val="1"/>
                <w:szCs w:val="1"/>
                <w:color w:val="auto"/>
              </w:rPr>
            </w:pPr>
          </w:p>
        </w:tc>
      </w:tr>
      <w:tr>
        <w:trPr>
          <w:trHeight w:val="195"/>
        </w:trPr>
        <w:tc>
          <w:tcPr>
            <w:tcW w:w="6680" w:type="dxa"/>
            <w:vAlign w:val="bottom"/>
          </w:tcPr>
          <w:p>
            <w:pPr>
              <w:spacing w:after="0" w:line="195" w:lineRule="exact"/>
              <w:rPr>
                <w:sz w:val="20"/>
                <w:szCs w:val="20"/>
                <w:color w:val="auto"/>
              </w:rPr>
            </w:pPr>
            <w:r>
              <w:rPr>
                <w:rFonts w:ascii="Arial" w:cs="Arial" w:eastAsia="Arial" w:hAnsi="Arial"/>
                <w:sz w:val="18"/>
                <w:szCs w:val="18"/>
                <w:color w:val="auto"/>
              </w:rPr>
              <w:t>Forfeitures</w:t>
            </w:r>
          </w:p>
        </w:tc>
        <w:tc>
          <w:tcPr>
            <w:tcW w:w="1040" w:type="dxa"/>
            <w:vAlign w:val="bottom"/>
          </w:tcPr>
          <w:p>
            <w:pPr>
              <w:jc w:val="right"/>
              <w:ind w:right="152"/>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40" w:type="dxa"/>
            <w:vAlign w:val="bottom"/>
          </w:tcPr>
          <w:p>
            <w:pPr>
              <w:ind w:left="68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(75,545)</w:t>
            </w: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$36.35</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3" w:lineRule="exact"/>
              <w:rPr>
                <w:sz w:val="20"/>
                <w:szCs w:val="20"/>
                <w:color w:val="auto"/>
              </w:rPr>
            </w:pPr>
            <w:r>
              <w:rPr>
                <w:rFonts w:ascii="Arial" w:cs="Arial" w:eastAsia="Arial" w:hAnsi="Arial"/>
                <w:sz w:val="18"/>
                <w:szCs w:val="18"/>
                <w:color w:val="auto"/>
              </w:rPr>
              <w:t>Shares accrued based on 2017 performance</w:t>
            </w:r>
          </w:p>
        </w:tc>
        <w:tc>
          <w:tcPr>
            <w:tcW w:w="10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43,532</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$48.26</w:t>
            </w:r>
          </w:p>
        </w:tc>
        <w:tc>
          <w:tcPr>
            <w:tcW w:w="2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80" w:type="dxa"/>
            <w:vAlign w:val="bottom"/>
          </w:tcPr>
          <w:p>
            <w:pPr>
              <w:spacing w:after="0"/>
              <w:rPr>
                <w:sz w:val="20"/>
                <w:szCs w:val="20"/>
                <w:color w:val="auto"/>
              </w:rPr>
            </w:pPr>
            <w:r>
              <w:rPr>
                <w:rFonts w:ascii="Arial" w:cs="Arial" w:eastAsia="Arial" w:hAnsi="Arial"/>
                <w:sz w:val="18"/>
                <w:szCs w:val="18"/>
                <w:color w:val="auto"/>
              </w:rPr>
              <w:t>Shares potentially payable at December 31, 2017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157,405</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$40.30</w:t>
            </w:r>
          </w:p>
        </w:tc>
        <w:tc>
          <w:tcPr>
            <w:tcW w:w="2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$6,343</w:t>
            </w:r>
          </w:p>
        </w:tc>
        <w:tc>
          <w:tcPr>
            <w:tcW w:w="0" w:type="dxa"/>
            <w:vAlign w:val="bottom"/>
          </w:tcPr>
          <w:p>
            <w:pPr>
              <w:spacing w:after="0"/>
              <w:rPr>
                <w:sz w:val="1"/>
                <w:szCs w:val="1"/>
                <w:color w:val="auto"/>
              </w:rPr>
            </w:pPr>
          </w:p>
        </w:tc>
      </w:tr>
      <w:tr>
        <w:trPr>
          <w:trHeight w:val="195"/>
        </w:trPr>
        <w:tc>
          <w:tcPr>
            <w:tcW w:w="6680" w:type="dxa"/>
            <w:vAlign w:val="bottom"/>
          </w:tcPr>
          <w:p>
            <w:pPr>
              <w:spacing w:after="0" w:line="195" w:lineRule="exact"/>
              <w:rPr>
                <w:sz w:val="20"/>
                <w:szCs w:val="20"/>
                <w:color w:val="auto"/>
              </w:rPr>
            </w:pPr>
            <w:r>
              <w:rPr>
                <w:rFonts w:ascii="Arial" w:cs="Arial" w:eastAsia="Arial" w:hAnsi="Arial"/>
                <w:sz w:val="18"/>
                <w:szCs w:val="18"/>
                <w:color w:val="auto"/>
              </w:rPr>
              <w:t>Forfeitures</w:t>
            </w:r>
          </w:p>
        </w:tc>
        <w:tc>
          <w:tcPr>
            <w:tcW w:w="1040" w:type="dxa"/>
            <w:vAlign w:val="bottom"/>
          </w:tcPr>
          <w:p>
            <w:pPr>
              <w:jc w:val="right"/>
              <w:ind w:right="152"/>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(79,762)</w:t>
            </w: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$39.90</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3" w:lineRule="exact"/>
              <w:rPr>
                <w:sz w:val="20"/>
                <w:szCs w:val="20"/>
                <w:color w:val="auto"/>
              </w:rPr>
            </w:pPr>
            <w:r>
              <w:rPr>
                <w:rFonts w:ascii="Arial" w:cs="Arial" w:eastAsia="Arial" w:hAnsi="Arial"/>
                <w:sz w:val="18"/>
                <w:szCs w:val="18"/>
                <w:color w:val="auto"/>
              </w:rPr>
              <w:t>Shares accrued based on 2018 performance</w:t>
            </w:r>
          </w:p>
        </w:tc>
        <w:tc>
          <w:tcPr>
            <w:tcW w:w="10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34,822</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$70.59</w:t>
            </w:r>
          </w:p>
        </w:tc>
        <w:tc>
          <w:tcPr>
            <w:tcW w:w="2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80" w:type="dxa"/>
            <w:vAlign w:val="bottom"/>
          </w:tcPr>
          <w:p>
            <w:pPr>
              <w:spacing w:after="0"/>
              <w:rPr>
                <w:sz w:val="20"/>
                <w:szCs w:val="20"/>
                <w:color w:val="auto"/>
              </w:rPr>
            </w:pPr>
            <w:r>
              <w:rPr>
                <w:rFonts w:ascii="Arial" w:cs="Arial" w:eastAsia="Arial" w:hAnsi="Arial"/>
                <w:sz w:val="18"/>
                <w:szCs w:val="18"/>
                <w:color w:val="auto"/>
              </w:rPr>
              <w:t>Shares potentially payable at December 31, 2018</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112,465</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$49.96</w:t>
            </w:r>
          </w:p>
        </w:tc>
        <w:tc>
          <w:tcPr>
            <w:tcW w:w="2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$5,619</w:t>
            </w:r>
          </w:p>
        </w:tc>
        <w:tc>
          <w:tcPr>
            <w:tcW w:w="0" w:type="dxa"/>
            <w:vAlign w:val="bottom"/>
          </w:tcPr>
          <w:p>
            <w:pPr>
              <w:spacing w:after="0"/>
              <w:rPr>
                <w:sz w:val="1"/>
                <w:szCs w:val="1"/>
                <w:color w:val="auto"/>
              </w:rPr>
            </w:pPr>
          </w:p>
        </w:tc>
      </w:tr>
      <w:tr>
        <w:trPr>
          <w:trHeight w:val="195"/>
        </w:trPr>
        <w:tc>
          <w:tcPr>
            <w:tcW w:w="6680" w:type="dxa"/>
            <w:vAlign w:val="bottom"/>
          </w:tcPr>
          <w:p>
            <w:pPr>
              <w:spacing w:after="0" w:line="195" w:lineRule="exact"/>
              <w:rPr>
                <w:sz w:val="20"/>
                <w:szCs w:val="20"/>
                <w:color w:val="auto"/>
              </w:rPr>
            </w:pPr>
            <w:r>
              <w:rPr>
                <w:rFonts w:ascii="Arial" w:cs="Arial" w:eastAsia="Arial" w:hAnsi="Arial"/>
                <w:sz w:val="18"/>
                <w:szCs w:val="18"/>
                <w:color w:val="auto"/>
              </w:rPr>
              <w:t>Forfeitures</w:t>
            </w:r>
          </w:p>
        </w:tc>
        <w:tc>
          <w:tcPr>
            <w:tcW w:w="1040" w:type="dxa"/>
            <w:vAlign w:val="bottom"/>
          </w:tcPr>
          <w:p>
            <w:pPr>
              <w:jc w:val="right"/>
              <w:ind w:right="152"/>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40" w:type="dxa"/>
            <w:vAlign w:val="bottom"/>
          </w:tcPr>
          <w:p>
            <w:pPr>
              <w:ind w:left="68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(45,689)</w:t>
            </w: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$36.74</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3" w:lineRule="exact"/>
              <w:rPr>
                <w:sz w:val="20"/>
                <w:szCs w:val="20"/>
                <w:color w:val="auto"/>
              </w:rPr>
            </w:pPr>
            <w:r>
              <w:rPr>
                <w:rFonts w:ascii="Arial" w:cs="Arial" w:eastAsia="Arial" w:hAnsi="Arial"/>
                <w:sz w:val="18"/>
                <w:szCs w:val="18"/>
                <w:color w:val="auto"/>
              </w:rPr>
              <w:t>Shares accrued based on 2019 performance</w:t>
            </w:r>
          </w:p>
        </w:tc>
        <w:tc>
          <w:tcPr>
            <w:tcW w:w="10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14,936</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$92.12</w:t>
            </w:r>
          </w:p>
        </w:tc>
        <w:tc>
          <w:tcPr>
            <w:tcW w:w="2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80" w:type="dxa"/>
            <w:vAlign w:val="bottom"/>
          </w:tcPr>
          <w:p>
            <w:pPr>
              <w:spacing w:after="0"/>
              <w:rPr>
                <w:sz w:val="20"/>
                <w:szCs w:val="20"/>
                <w:color w:val="auto"/>
              </w:rPr>
            </w:pPr>
            <w:r>
              <w:rPr>
                <w:rFonts w:ascii="Arial" w:cs="Arial" w:eastAsia="Arial" w:hAnsi="Arial"/>
                <w:sz w:val="18"/>
                <w:szCs w:val="18"/>
                <w:color w:val="auto"/>
              </w:rPr>
              <w:t>Shares potentially payable at December 31, 2019</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81,712</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$65.06</w:t>
            </w:r>
          </w:p>
        </w:tc>
        <w:tc>
          <w:tcPr>
            <w:tcW w:w="2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$5,316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6900" w:firstLine="8"/>
        <w:spacing w:after="0" w:line="372" w:lineRule="auto"/>
        <w:tabs>
          <w:tab w:leader="none" w:pos="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Incentive Plans — (continued) Other Management share-based compensation:</w:t>
      </w:r>
    </w:p>
    <w:p>
      <w:pPr>
        <w:spacing w:after="0" w:line="2" w:lineRule="exact"/>
        <w:rPr>
          <w:sz w:val="20"/>
          <w:szCs w:val="20"/>
          <w:color w:val="auto"/>
        </w:rPr>
      </w:pPr>
    </w:p>
    <w:p>
      <w:pPr>
        <w:ind w:firstLine="378"/>
        <w:spacing w:after="0" w:line="238" w:lineRule="auto"/>
        <w:rPr>
          <w:sz w:val="20"/>
          <w:szCs w:val="20"/>
          <w:color w:val="auto"/>
        </w:rPr>
      </w:pPr>
      <w:r>
        <w:rPr>
          <w:rFonts w:ascii="Arial" w:cs="Arial" w:eastAsia="Arial" w:hAnsi="Arial"/>
          <w:sz w:val="18"/>
          <w:szCs w:val="18"/>
          <w:color w:val="auto"/>
        </w:rPr>
        <w:t>In 2012, the Company adopted a Phantom Stock plan whereby awards under this program vest over a five-year period and are paid annually in cash based on current market prices of the Company’s stock. Under this program, employees may earn more or less than the target award based on the Company’s results in the year of the award. Expense recognized for this plan amounted to $6.3 million in 2019, $4.8 million in 2018, and $4.9 million in 2017. Based on awards outstanding at December 31, 2019, we expect to record approximately $11 million of compensation cost from 2020 to 2023. The weighted average period for recognition of that cost is approximately 2 years.</w:t>
      </w:r>
    </w:p>
    <w:p>
      <w:pPr>
        <w:spacing w:after="0" w:line="95" w:lineRule="exact"/>
        <w:rPr>
          <w:sz w:val="20"/>
          <w:szCs w:val="20"/>
          <w:color w:val="auto"/>
        </w:rPr>
      </w:pPr>
    </w:p>
    <w:p>
      <w:pPr>
        <w:ind w:right="80" w:firstLine="378"/>
        <w:spacing w:after="0" w:line="246" w:lineRule="auto"/>
        <w:rPr>
          <w:sz w:val="20"/>
          <w:szCs w:val="20"/>
          <w:color w:val="auto"/>
        </w:rPr>
      </w:pPr>
      <w:r>
        <w:rPr>
          <w:rFonts w:ascii="Arial" w:cs="Arial" w:eastAsia="Arial" w:hAnsi="Arial"/>
          <w:sz w:val="18"/>
          <w:szCs w:val="18"/>
          <w:color w:val="auto"/>
        </w:rPr>
        <w:t>The determination of compensation expense for other management share-based compensation plans is based on the number of outstanding share units, the end-of-period share price, and Company performance. Information with respect to these plans is presented below:</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Cash paid for</w:t>
            </w:r>
          </w:p>
        </w:tc>
        <w:tc>
          <w:tcPr>
            <w:tcW w:w="0" w:type="dxa"/>
            <w:vAlign w:val="bottom"/>
          </w:tcPr>
          <w:p>
            <w:pPr>
              <w:spacing w:after="0"/>
              <w:rPr>
                <w:sz w:val="1"/>
                <w:szCs w:val="1"/>
                <w:color w:val="auto"/>
              </w:rPr>
            </w:pPr>
          </w:p>
        </w:tc>
      </w:tr>
      <w:tr>
        <w:trPr>
          <w:trHeight w:val="162"/>
        </w:trPr>
        <w:tc>
          <w:tcPr>
            <w:tcW w:w="6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 based</w:t>
            </w:r>
          </w:p>
        </w:tc>
        <w:tc>
          <w:tcPr>
            <w:tcW w:w="0" w:type="dxa"/>
            <w:vAlign w:val="bottom"/>
          </w:tcPr>
          <w:p>
            <w:pPr>
              <w:spacing w:after="0"/>
              <w:rPr>
                <w:sz w:val="1"/>
                <w:szCs w:val="1"/>
                <w:color w:val="auto"/>
              </w:rPr>
            </w:pPr>
          </w:p>
        </w:tc>
      </w:tr>
      <w:tr>
        <w:trPr>
          <w:trHeight w:val="162"/>
        </w:trPr>
        <w:tc>
          <w:tcPr>
            <w:tcW w:w="68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 value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75"/>
        </w:trPr>
        <w:tc>
          <w:tcPr>
            <w:tcW w:w="6880" w:type="dxa"/>
            <w:vAlign w:val="bottom"/>
            <w:vMerge w:val="restart"/>
          </w:tcPr>
          <w:p>
            <w:pPr>
              <w:spacing w:after="0"/>
              <w:rPr>
                <w:sz w:val="20"/>
                <w:szCs w:val="20"/>
                <w:color w:val="auto"/>
              </w:rPr>
            </w:pPr>
            <w:r>
              <w:rPr>
                <w:rFonts w:ascii="Arial" w:cs="Arial" w:eastAsia="Arial" w:hAnsi="Arial"/>
                <w:sz w:val="18"/>
                <w:szCs w:val="18"/>
                <w:color w:val="auto"/>
              </w:rPr>
              <w:t>Share units potentially payable at January 1, 2017</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6880" w:type="dxa"/>
            <w:vAlign w:val="bottom"/>
            <w:vMerge w:val="continue"/>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261,145</w:t>
            </w: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880" w:type="dxa"/>
            <w:vAlign w:val="bottom"/>
          </w:tcPr>
          <w:p>
            <w:pPr>
              <w:spacing w:after="0"/>
              <w:rPr>
                <w:sz w:val="20"/>
                <w:szCs w:val="20"/>
                <w:color w:val="auto"/>
              </w:rPr>
            </w:pPr>
            <w:r>
              <w:rPr>
                <w:rFonts w:ascii="Arial" w:cs="Arial" w:eastAsia="Arial" w:hAnsi="Arial"/>
                <w:sz w:val="18"/>
                <w:szCs w:val="18"/>
                <w:color w:val="auto"/>
              </w:rPr>
              <w:t>Grants</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96,505</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Changes due to performance</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(11,891)</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(89,190)</w:t>
            </w:r>
          </w:p>
        </w:tc>
        <w:tc>
          <w:tcPr>
            <w:tcW w:w="124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8"/>
              </w:rPr>
              <w:t>$46.64</w:t>
            </w:r>
          </w:p>
        </w:tc>
        <w:tc>
          <w:tcPr>
            <w:tcW w:w="2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8"/>
              </w:rPr>
              <w:t>$4,160</w:t>
            </w:r>
          </w:p>
        </w:tc>
        <w:tc>
          <w:tcPr>
            <w:tcW w:w="0" w:type="dxa"/>
            <w:vAlign w:val="bottom"/>
          </w:tcPr>
          <w:p>
            <w:pPr>
              <w:spacing w:after="0"/>
              <w:rPr>
                <w:sz w:val="1"/>
                <w:szCs w:val="1"/>
                <w:color w:val="auto"/>
              </w:rPr>
            </w:pPr>
          </w:p>
        </w:tc>
      </w:tr>
      <w:tr>
        <w:trPr>
          <w:trHeight w:val="203"/>
        </w:trPr>
        <w:tc>
          <w:tcPr>
            <w:tcW w:w="6880" w:type="dxa"/>
            <w:vAlign w:val="bottom"/>
          </w:tcPr>
          <w:p>
            <w:pPr>
              <w:spacing w:after="0" w:line="203" w:lineRule="exact"/>
              <w:rPr>
                <w:sz w:val="20"/>
                <w:szCs w:val="20"/>
                <w:color w:val="auto"/>
              </w:rPr>
            </w:pPr>
            <w:r>
              <w:rPr>
                <w:rFonts w:ascii="Arial" w:cs="Arial" w:eastAsia="Arial" w:hAnsi="Arial"/>
                <w:sz w:val="18"/>
                <w:szCs w:val="18"/>
                <w:color w:val="auto"/>
              </w:rPr>
              <w:t>Forfeitures</w:t>
            </w:r>
          </w:p>
        </w:tc>
        <w:tc>
          <w:tcPr>
            <w:tcW w:w="104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rPr>
              <w:t>(20,473)</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Share units potentially payable at December 31, 2017</w:t>
            </w: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236,096</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880" w:type="dxa"/>
            <w:vAlign w:val="bottom"/>
          </w:tcPr>
          <w:p>
            <w:pPr>
              <w:spacing w:after="0"/>
              <w:rPr>
                <w:sz w:val="20"/>
                <w:szCs w:val="20"/>
                <w:color w:val="auto"/>
              </w:rPr>
            </w:pPr>
            <w:r>
              <w:rPr>
                <w:rFonts w:ascii="Arial" w:cs="Arial" w:eastAsia="Arial" w:hAnsi="Arial"/>
                <w:sz w:val="18"/>
                <w:szCs w:val="18"/>
                <w:color w:val="auto"/>
              </w:rPr>
              <w:t>Grants</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65,370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Changes due to performance</w:t>
            </w:r>
          </w:p>
        </w:tc>
        <w:tc>
          <w:tcPr>
            <w:tcW w:w="10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14,343</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(75,545)</w:t>
            </w:r>
          </w:p>
        </w:tc>
        <w:tc>
          <w:tcPr>
            <w:tcW w:w="124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8"/>
              </w:rPr>
              <w:t>$62.69</w:t>
            </w:r>
          </w:p>
        </w:tc>
        <w:tc>
          <w:tcPr>
            <w:tcW w:w="2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8"/>
              </w:rPr>
              <w:t>$4,736</w:t>
            </w:r>
          </w:p>
        </w:tc>
        <w:tc>
          <w:tcPr>
            <w:tcW w:w="0" w:type="dxa"/>
            <w:vAlign w:val="bottom"/>
          </w:tcPr>
          <w:p>
            <w:pPr>
              <w:spacing w:after="0"/>
              <w:rPr>
                <w:sz w:val="1"/>
                <w:szCs w:val="1"/>
                <w:color w:val="auto"/>
              </w:rPr>
            </w:pPr>
          </w:p>
        </w:tc>
      </w:tr>
      <w:tr>
        <w:trPr>
          <w:trHeight w:val="203"/>
        </w:trPr>
        <w:tc>
          <w:tcPr>
            <w:tcW w:w="6880" w:type="dxa"/>
            <w:vAlign w:val="bottom"/>
          </w:tcPr>
          <w:p>
            <w:pPr>
              <w:spacing w:after="0" w:line="203" w:lineRule="exact"/>
              <w:rPr>
                <w:sz w:val="20"/>
                <w:szCs w:val="20"/>
                <w:color w:val="auto"/>
              </w:rPr>
            </w:pPr>
            <w:r>
              <w:rPr>
                <w:rFonts w:ascii="Arial" w:cs="Arial" w:eastAsia="Arial" w:hAnsi="Arial"/>
                <w:sz w:val="18"/>
                <w:szCs w:val="18"/>
                <w:color w:val="auto"/>
              </w:rPr>
              <w:t>Forfeitures</w:t>
            </w:r>
          </w:p>
        </w:tc>
        <w:tc>
          <w:tcPr>
            <w:tcW w:w="104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rPr>
              <w:t>(12,963)</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Share units potentially payable at December 31, 2018</w:t>
            </w: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227,301</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880" w:type="dxa"/>
            <w:vAlign w:val="bottom"/>
          </w:tcPr>
          <w:p>
            <w:pPr>
              <w:spacing w:after="0"/>
              <w:rPr>
                <w:sz w:val="20"/>
                <w:szCs w:val="20"/>
                <w:color w:val="auto"/>
              </w:rPr>
            </w:pPr>
            <w:r>
              <w:rPr>
                <w:rFonts w:ascii="Arial" w:cs="Arial" w:eastAsia="Arial" w:hAnsi="Arial"/>
                <w:sz w:val="18"/>
                <w:szCs w:val="18"/>
                <w:color w:val="auto"/>
              </w:rPr>
              <w:t>Grants</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58,878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Changes due to performance</w:t>
            </w:r>
          </w:p>
        </w:tc>
        <w:tc>
          <w:tcPr>
            <w:tcW w:w="10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21,740</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(69,912)</w:t>
            </w:r>
          </w:p>
        </w:tc>
        <w:tc>
          <w:tcPr>
            <w:tcW w:w="124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8"/>
              </w:rPr>
              <w:t>$70.67</w:t>
            </w:r>
          </w:p>
        </w:tc>
        <w:tc>
          <w:tcPr>
            <w:tcW w:w="2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8"/>
              </w:rPr>
              <w:t>$5,528</w:t>
            </w:r>
          </w:p>
        </w:tc>
        <w:tc>
          <w:tcPr>
            <w:tcW w:w="0" w:type="dxa"/>
            <w:vAlign w:val="bottom"/>
          </w:tcPr>
          <w:p>
            <w:pPr>
              <w:spacing w:after="0"/>
              <w:rPr>
                <w:sz w:val="1"/>
                <w:szCs w:val="1"/>
                <w:color w:val="auto"/>
              </w:rPr>
            </w:pPr>
          </w:p>
        </w:tc>
      </w:tr>
      <w:tr>
        <w:trPr>
          <w:trHeight w:val="203"/>
        </w:trPr>
        <w:tc>
          <w:tcPr>
            <w:tcW w:w="6880" w:type="dxa"/>
            <w:vAlign w:val="bottom"/>
          </w:tcPr>
          <w:p>
            <w:pPr>
              <w:spacing w:after="0" w:line="203" w:lineRule="exact"/>
              <w:rPr>
                <w:sz w:val="20"/>
                <w:szCs w:val="20"/>
                <w:color w:val="auto"/>
              </w:rPr>
            </w:pPr>
            <w:r>
              <w:rPr>
                <w:rFonts w:ascii="Arial" w:cs="Arial" w:eastAsia="Arial" w:hAnsi="Arial"/>
                <w:sz w:val="18"/>
                <w:szCs w:val="18"/>
                <w:color w:val="auto"/>
              </w:rPr>
              <w:t>Forfeitures</w:t>
            </w:r>
          </w:p>
        </w:tc>
        <w:tc>
          <w:tcPr>
            <w:tcW w:w="104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rPr>
              <w:t>(22,935)</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Share units potentially payable at December 31, 2019</w:t>
            </w:r>
          </w:p>
        </w:tc>
        <w:tc>
          <w:tcPr>
            <w:tcW w:w="10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215,072</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20" w:firstLine="378"/>
        <w:spacing w:after="0" w:line="238" w:lineRule="auto"/>
        <w:rPr>
          <w:sz w:val="20"/>
          <w:szCs w:val="20"/>
          <w:color w:val="auto"/>
        </w:rPr>
      </w:pPr>
      <w:r>
        <w:rPr>
          <w:rFonts w:ascii="Arial" w:cs="Arial" w:eastAsia="Arial" w:hAnsi="Arial"/>
          <w:sz w:val="18"/>
          <w:szCs w:val="18"/>
          <w:color w:val="auto"/>
        </w:rPr>
        <w:t>In 2018 and 2019, the Company granted restricted stock units to four executives. The amount of compensation expense is subject to change in the market price of the Company’s stock and was recorded in Selling, general, and administrative expenses. The vesting and payments due under these grants will occur in various periods from 2019 to 2022. Expense recognized for these grants was $1.1 million in 2019 and $0.5 million in 2018. Based on awards outstanding at December 31, 2019, we expect to record approximately $1.5 million of compensation cost from 2020 to 2023.</w:t>
      </w:r>
    </w:p>
    <w:p>
      <w:pPr>
        <w:spacing w:after="0" w:line="95" w:lineRule="exact"/>
        <w:rPr>
          <w:sz w:val="20"/>
          <w:szCs w:val="20"/>
          <w:color w:val="auto"/>
        </w:rPr>
      </w:pPr>
    </w:p>
    <w:p>
      <w:pPr>
        <w:ind w:right="200" w:firstLine="378"/>
        <w:spacing w:after="0" w:line="239" w:lineRule="auto"/>
        <w:rPr>
          <w:sz w:val="20"/>
          <w:szCs w:val="20"/>
          <w:color w:val="auto"/>
        </w:rPr>
      </w:pPr>
      <w:r>
        <w:rPr>
          <w:rFonts w:ascii="Arial" w:cs="Arial" w:eastAsia="Arial" w:hAnsi="Arial"/>
          <w:sz w:val="18"/>
          <w:szCs w:val="18"/>
          <w:color w:val="auto"/>
        </w:rPr>
        <w:t>On January 20, 2020, the Board of Directors of the Company appointed A. William Higgins as President and Chief Executive Officer effective January 20, 2020 to succeed Olivier M. Jarrault, who resigned by mutual agreement with the Board on this date. Mr. Jarrault will receive severance payments and accelerated vesting of 50% of his unvested restricted stock units. The Company expects to record a charge of approximately $3.0 million in 2020 related to these termination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 Options and Incentive Plans — (continued)</w:t>
      </w:r>
    </w:p>
    <w:p>
      <w:pPr>
        <w:spacing w:after="0" w:line="126"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The Company maintains a voluntary savings plan covering substantially all employees in the United States. The Plan, known as the Prosperity Plus Savings Plan, is a qualified plan under section 401(k) of the U.S. Internal Revenue Code. The Company matches, in the form of cash, between 50 percent and 100 percent of employee contributions up to a defined maximum. The investment of employee contributions to the plan is self-directed. The Company’s cost of the plan amounted to $6.8 million in 2019, $6.3 million in 2018, and $5.9 million in 2017.</w:t>
      </w:r>
    </w:p>
    <w:p>
      <w:pPr>
        <w:spacing w:after="0" w:line="94" w:lineRule="exact"/>
        <w:rPr>
          <w:sz w:val="20"/>
          <w:szCs w:val="20"/>
          <w:color w:val="auto"/>
        </w:rPr>
      </w:pPr>
    </w:p>
    <w:p>
      <w:pPr>
        <w:ind w:right="400" w:firstLine="378"/>
        <w:spacing w:after="0"/>
        <w:rPr>
          <w:sz w:val="20"/>
          <w:szCs w:val="20"/>
          <w:color w:val="auto"/>
        </w:rPr>
      </w:pPr>
      <w:r>
        <w:rPr>
          <w:rFonts w:ascii="Arial" w:cs="Arial" w:eastAsia="Arial" w:hAnsi="Arial"/>
          <w:sz w:val="18"/>
          <w:szCs w:val="18"/>
          <w:color w:val="auto"/>
        </w:rPr>
        <w:t>The Company’s profit-sharing plan covers substantially all employees in the United States. After the close of each year, the Board of Directors determines the amount of the profit-sharing contribution. Company contributions to the plan are in the form of cash. The expense recorded for this plan was $3.7 million in 2019, $3.2 million in 2018, and $2.6 million in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Shareholders’ Equity</w:t>
      </w:r>
    </w:p>
    <w:p>
      <w:pPr>
        <w:spacing w:after="0" w:line="126" w:lineRule="exact"/>
        <w:rPr>
          <w:sz w:val="20"/>
          <w:szCs w:val="20"/>
          <w:color w:val="auto"/>
        </w:rPr>
      </w:pPr>
    </w:p>
    <w:p>
      <w:pPr>
        <w:jc w:val="both"/>
        <w:ind w:right="40" w:firstLine="378"/>
        <w:spacing w:after="0" w:line="239"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ten votes. Class A and Class B Common Stock will receive equal dividends as the Board of Directors may determine from time to time. The Class B Common Stock is convertible into an equal number of shares of Class A Common Stock at any time.</w:t>
      </w:r>
    </w:p>
    <w:p>
      <w:pPr>
        <w:spacing w:after="0" w:line="94" w:lineRule="exact"/>
        <w:rPr>
          <w:sz w:val="20"/>
          <w:szCs w:val="20"/>
          <w:color w:val="auto"/>
        </w:rPr>
      </w:pPr>
    </w:p>
    <w:p>
      <w:pPr>
        <w:jc w:val="both"/>
        <w:ind w:right="580" w:firstLine="378"/>
        <w:spacing w:after="0"/>
        <w:rPr>
          <w:sz w:val="20"/>
          <w:szCs w:val="20"/>
          <w:color w:val="auto"/>
        </w:rPr>
      </w:pPr>
      <w:r>
        <w:rPr>
          <w:rFonts w:ascii="Arial" w:cs="Arial" w:eastAsia="Arial" w:hAnsi="Arial"/>
          <w:sz w:val="18"/>
          <w:szCs w:val="18"/>
          <w:color w:val="auto"/>
        </w:rPr>
        <w:t>In 2019, a public offering of a portion of the Standish Family shares reduced the number of Class A Common Stock reserved for the conversion of Class B shares, by 1.6 million. At December 31, 2019, 1.6 million shares of Class A Common Stock were reserved for the conversion of Class B Common Stock and the exercise of stock options.</w:t>
      </w:r>
    </w:p>
    <w:p>
      <w:pPr>
        <w:spacing w:after="0" w:line="95" w:lineRule="exact"/>
        <w:rPr>
          <w:sz w:val="20"/>
          <w:szCs w:val="20"/>
          <w:color w:val="auto"/>
        </w:rPr>
      </w:pPr>
    </w:p>
    <w:p>
      <w:pPr>
        <w:ind w:right="180" w:firstLine="378"/>
        <w:spacing w:after="0" w:line="239" w:lineRule="auto"/>
        <w:rPr>
          <w:sz w:val="20"/>
          <w:szCs w:val="20"/>
          <w:color w:val="auto"/>
        </w:rPr>
      </w:pPr>
      <w:r>
        <w:rPr>
          <w:rFonts w:ascii="Arial" w:cs="Arial" w:eastAsia="Arial" w:hAnsi="Arial"/>
          <w:sz w:val="18"/>
          <w:szCs w:val="18"/>
          <w:color w:val="auto"/>
        </w:rPr>
        <w:t>In August 2006, we announced that the Board of Directors authorized management to purchase up to 2 million additional shares of our Class A Common Stock. The Board’s action authorizes management to purchase shares from time to time, in the open market or otherwise, whenever it believes such purchase to be advantageous to our shareholders, and it is otherwise legally permitted to do so. We have made no share purchases under the August 2006 authorization. Activity in Shareholders’ equity for 2017, 2018, and 2019 is presented below:</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Shareholders’ Equity — (continued)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Class A</w:t>
            </w:r>
          </w:p>
        </w:tc>
        <w:tc>
          <w:tcPr>
            <w:tcW w:w="136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Class B</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Accumulated</w:t>
            </w:r>
          </w:p>
        </w:tc>
        <w:tc>
          <w:tcPr>
            <w:tcW w:w="500" w:type="dxa"/>
            <w:vAlign w:val="bottom"/>
          </w:tcPr>
          <w:p>
            <w:pPr>
              <w:spacing w:after="0"/>
              <w:rPr>
                <w:sz w:val="13"/>
                <w:szCs w:val="13"/>
                <w:color w:val="auto"/>
              </w:rPr>
            </w:pPr>
          </w:p>
        </w:tc>
        <w:tc>
          <w:tcPr>
            <w:tcW w:w="1080" w:type="dxa"/>
            <w:vAlign w:val="bottom"/>
            <w:gridSpan w:val="4"/>
            <w:vMerge w:val="restart"/>
          </w:tcPr>
          <w:p>
            <w:pPr>
              <w:jc w:val="center"/>
              <w:ind w:right="620"/>
              <w:spacing w:after="0"/>
              <w:rPr>
                <w:sz w:val="20"/>
                <w:szCs w:val="20"/>
                <w:color w:val="auto"/>
              </w:rPr>
            </w:pPr>
            <w:r>
              <w:rPr>
                <w:rFonts w:ascii="Arial" w:cs="Arial" w:eastAsia="Arial" w:hAnsi="Arial"/>
                <w:sz w:val="13"/>
                <w:szCs w:val="13"/>
                <w:b w:val="1"/>
                <w:bCs w:val="1"/>
                <w:color w:val="auto"/>
                <w:w w:val="96"/>
              </w:rPr>
              <w:t>Class A</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9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items of other</w:t>
            </w:r>
          </w:p>
        </w:tc>
        <w:tc>
          <w:tcPr>
            <w:tcW w:w="50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6"/>
              </w:rPr>
              <w:t>Common Stock</w:t>
            </w:r>
          </w:p>
        </w:tc>
        <w:tc>
          <w:tcPr>
            <w:tcW w:w="136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Common Stock</w:t>
            </w:r>
          </w:p>
        </w:tc>
        <w:tc>
          <w:tcPr>
            <w:tcW w:w="9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5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7"/>
              </w:rPr>
              <w:t>Treasury Stock</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9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paid-in</w:t>
            </w:r>
          </w:p>
        </w:tc>
        <w:tc>
          <w:tcPr>
            <w:tcW w:w="78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2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580" w:type="dxa"/>
            <w:vAlign w:val="bottom"/>
            <w:gridSpan w:val="5"/>
            <w:vMerge w:val="continue"/>
          </w:tcPr>
          <w:p>
            <w:pPr>
              <w:spacing w:after="0"/>
              <w:rPr>
                <w:sz w:val="7"/>
                <w:szCs w:val="7"/>
                <w:color w:val="auto"/>
              </w:rPr>
            </w:pPr>
          </w:p>
        </w:tc>
        <w:tc>
          <w:tcPr>
            <w:tcW w:w="124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660" w:type="dxa"/>
            <w:vAlign w:val="bottom"/>
            <w:vMerge w:val="restart"/>
          </w:tcPr>
          <w:p>
            <w:pPr>
              <w:jc w:val="right"/>
              <w:ind w:right="11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40" w:type="dxa"/>
            <w:vAlign w:val="bottom"/>
          </w:tcPr>
          <w:p>
            <w:pPr>
              <w:ind w:left="680"/>
              <w:spacing w:after="0"/>
              <w:rPr>
                <w:sz w:val="20"/>
                <w:szCs w:val="20"/>
                <w:color w:val="auto"/>
              </w:rPr>
            </w:pPr>
            <w:r>
              <w:rPr>
                <w:rFonts w:ascii="Arial" w:cs="Arial" w:eastAsia="Arial" w:hAnsi="Arial"/>
                <w:sz w:val="13"/>
                <w:szCs w:val="13"/>
                <w:b w:val="1"/>
                <w:bCs w:val="1"/>
                <w:color w:val="auto"/>
              </w:rPr>
              <w:t>(in thousands)</w:t>
            </w: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income</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Interest</w:t>
            </w: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3"/>
        </w:trPr>
        <w:tc>
          <w:tcPr>
            <w:tcW w:w="2340" w:type="dxa"/>
            <w:vAlign w:val="bottom"/>
          </w:tcPr>
          <w:p>
            <w:pPr>
              <w:spacing w:after="0" w:line="123" w:lineRule="exact"/>
              <w:rPr>
                <w:sz w:val="20"/>
                <w:szCs w:val="20"/>
                <w:color w:val="auto"/>
              </w:rPr>
            </w:pPr>
            <w:r>
              <w:rPr>
                <w:rFonts w:ascii="Arial" w:cs="Arial" w:eastAsia="Arial" w:hAnsi="Arial"/>
                <w:sz w:val="13"/>
                <w:szCs w:val="13"/>
                <w:color w:val="auto"/>
              </w:rPr>
              <w:t>January 1, 2017</w:t>
            </w:r>
          </w:p>
        </w:tc>
        <w:tc>
          <w:tcPr>
            <w:tcW w:w="560" w:type="dxa"/>
            <w:vAlign w:val="bottom"/>
            <w:tcBorders>
              <w:top w:val="single" w:sz="8" w:color="auto"/>
            </w:tcBorders>
          </w:tcPr>
          <w:p>
            <w:pPr>
              <w:jc w:val="right"/>
              <w:ind w:right="17"/>
              <w:spacing w:after="0" w:line="123" w:lineRule="exact"/>
              <w:rPr>
                <w:sz w:val="20"/>
                <w:szCs w:val="20"/>
                <w:color w:val="auto"/>
              </w:rPr>
            </w:pPr>
            <w:r>
              <w:rPr>
                <w:rFonts w:ascii="Arial" w:cs="Arial" w:eastAsia="Arial" w:hAnsi="Arial"/>
                <w:sz w:val="13"/>
                <w:szCs w:val="13"/>
                <w:color w:val="auto"/>
              </w:rPr>
              <w:t>37,319</w:t>
            </w: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ind w:right="117"/>
              <w:spacing w:after="0" w:line="123"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ind w:right="37"/>
              <w:spacing w:after="0" w:line="123" w:lineRule="exact"/>
              <w:rPr>
                <w:sz w:val="20"/>
                <w:szCs w:val="20"/>
                <w:color w:val="auto"/>
              </w:rPr>
            </w:pPr>
            <w:r>
              <w:rPr>
                <w:rFonts w:ascii="Arial" w:cs="Arial" w:eastAsia="Arial" w:hAnsi="Arial"/>
                <w:sz w:val="13"/>
                <w:szCs w:val="13"/>
                <w:color w:val="auto"/>
              </w:rPr>
              <w:t>3,234</w:t>
            </w:r>
          </w:p>
        </w:tc>
        <w:tc>
          <w:tcPr>
            <w:tcW w:w="120" w:type="dxa"/>
            <w:vAlign w:val="bottom"/>
          </w:tcPr>
          <w:p>
            <w:pPr>
              <w:spacing w:after="0"/>
              <w:rPr>
                <w:sz w:val="10"/>
                <w:szCs w:val="10"/>
                <w:color w:val="auto"/>
              </w:rPr>
            </w:pPr>
          </w:p>
        </w:tc>
        <w:tc>
          <w:tcPr>
            <w:tcW w:w="560" w:type="dxa"/>
            <w:vAlign w:val="bottom"/>
            <w:tcBorders>
              <w:top w:val="single" w:sz="8" w:color="auto"/>
            </w:tcBorders>
          </w:tcPr>
          <w:p>
            <w:pPr>
              <w:jc w:val="right"/>
              <w:ind w:right="137"/>
              <w:spacing w:after="0" w:line="123"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0"/>
                <w:szCs w:val="10"/>
                <w:color w:val="auto"/>
              </w:rPr>
            </w:pPr>
          </w:p>
        </w:tc>
        <w:tc>
          <w:tcPr>
            <w:tcW w:w="780" w:type="dxa"/>
            <w:vAlign w:val="bottom"/>
            <w:tcBorders>
              <w:top w:val="single" w:sz="8" w:color="auto"/>
            </w:tcBorders>
          </w:tcPr>
          <w:p>
            <w:pPr>
              <w:jc w:val="right"/>
              <w:ind w:right="57"/>
              <w:spacing w:after="0" w:line="123" w:lineRule="exact"/>
              <w:rPr>
                <w:sz w:val="20"/>
                <w:szCs w:val="20"/>
                <w:color w:val="auto"/>
              </w:rPr>
            </w:pPr>
            <w:r>
              <w:rPr>
                <w:rFonts w:ascii="Arial" w:cs="Arial" w:eastAsia="Arial" w:hAnsi="Arial"/>
                <w:sz w:val="13"/>
                <w:szCs w:val="13"/>
                <w:color w:val="auto"/>
              </w:rPr>
              <w:t>$425,953</w:t>
            </w:r>
          </w:p>
        </w:tc>
        <w:tc>
          <w:tcPr>
            <w:tcW w:w="120" w:type="dxa"/>
            <w:vAlign w:val="bottom"/>
          </w:tcPr>
          <w:p>
            <w:pPr>
              <w:spacing w:after="0"/>
              <w:rPr>
                <w:sz w:val="10"/>
                <w:szCs w:val="10"/>
                <w:color w:val="auto"/>
              </w:rPr>
            </w:pPr>
          </w:p>
        </w:tc>
        <w:tc>
          <w:tcPr>
            <w:tcW w:w="680" w:type="dxa"/>
            <w:vAlign w:val="bottom"/>
            <w:tcBorders>
              <w:top w:val="single" w:sz="8" w:color="auto"/>
            </w:tcBorders>
          </w:tcPr>
          <w:p>
            <w:pPr>
              <w:jc w:val="right"/>
              <w:ind w:right="17"/>
              <w:spacing w:after="0" w:line="123" w:lineRule="exact"/>
              <w:rPr>
                <w:sz w:val="20"/>
                <w:szCs w:val="20"/>
                <w:color w:val="auto"/>
              </w:rPr>
            </w:pPr>
            <w:r>
              <w:rPr>
                <w:rFonts w:ascii="Arial" w:cs="Arial" w:eastAsia="Arial" w:hAnsi="Arial"/>
                <w:sz w:val="13"/>
                <w:szCs w:val="13"/>
                <w:color w:val="auto"/>
              </w:rPr>
              <w:t>$522,855</w:t>
            </w:r>
          </w:p>
        </w:tc>
        <w:tc>
          <w:tcPr>
            <w:tcW w:w="1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color w:val="auto"/>
                <w:w w:val="98"/>
              </w:rPr>
              <w:t>$(184,189)</w:t>
            </w:r>
          </w:p>
        </w:tc>
        <w:tc>
          <w:tcPr>
            <w:tcW w:w="100" w:type="dxa"/>
            <w:vAlign w:val="bottom"/>
          </w:tcPr>
          <w:p>
            <w:pPr>
              <w:spacing w:after="0"/>
              <w:rPr>
                <w:sz w:val="10"/>
                <w:szCs w:val="10"/>
                <w:color w:val="auto"/>
              </w:rPr>
            </w:pP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8,443</w:t>
            </w:r>
          </w:p>
        </w:tc>
        <w:tc>
          <w:tcPr>
            <w:tcW w:w="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$(257,136)</w:t>
            </w:r>
          </w:p>
        </w:tc>
        <w:tc>
          <w:tcPr>
            <w:tcW w:w="120" w:type="dxa"/>
            <w:vAlign w:val="bottom"/>
          </w:tcPr>
          <w:p>
            <w:pPr>
              <w:spacing w:after="0"/>
              <w:rPr>
                <w:sz w:val="10"/>
                <w:szCs w:val="10"/>
                <w:color w:val="auto"/>
              </w:rPr>
            </w:pPr>
          </w:p>
        </w:tc>
        <w:tc>
          <w:tcPr>
            <w:tcW w:w="1140" w:type="dxa"/>
            <w:vAlign w:val="bottom"/>
            <w:tcBorders>
              <w:top w:val="single" w:sz="8" w:color="auto"/>
            </w:tcBorders>
          </w:tcPr>
          <w:p>
            <w:pPr>
              <w:jc w:val="right"/>
              <w:ind w:right="317"/>
              <w:spacing w:after="0" w:line="123" w:lineRule="exact"/>
              <w:rPr>
                <w:sz w:val="20"/>
                <w:szCs w:val="20"/>
                <w:color w:val="auto"/>
              </w:rPr>
            </w:pPr>
            <w:r>
              <w:rPr>
                <w:rFonts w:ascii="Arial" w:cs="Arial" w:eastAsia="Arial" w:hAnsi="Arial"/>
                <w:sz w:val="13"/>
                <w:szCs w:val="13"/>
                <w:color w:val="auto"/>
              </w:rPr>
              <w:t>$3,767</w:t>
            </w: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$511,290</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33,111</w:t>
            </w:r>
          </w:p>
        </w:tc>
        <w:tc>
          <w:tcPr>
            <w:tcW w:w="100" w:type="dxa"/>
            <w:vAlign w:val="bottom"/>
          </w:tcPr>
          <w:p>
            <w:pPr>
              <w:spacing w:after="0"/>
              <w:rPr>
                <w:sz w:val="11"/>
                <w:szCs w:val="11"/>
                <w:color w:val="auto"/>
              </w:rPr>
            </w:pP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(526)</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32,585</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Compensation and benefits paid 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payable in shares</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1,564</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1,564</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Options exercised</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33</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597</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Shares issued to Directors'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309</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9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260</w:t>
            </w:r>
          </w:p>
        </w:tc>
        <w:tc>
          <w:tcPr>
            <w:tcW w:w="120" w:type="dxa"/>
            <w:vAlign w:val="bottom"/>
          </w:tcPr>
          <w:p>
            <w:pPr>
              <w:spacing w:after="0"/>
              <w:rPr>
                <w:sz w:val="11"/>
                <w:szCs w:val="11"/>
                <w:color w:val="auto"/>
              </w:rPr>
            </w:pP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Dividends declared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Class A Common Stock, $0.68 per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360"/>
              <w:spacing w:after="0" w:line="135" w:lineRule="exact"/>
              <w:rPr>
                <w:sz w:val="20"/>
                <w:szCs w:val="20"/>
                <w:color w:val="auto"/>
              </w:rPr>
            </w:pPr>
            <w:r>
              <w:rPr>
                <w:rFonts w:ascii="Arial" w:cs="Arial" w:eastAsia="Arial" w:hAnsi="Arial"/>
                <w:sz w:val="13"/>
                <w:szCs w:val="13"/>
                <w:color w:val="auto"/>
              </w:rPr>
              <w:t>share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(19,685)</w:t>
            </w:r>
          </w:p>
        </w:tc>
        <w:tc>
          <w:tcPr>
            <w:tcW w:w="100" w:type="dxa"/>
            <w:vAlign w:val="bottom"/>
          </w:tcPr>
          <w:p>
            <w:pPr>
              <w:spacing w:after="0"/>
              <w:rPr>
                <w:sz w:val="11"/>
                <w:szCs w:val="11"/>
                <w:color w:val="auto"/>
              </w:rPr>
            </w:pP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(19,685)</w:t>
            </w: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Class B Common Stock, $0.68 per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360"/>
              <w:spacing w:after="0" w:line="135" w:lineRule="exact"/>
              <w:rPr>
                <w:sz w:val="20"/>
                <w:szCs w:val="20"/>
                <w:color w:val="auto"/>
              </w:rPr>
            </w:pPr>
            <w:r>
              <w:rPr>
                <w:rFonts w:ascii="Arial" w:cs="Arial" w:eastAsia="Arial" w:hAnsi="Arial"/>
                <w:sz w:val="13"/>
                <w:szCs w:val="13"/>
                <w:color w:val="auto"/>
              </w:rPr>
              <w:t>share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(2,199)</w:t>
            </w:r>
          </w:p>
        </w:tc>
        <w:tc>
          <w:tcPr>
            <w:tcW w:w="100" w:type="dxa"/>
            <w:vAlign w:val="bottom"/>
          </w:tcPr>
          <w:p>
            <w:pPr>
              <w:spacing w:after="0"/>
              <w:rPr>
                <w:sz w:val="11"/>
                <w:szCs w:val="11"/>
                <w:color w:val="auto"/>
              </w:rPr>
            </w:pP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(2,199)</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Cumulative translation adjustments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45,980</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45,986</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Pension and postretirement liability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adjustments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1,183</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1,183</w:t>
            </w:r>
          </w:p>
        </w:tc>
        <w:tc>
          <w:tcPr>
            <w:tcW w:w="0" w:type="dxa"/>
            <w:vAlign w:val="bottom"/>
          </w:tcPr>
          <w:p>
            <w:pPr>
              <w:spacing w:after="0"/>
              <w:rPr>
                <w:sz w:val="1"/>
                <w:szCs w:val="1"/>
                <w:color w:val="auto"/>
              </w:rPr>
            </w:pPr>
          </w:p>
        </w:tc>
      </w:tr>
      <w:tr>
        <w:trPr>
          <w:trHeight w:val="141"/>
        </w:trPr>
        <w:tc>
          <w:tcPr>
            <w:tcW w:w="2340" w:type="dxa"/>
            <w:vAlign w:val="bottom"/>
          </w:tcPr>
          <w:p>
            <w:pPr>
              <w:spacing w:after="0" w:line="141" w:lineRule="exact"/>
              <w:rPr>
                <w:sz w:val="20"/>
                <w:szCs w:val="20"/>
                <w:color w:val="auto"/>
              </w:rPr>
            </w:pPr>
            <w:r>
              <w:rPr>
                <w:rFonts w:ascii="Arial" w:cs="Arial" w:eastAsia="Arial" w:hAnsi="Arial"/>
                <w:sz w:val="13"/>
                <w:szCs w:val="13"/>
                <w:color w:val="auto"/>
              </w:rPr>
              <w:t>Derivative valuation adjustment .</w:t>
            </w: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7"/>
              <w:spacing w:after="0" w:line="141" w:lineRule="exact"/>
              <w:rPr>
                <w:sz w:val="20"/>
                <w:szCs w:val="20"/>
                <w:color w:val="auto"/>
              </w:rPr>
            </w:pPr>
            <w:r>
              <w:rPr>
                <w:rFonts w:ascii="Arial" w:cs="Arial" w:eastAsia="Arial" w:hAnsi="Arial"/>
                <w:sz w:val="13"/>
                <w:szCs w:val="13"/>
                <w:color w:val="auto"/>
              </w:rPr>
              <w:t>1,125</w:t>
            </w:r>
          </w:p>
        </w:tc>
        <w:tc>
          <w:tcPr>
            <w:tcW w:w="10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41" w:lineRule="exact"/>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129"/>
        </w:trPr>
        <w:tc>
          <w:tcPr>
            <w:tcW w:w="2340" w:type="dxa"/>
            <w:vAlign w:val="bottom"/>
          </w:tcPr>
          <w:p>
            <w:pPr>
              <w:spacing w:after="0" w:line="129" w:lineRule="exact"/>
              <w:rPr>
                <w:sz w:val="20"/>
                <w:szCs w:val="20"/>
                <w:color w:val="auto"/>
              </w:rPr>
            </w:pPr>
            <w:r>
              <w:rPr>
                <w:rFonts w:ascii="Arial" w:cs="Arial" w:eastAsia="Arial" w:hAnsi="Arial"/>
                <w:sz w:val="13"/>
                <w:szCs w:val="13"/>
                <w:color w:val="auto"/>
              </w:rPr>
              <w:t>December 31, 2017</w:t>
            </w:r>
          </w:p>
        </w:tc>
        <w:tc>
          <w:tcPr>
            <w:tcW w:w="5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37,396</w:t>
            </w:r>
          </w:p>
        </w:tc>
        <w:tc>
          <w:tcPr>
            <w:tcW w:w="1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3,234</w:t>
            </w:r>
          </w:p>
        </w:tc>
        <w:tc>
          <w:tcPr>
            <w:tcW w:w="1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$428,423</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$534,082</w:t>
            </w:r>
          </w:p>
        </w:tc>
        <w:tc>
          <w:tcPr>
            <w:tcW w:w="10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$(135,901)</w:t>
            </w:r>
          </w:p>
        </w:tc>
        <w:tc>
          <w:tcPr>
            <w:tcW w:w="1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8,431</w:t>
            </w:r>
          </w:p>
        </w:tc>
        <w:tc>
          <w:tcPr>
            <w:tcW w:w="8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(256,876)</w:t>
            </w:r>
          </w:p>
        </w:tc>
        <w:tc>
          <w:tcPr>
            <w:tcW w:w="12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3"/>
                <w:szCs w:val="13"/>
                <w:color w:val="auto"/>
              </w:rPr>
              <w:t>$3,247</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$573,015</w:t>
            </w:r>
          </w:p>
        </w:tc>
        <w:tc>
          <w:tcPr>
            <w:tcW w:w="0" w:type="dxa"/>
            <w:vAlign w:val="bottom"/>
          </w:tcPr>
          <w:p>
            <w:pPr>
              <w:spacing w:after="0"/>
              <w:rPr>
                <w:sz w:val="1"/>
                <w:szCs w:val="1"/>
                <w:color w:val="auto"/>
              </w:rPr>
            </w:pPr>
          </w:p>
        </w:tc>
      </w:tr>
      <w:tr>
        <w:trPr>
          <w:trHeight w:val="128"/>
        </w:trPr>
        <w:tc>
          <w:tcPr>
            <w:tcW w:w="2340" w:type="dxa"/>
            <w:vAlign w:val="bottom"/>
          </w:tcPr>
          <w:p>
            <w:pPr>
              <w:spacing w:after="0" w:line="128" w:lineRule="exact"/>
              <w:rPr>
                <w:sz w:val="20"/>
                <w:szCs w:val="20"/>
                <w:color w:val="auto"/>
              </w:rPr>
            </w:pPr>
            <w:r>
              <w:rPr>
                <w:rFonts w:ascii="Arial" w:cs="Arial" w:eastAsia="Arial" w:hAnsi="Arial"/>
                <w:sz w:val="13"/>
                <w:szCs w:val="13"/>
                <w:color w:val="auto"/>
              </w:rPr>
              <w:t>Net income</w:t>
            </w:r>
          </w:p>
        </w:tc>
        <w:tc>
          <w:tcPr>
            <w:tcW w:w="560" w:type="dxa"/>
            <w:vAlign w:val="bottom"/>
          </w:tcPr>
          <w:p>
            <w:pPr>
              <w:jc w:val="right"/>
              <w:ind w:right="37"/>
              <w:spacing w:after="0" w:line="12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tcPr>
          <w:p>
            <w:pPr>
              <w:jc w:val="right"/>
              <w:ind w:right="137"/>
              <w:spacing w:after="0" w:line="12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ind w:left="320"/>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157"/>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97"/>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ind w:right="37"/>
              <w:spacing w:after="0" w:line="128" w:lineRule="exact"/>
              <w:rPr>
                <w:sz w:val="20"/>
                <w:szCs w:val="20"/>
                <w:color w:val="auto"/>
              </w:rPr>
            </w:pPr>
            <w:r>
              <w:rPr>
                <w:rFonts w:ascii="Arial" w:cs="Arial" w:eastAsia="Arial" w:hAnsi="Arial"/>
                <w:sz w:val="13"/>
                <w:szCs w:val="13"/>
                <w:color w:val="auto"/>
              </w:rPr>
              <w:t>82,891</w:t>
            </w:r>
          </w:p>
        </w:tc>
        <w:tc>
          <w:tcPr>
            <w:tcW w:w="100" w:type="dxa"/>
            <w:vAlign w:val="bottom"/>
          </w:tcPr>
          <w:p>
            <w:pPr>
              <w:spacing w:after="0"/>
              <w:rPr>
                <w:sz w:val="11"/>
                <w:szCs w:val="11"/>
                <w:color w:val="auto"/>
              </w:rPr>
            </w:pPr>
          </w:p>
        </w:tc>
        <w:tc>
          <w:tcPr>
            <w:tcW w:w="1120" w:type="dxa"/>
            <w:vAlign w:val="bottom"/>
          </w:tcPr>
          <w:p>
            <w:pPr>
              <w:ind w:left="680"/>
              <w:spacing w:after="0" w:line="12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17"/>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40" w:type="dxa"/>
            <w:vAlign w:val="bottom"/>
          </w:tcPr>
          <w:p>
            <w:pPr>
              <w:jc w:val="right"/>
              <w:ind w:right="337"/>
              <w:spacing w:after="0" w:line="128" w:lineRule="exact"/>
              <w:rPr>
                <w:sz w:val="20"/>
                <w:szCs w:val="20"/>
                <w:color w:val="auto"/>
              </w:rPr>
            </w:pPr>
            <w:r>
              <w:rPr>
                <w:rFonts w:ascii="Arial" w:cs="Arial" w:eastAsia="Arial" w:hAnsi="Arial"/>
                <w:sz w:val="13"/>
                <w:szCs w:val="13"/>
                <w:color w:val="auto"/>
              </w:rPr>
              <w:t>128</w:t>
            </w:r>
          </w:p>
        </w:tc>
        <w:tc>
          <w:tcPr>
            <w:tcW w:w="100" w:type="dxa"/>
            <w:vAlign w:val="bottom"/>
          </w:tcPr>
          <w:p>
            <w:pPr>
              <w:spacing w:after="0"/>
              <w:rPr>
                <w:sz w:val="11"/>
                <w:szCs w:val="11"/>
                <w:color w:val="auto"/>
              </w:rPr>
            </w:pPr>
          </w:p>
        </w:tc>
        <w:tc>
          <w:tcPr>
            <w:tcW w:w="660" w:type="dxa"/>
            <w:vAlign w:val="bottom"/>
          </w:tcPr>
          <w:p>
            <w:pPr>
              <w:jc w:val="right"/>
              <w:ind w:right="17"/>
              <w:spacing w:after="0" w:line="128" w:lineRule="exact"/>
              <w:rPr>
                <w:sz w:val="20"/>
                <w:szCs w:val="20"/>
                <w:color w:val="auto"/>
              </w:rPr>
            </w:pPr>
            <w:r>
              <w:rPr>
                <w:rFonts w:ascii="Arial" w:cs="Arial" w:eastAsia="Arial" w:hAnsi="Arial"/>
                <w:sz w:val="13"/>
                <w:szCs w:val="13"/>
                <w:color w:val="auto"/>
              </w:rPr>
              <w:t>83,019</w:t>
            </w:r>
          </w:p>
        </w:tc>
        <w:tc>
          <w:tcPr>
            <w:tcW w:w="0" w:type="dxa"/>
            <w:vAlign w:val="bottom"/>
          </w:tcPr>
          <w:p>
            <w:pPr>
              <w:spacing w:after="0"/>
              <w:rPr>
                <w:sz w:val="1"/>
                <w:szCs w:val="1"/>
                <w:color w:val="auto"/>
              </w:rPr>
            </w:pPr>
          </w:p>
        </w:tc>
      </w:tr>
      <w:tr>
        <w:trPr>
          <w:trHeight w:val="176"/>
        </w:trPr>
        <w:tc>
          <w:tcPr>
            <w:tcW w:w="2340" w:type="dxa"/>
            <w:vAlign w:val="bottom"/>
          </w:tcPr>
          <w:p>
            <w:pPr>
              <w:spacing w:after="0" w:line="176" w:lineRule="exact"/>
              <w:rPr>
                <w:sz w:val="20"/>
                <w:szCs w:val="20"/>
                <w:color w:val="auto"/>
              </w:rPr>
            </w:pPr>
            <w:r>
              <w:rPr>
                <w:rFonts w:ascii="Arial" w:cs="Arial" w:eastAsia="Arial" w:hAnsi="Arial"/>
                <w:sz w:val="13"/>
                <w:szCs w:val="13"/>
                <w:color w:val="auto"/>
              </w:rPr>
              <w:t xml:space="preserve">Adoption of accounting standards </w:t>
            </w:r>
            <w:r>
              <w:rPr>
                <w:rFonts w:ascii="Arial" w:cs="Arial" w:eastAsia="Arial" w:hAnsi="Arial"/>
                <w:sz w:val="20"/>
                <w:szCs w:val="20"/>
                <w:color w:val="auto"/>
                <w:vertAlign w:val="superscript"/>
              </w:rPr>
              <w:t>(a),</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340" w:type="dxa"/>
            <w:vAlign w:val="bottom"/>
          </w:tcPr>
          <w:p>
            <w:pPr>
              <w:ind w:left="180"/>
              <w:spacing w:after="0"/>
              <w:rPr>
                <w:sz w:val="20"/>
                <w:szCs w:val="20"/>
                <w:color w:val="auto"/>
              </w:rPr>
            </w:pPr>
            <w:r>
              <w:rPr>
                <w:rFonts w:ascii="Arial" w:cs="Arial" w:eastAsia="Arial" w:hAnsi="Arial"/>
                <w:sz w:val="10"/>
                <w:szCs w:val="10"/>
                <w:color w:val="auto"/>
              </w:rPr>
              <w:t>(b)</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(5,068)</w:t>
            </w:r>
          </w:p>
        </w:tc>
        <w:tc>
          <w:tcPr>
            <w:tcW w:w="100" w:type="dxa"/>
            <w:vAlign w:val="bottom"/>
          </w:tcPr>
          <w:p>
            <w:pPr>
              <w:spacing w:after="0"/>
              <w:rPr>
                <w:sz w:val="10"/>
                <w:szCs w:val="10"/>
                <w:color w:val="auto"/>
              </w:rPr>
            </w:pPr>
          </w:p>
        </w:tc>
        <w:tc>
          <w:tcPr>
            <w:tcW w:w="1220" w:type="dxa"/>
            <w:vAlign w:val="bottom"/>
            <w:gridSpan w:val="2"/>
            <w:vMerge w:val="restart"/>
          </w:tcPr>
          <w:p>
            <w:pPr>
              <w:ind w:left="68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277"/>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(5,395)</w:t>
            </w:r>
          </w:p>
        </w:tc>
        <w:tc>
          <w:tcPr>
            <w:tcW w:w="0" w:type="dxa"/>
            <w:vAlign w:val="bottom"/>
          </w:tcPr>
          <w:p>
            <w:pPr>
              <w:spacing w:after="0"/>
              <w:rPr>
                <w:sz w:val="1"/>
                <w:szCs w:val="1"/>
                <w:color w:val="auto"/>
              </w:rPr>
            </w:pPr>
          </w:p>
        </w:tc>
      </w:tr>
      <w:tr>
        <w:trPr>
          <w:trHeight w:val="62"/>
        </w:trPr>
        <w:tc>
          <w:tcPr>
            <w:tcW w:w="2340" w:type="dxa"/>
            <w:vAlign w:val="bottom"/>
            <w:vMerge w:val="restart"/>
          </w:tcPr>
          <w:p>
            <w:pPr>
              <w:spacing w:after="0"/>
              <w:rPr>
                <w:sz w:val="20"/>
                <w:szCs w:val="20"/>
                <w:color w:val="auto"/>
              </w:rPr>
            </w:pPr>
            <w:r>
              <w:rPr>
                <w:rFonts w:ascii="Arial" w:cs="Arial" w:eastAsia="Arial" w:hAnsi="Arial"/>
                <w:sz w:val="13"/>
                <w:szCs w:val="13"/>
                <w:color w:val="auto"/>
              </w:rPr>
              <w:t>Compensation and benefits paid or</w:t>
            </w:r>
          </w:p>
        </w:tc>
        <w:tc>
          <w:tcPr>
            <w:tcW w:w="6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3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payable in shares</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1,437</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1,437</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Options exercised</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201</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Shares issued to Directors'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494</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9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273</w:t>
            </w:r>
          </w:p>
        </w:tc>
        <w:tc>
          <w:tcPr>
            <w:tcW w:w="120" w:type="dxa"/>
            <w:vAlign w:val="bottom"/>
          </w:tcPr>
          <w:p>
            <w:pPr>
              <w:spacing w:after="0"/>
              <w:rPr>
                <w:sz w:val="11"/>
                <w:szCs w:val="11"/>
                <w:color w:val="auto"/>
              </w:rPr>
            </w:pP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767</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Dividends declared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Class A Common Stock, $0.69 per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360"/>
              <w:spacing w:after="0" w:line="135" w:lineRule="exact"/>
              <w:rPr>
                <w:sz w:val="20"/>
                <w:szCs w:val="20"/>
                <w:color w:val="auto"/>
              </w:rPr>
            </w:pPr>
            <w:r>
              <w:rPr>
                <w:rFonts w:ascii="Arial" w:cs="Arial" w:eastAsia="Arial" w:hAnsi="Arial"/>
                <w:sz w:val="13"/>
                <w:szCs w:val="13"/>
                <w:color w:val="auto"/>
              </w:rPr>
              <w:t>share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(20,029)</w:t>
            </w:r>
          </w:p>
        </w:tc>
        <w:tc>
          <w:tcPr>
            <w:tcW w:w="100" w:type="dxa"/>
            <w:vAlign w:val="bottom"/>
          </w:tcPr>
          <w:p>
            <w:pPr>
              <w:spacing w:after="0"/>
              <w:rPr>
                <w:sz w:val="11"/>
                <w:szCs w:val="11"/>
                <w:color w:val="auto"/>
              </w:rPr>
            </w:pP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(20,029)</w:t>
            </w: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Class B Common Stock, $0.69 per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360"/>
              <w:spacing w:after="0" w:line="135" w:lineRule="exact"/>
              <w:rPr>
                <w:sz w:val="20"/>
                <w:szCs w:val="20"/>
                <w:color w:val="auto"/>
              </w:rPr>
            </w:pPr>
            <w:r>
              <w:rPr>
                <w:rFonts w:ascii="Arial" w:cs="Arial" w:eastAsia="Arial" w:hAnsi="Arial"/>
                <w:sz w:val="13"/>
                <w:szCs w:val="13"/>
                <w:color w:val="auto"/>
              </w:rPr>
              <w:t>share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(2,231)</w:t>
            </w:r>
          </w:p>
        </w:tc>
        <w:tc>
          <w:tcPr>
            <w:tcW w:w="100" w:type="dxa"/>
            <w:vAlign w:val="bottom"/>
          </w:tcPr>
          <w:p>
            <w:pPr>
              <w:spacing w:after="0"/>
              <w:rPr>
                <w:sz w:val="11"/>
                <w:szCs w:val="11"/>
                <w:color w:val="auto"/>
              </w:rPr>
            </w:pP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(2,231)</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Cumulative translation adjustments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(28,658)</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(28,675)</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Pension and postretirement liability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adjustments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3,427</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3,427</w:t>
            </w:r>
          </w:p>
        </w:tc>
        <w:tc>
          <w:tcPr>
            <w:tcW w:w="0" w:type="dxa"/>
            <w:vAlign w:val="bottom"/>
          </w:tcPr>
          <w:p>
            <w:pPr>
              <w:spacing w:after="0"/>
              <w:rPr>
                <w:sz w:val="1"/>
                <w:szCs w:val="1"/>
                <w:color w:val="auto"/>
              </w:rPr>
            </w:pPr>
          </w:p>
        </w:tc>
      </w:tr>
      <w:tr>
        <w:trPr>
          <w:trHeight w:val="141"/>
        </w:trPr>
        <w:tc>
          <w:tcPr>
            <w:tcW w:w="2340" w:type="dxa"/>
            <w:vAlign w:val="bottom"/>
          </w:tcPr>
          <w:p>
            <w:pPr>
              <w:spacing w:after="0" w:line="141" w:lineRule="exact"/>
              <w:rPr>
                <w:sz w:val="20"/>
                <w:szCs w:val="20"/>
                <w:color w:val="auto"/>
              </w:rPr>
            </w:pPr>
            <w:r>
              <w:rPr>
                <w:rFonts w:ascii="Arial" w:cs="Arial" w:eastAsia="Arial" w:hAnsi="Arial"/>
                <w:sz w:val="13"/>
                <w:szCs w:val="13"/>
                <w:color w:val="auto"/>
              </w:rPr>
              <w:t>Derivative valuation adjustment .</w:t>
            </w: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7"/>
              <w:spacing w:after="0" w:line="141" w:lineRule="exact"/>
              <w:rPr>
                <w:sz w:val="20"/>
                <w:szCs w:val="20"/>
                <w:color w:val="auto"/>
              </w:rPr>
            </w:pPr>
            <w:r>
              <w:rPr>
                <w:rFonts w:ascii="Arial" w:cs="Arial" w:eastAsia="Arial" w:hAnsi="Arial"/>
                <w:sz w:val="13"/>
                <w:szCs w:val="13"/>
                <w:color w:val="auto"/>
              </w:rPr>
              <w:t>2,744</w:t>
            </w:r>
          </w:p>
        </w:tc>
        <w:tc>
          <w:tcPr>
            <w:tcW w:w="10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41" w:lineRule="exact"/>
              <w:rPr>
                <w:sz w:val="20"/>
                <w:szCs w:val="20"/>
                <w:color w:val="auto"/>
              </w:rPr>
            </w:pPr>
            <w:r>
              <w:rPr>
                <w:rFonts w:ascii="Arial" w:cs="Arial" w:eastAsia="Arial" w:hAnsi="Arial"/>
                <w:sz w:val="13"/>
                <w:szCs w:val="13"/>
                <w:color w:val="auto"/>
              </w:rPr>
              <w:t>2,744</w:t>
            </w:r>
          </w:p>
        </w:tc>
        <w:tc>
          <w:tcPr>
            <w:tcW w:w="0" w:type="dxa"/>
            <w:vAlign w:val="bottom"/>
          </w:tcPr>
          <w:p>
            <w:pPr>
              <w:spacing w:after="0"/>
              <w:rPr>
                <w:sz w:val="1"/>
                <w:szCs w:val="1"/>
                <w:color w:val="auto"/>
              </w:rPr>
            </w:pPr>
          </w:p>
        </w:tc>
      </w:tr>
      <w:tr>
        <w:trPr>
          <w:trHeight w:val="129"/>
        </w:trPr>
        <w:tc>
          <w:tcPr>
            <w:tcW w:w="2340" w:type="dxa"/>
            <w:vAlign w:val="bottom"/>
          </w:tcPr>
          <w:p>
            <w:pPr>
              <w:spacing w:after="0" w:line="129" w:lineRule="exact"/>
              <w:rPr>
                <w:sz w:val="20"/>
                <w:szCs w:val="20"/>
                <w:color w:val="auto"/>
              </w:rPr>
            </w:pPr>
            <w:r>
              <w:rPr>
                <w:rFonts w:ascii="Arial" w:cs="Arial" w:eastAsia="Arial" w:hAnsi="Arial"/>
                <w:sz w:val="13"/>
                <w:szCs w:val="13"/>
                <w:color w:val="auto"/>
              </w:rPr>
              <w:t>December 31, 2018</w:t>
            </w:r>
          </w:p>
        </w:tc>
        <w:tc>
          <w:tcPr>
            <w:tcW w:w="5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37,450</w:t>
            </w:r>
          </w:p>
        </w:tc>
        <w:tc>
          <w:tcPr>
            <w:tcW w:w="1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3,234</w:t>
            </w:r>
          </w:p>
        </w:tc>
        <w:tc>
          <w:tcPr>
            <w:tcW w:w="1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$430,555</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$589,645</w:t>
            </w:r>
          </w:p>
        </w:tc>
        <w:tc>
          <w:tcPr>
            <w:tcW w:w="10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$(158,388)</w:t>
            </w:r>
          </w:p>
        </w:tc>
        <w:tc>
          <w:tcPr>
            <w:tcW w:w="1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8,419</w:t>
            </w:r>
          </w:p>
        </w:tc>
        <w:tc>
          <w:tcPr>
            <w:tcW w:w="8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(256,603)</w:t>
            </w:r>
          </w:p>
        </w:tc>
        <w:tc>
          <w:tcPr>
            <w:tcW w:w="12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3"/>
                <w:szCs w:val="13"/>
                <w:color w:val="auto"/>
              </w:rPr>
              <w:t>$3,031</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$608,280</w:t>
            </w:r>
          </w:p>
        </w:tc>
        <w:tc>
          <w:tcPr>
            <w:tcW w:w="0" w:type="dxa"/>
            <w:vAlign w:val="bottom"/>
          </w:tcPr>
          <w:p>
            <w:pPr>
              <w:spacing w:after="0"/>
              <w:rPr>
                <w:sz w:val="1"/>
                <w:szCs w:val="1"/>
                <w:color w:val="auto"/>
              </w:rPr>
            </w:pPr>
          </w:p>
        </w:tc>
      </w:tr>
      <w:tr>
        <w:trPr>
          <w:trHeight w:val="128"/>
        </w:trPr>
        <w:tc>
          <w:tcPr>
            <w:tcW w:w="2340" w:type="dxa"/>
            <w:vAlign w:val="bottom"/>
          </w:tcPr>
          <w:p>
            <w:pPr>
              <w:spacing w:after="0" w:line="128" w:lineRule="exact"/>
              <w:rPr>
                <w:sz w:val="20"/>
                <w:szCs w:val="20"/>
                <w:color w:val="auto"/>
              </w:rPr>
            </w:pPr>
            <w:r>
              <w:rPr>
                <w:rFonts w:ascii="Arial" w:cs="Arial" w:eastAsia="Arial" w:hAnsi="Arial"/>
                <w:sz w:val="13"/>
                <w:szCs w:val="13"/>
                <w:color w:val="auto"/>
              </w:rPr>
              <w:t>Net income</w:t>
            </w:r>
          </w:p>
        </w:tc>
        <w:tc>
          <w:tcPr>
            <w:tcW w:w="560" w:type="dxa"/>
            <w:vAlign w:val="bottom"/>
          </w:tcPr>
          <w:p>
            <w:pPr>
              <w:jc w:val="right"/>
              <w:ind w:right="37"/>
              <w:spacing w:after="0" w:line="12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tcPr>
          <w:p>
            <w:pPr>
              <w:jc w:val="right"/>
              <w:ind w:right="137"/>
              <w:spacing w:after="0" w:line="12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ind w:left="320"/>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157"/>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97"/>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ind w:right="37"/>
              <w:spacing w:after="0" w:line="128" w:lineRule="exact"/>
              <w:rPr>
                <w:sz w:val="20"/>
                <w:szCs w:val="20"/>
                <w:color w:val="auto"/>
              </w:rPr>
            </w:pPr>
            <w:r>
              <w:rPr>
                <w:rFonts w:ascii="Arial" w:cs="Arial" w:eastAsia="Arial" w:hAnsi="Arial"/>
                <w:sz w:val="13"/>
                <w:szCs w:val="13"/>
                <w:color w:val="auto"/>
              </w:rPr>
              <w:t>132,398</w:t>
            </w:r>
          </w:p>
        </w:tc>
        <w:tc>
          <w:tcPr>
            <w:tcW w:w="100" w:type="dxa"/>
            <w:vAlign w:val="bottom"/>
          </w:tcPr>
          <w:p>
            <w:pPr>
              <w:spacing w:after="0"/>
              <w:rPr>
                <w:sz w:val="11"/>
                <w:szCs w:val="11"/>
                <w:color w:val="auto"/>
              </w:rPr>
            </w:pPr>
          </w:p>
        </w:tc>
        <w:tc>
          <w:tcPr>
            <w:tcW w:w="1120" w:type="dxa"/>
            <w:vAlign w:val="bottom"/>
          </w:tcPr>
          <w:p>
            <w:pPr>
              <w:ind w:left="680"/>
              <w:spacing w:after="0" w:line="12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17"/>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40" w:type="dxa"/>
            <w:vAlign w:val="bottom"/>
          </w:tcPr>
          <w:p>
            <w:pPr>
              <w:jc w:val="right"/>
              <w:ind w:right="337"/>
              <w:spacing w:after="0" w:line="128" w:lineRule="exact"/>
              <w:rPr>
                <w:sz w:val="20"/>
                <w:szCs w:val="20"/>
                <w:color w:val="auto"/>
              </w:rPr>
            </w:pPr>
            <w:r>
              <w:rPr>
                <w:rFonts w:ascii="Arial" w:cs="Arial" w:eastAsia="Arial" w:hAnsi="Arial"/>
                <w:sz w:val="13"/>
                <w:szCs w:val="13"/>
                <w:color w:val="auto"/>
              </w:rPr>
              <w:t>985</w:t>
            </w:r>
          </w:p>
        </w:tc>
        <w:tc>
          <w:tcPr>
            <w:tcW w:w="1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133,383</w:t>
            </w:r>
          </w:p>
        </w:tc>
        <w:tc>
          <w:tcPr>
            <w:tcW w:w="0" w:type="dxa"/>
            <w:vAlign w:val="bottom"/>
          </w:tcPr>
          <w:p>
            <w:pPr>
              <w:spacing w:after="0"/>
              <w:rPr>
                <w:sz w:val="1"/>
                <w:szCs w:val="1"/>
                <w:color w:val="auto"/>
              </w:rPr>
            </w:pPr>
          </w:p>
        </w:tc>
      </w:tr>
      <w:tr>
        <w:trPr>
          <w:trHeight w:val="170"/>
        </w:trPr>
        <w:tc>
          <w:tcPr>
            <w:tcW w:w="2340" w:type="dxa"/>
            <w:vAlign w:val="bottom"/>
          </w:tcPr>
          <w:p>
            <w:pPr>
              <w:spacing w:after="0" w:line="170" w:lineRule="exact"/>
              <w:rPr>
                <w:sz w:val="20"/>
                <w:szCs w:val="20"/>
                <w:color w:val="auto"/>
              </w:rPr>
            </w:pPr>
            <w:r>
              <w:rPr>
                <w:rFonts w:ascii="Arial" w:cs="Arial" w:eastAsia="Arial" w:hAnsi="Arial"/>
                <w:sz w:val="12"/>
                <w:szCs w:val="12"/>
                <w:color w:val="auto"/>
              </w:rPr>
              <w:t xml:space="preserve">Adoption of accounting standards </w:t>
            </w:r>
            <w:r>
              <w:rPr>
                <w:rFonts w:ascii="Arial" w:cs="Arial" w:eastAsia="Arial" w:hAnsi="Arial"/>
                <w:sz w:val="19"/>
                <w:szCs w:val="19"/>
                <w:color w:val="auto"/>
                <w:vertAlign w:val="superscript"/>
              </w:rPr>
              <w:t>(c)</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2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Compensation and benefits paid 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payable in shares</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1,311</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Options exercised</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112</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Shares issued to Directors'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540</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9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212</w:t>
            </w:r>
          </w:p>
        </w:tc>
        <w:tc>
          <w:tcPr>
            <w:tcW w:w="120" w:type="dxa"/>
            <w:vAlign w:val="bottom"/>
          </w:tcPr>
          <w:p>
            <w:pPr>
              <w:spacing w:after="0"/>
              <w:rPr>
                <w:sz w:val="11"/>
                <w:szCs w:val="11"/>
                <w:color w:val="auto"/>
              </w:rPr>
            </w:pP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752</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Dividends declared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Class A Common Stock, $0.73 per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360"/>
              <w:spacing w:after="0" w:line="135" w:lineRule="exact"/>
              <w:rPr>
                <w:sz w:val="20"/>
                <w:szCs w:val="20"/>
                <w:color w:val="auto"/>
              </w:rPr>
            </w:pPr>
            <w:r>
              <w:rPr>
                <w:rFonts w:ascii="Arial" w:cs="Arial" w:eastAsia="Arial" w:hAnsi="Arial"/>
                <w:sz w:val="13"/>
                <w:szCs w:val="13"/>
                <w:color w:val="auto"/>
              </w:rPr>
              <w:t>share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(21,818)</w:t>
            </w:r>
          </w:p>
        </w:tc>
        <w:tc>
          <w:tcPr>
            <w:tcW w:w="100" w:type="dxa"/>
            <w:vAlign w:val="bottom"/>
          </w:tcPr>
          <w:p>
            <w:pPr>
              <w:spacing w:after="0"/>
              <w:rPr>
                <w:sz w:val="11"/>
                <w:szCs w:val="11"/>
                <w:color w:val="auto"/>
              </w:rPr>
            </w:pP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(21,818)</w:t>
            </w: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Class B Common Stock, $0.73 per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360"/>
              <w:spacing w:after="0" w:line="135" w:lineRule="exact"/>
              <w:rPr>
                <w:sz w:val="20"/>
                <w:szCs w:val="20"/>
                <w:color w:val="auto"/>
              </w:rPr>
            </w:pPr>
            <w:r>
              <w:rPr>
                <w:rFonts w:ascii="Arial" w:cs="Arial" w:eastAsia="Arial" w:hAnsi="Arial"/>
                <w:sz w:val="13"/>
                <w:szCs w:val="13"/>
                <w:color w:val="auto"/>
              </w:rPr>
              <w:t>share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(1,763)</w:t>
            </w:r>
          </w:p>
        </w:tc>
        <w:tc>
          <w:tcPr>
            <w:tcW w:w="100" w:type="dxa"/>
            <w:vAlign w:val="bottom"/>
          </w:tcPr>
          <w:p>
            <w:pPr>
              <w:spacing w:after="0"/>
              <w:rPr>
                <w:sz w:val="11"/>
                <w:szCs w:val="11"/>
                <w:color w:val="auto"/>
              </w:rPr>
            </w:pPr>
          </w:p>
        </w:tc>
        <w:tc>
          <w:tcPr>
            <w:tcW w:w="122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(1,763)</w:t>
            </w:r>
          </w:p>
        </w:tc>
        <w:tc>
          <w:tcPr>
            <w:tcW w:w="0" w:type="dxa"/>
            <w:vAlign w:val="bottom"/>
          </w:tcPr>
          <w:p>
            <w:pPr>
              <w:spacing w:after="0"/>
              <w:rPr>
                <w:sz w:val="1"/>
                <w:szCs w:val="1"/>
                <w:color w:val="auto"/>
              </w:rPr>
            </w:pPr>
          </w:p>
        </w:tc>
      </w:tr>
      <w:tr>
        <w:trPr>
          <w:trHeight w:val="141"/>
        </w:trPr>
        <w:tc>
          <w:tcPr>
            <w:tcW w:w="2340" w:type="dxa"/>
            <w:vAlign w:val="bottom"/>
          </w:tcPr>
          <w:p>
            <w:pPr>
              <w:spacing w:after="0" w:line="141" w:lineRule="exact"/>
              <w:rPr>
                <w:sz w:val="20"/>
                <w:szCs w:val="20"/>
                <w:color w:val="auto"/>
              </w:rPr>
            </w:pPr>
            <w:r>
              <w:rPr>
                <w:rFonts w:ascii="Arial" w:cs="Arial" w:eastAsia="Arial" w:hAnsi="Arial"/>
                <w:sz w:val="13"/>
                <w:szCs w:val="13"/>
                <w:color w:val="auto"/>
              </w:rPr>
              <w:t>Conversion of Class B shares to Class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40" w:type="dxa"/>
            <w:vAlign w:val="bottom"/>
          </w:tcPr>
          <w:p>
            <w:pPr>
              <w:ind w:left="180"/>
              <w:spacing w:after="0" w:line="170" w:lineRule="exact"/>
              <w:rPr>
                <w:sz w:val="20"/>
                <w:szCs w:val="20"/>
                <w:color w:val="auto"/>
              </w:rPr>
            </w:pPr>
            <w:r>
              <w:rPr>
                <w:rFonts w:ascii="Arial" w:cs="Arial" w:eastAsia="Arial" w:hAnsi="Arial"/>
                <w:sz w:val="12"/>
                <w:szCs w:val="12"/>
                <w:color w:val="auto"/>
              </w:rPr>
              <w:t xml:space="preserve">A shares </w:t>
            </w:r>
            <w:r>
              <w:rPr>
                <w:rFonts w:ascii="Arial" w:cs="Arial" w:eastAsia="Arial" w:hAnsi="Arial"/>
                <w:sz w:val="19"/>
                <w:szCs w:val="19"/>
                <w:color w:val="auto"/>
                <w:vertAlign w:val="superscript"/>
              </w:rPr>
              <w:t>(d)</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1,616</w:t>
            </w:r>
          </w:p>
        </w:tc>
        <w:tc>
          <w:tcPr>
            <w:tcW w:w="100" w:type="dxa"/>
            <w:vAlign w:val="bottom"/>
          </w:tcPr>
          <w:p>
            <w:pPr>
              <w:spacing w:after="0"/>
              <w:rPr>
                <w:sz w:val="14"/>
                <w:szCs w:val="14"/>
                <w:color w:val="auto"/>
              </w:rPr>
            </w:pPr>
          </w:p>
        </w:tc>
        <w:tc>
          <w:tcPr>
            <w:tcW w:w="580" w:type="dxa"/>
            <w:vAlign w:val="bottom"/>
          </w:tcPr>
          <w:p>
            <w:pPr>
              <w:jc w:val="right"/>
              <w:ind w:right="1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(1,616)</w:t>
            </w:r>
          </w:p>
        </w:tc>
        <w:tc>
          <w:tcPr>
            <w:tcW w:w="12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Cumulative translation adjustments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(6,876)</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(6,886)</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Pension and postretirement liability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adjustments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(2,885)</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(2,885)</w:t>
            </w:r>
          </w:p>
        </w:tc>
        <w:tc>
          <w:tcPr>
            <w:tcW w:w="0" w:type="dxa"/>
            <w:vAlign w:val="bottom"/>
          </w:tcPr>
          <w:p>
            <w:pPr>
              <w:spacing w:after="0"/>
              <w:rPr>
                <w:sz w:val="1"/>
                <w:szCs w:val="1"/>
                <w:color w:val="auto"/>
              </w:rPr>
            </w:pPr>
          </w:p>
        </w:tc>
      </w:tr>
      <w:tr>
        <w:trPr>
          <w:trHeight w:val="141"/>
        </w:trPr>
        <w:tc>
          <w:tcPr>
            <w:tcW w:w="2340" w:type="dxa"/>
            <w:vAlign w:val="bottom"/>
          </w:tcPr>
          <w:p>
            <w:pPr>
              <w:spacing w:after="0" w:line="141" w:lineRule="exact"/>
              <w:rPr>
                <w:sz w:val="20"/>
                <w:szCs w:val="20"/>
                <w:color w:val="auto"/>
              </w:rPr>
            </w:pPr>
            <w:r>
              <w:rPr>
                <w:rFonts w:ascii="Arial" w:cs="Arial" w:eastAsia="Arial" w:hAnsi="Arial"/>
                <w:sz w:val="13"/>
                <w:szCs w:val="13"/>
                <w:color w:val="auto"/>
              </w:rPr>
              <w:t>Derivative valuation adjustment .</w:t>
            </w: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177"/>
              <w:spacing w:after="0" w:line="141" w:lineRule="exact"/>
              <w:rPr>
                <w:sz w:val="20"/>
                <w:szCs w:val="20"/>
                <w:color w:val="auto"/>
              </w:rPr>
            </w:pPr>
            <w:r>
              <w:rPr>
                <w:rFonts w:ascii="Arial" w:cs="Arial" w:eastAsia="Arial" w:hAnsi="Arial"/>
                <w:sz w:val="13"/>
                <w:szCs w:val="13"/>
                <w:color w:val="auto"/>
              </w:rPr>
              <w:t>(7,832)</w:t>
            </w:r>
          </w:p>
        </w:tc>
        <w:tc>
          <w:tcPr>
            <w:tcW w:w="10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00"/>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(7,832)</w:t>
            </w:r>
          </w:p>
        </w:tc>
        <w:tc>
          <w:tcPr>
            <w:tcW w:w="0" w:type="dxa"/>
            <w:vAlign w:val="bottom"/>
          </w:tcPr>
          <w:p>
            <w:pPr>
              <w:spacing w:after="0"/>
              <w:rPr>
                <w:sz w:val="1"/>
                <w:szCs w:val="1"/>
                <w:color w:val="auto"/>
              </w:rPr>
            </w:pPr>
          </w:p>
        </w:tc>
      </w:tr>
      <w:tr>
        <w:trPr>
          <w:trHeight w:val="129"/>
        </w:trPr>
        <w:tc>
          <w:tcPr>
            <w:tcW w:w="2340" w:type="dxa"/>
            <w:vAlign w:val="bottom"/>
          </w:tcPr>
          <w:p>
            <w:pPr>
              <w:spacing w:after="0" w:line="129" w:lineRule="exact"/>
              <w:rPr>
                <w:sz w:val="20"/>
                <w:szCs w:val="20"/>
                <w:color w:val="auto"/>
              </w:rPr>
            </w:pPr>
            <w:r>
              <w:rPr>
                <w:rFonts w:ascii="Arial" w:cs="Arial" w:eastAsia="Arial" w:hAnsi="Arial"/>
                <w:sz w:val="13"/>
                <w:szCs w:val="13"/>
                <w:color w:val="auto"/>
              </w:rPr>
              <w:t>December 31, 2019</w:t>
            </w:r>
          </w:p>
        </w:tc>
        <w:tc>
          <w:tcPr>
            <w:tcW w:w="5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39,099</w:t>
            </w:r>
          </w:p>
        </w:tc>
        <w:tc>
          <w:tcPr>
            <w:tcW w:w="1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$39</w:t>
            </w:r>
          </w:p>
        </w:tc>
        <w:tc>
          <w:tcPr>
            <w:tcW w:w="1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1,618</w:t>
            </w:r>
          </w:p>
        </w:tc>
        <w:tc>
          <w:tcPr>
            <w:tcW w:w="1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$432,518</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$698,496</w:t>
            </w:r>
          </w:p>
        </w:tc>
        <w:tc>
          <w:tcPr>
            <w:tcW w:w="10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$(175,981)</w:t>
            </w:r>
          </w:p>
        </w:tc>
        <w:tc>
          <w:tcPr>
            <w:tcW w:w="1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8,409</w:t>
            </w:r>
          </w:p>
        </w:tc>
        <w:tc>
          <w:tcPr>
            <w:tcW w:w="8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(256,391)</w:t>
            </w:r>
          </w:p>
        </w:tc>
        <w:tc>
          <w:tcPr>
            <w:tcW w:w="12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3"/>
                <w:szCs w:val="13"/>
                <w:color w:val="auto"/>
              </w:rPr>
              <w:t>$4,006</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$702,689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9861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60" w:right="160" w:hanging="452"/>
        <w:spacing w:after="0" w:line="246"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described in Note 2, the Company adopted ASC 606 effective January 1, 2018, which resulted in a decrease to Retained earnings of $5.6 million and a $0.3 million decrease to Noncontrolling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Shareholders’ Equity — (continued)</w:t>
      </w:r>
    </w:p>
    <w:p>
      <w:pPr>
        <w:spacing w:after="0" w:line="36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adopted ASU 2016-16 effective January 1, 2018, which resulted in a $0.5 million increase to Retained earnings.</w:t>
      </w:r>
    </w:p>
    <w:p>
      <w:pPr>
        <w:ind w:left="460" w:right="280" w:hanging="452"/>
        <w:spacing w:after="0" w:line="23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described in Note 20, the Company adopted ASC 842, Leases effective January 1, 2019, which resulted in an increase to Retained earnings of less than $0.1 million.</w:t>
      </w:r>
    </w:p>
    <w:p>
      <w:pPr>
        <w:spacing w:after="0" w:line="1" w:lineRule="exact"/>
        <w:rPr>
          <w:rFonts w:ascii="Arial" w:cs="Arial" w:eastAsia="Arial" w:hAnsi="Arial"/>
          <w:sz w:val="18"/>
          <w:szCs w:val="18"/>
          <w:color w:val="auto"/>
        </w:rPr>
      </w:pPr>
    </w:p>
    <w:p>
      <w:pPr>
        <w:ind w:left="460" w:right="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second quarter of 2019, Standish Family Holdings, LLC executed a secondary offering of Albany shares. As a result of the offering, 1.6 million shares of Class B Common Stock previously owned by Standish Family Holdings, LLC were converted to Class A Common Stock and then sold to third parties. Costs associated with the offering were charged directly to Standish Family Holdings, LLC.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Business Acquisition</w:t>
      </w:r>
    </w:p>
    <w:p>
      <w:pPr>
        <w:spacing w:after="0" w:line="126" w:lineRule="exact"/>
        <w:rPr>
          <w:sz w:val="20"/>
          <w:szCs w:val="20"/>
          <w:color w:val="auto"/>
        </w:rPr>
      </w:pPr>
    </w:p>
    <w:p>
      <w:pPr>
        <w:ind w:right="140" w:firstLine="378"/>
        <w:spacing w:after="0" w:line="237"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for $32.4 million. The Company also agreed to pay approximately $5.5 million that will become due, as certain post-closing obligations are performed. Expense related to that agreement will be recognized over the five-year performance period. The Company funded the acquisition using a combination of cash on hand and funds drawn on its revolving credit facility (see Note 17). The Company has also agreed to purchase the primary operating facility in Germany for approximately $5.6 million. The purchase of the facility is expected to occur in 2020.</w:t>
      </w:r>
    </w:p>
    <w:p>
      <w:pPr>
        <w:spacing w:after="0" w:line="97" w:lineRule="exact"/>
        <w:rPr>
          <w:sz w:val="20"/>
          <w:szCs w:val="20"/>
          <w:color w:val="auto"/>
        </w:rPr>
      </w:pPr>
    </w:p>
    <w:p>
      <w:pPr>
        <w:ind w:right="280" w:firstLine="378"/>
        <w:spacing w:after="0"/>
        <w:rPr>
          <w:sz w:val="20"/>
          <w:szCs w:val="20"/>
          <w:color w:val="auto"/>
        </w:rPr>
      </w:pPr>
      <w:r>
        <w:rPr>
          <w:rFonts w:ascii="Arial" w:cs="Arial" w:eastAsia="Arial" w:hAnsi="Arial"/>
          <w:sz w:val="18"/>
          <w:szCs w:val="18"/>
          <w:color w:val="auto"/>
        </w:rPr>
        <w:t>The seller provided representations, warranties and indemnities customary for acquisition transactions, including indemnities for certain customer claims identified, before closing. The acquired entity is part of the AEC segment. CirComp specializes in designing and manufacturing customized engineered composite components for aerospace and other demanding industrial applications.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provisional allocation of the purchase price to the fair value of the assets and liabilities acquired: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November 20, 2019</w:t>
            </w:r>
          </w:p>
        </w:tc>
      </w:tr>
      <w:tr>
        <w:trPr>
          <w:trHeight w:val="195"/>
        </w:trPr>
        <w:tc>
          <w:tcPr>
            <w:tcW w:w="20" w:type="dxa"/>
            <w:vAlign w:val="bottom"/>
          </w:tcPr>
          <w:p>
            <w:pPr>
              <w:spacing w:after="0"/>
              <w:rPr>
                <w:sz w:val="16"/>
                <w:szCs w:val="16"/>
                <w:color w:val="auto"/>
              </w:rPr>
            </w:pPr>
          </w:p>
        </w:tc>
        <w:tc>
          <w:tcPr>
            <w:tcW w:w="9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Assets acquired</w:t>
            </w:r>
          </w:p>
        </w:tc>
        <w:tc>
          <w:tcPr>
            <w:tcW w:w="5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Cash</w:t>
            </w:r>
          </w:p>
        </w:tc>
        <w:tc>
          <w:tcPr>
            <w:tcW w:w="1700" w:type="dxa"/>
            <w:vAlign w:val="bottom"/>
            <w:gridSpan w:val="2"/>
          </w:tcPr>
          <w:p>
            <w:pPr>
              <w:jc w:val="right"/>
              <w:ind w:right="450"/>
              <w:spacing w:after="0" w:line="202" w:lineRule="exact"/>
              <w:rPr>
                <w:sz w:val="20"/>
                <w:szCs w:val="20"/>
                <w:color w:val="auto"/>
              </w:rPr>
            </w:pPr>
            <w:r>
              <w:rPr>
                <w:rFonts w:ascii="Arial" w:cs="Arial" w:eastAsia="Arial" w:hAnsi="Arial"/>
                <w:sz w:val="18"/>
                <w:szCs w:val="18"/>
                <w:color w:val="auto"/>
              </w:rPr>
              <w:t>$ 1,607</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Accounts receivable</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986</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Contract assets</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2,269</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525</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452</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Right of use assets</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5,686</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4,884</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Amortizable intangible assets (see Note 15)</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9,973</w:t>
            </w:r>
          </w:p>
        </w:tc>
      </w:tr>
      <w:tr>
        <w:trPr>
          <w:trHeight w:val="203"/>
        </w:trPr>
        <w:tc>
          <w:tcPr>
            <w:tcW w:w="9720" w:type="dxa"/>
            <w:vAlign w:val="bottom"/>
            <w:gridSpan w:val="3"/>
          </w:tcPr>
          <w:p>
            <w:pPr>
              <w:spacing w:after="0" w:line="203" w:lineRule="exact"/>
              <w:rPr>
                <w:sz w:val="20"/>
                <w:szCs w:val="20"/>
                <w:color w:val="auto"/>
              </w:rPr>
            </w:pPr>
            <w:r>
              <w:rPr>
                <w:rFonts w:ascii="Arial" w:cs="Arial" w:eastAsia="Arial" w:hAnsi="Arial"/>
                <w:sz w:val="18"/>
                <w:szCs w:val="18"/>
                <w:color w:val="auto"/>
              </w:rPr>
              <w:t>Goodwill</w:t>
            </w:r>
          </w:p>
        </w:tc>
        <w:tc>
          <w:tcPr>
            <w:tcW w:w="1700" w:type="dxa"/>
            <w:vAlign w:val="bottom"/>
            <w:tcBorders>
              <w:bottom w:val="single" w:sz="8" w:color="auto"/>
            </w:tcBorders>
            <w:gridSpan w:val="2"/>
          </w:tcPr>
          <w:p>
            <w:pPr>
              <w:jc w:val="right"/>
              <w:ind w:right="450"/>
              <w:spacing w:after="0" w:line="203" w:lineRule="exact"/>
              <w:rPr>
                <w:sz w:val="20"/>
                <w:szCs w:val="20"/>
                <w:color w:val="auto"/>
              </w:rPr>
            </w:pPr>
            <w:r>
              <w:rPr>
                <w:rFonts w:ascii="Arial" w:cs="Arial" w:eastAsia="Arial" w:hAnsi="Arial"/>
                <w:sz w:val="18"/>
                <w:szCs w:val="18"/>
                <w:color w:val="auto"/>
              </w:rPr>
              <w:t>17,343</w:t>
            </w:r>
          </w:p>
        </w:tc>
      </w:tr>
      <w:tr>
        <w:trPr>
          <w:trHeight w:val="196"/>
        </w:trPr>
        <w:tc>
          <w:tcPr>
            <w:tcW w:w="9720" w:type="dxa"/>
            <w:vAlign w:val="bottom"/>
            <w:gridSpan w:val="3"/>
          </w:tcPr>
          <w:p>
            <w:pPr>
              <w:spacing w:after="0" w:line="196" w:lineRule="exact"/>
              <w:rPr>
                <w:sz w:val="20"/>
                <w:szCs w:val="20"/>
                <w:color w:val="auto"/>
              </w:rPr>
            </w:pPr>
            <w:r>
              <w:rPr>
                <w:rFonts w:ascii="Arial" w:cs="Arial" w:eastAsia="Arial" w:hAnsi="Arial"/>
                <w:sz w:val="18"/>
                <w:szCs w:val="18"/>
                <w:color w:val="auto"/>
              </w:rPr>
              <w:t>Total assets acquired</w:t>
            </w:r>
          </w:p>
        </w:tc>
        <w:tc>
          <w:tcPr>
            <w:tcW w:w="1700" w:type="dxa"/>
            <w:vAlign w:val="bottom"/>
            <w:tcBorders>
              <w:bottom w:val="single" w:sz="8" w:color="auto"/>
            </w:tcBorders>
            <w:gridSpan w:val="2"/>
          </w:tcPr>
          <w:p>
            <w:pPr>
              <w:ind w:left="520"/>
              <w:spacing w:after="0" w:line="196" w:lineRule="exact"/>
              <w:rPr>
                <w:sz w:val="20"/>
                <w:szCs w:val="20"/>
                <w:color w:val="auto"/>
              </w:rPr>
            </w:pPr>
            <w:r>
              <w:rPr>
                <w:rFonts w:ascii="Arial" w:cs="Arial" w:eastAsia="Arial" w:hAnsi="Arial"/>
                <w:sz w:val="18"/>
                <w:szCs w:val="18"/>
                <w:color w:val="auto"/>
              </w:rPr>
              <w:t>$43,725</w:t>
            </w:r>
          </w:p>
        </w:tc>
      </w:tr>
      <w:tr>
        <w:trPr>
          <w:trHeight w:val="384"/>
        </w:trPr>
        <w:tc>
          <w:tcPr>
            <w:tcW w:w="9720" w:type="dxa"/>
            <w:vAlign w:val="bottom"/>
            <w:gridSpan w:val="3"/>
          </w:tcPr>
          <w:p>
            <w:pPr>
              <w:spacing w:after="0"/>
              <w:rPr>
                <w:sz w:val="20"/>
                <w:szCs w:val="20"/>
                <w:color w:val="auto"/>
              </w:rPr>
            </w:pPr>
            <w:r>
              <w:rPr>
                <w:rFonts w:ascii="Arial" w:cs="Arial" w:eastAsia="Arial" w:hAnsi="Arial"/>
                <w:sz w:val="18"/>
                <w:szCs w:val="18"/>
                <w:b w:val="1"/>
                <w:bCs w:val="1"/>
                <w:color w:val="auto"/>
              </w:rPr>
              <w:t>Liabilities assumed</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Accounts payable</w:t>
            </w:r>
          </w:p>
        </w:tc>
        <w:tc>
          <w:tcPr>
            <w:tcW w:w="68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65</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Accrued liabilities</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2,249</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Lease liabilities</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502</w:t>
            </w:r>
          </w:p>
        </w:tc>
      </w:tr>
      <w:tr>
        <w:trPr>
          <w:trHeight w:val="203"/>
        </w:trPr>
        <w:tc>
          <w:tcPr>
            <w:tcW w:w="9720" w:type="dxa"/>
            <w:vAlign w:val="bottom"/>
            <w:gridSpan w:val="3"/>
          </w:tcPr>
          <w:p>
            <w:pPr>
              <w:spacing w:after="0" w:line="202" w:lineRule="exact"/>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7"/>
                <w:szCs w:val="17"/>
                <w:color w:val="auto"/>
              </w:rPr>
            </w:pPr>
          </w:p>
        </w:tc>
        <w:tc>
          <w:tcPr>
            <w:tcW w:w="1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3,325</w:t>
            </w:r>
          </w:p>
        </w:tc>
      </w:tr>
      <w:tr>
        <w:trPr>
          <w:trHeight w:val="203"/>
        </w:trPr>
        <w:tc>
          <w:tcPr>
            <w:tcW w:w="9720" w:type="dxa"/>
            <w:vAlign w:val="bottom"/>
            <w:gridSpan w:val="3"/>
          </w:tcPr>
          <w:p>
            <w:pPr>
              <w:spacing w:after="0" w:line="203" w:lineRule="exact"/>
              <w:rPr>
                <w:sz w:val="20"/>
                <w:szCs w:val="20"/>
                <w:color w:val="auto"/>
              </w:rPr>
            </w:pPr>
            <w:r>
              <w:rPr>
                <w:rFonts w:ascii="Arial" w:cs="Arial" w:eastAsia="Arial" w:hAnsi="Arial"/>
                <w:sz w:val="18"/>
                <w:szCs w:val="18"/>
                <w:color w:val="auto"/>
              </w:rPr>
              <w:t>Other noncurrent liabilities</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5,184</w:t>
            </w:r>
          </w:p>
        </w:tc>
      </w:tr>
      <w:tr>
        <w:trPr>
          <w:trHeight w:val="196"/>
        </w:trPr>
        <w:tc>
          <w:tcPr>
            <w:tcW w:w="9720" w:type="dxa"/>
            <w:vAlign w:val="bottom"/>
            <w:gridSpan w:val="3"/>
          </w:tcPr>
          <w:p>
            <w:pPr>
              <w:spacing w:after="0" w:line="196" w:lineRule="exact"/>
              <w:rPr>
                <w:sz w:val="20"/>
                <w:szCs w:val="20"/>
                <w:color w:val="auto"/>
              </w:rPr>
            </w:pPr>
            <w:r>
              <w:rPr>
                <w:rFonts w:ascii="Arial" w:cs="Arial" w:eastAsia="Arial" w:hAnsi="Arial"/>
                <w:sz w:val="18"/>
                <w:szCs w:val="18"/>
                <w:color w:val="auto"/>
              </w:rPr>
              <w:t>Total liabilities assumed</w:t>
            </w:r>
          </w:p>
        </w:tc>
        <w:tc>
          <w:tcPr>
            <w:tcW w:w="1700" w:type="dxa"/>
            <w:vAlign w:val="bottom"/>
            <w:tcBorders>
              <w:bottom w:val="single" w:sz="8" w:color="auto"/>
            </w:tcBorders>
            <w:gridSpan w:val="2"/>
          </w:tcPr>
          <w:p>
            <w:pPr>
              <w:ind w:left="520"/>
              <w:spacing w:after="0" w:line="196" w:lineRule="exact"/>
              <w:rPr>
                <w:sz w:val="20"/>
                <w:szCs w:val="20"/>
                <w:color w:val="auto"/>
              </w:rPr>
            </w:pPr>
            <w:r>
              <w:rPr>
                <w:rFonts w:ascii="Arial" w:cs="Arial" w:eastAsia="Arial" w:hAnsi="Arial"/>
                <w:sz w:val="18"/>
                <w:szCs w:val="18"/>
                <w:color w:val="auto"/>
              </w:rPr>
              <w:t>$11,325</w:t>
            </w:r>
          </w:p>
        </w:tc>
      </w:tr>
      <w:tr>
        <w:trPr>
          <w:trHeight w:val="372"/>
        </w:trPr>
        <w:tc>
          <w:tcPr>
            <w:tcW w:w="9720" w:type="dxa"/>
            <w:vAlign w:val="bottom"/>
            <w:gridSpan w:val="3"/>
          </w:tcPr>
          <w:p>
            <w:pPr>
              <w:spacing w:after="0"/>
              <w:rPr>
                <w:sz w:val="20"/>
                <w:szCs w:val="20"/>
                <w:color w:val="auto"/>
              </w:rPr>
            </w:pPr>
            <w:r>
              <w:rPr>
                <w:rFonts w:ascii="Arial" w:cs="Arial" w:eastAsia="Arial" w:hAnsi="Arial"/>
                <w:sz w:val="18"/>
                <w:szCs w:val="18"/>
                <w:color w:val="auto"/>
              </w:rPr>
              <w:t>Net assets acquired</w:t>
            </w:r>
          </w:p>
        </w:tc>
        <w:tc>
          <w:tcPr>
            <w:tcW w:w="17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$32,400</w:t>
            </w:r>
          </w:p>
        </w:tc>
      </w:tr>
      <w:tr>
        <w:trPr>
          <w:trHeight w:val="210"/>
        </w:trPr>
        <w:tc>
          <w:tcPr>
            <w:tcW w:w="9720" w:type="dxa"/>
            <w:vAlign w:val="bottom"/>
            <w:gridSpan w:val="3"/>
          </w:tcPr>
          <w:p>
            <w:pPr>
              <w:spacing w:after="0"/>
              <w:rPr>
                <w:sz w:val="20"/>
                <w:szCs w:val="20"/>
                <w:color w:val="auto"/>
              </w:rPr>
            </w:pPr>
            <w:r>
              <w:rPr>
                <w:rFonts w:ascii="Arial" w:cs="Arial" w:eastAsia="Arial" w:hAnsi="Arial"/>
                <w:sz w:val="18"/>
                <w:szCs w:val="18"/>
                <w:color w:val="auto"/>
              </w:rPr>
              <w:t>Purchase of business, net of cash acquired</w:t>
            </w:r>
          </w:p>
        </w:tc>
        <w:tc>
          <w:tcPr>
            <w:tcW w:w="1700" w:type="dxa"/>
            <w:vAlign w:val="bottom"/>
            <w:gridSpan w:val="2"/>
          </w:tcPr>
          <w:p>
            <w:pPr>
              <w:ind w:left="520"/>
              <w:spacing w:after="0"/>
              <w:rPr>
                <w:sz w:val="20"/>
                <w:szCs w:val="20"/>
                <w:color w:val="auto"/>
              </w:rPr>
            </w:pPr>
            <w:r>
              <w:rPr>
                <w:rFonts w:ascii="Arial" w:cs="Arial" w:eastAsia="Arial" w:hAnsi="Arial"/>
                <w:sz w:val="18"/>
                <w:szCs w:val="18"/>
                <w:color w:val="auto"/>
              </w:rPr>
              <w:t>$30,793</w:t>
            </w:r>
          </w:p>
        </w:tc>
      </w:tr>
    </w:tbl>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Business Acquisition — (continued)</w:t>
      </w:r>
    </w:p>
    <w:p>
      <w:pPr>
        <w:spacing w:after="0" w:line="126"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As a result of the acquisition occurring late in the year, the Company is continuing to perform procedures to verify the value of assets and liabilities acquired, particularly Contract assets, amortizable intangible assets and deferred income taxes. Accordingly, adjustments to the values in the above table may be required in future periods. Acquired Goodwill of $17.3 million reflects the Company’s belief that the acquisition complements and expands Albany’s portfolio of proprietary, advanced manufacturing technologies for composite components, increases the Company’s position as a leading innovator in advanced materials processing and automation, and opens a geographic footprint in Europe to better serve our global customer base. The acquisition significantly increases the Company’s opportunities for future growth. The goodwill is non-deductible for tax purposes.</w:t>
      </w:r>
    </w:p>
    <w:p>
      <w:pPr>
        <w:spacing w:after="0" w:line="95" w:lineRule="exact"/>
        <w:rPr>
          <w:sz w:val="20"/>
          <w:szCs w:val="20"/>
          <w:color w:val="auto"/>
        </w:rPr>
      </w:pPr>
    </w:p>
    <w:p>
      <w:pPr>
        <w:ind w:right="780" w:firstLine="378"/>
        <w:spacing w:after="0" w:line="246" w:lineRule="auto"/>
        <w:rPr>
          <w:sz w:val="20"/>
          <w:szCs w:val="20"/>
          <w:color w:val="auto"/>
        </w:rPr>
      </w:pPr>
      <w:r>
        <w:rPr>
          <w:rFonts w:ascii="Arial" w:cs="Arial" w:eastAsia="Arial" w:hAnsi="Arial"/>
          <w:sz w:val="18"/>
          <w:szCs w:val="18"/>
          <w:color w:val="auto"/>
        </w:rPr>
        <w:t>The following table presents operational results of the acquired entity that are included in the Consolidated Statements of Income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jc w:val="right"/>
              <w:ind w:right="334"/>
              <w:spacing w:after="0"/>
              <w:rPr>
                <w:sz w:val="20"/>
                <w:szCs w:val="20"/>
                <w:color w:val="auto"/>
              </w:rPr>
            </w:pPr>
            <w:r>
              <w:rPr>
                <w:rFonts w:ascii="Arial" w:cs="Arial" w:eastAsia="Arial" w:hAnsi="Arial"/>
                <w:sz w:val="14"/>
                <w:szCs w:val="14"/>
                <w:b w:val="1"/>
                <w:bCs w:val="1"/>
                <w:color w:val="auto"/>
              </w:rPr>
              <w:t>November 20 to</w:t>
            </w:r>
          </w:p>
        </w:tc>
      </w:tr>
      <w:tr>
        <w:trPr>
          <w:trHeight w:val="175"/>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94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 2019</w:t>
            </w:r>
          </w:p>
        </w:tc>
      </w:tr>
      <w:tr>
        <w:trPr>
          <w:trHeight w:val="195"/>
        </w:trPr>
        <w:tc>
          <w:tcPr>
            <w:tcW w:w="20" w:type="dxa"/>
            <w:vAlign w:val="bottom"/>
          </w:tcPr>
          <w:p>
            <w:pPr>
              <w:spacing w:after="0"/>
              <w:rPr>
                <w:sz w:val="16"/>
                <w:szCs w:val="16"/>
                <w:color w:val="auto"/>
              </w:rPr>
            </w:pPr>
          </w:p>
        </w:tc>
        <w:tc>
          <w:tcPr>
            <w:tcW w:w="9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16"/>
                <w:szCs w:val="16"/>
                <w:color w:val="auto"/>
              </w:rPr>
            </w:pPr>
          </w:p>
        </w:tc>
        <w:tc>
          <w:tcPr>
            <w:tcW w:w="1940" w:type="dxa"/>
            <w:vAlign w:val="bottom"/>
            <w:tcBorders>
              <w:top w:val="single" w:sz="8" w:color="auto"/>
            </w:tcBorders>
          </w:tcPr>
          <w:p>
            <w:pPr>
              <w:jc w:val="right"/>
              <w:ind w:right="634"/>
              <w:spacing w:after="0" w:line="195" w:lineRule="exact"/>
              <w:rPr>
                <w:sz w:val="20"/>
                <w:szCs w:val="20"/>
                <w:color w:val="auto"/>
              </w:rPr>
            </w:pPr>
            <w:r>
              <w:rPr>
                <w:rFonts w:ascii="Arial" w:cs="Arial" w:eastAsia="Arial" w:hAnsi="Arial"/>
                <w:sz w:val="18"/>
                <w:szCs w:val="18"/>
                <w:color w:val="auto"/>
              </w:rPr>
              <w:t>$ 485</w:t>
            </w:r>
          </w:p>
        </w:tc>
      </w:tr>
      <w:tr>
        <w:trPr>
          <w:trHeight w:val="203"/>
        </w:trPr>
        <w:tc>
          <w:tcPr>
            <w:tcW w:w="9480" w:type="dxa"/>
            <w:vAlign w:val="bottom"/>
            <w:gridSpan w:val="3"/>
          </w:tcPr>
          <w:p>
            <w:pPr>
              <w:spacing w:after="0" w:line="202" w:lineRule="exact"/>
              <w:rPr>
                <w:sz w:val="20"/>
                <w:szCs w:val="20"/>
                <w:color w:val="auto"/>
              </w:rPr>
            </w:pPr>
            <w:r>
              <w:rPr>
                <w:rFonts w:ascii="Arial" w:cs="Arial" w:eastAsia="Arial" w:hAnsi="Arial"/>
                <w:sz w:val="18"/>
                <w:szCs w:val="18"/>
                <w:color w:val="auto"/>
              </w:rPr>
              <w:t>Operating loss</w:t>
            </w:r>
          </w:p>
        </w:tc>
        <w:tc>
          <w:tcPr>
            <w:tcW w:w="1940" w:type="dxa"/>
            <w:vAlign w:val="bottom"/>
          </w:tcPr>
          <w:p>
            <w:pPr>
              <w:jc w:val="right"/>
              <w:ind w:right="574"/>
              <w:spacing w:after="0" w:line="202" w:lineRule="exact"/>
              <w:rPr>
                <w:sz w:val="20"/>
                <w:szCs w:val="20"/>
                <w:color w:val="auto"/>
              </w:rPr>
            </w:pPr>
            <w:r>
              <w:rPr>
                <w:rFonts w:ascii="Arial" w:cs="Arial" w:eastAsia="Arial" w:hAnsi="Arial"/>
                <w:sz w:val="18"/>
                <w:szCs w:val="18"/>
                <w:color w:val="auto"/>
              </w:rPr>
              <w:t>(162)</w:t>
            </w:r>
          </w:p>
        </w:tc>
      </w:tr>
      <w:tr>
        <w:trPr>
          <w:trHeight w:val="203"/>
        </w:trPr>
        <w:tc>
          <w:tcPr>
            <w:tcW w:w="9480" w:type="dxa"/>
            <w:vAlign w:val="bottom"/>
            <w:gridSpan w:val="3"/>
          </w:tcPr>
          <w:p>
            <w:pPr>
              <w:spacing w:after="0" w:line="202" w:lineRule="exact"/>
              <w:rPr>
                <w:sz w:val="20"/>
                <w:szCs w:val="20"/>
                <w:color w:val="auto"/>
              </w:rPr>
            </w:pPr>
            <w:r>
              <w:rPr>
                <w:rFonts w:ascii="Arial" w:cs="Arial" w:eastAsia="Arial" w:hAnsi="Arial"/>
                <w:sz w:val="18"/>
                <w:szCs w:val="18"/>
                <w:color w:val="auto"/>
              </w:rPr>
              <w:t>Loss before income taxes</w:t>
            </w:r>
          </w:p>
        </w:tc>
        <w:tc>
          <w:tcPr>
            <w:tcW w:w="1940" w:type="dxa"/>
            <w:vAlign w:val="bottom"/>
          </w:tcPr>
          <w:p>
            <w:pPr>
              <w:jc w:val="right"/>
              <w:ind w:right="574"/>
              <w:spacing w:after="0" w:line="202" w:lineRule="exact"/>
              <w:rPr>
                <w:sz w:val="20"/>
                <w:szCs w:val="20"/>
                <w:color w:val="auto"/>
              </w:rPr>
            </w:pPr>
            <w:r>
              <w:rPr>
                <w:rFonts w:ascii="Arial" w:cs="Arial" w:eastAsia="Arial" w:hAnsi="Arial"/>
                <w:sz w:val="18"/>
                <w:szCs w:val="18"/>
                <w:color w:val="auto"/>
              </w:rPr>
              <w:t>(199)</w:t>
            </w:r>
          </w:p>
        </w:tc>
      </w:tr>
      <w:tr>
        <w:trPr>
          <w:trHeight w:val="217"/>
        </w:trPr>
        <w:tc>
          <w:tcPr>
            <w:tcW w:w="9480" w:type="dxa"/>
            <w:vAlign w:val="bottom"/>
            <w:gridSpan w:val="3"/>
          </w:tcPr>
          <w:p>
            <w:pPr>
              <w:spacing w:after="0"/>
              <w:rPr>
                <w:sz w:val="20"/>
                <w:szCs w:val="20"/>
                <w:color w:val="auto"/>
              </w:rPr>
            </w:pPr>
            <w:r>
              <w:rPr>
                <w:rFonts w:ascii="Arial" w:cs="Arial" w:eastAsia="Arial" w:hAnsi="Arial"/>
                <w:sz w:val="18"/>
                <w:szCs w:val="18"/>
                <w:color w:val="auto"/>
              </w:rPr>
              <w:t>Net loss attributable to the Company</w:t>
            </w:r>
          </w:p>
        </w:tc>
        <w:tc>
          <w:tcPr>
            <w:tcW w:w="1940" w:type="dxa"/>
            <w:vAlign w:val="bottom"/>
          </w:tcPr>
          <w:p>
            <w:pPr>
              <w:jc w:val="right"/>
              <w:ind w:right="574"/>
              <w:spacing w:after="0"/>
              <w:rPr>
                <w:sz w:val="20"/>
                <w:szCs w:val="20"/>
                <w:color w:val="auto"/>
              </w:rPr>
            </w:pPr>
            <w:r>
              <w:rPr>
                <w:rFonts w:ascii="Arial" w:cs="Arial" w:eastAsia="Arial" w:hAnsi="Arial"/>
                <w:sz w:val="18"/>
                <w:szCs w:val="18"/>
                <w:color w:val="auto"/>
              </w:rPr>
              <w:t>(324)</w:t>
            </w:r>
          </w:p>
        </w:tc>
      </w:tr>
      <w:tr>
        <w:trPr>
          <w:trHeight w:val="391"/>
        </w:trPr>
        <w:tc>
          <w:tcPr>
            <w:tcW w:w="9480" w:type="dxa"/>
            <w:vAlign w:val="bottom"/>
            <w:gridSpan w:val="3"/>
          </w:tcPr>
          <w:p>
            <w:pPr>
              <w:spacing w:after="0"/>
              <w:rPr>
                <w:sz w:val="20"/>
                <w:szCs w:val="20"/>
                <w:color w:val="auto"/>
              </w:rPr>
            </w:pPr>
            <w:r>
              <w:rPr>
                <w:rFonts w:ascii="Arial" w:cs="Arial" w:eastAsia="Arial" w:hAnsi="Arial"/>
                <w:sz w:val="18"/>
                <w:szCs w:val="18"/>
                <w:color w:val="auto"/>
              </w:rPr>
              <w:t>Loss per share:</w:t>
            </w:r>
          </w:p>
        </w:tc>
        <w:tc>
          <w:tcPr>
            <w:tcW w:w="1940" w:type="dxa"/>
            <w:vAlign w:val="bottom"/>
          </w:tcPr>
          <w:p>
            <w:pPr>
              <w:spacing w:after="0"/>
              <w:rPr>
                <w:sz w:val="24"/>
                <w:szCs w:val="24"/>
                <w:color w:val="auto"/>
              </w:rPr>
            </w:pPr>
          </w:p>
        </w:tc>
      </w:tr>
      <w:tr>
        <w:trPr>
          <w:trHeight w:val="203"/>
        </w:trPr>
        <w:tc>
          <w:tcPr>
            <w:tcW w:w="9480" w:type="dxa"/>
            <w:vAlign w:val="bottom"/>
            <w:gridSpan w:val="3"/>
          </w:tcPr>
          <w:p>
            <w:pPr>
              <w:spacing w:after="0" w:line="202" w:lineRule="exact"/>
              <w:rPr>
                <w:sz w:val="20"/>
                <w:szCs w:val="20"/>
                <w:color w:val="auto"/>
              </w:rPr>
            </w:pPr>
            <w:r>
              <w:rPr>
                <w:rFonts w:ascii="Arial" w:cs="Arial" w:eastAsia="Arial" w:hAnsi="Arial"/>
                <w:sz w:val="18"/>
                <w:szCs w:val="18"/>
                <w:color w:val="auto"/>
              </w:rPr>
              <w:t>Basic</w:t>
            </w:r>
          </w:p>
        </w:tc>
        <w:tc>
          <w:tcPr>
            <w:tcW w:w="1940" w:type="dxa"/>
            <w:vAlign w:val="bottom"/>
          </w:tcPr>
          <w:p>
            <w:pPr>
              <w:jc w:val="right"/>
              <w:ind w:right="574"/>
              <w:spacing w:after="0" w:line="202" w:lineRule="exact"/>
              <w:rPr>
                <w:sz w:val="20"/>
                <w:szCs w:val="20"/>
                <w:color w:val="auto"/>
              </w:rPr>
            </w:pPr>
            <w:r>
              <w:rPr>
                <w:rFonts w:ascii="Arial" w:cs="Arial" w:eastAsia="Arial" w:hAnsi="Arial"/>
                <w:sz w:val="18"/>
                <w:szCs w:val="18"/>
                <w:color w:val="auto"/>
              </w:rPr>
              <w:t>$(0.01)</w:t>
            </w:r>
          </w:p>
        </w:tc>
      </w:tr>
      <w:tr>
        <w:trPr>
          <w:trHeight w:val="203"/>
        </w:trPr>
        <w:tc>
          <w:tcPr>
            <w:tcW w:w="9480" w:type="dxa"/>
            <w:vAlign w:val="bottom"/>
            <w:gridSpan w:val="3"/>
          </w:tcPr>
          <w:p>
            <w:pPr>
              <w:spacing w:after="0" w:line="203" w:lineRule="exact"/>
              <w:rPr>
                <w:sz w:val="20"/>
                <w:szCs w:val="20"/>
                <w:color w:val="auto"/>
              </w:rPr>
            </w:pPr>
            <w:r>
              <w:rPr>
                <w:rFonts w:ascii="Arial" w:cs="Arial" w:eastAsia="Arial" w:hAnsi="Arial"/>
                <w:sz w:val="18"/>
                <w:szCs w:val="18"/>
                <w:color w:val="auto"/>
              </w:rPr>
              <w:t>Diluted</w:t>
            </w:r>
          </w:p>
        </w:tc>
        <w:tc>
          <w:tcPr>
            <w:tcW w:w="1940" w:type="dxa"/>
            <w:vAlign w:val="bottom"/>
            <w:tcBorders>
              <w:bottom w:val="single" w:sz="8" w:color="auto"/>
            </w:tcBorders>
          </w:tcPr>
          <w:p>
            <w:pPr>
              <w:jc w:val="right"/>
              <w:ind w:right="574"/>
              <w:spacing w:after="0" w:line="203" w:lineRule="exact"/>
              <w:rPr>
                <w:sz w:val="20"/>
                <w:szCs w:val="20"/>
                <w:color w:val="auto"/>
              </w:rPr>
            </w:pPr>
            <w:r>
              <w:rPr>
                <w:rFonts w:ascii="Arial" w:cs="Arial" w:eastAsia="Arial" w:hAnsi="Arial"/>
                <w:sz w:val="18"/>
                <w:szCs w:val="18"/>
                <w:color w:val="auto"/>
              </w:rPr>
              <w:t>$(0.01)</w:t>
            </w:r>
          </w:p>
        </w:tc>
      </w:tr>
    </w:tbl>
    <w:p>
      <w:pPr>
        <w:spacing w:after="0" w:line="94" w:lineRule="exact"/>
        <w:rPr>
          <w:sz w:val="20"/>
          <w:szCs w:val="20"/>
          <w:color w:val="auto"/>
        </w:rPr>
      </w:pPr>
    </w:p>
    <w:p>
      <w:pPr>
        <w:ind w:right="40" w:firstLine="378"/>
        <w:spacing w:after="0" w:line="239" w:lineRule="auto"/>
        <w:rPr>
          <w:sz w:val="20"/>
          <w:szCs w:val="20"/>
          <w:color w:val="auto"/>
        </w:rPr>
      </w:pPr>
      <w:r>
        <w:rPr>
          <w:rFonts w:ascii="Arial" w:cs="Arial" w:eastAsia="Arial" w:hAnsi="Arial"/>
          <w:sz w:val="18"/>
          <w:szCs w:val="18"/>
          <w:color w:val="auto"/>
        </w:rPr>
        <w:t>Results in the above table include $0.1 million of expenses related to the $5.5 million of deferred payments noted above. In addition to the amounts reported in the above table, the Company incurred approximately $0.5 million of expenses, principally professional fees, related to the acquisition. The Consolidated Statements of Income reflect operational activity of the acquired business for only the period subsequent to the closing, which has an effect, however insignificant, on the comparability of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Financial Data (unaudited)</w:t>
      </w:r>
    </w:p>
    <w:p>
      <w:pPr>
        <w:spacing w:after="0" w:line="126" w:lineRule="exact"/>
        <w:rPr>
          <w:sz w:val="20"/>
          <w:szCs w:val="20"/>
          <w:color w:val="auto"/>
        </w:rPr>
      </w:pPr>
    </w:p>
    <w:p>
      <w:pPr>
        <w:ind w:right="60" w:firstLine="378"/>
        <w:spacing w:after="0" w:line="238" w:lineRule="auto"/>
        <w:rPr>
          <w:sz w:val="20"/>
          <w:szCs w:val="20"/>
          <w:color w:val="auto"/>
        </w:rPr>
      </w:pPr>
      <w:r>
        <w:rPr>
          <w:rFonts w:ascii="Arial" w:cs="Arial" w:eastAsia="Arial" w:hAnsi="Arial"/>
          <w:sz w:val="18"/>
          <w:szCs w:val="18"/>
          <w:color w:val="auto"/>
        </w:rPr>
        <w:t>Presented below is certain unaudited quarterly consolidated statement of operations data from continuing operations for each of the quarters in the years ended December 31, 2019, 2018, and 2017. The information has been prepared on substantially the same basis as the audited consolidated financial statements contained in this report. Fourth quarter results presented below may vary from our quarterly earnings report in order to agree to the full year totals. The results of operations for any quarter are not necessarily indicative of the results to be expected for any future period.</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1st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2nd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3rd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4th</w:t>
            </w:r>
          </w:p>
        </w:tc>
        <w:tc>
          <w:tcPr>
            <w:tcW w:w="26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173"/>
        </w:trPr>
        <w:tc>
          <w:tcPr>
            <w:tcW w:w="20" w:type="dxa"/>
            <w:vAlign w:val="bottom"/>
          </w:tcPr>
          <w:p>
            <w:pPr>
              <w:spacing w:after="0"/>
              <w:rPr>
                <w:sz w:val="15"/>
                <w:szCs w:val="15"/>
                <w:color w:val="auto"/>
              </w:rPr>
            </w:pPr>
          </w:p>
        </w:tc>
        <w:tc>
          <w:tcPr>
            <w:tcW w:w="436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Net sales</w:t>
            </w: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$251.4</w:t>
            </w: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$273.9</w:t>
            </w:r>
          </w:p>
        </w:tc>
        <w:tc>
          <w:tcPr>
            <w:tcW w:w="1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$271.1</w:t>
            </w: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$257.7</w:t>
            </w:r>
          </w:p>
        </w:tc>
        <w:tc>
          <w:tcPr>
            <w:tcW w:w="80" w:type="dxa"/>
            <w:vAlign w:val="bottom"/>
          </w:tcPr>
          <w:p>
            <w:pPr>
              <w:spacing w:after="0"/>
              <w:rPr>
                <w:sz w:val="17"/>
                <w:szCs w:val="17"/>
                <w:color w:val="auto"/>
              </w:rPr>
            </w:pPr>
          </w:p>
        </w:tc>
        <w:tc>
          <w:tcPr>
            <w:tcW w:w="940" w:type="dxa"/>
            <w:vAlign w:val="bottom"/>
            <w:gridSpan w:val="2"/>
          </w:tcPr>
          <w:p>
            <w:pPr>
              <w:jc w:val="right"/>
              <w:ind w:right="31"/>
              <w:spacing w:after="0" w:line="202" w:lineRule="exact"/>
              <w:rPr>
                <w:sz w:val="20"/>
                <w:szCs w:val="20"/>
                <w:color w:val="auto"/>
              </w:rPr>
            </w:pPr>
            <w:r>
              <w:rPr>
                <w:rFonts w:ascii="Arial" w:cs="Arial" w:eastAsia="Arial" w:hAnsi="Arial"/>
                <w:sz w:val="18"/>
                <w:szCs w:val="18"/>
                <w:b w:val="1"/>
                <w:bCs w:val="1"/>
                <w:color w:val="auto"/>
              </w:rPr>
              <w:t>$1,054.1</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91.8</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105.2</w:t>
            </w:r>
          </w:p>
        </w:tc>
        <w:tc>
          <w:tcPr>
            <w:tcW w:w="12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104.1</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96.6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397.7</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Net income attributable to the Company</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29.2</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29.1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132.4</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0.90</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0.91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4.10</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0.90</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0.91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4.10</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Cash dividends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0.18</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0.18</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0.18</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0.19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0.73</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Class A Common Stock prices: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High</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78.45</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82.91</w:t>
            </w:r>
          </w:p>
        </w:tc>
        <w:tc>
          <w:tcPr>
            <w:tcW w:w="12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91.51</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90.30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Low</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60.82</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69.29</w:t>
            </w:r>
          </w:p>
        </w:tc>
        <w:tc>
          <w:tcPr>
            <w:tcW w:w="12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78.41</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75.92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5"/>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Net sales</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8"/>
              </w:rPr>
              <w:t>$223.6</w:t>
            </w: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8"/>
              </w:rPr>
              <w:t>$255.4</w:t>
            </w:r>
          </w:p>
        </w:tc>
        <w:tc>
          <w:tcPr>
            <w:tcW w:w="1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$251.9</w:t>
            </w: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$251.6</w:t>
            </w:r>
          </w:p>
        </w:tc>
        <w:tc>
          <w:tcPr>
            <w:tcW w:w="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982.5</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Gross profit</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77.7</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91.7</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92.4</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87.9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349.7</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Net income attributable to the Company</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29.9</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27.7</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82.9</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Basic earnings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0.93</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0.86</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2.57</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Diluted earnings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0.93</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0.86</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2.57</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Cash dividends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0.17</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0.69</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Class A Common Stock prices: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High</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67.30</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65.45</w:t>
            </w:r>
          </w:p>
        </w:tc>
        <w:tc>
          <w:tcPr>
            <w:tcW w:w="12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81.40</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78.31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446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Low</w:t>
            </w:r>
          </w:p>
        </w:tc>
        <w:tc>
          <w:tcPr>
            <w:tcW w:w="1160" w:type="dxa"/>
            <w:vAlign w:val="bottom"/>
          </w:tcPr>
          <w:p>
            <w:pPr>
              <w:jc w:val="right"/>
              <w:ind w:right="231"/>
              <w:spacing w:after="0" w:line="181" w:lineRule="exact"/>
              <w:rPr>
                <w:sz w:val="20"/>
                <w:szCs w:val="20"/>
                <w:color w:val="auto"/>
              </w:rPr>
            </w:pPr>
            <w:r>
              <w:rPr>
                <w:rFonts w:ascii="Arial" w:cs="Arial" w:eastAsia="Arial" w:hAnsi="Arial"/>
                <w:sz w:val="18"/>
                <w:szCs w:val="18"/>
                <w:color w:val="auto"/>
              </w:rPr>
              <w:t>60.05</w:t>
            </w:r>
          </w:p>
        </w:tc>
        <w:tc>
          <w:tcPr>
            <w:tcW w:w="100" w:type="dxa"/>
            <w:vAlign w:val="bottom"/>
          </w:tcPr>
          <w:p>
            <w:pPr>
              <w:spacing w:after="0"/>
              <w:rPr>
                <w:sz w:val="15"/>
                <w:szCs w:val="15"/>
                <w:color w:val="auto"/>
              </w:rPr>
            </w:pPr>
          </w:p>
        </w:tc>
        <w:tc>
          <w:tcPr>
            <w:tcW w:w="1140" w:type="dxa"/>
            <w:vAlign w:val="bottom"/>
          </w:tcPr>
          <w:p>
            <w:pPr>
              <w:jc w:val="right"/>
              <w:ind w:right="211"/>
              <w:spacing w:after="0" w:line="181" w:lineRule="exact"/>
              <w:rPr>
                <w:sz w:val="20"/>
                <w:szCs w:val="20"/>
                <w:color w:val="auto"/>
              </w:rPr>
            </w:pPr>
            <w:r>
              <w:rPr>
                <w:rFonts w:ascii="Arial" w:cs="Arial" w:eastAsia="Arial" w:hAnsi="Arial"/>
                <w:sz w:val="18"/>
                <w:szCs w:val="18"/>
                <w:color w:val="auto"/>
              </w:rPr>
              <w:t>58.35</w:t>
            </w:r>
          </w:p>
        </w:tc>
        <w:tc>
          <w:tcPr>
            <w:tcW w:w="120" w:type="dxa"/>
            <w:vAlign w:val="bottom"/>
          </w:tcPr>
          <w:p>
            <w:pPr>
              <w:spacing w:after="0"/>
              <w:rPr>
                <w:sz w:val="15"/>
                <w:szCs w:val="15"/>
                <w:color w:val="auto"/>
              </w:rPr>
            </w:pPr>
          </w:p>
        </w:tc>
        <w:tc>
          <w:tcPr>
            <w:tcW w:w="1140" w:type="dxa"/>
            <w:vAlign w:val="bottom"/>
          </w:tcPr>
          <w:p>
            <w:pPr>
              <w:jc w:val="right"/>
              <w:ind w:right="211"/>
              <w:spacing w:after="0" w:line="181" w:lineRule="exact"/>
              <w:rPr>
                <w:sz w:val="20"/>
                <w:szCs w:val="20"/>
                <w:color w:val="auto"/>
              </w:rPr>
            </w:pPr>
            <w:r>
              <w:rPr>
                <w:rFonts w:ascii="Arial" w:cs="Arial" w:eastAsia="Arial" w:hAnsi="Arial"/>
                <w:sz w:val="18"/>
                <w:szCs w:val="18"/>
                <w:color w:val="auto"/>
              </w:rPr>
              <w:t>60.70</w:t>
            </w:r>
          </w:p>
        </w:tc>
        <w:tc>
          <w:tcPr>
            <w:tcW w:w="100" w:type="dxa"/>
            <w:vAlign w:val="bottom"/>
          </w:tcPr>
          <w:p>
            <w:pPr>
              <w:spacing w:after="0"/>
              <w:rPr>
                <w:sz w:val="15"/>
                <w:szCs w:val="15"/>
                <w:color w:val="auto"/>
              </w:rPr>
            </w:pPr>
          </w:p>
        </w:tc>
        <w:tc>
          <w:tcPr>
            <w:tcW w:w="1140" w:type="dxa"/>
            <w:vAlign w:val="bottom"/>
          </w:tcPr>
          <w:p>
            <w:pPr>
              <w:jc w:val="right"/>
              <w:ind w:right="231"/>
              <w:spacing w:after="0" w:line="181" w:lineRule="exact"/>
              <w:rPr>
                <w:sz w:val="20"/>
                <w:szCs w:val="20"/>
                <w:color w:val="auto"/>
              </w:rPr>
            </w:pPr>
            <w:r>
              <w:rPr>
                <w:rFonts w:ascii="Arial" w:cs="Arial" w:eastAsia="Arial" w:hAnsi="Arial"/>
                <w:sz w:val="18"/>
                <w:szCs w:val="18"/>
                <w:color w:val="auto"/>
              </w:rPr>
              <w:t>58.41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5"/>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Net sales</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8"/>
              </w:rPr>
              <w:t>$199.3</w:t>
            </w: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8"/>
              </w:rPr>
              <w:t>$215.6</w:t>
            </w:r>
          </w:p>
        </w:tc>
        <w:tc>
          <w:tcPr>
            <w:tcW w:w="1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$222.1</w:t>
            </w: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$226.7</w:t>
            </w:r>
          </w:p>
        </w:tc>
        <w:tc>
          <w:tcPr>
            <w:tcW w:w="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863.7</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Gross profit</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76.0</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63.2</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79.6</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77.5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296.3</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Net income attributable to the Company</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15.3</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5.9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33.1</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Basic earnings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0.34</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0.47</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Diluted earnings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0.34</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0.47</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Cash dividends per share</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0.17</w:t>
            </w:r>
          </w:p>
        </w:tc>
        <w:tc>
          <w:tcPr>
            <w:tcW w:w="12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0.68</w:t>
            </w: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Class A Common Stock prices: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High</w:t>
            </w:r>
          </w:p>
        </w:tc>
        <w:tc>
          <w:tcPr>
            <w:tcW w:w="11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49.05</w:t>
            </w:r>
          </w:p>
        </w:tc>
        <w:tc>
          <w:tcPr>
            <w:tcW w:w="10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53.40</w:t>
            </w:r>
          </w:p>
        </w:tc>
        <w:tc>
          <w:tcPr>
            <w:tcW w:w="120" w:type="dxa"/>
            <w:vAlign w:val="bottom"/>
          </w:tcPr>
          <w:p>
            <w:pPr>
              <w:spacing w:after="0"/>
              <w:rPr>
                <w:sz w:val="17"/>
                <w:szCs w:val="17"/>
                <w:color w:val="auto"/>
              </w:rPr>
            </w:pPr>
          </w:p>
        </w:tc>
        <w:tc>
          <w:tcPr>
            <w:tcW w:w="11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57.60</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65.25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Low</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18"/>
                <w:szCs w:val="18"/>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18"/>
                <w:szCs w:val="18"/>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56.45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188" w:lineRule="exact"/>
        <w:rPr>
          <w:sz w:val="20"/>
          <w:szCs w:val="20"/>
          <w:color w:val="auto"/>
        </w:rPr>
      </w:pPr>
    </w:p>
    <w:p>
      <w:pPr>
        <w:jc w:val="both"/>
        <w:ind w:right="440" w:firstLine="378"/>
        <w:spacing w:after="0"/>
        <w:rPr>
          <w:sz w:val="20"/>
          <w:szCs w:val="20"/>
          <w:color w:val="auto"/>
        </w:rPr>
      </w:pPr>
      <w:r>
        <w:rPr>
          <w:rFonts w:ascii="Arial" w:cs="Arial" w:eastAsia="Arial" w:hAnsi="Arial"/>
          <w:sz w:val="18"/>
          <w:szCs w:val="18"/>
          <w:color w:val="auto"/>
        </w:rPr>
        <w:t>In 2019, restructuring charges (decreased)/increased earnings per share by ($0.01) in the first quarter, ($0.02) in the second quarter, $0.01 in the third quarter, and ($0.04) in the fourth quarter. The charges were primarily related to the closure of the MC Facility in Sélestat, France.</w:t>
      </w:r>
    </w:p>
    <w:p>
      <w:pPr>
        <w:spacing w:after="0" w:line="95" w:lineRule="exact"/>
        <w:rPr>
          <w:sz w:val="20"/>
          <w:szCs w:val="20"/>
          <w:color w:val="auto"/>
        </w:rPr>
      </w:pPr>
    </w:p>
    <w:p>
      <w:pPr>
        <w:ind w:right="340" w:firstLine="378"/>
        <w:spacing w:after="0" w:line="246" w:lineRule="auto"/>
        <w:rPr>
          <w:sz w:val="20"/>
          <w:szCs w:val="20"/>
          <w:color w:val="auto"/>
        </w:rPr>
      </w:pPr>
      <w:r>
        <w:rPr>
          <w:rFonts w:ascii="Arial" w:cs="Arial" w:eastAsia="Arial" w:hAnsi="Arial"/>
          <w:sz w:val="18"/>
          <w:szCs w:val="18"/>
          <w:color w:val="auto"/>
        </w:rPr>
        <w:t>In 2019, discrete income tax adjustments, increased/(decreased) earnings per share by $0.10 in the first quarter, ($0.03) in the second quarter, $0.02 in the third quarter, and $0.06 in the fourth quarter.</w:t>
      </w:r>
    </w:p>
    <w:p>
      <w:pPr>
        <w:spacing w:after="0" w:line="89" w:lineRule="exact"/>
        <w:rPr>
          <w:sz w:val="20"/>
          <w:szCs w:val="20"/>
          <w:color w:val="auto"/>
        </w:rPr>
      </w:pPr>
    </w:p>
    <w:p>
      <w:pPr>
        <w:ind w:right="480" w:firstLine="378"/>
        <w:spacing w:after="0"/>
        <w:rPr>
          <w:sz w:val="20"/>
          <w:szCs w:val="20"/>
          <w:color w:val="auto"/>
        </w:rPr>
      </w:pPr>
      <w:r>
        <w:rPr>
          <w:rFonts w:ascii="Arial" w:cs="Arial" w:eastAsia="Arial" w:hAnsi="Arial"/>
          <w:sz w:val="18"/>
          <w:szCs w:val="18"/>
          <w:color w:val="auto"/>
        </w:rPr>
        <w:t>In 2018, restructuring charges reduced earnings per share by $0.18 in the first quarter, $0.06 in the second quarter, $0.06 in the third quarter, and $0.04 in the fourth quarter. The charges are primarily related to the closure of the MC Facility in Sélestat, France and discontinuation of certain manufacturing processes in Salt Lake City.</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Financial Data (unaudited) — (continued)</w:t>
      </w:r>
    </w:p>
    <w:p>
      <w:pPr>
        <w:spacing w:after="0" w:line="126" w:lineRule="exact"/>
        <w:rPr>
          <w:sz w:val="20"/>
          <w:szCs w:val="20"/>
          <w:color w:val="auto"/>
        </w:rPr>
      </w:pPr>
    </w:p>
    <w:p>
      <w:pPr>
        <w:ind w:right="460" w:firstLine="378"/>
        <w:spacing w:after="0" w:line="246" w:lineRule="auto"/>
        <w:rPr>
          <w:sz w:val="20"/>
          <w:szCs w:val="20"/>
          <w:color w:val="auto"/>
        </w:rPr>
      </w:pPr>
      <w:r>
        <w:rPr>
          <w:rFonts w:ascii="Arial" w:cs="Arial" w:eastAsia="Arial" w:hAnsi="Arial"/>
          <w:sz w:val="18"/>
          <w:szCs w:val="18"/>
          <w:color w:val="auto"/>
        </w:rPr>
        <w:t>In 2018, discrete income tax adjustments, increased/(decreased) earnings per share by $0.01 in the first quarter, $0.12 in the second quarter, $0.00 in the third quarter, and ($0.01) in the fourth quarter.</w:t>
      </w:r>
    </w:p>
    <w:p>
      <w:pPr>
        <w:spacing w:after="0" w:line="89" w:lineRule="exact"/>
        <w:rPr>
          <w:sz w:val="20"/>
          <w:szCs w:val="20"/>
          <w:color w:val="auto"/>
        </w:rPr>
      </w:pPr>
    </w:p>
    <w:p>
      <w:pPr>
        <w:ind w:right="480" w:firstLine="378"/>
        <w:spacing w:after="0"/>
        <w:rPr>
          <w:sz w:val="20"/>
          <w:szCs w:val="20"/>
          <w:color w:val="auto"/>
        </w:rPr>
      </w:pPr>
      <w:r>
        <w:rPr>
          <w:rFonts w:ascii="Arial" w:cs="Arial" w:eastAsia="Arial" w:hAnsi="Arial"/>
          <w:sz w:val="18"/>
          <w:szCs w:val="18"/>
          <w:color w:val="auto"/>
        </w:rPr>
        <w:t>In 2017, restructuring charges reduced earnings per share by $0.05 in the first quarter, $0.04 in the second quarter, $0.11 in the third quarter, and $0.07 in the fourth quarter. The amount recognized in the third quarter was primarily non-cash charges associated with the decision to exit a discontinued product line.</w:t>
      </w:r>
    </w:p>
    <w:p>
      <w:pPr>
        <w:spacing w:after="0" w:line="95" w:lineRule="exact"/>
        <w:rPr>
          <w:sz w:val="20"/>
          <w:szCs w:val="20"/>
          <w:color w:val="auto"/>
        </w:rPr>
      </w:pPr>
    </w:p>
    <w:p>
      <w:pPr>
        <w:ind w:right="120" w:firstLine="378"/>
        <w:spacing w:after="0"/>
        <w:rPr>
          <w:sz w:val="20"/>
          <w:szCs w:val="20"/>
          <w:color w:val="auto"/>
        </w:rPr>
      </w:pPr>
      <w:r>
        <w:rPr>
          <w:rFonts w:ascii="Arial" w:cs="Arial" w:eastAsia="Arial" w:hAnsi="Arial"/>
          <w:sz w:val="18"/>
          <w:szCs w:val="18"/>
          <w:color w:val="auto"/>
        </w:rPr>
        <w:t>In 2017, discrete income tax adjustments, increased/(decreased) earnings per share by ($0.03) in the first quarter, ($0.02) in the second quarter, $0.12 in the third quarter, and ($0.21) in the fourth quarter. The amount recognized in the fourth quarter was primarily from changes in U.S. tax laws.</w:t>
      </w:r>
    </w:p>
    <w:p>
      <w:pPr>
        <w:spacing w:after="0" w:line="95" w:lineRule="exact"/>
        <w:rPr>
          <w:sz w:val="20"/>
          <w:szCs w:val="20"/>
          <w:color w:val="auto"/>
        </w:rPr>
      </w:pPr>
    </w:p>
    <w:p>
      <w:pPr>
        <w:ind w:right="700" w:firstLine="378"/>
        <w:spacing w:after="0" w:line="246" w:lineRule="auto"/>
        <w:rPr>
          <w:sz w:val="20"/>
          <w:szCs w:val="20"/>
          <w:color w:val="auto"/>
        </w:rPr>
      </w:pPr>
      <w:r>
        <w:rPr>
          <w:rFonts w:ascii="Arial" w:cs="Arial" w:eastAsia="Arial" w:hAnsi="Arial"/>
          <w:sz w:val="18"/>
          <w:szCs w:val="18"/>
          <w:color w:val="auto"/>
        </w:rPr>
        <w:t>In 2017, we recorded a write-off of inventory in a discontinued product line in the third quarter. The write-off (decreased)/increased earnings per share by ($0.06) in the third quarter and $0.01 in the fourth quarter.</w:t>
      </w:r>
    </w:p>
    <w:p>
      <w:pPr>
        <w:spacing w:after="0" w:line="89" w:lineRule="exact"/>
        <w:rPr>
          <w:sz w:val="20"/>
          <w:szCs w:val="20"/>
          <w:color w:val="auto"/>
        </w:rPr>
      </w:pPr>
    </w:p>
    <w:p>
      <w:pPr>
        <w:ind w:right="20" w:firstLine="378"/>
        <w:spacing w:after="0"/>
        <w:rPr>
          <w:sz w:val="20"/>
          <w:szCs w:val="20"/>
          <w:color w:val="auto"/>
        </w:rPr>
      </w:pPr>
      <w:r>
        <w:rPr>
          <w:rFonts w:ascii="Arial" w:cs="Arial" w:eastAsia="Arial" w:hAnsi="Arial"/>
          <w:sz w:val="18"/>
          <w:szCs w:val="18"/>
          <w:color w:val="auto"/>
        </w:rPr>
        <w:t>The Company’s Class A Common Stock is traded principally on the New York Stock Exchange. As of December 31, 2019, there were over 20,000 beneficial owners of the Company’s common stock, including employees owning shares through the Company’s 401(k) defined contribution plan.</w:t>
      </w:r>
    </w:p>
    <w:p>
      <w:pPr>
        <w:spacing w:after="0" w:line="316" w:lineRule="exact"/>
        <w:rPr>
          <w:sz w:val="20"/>
          <w:szCs w:val="20"/>
          <w:color w:val="auto"/>
        </w:rPr>
      </w:pPr>
    </w:p>
    <w:p>
      <w:pPr>
        <w:ind w:left="560" w:right="1100" w:hanging="557"/>
        <w:spacing w:after="0" w:line="360"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CHANGES IN AND DISAGREEMENTS WITH ACCOUNTANTS ON ACCOUNTING AND FINANCIAL DISCLOSURE None.</w:t>
      </w: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firstLine="378"/>
        <w:spacing w:after="0" w:line="237" w:lineRule="auto"/>
        <w:rPr>
          <w:sz w:val="20"/>
          <w:szCs w:val="20"/>
          <w:color w:val="auto"/>
        </w:rPr>
      </w:pPr>
      <w:r>
        <w:rPr>
          <w:rFonts w:ascii="Arial" w:cs="Arial" w:eastAsia="Arial" w:hAnsi="Arial"/>
          <w:sz w:val="18"/>
          <w:szCs w:val="18"/>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2019.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95" w:lineRule="exact"/>
        <w:rPr>
          <w:sz w:val="20"/>
          <w:szCs w:val="20"/>
          <w:color w:val="auto"/>
        </w:rPr>
      </w:pPr>
    </w:p>
    <w:p>
      <w:pPr>
        <w:ind w:right="720" w:firstLine="378"/>
        <w:spacing w:after="0" w:line="246" w:lineRule="auto"/>
        <w:rPr>
          <w:sz w:val="20"/>
          <w:szCs w:val="20"/>
          <w:color w:val="auto"/>
        </w:rPr>
      </w:pPr>
      <w:r>
        <w:rPr>
          <w:rFonts w:ascii="Arial" w:cs="Arial" w:eastAsia="Arial" w:hAnsi="Arial"/>
          <w:sz w:val="18"/>
          <w:szCs w:val="18"/>
          <w:color w:val="auto"/>
        </w:rPr>
        <w:t>Based on and as of the date of this evaluation, the Chief Executive Officer and the Chief Financial Officer have concluded that the Company’s disclosure controls and procedures were effective as of such date.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6" w:lineRule="exact"/>
        <w:rPr>
          <w:sz w:val="20"/>
          <w:szCs w:val="20"/>
          <w:color w:val="auto"/>
        </w:rPr>
      </w:pPr>
    </w:p>
    <w:p>
      <w:pPr>
        <w:ind w:right="40" w:firstLine="378"/>
        <w:spacing w:after="0" w:line="23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160" w:firstLine="378"/>
        <w:spacing w:after="0"/>
        <w:rPr>
          <w:sz w:val="20"/>
          <w:szCs w:val="20"/>
          <w:color w:val="auto"/>
        </w:rPr>
      </w:pPr>
      <w:r>
        <w:rPr>
          <w:rFonts w:ascii="Arial" w:cs="Arial" w:eastAsia="Arial" w:hAnsi="Arial"/>
          <w:sz w:val="18"/>
          <w:szCs w:val="18"/>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95" w:lineRule="exact"/>
        <w:rPr>
          <w:sz w:val="20"/>
          <w:szCs w:val="20"/>
          <w:color w:val="auto"/>
        </w:rPr>
      </w:pPr>
    </w:p>
    <w:p>
      <w:pPr>
        <w:ind w:right="260" w:firstLine="378"/>
        <w:spacing w:after="0" w:line="239" w:lineRule="auto"/>
        <w:rPr>
          <w:sz w:val="20"/>
          <w:szCs w:val="20"/>
          <w:color w:val="auto"/>
        </w:rPr>
      </w:pPr>
      <w:r>
        <w:rPr>
          <w:rFonts w:ascii="Arial" w:cs="Arial" w:eastAsia="Arial" w:hAnsi="Arial"/>
          <w:sz w:val="18"/>
          <w:szCs w:val="18"/>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2019 using the criteria set forth by the 2013 Committee of Sponsoring Organizations of the Treadway Commission (COSO) in Internal Control – Integrated Framework.</w:t>
      </w:r>
    </w:p>
    <w:p>
      <w:pPr>
        <w:spacing w:after="0" w:line="94" w:lineRule="exact"/>
        <w:rPr>
          <w:sz w:val="20"/>
          <w:szCs w:val="20"/>
          <w:color w:val="auto"/>
        </w:rPr>
      </w:pPr>
    </w:p>
    <w:p>
      <w:pPr>
        <w:ind w:right="80" w:firstLine="378"/>
        <w:spacing w:after="0" w:line="238" w:lineRule="auto"/>
        <w:rPr>
          <w:sz w:val="20"/>
          <w:szCs w:val="20"/>
          <w:color w:val="auto"/>
        </w:rPr>
      </w:pPr>
      <w:r>
        <w:rPr>
          <w:rFonts w:ascii="Arial" w:cs="Arial" w:eastAsia="Arial" w:hAnsi="Arial"/>
          <w:sz w:val="18"/>
          <w:szCs w:val="18"/>
          <w:color w:val="auto"/>
        </w:rPr>
        <w:t>During 2019, the Company acquired CirComp GmbH, a privately-held developer and manufacturer of high-performance composite components located in Kaiserslautern, Germany. Management has excluded from its assessment of effectiveness of the Company’s internal control over financial reporting as of December 31, 2019, CirComp GmbH’s internal control over financial reporting associated with total assets of $41.1 million and total revenues of $0.5 million included in the consolidated financial statements of the Company as of and for the year ended December 31, 2019.</w:t>
      </w:r>
    </w:p>
    <w:p>
      <w:pPr>
        <w:spacing w:after="0" w:line="95" w:lineRule="exact"/>
        <w:rPr>
          <w:sz w:val="20"/>
          <w:szCs w:val="20"/>
          <w:color w:val="auto"/>
        </w:rPr>
      </w:pPr>
    </w:p>
    <w:p>
      <w:pPr>
        <w:jc w:val="both"/>
        <w:ind w:right="100" w:firstLine="378"/>
        <w:spacing w:after="0"/>
        <w:rPr>
          <w:sz w:val="20"/>
          <w:szCs w:val="20"/>
          <w:color w:val="auto"/>
        </w:rPr>
      </w:pPr>
      <w:r>
        <w:rPr>
          <w:rFonts w:ascii="Arial" w:cs="Arial" w:eastAsia="Arial" w:hAnsi="Arial"/>
          <w:sz w:val="18"/>
          <w:szCs w:val="18"/>
          <w:color w:val="auto"/>
        </w:rPr>
        <w:t>Based on management’s assessment, we have concluded that our internal control over financial reporting was effective at December 31, 2019. Our independent registered accounting firm has issued a report on the effectiveness of our internal control over financial reporting which is included under Item 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Prior Material Weaknesses</w:t>
      </w:r>
    </w:p>
    <w:p>
      <w:pPr>
        <w:spacing w:after="0" w:line="126" w:lineRule="exact"/>
        <w:rPr>
          <w:sz w:val="20"/>
          <w:szCs w:val="20"/>
          <w:color w:val="auto"/>
        </w:rPr>
      </w:pPr>
    </w:p>
    <w:p>
      <w:pPr>
        <w:ind w:right="40" w:firstLine="378"/>
        <w:spacing w:after="0" w:line="237" w:lineRule="auto"/>
        <w:rPr>
          <w:sz w:val="20"/>
          <w:szCs w:val="20"/>
          <w:color w:val="auto"/>
        </w:rPr>
      </w:pPr>
      <w:r>
        <w:rPr>
          <w:rFonts w:ascii="Arial" w:cs="Arial" w:eastAsia="Arial" w:hAnsi="Arial"/>
          <w:sz w:val="18"/>
          <w:szCs w:val="18"/>
          <w:color w:val="auto"/>
        </w:rPr>
        <w:t xml:space="preserve">As disclosed in Form 10-K for the year ended December 31, 2018, we identified the following material weaknesses in our internal controls: The Company did not conduct an effective risk assessment process over the design and implementation of the systems development plan affecting the financial reporting process and process level controls impacted by the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for certain revenue transactions in the Company’s Machine Clothing business that are recognized at a point-in-time.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did not have effective reconciliation controls over the unbilled accounts receivable and inventory accounts related to those point-in-time transactions.</w:t>
      </w:r>
    </w:p>
    <w:p>
      <w:pPr>
        <w:spacing w:after="0" w:line="97" w:lineRule="exact"/>
        <w:rPr>
          <w:sz w:val="20"/>
          <w:szCs w:val="20"/>
          <w:color w:val="auto"/>
        </w:rPr>
      </w:pPr>
    </w:p>
    <w:p>
      <w:pPr>
        <w:ind w:right="140" w:firstLine="378"/>
        <w:spacing w:after="0" w:line="237" w:lineRule="auto"/>
        <w:rPr>
          <w:sz w:val="20"/>
          <w:szCs w:val="20"/>
          <w:color w:val="auto"/>
        </w:rPr>
      </w:pPr>
      <w:r>
        <w:rPr>
          <w:rFonts w:ascii="Arial" w:cs="Arial" w:eastAsia="Arial" w:hAnsi="Arial"/>
          <w:sz w:val="18"/>
          <w:szCs w:val="18"/>
          <w:color w:val="auto"/>
        </w:rPr>
        <w:t>When the material weaknesses were identified, management immediately commenced actions to remediate the material weaknesses. To accomplish this the Company initiated comprehensive remediation efforts to ensure that the deficiencies that contributed to the material weakness were remediated such that these controls would operate effectively. These efforts included improving our risk assessment process related to pre-production and post-implementation testing and documentation of conclusions for significant systems development changes affecting financial reporting and internal controls; and, revising our financial reporting processes and related reconciliation controls over the unbilled accounts receivable and inventory accounts related to those point-in-time transactions.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firstLine="378"/>
        <w:spacing w:after="0"/>
        <w:rPr>
          <w:sz w:val="20"/>
          <w:szCs w:val="20"/>
          <w:color w:val="auto"/>
        </w:rPr>
      </w:pPr>
      <w:r>
        <w:rPr>
          <w:rFonts w:ascii="Arial" w:cs="Arial" w:eastAsia="Arial" w:hAnsi="Arial"/>
          <w:sz w:val="18"/>
          <w:szCs w:val="18"/>
          <w:color w:val="auto"/>
        </w:rPr>
        <w:t>As part of our assessment of internal control over financial reporting as of December 31, 2019, management tested and evaluated whether these controls were designed and operating effectively for a sufficient period of time. Based on this assessment, management concluded that the material weaknesses were remediated.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600" w:firstLine="378"/>
        <w:spacing w:after="0" w:line="246" w:lineRule="auto"/>
        <w:rPr>
          <w:sz w:val="20"/>
          <w:szCs w:val="20"/>
          <w:color w:val="auto"/>
        </w:rPr>
      </w:pPr>
      <w:r>
        <w:rPr>
          <w:rFonts w:ascii="Arial" w:cs="Arial" w:eastAsia="Arial" w:hAnsi="Arial"/>
          <w:sz w:val="18"/>
          <w:szCs w:val="18"/>
          <w:color w:val="auto"/>
        </w:rPr>
        <w:t>Other than the efforts described above, there were no changes in our internal control over financial reporting during our fourth fiscal quarter of 2019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gridSpan w:val="3"/>
          </w:tcPr>
          <w:p>
            <w:pPr>
              <w:spacing w:after="0"/>
              <w:rPr>
                <w:sz w:val="20"/>
                <w:szCs w:val="20"/>
                <w:color w:val="auto"/>
              </w:rPr>
            </w:pPr>
            <w:r>
              <w:rPr>
                <w:rFonts w:ascii="Arial" w:cs="Arial" w:eastAsia="Arial" w:hAnsi="Arial"/>
                <w:sz w:val="18"/>
                <w:szCs w:val="18"/>
                <w:color w:val="auto"/>
              </w:rPr>
              <w:t>/s/ A. William Higgins</w:t>
            </w:r>
          </w:p>
        </w:tc>
        <w:tc>
          <w:tcPr>
            <w:tcW w:w="3760" w:type="dxa"/>
            <w:vAlign w:val="bottom"/>
            <w:gridSpan w:val="2"/>
          </w:tcPr>
          <w:p>
            <w:pPr>
              <w:spacing w:after="0"/>
              <w:rPr>
                <w:sz w:val="20"/>
                <w:szCs w:val="20"/>
                <w:color w:val="auto"/>
              </w:rPr>
            </w:pPr>
            <w:r>
              <w:rPr>
                <w:rFonts w:ascii="Arial" w:cs="Arial" w:eastAsia="Arial" w:hAnsi="Arial"/>
                <w:sz w:val="18"/>
                <w:szCs w:val="18"/>
                <w:color w:val="auto"/>
              </w:rPr>
              <w:t>/s/ Stephen M. Nolan</w:t>
            </w:r>
          </w:p>
        </w:tc>
        <w:tc>
          <w:tcPr>
            <w:tcW w:w="3740" w:type="dxa"/>
            <w:vAlign w:val="bottom"/>
            <w:gridSpan w:val="2"/>
          </w:tcPr>
          <w:p>
            <w:pPr>
              <w:spacing w:after="0"/>
              <w:rPr>
                <w:sz w:val="20"/>
                <w:szCs w:val="20"/>
                <w:color w:val="auto"/>
              </w:rPr>
            </w:pPr>
            <w:r>
              <w:rPr>
                <w:rFonts w:ascii="Arial" w:cs="Arial" w:eastAsia="Arial" w:hAnsi="Arial"/>
                <w:sz w:val="18"/>
                <w:szCs w:val="18"/>
                <w:color w:val="auto"/>
              </w:rPr>
              <w:t>/s/ David M. Pawlick</w:t>
            </w:r>
          </w:p>
        </w:tc>
      </w:tr>
      <w:tr>
        <w:trPr>
          <w:trHeight w:val="195"/>
        </w:trPr>
        <w:tc>
          <w:tcPr>
            <w:tcW w:w="1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 William Higgins</w:t>
            </w:r>
          </w:p>
        </w:tc>
        <w:tc>
          <w:tcPr>
            <w:tcW w:w="2200" w:type="dxa"/>
            <w:vAlign w:val="bottom"/>
          </w:tcPr>
          <w:p>
            <w:pPr>
              <w:spacing w:after="0"/>
              <w:rPr>
                <w:sz w:val="16"/>
                <w:szCs w:val="16"/>
                <w:color w:val="auto"/>
              </w:rPr>
            </w:pPr>
          </w:p>
        </w:tc>
        <w:tc>
          <w:tcPr>
            <w:tcW w:w="1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M. Nolan</w:t>
            </w:r>
          </w:p>
        </w:tc>
        <w:tc>
          <w:tcPr>
            <w:tcW w:w="2080" w:type="dxa"/>
            <w:vAlign w:val="bottom"/>
          </w:tcPr>
          <w:p>
            <w:pPr>
              <w:spacing w:after="0"/>
              <w:rPr>
                <w:sz w:val="16"/>
                <w:szCs w:val="16"/>
                <w:color w:val="auto"/>
              </w:rPr>
            </w:pPr>
          </w:p>
        </w:tc>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M. Pawlick</w:t>
            </w:r>
          </w:p>
        </w:tc>
        <w:tc>
          <w:tcPr>
            <w:tcW w:w="2120" w:type="dxa"/>
            <w:vAlign w:val="bottom"/>
          </w:tcPr>
          <w:p>
            <w:pPr>
              <w:spacing w:after="0"/>
              <w:rPr>
                <w:sz w:val="16"/>
                <w:szCs w:val="16"/>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President and</w:t>
            </w:r>
          </w:p>
        </w:tc>
        <w:tc>
          <w:tcPr>
            <w:tcW w:w="37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740" w:type="dxa"/>
            <w:vAlign w:val="bottom"/>
            <w:gridSpan w:val="2"/>
          </w:tcPr>
          <w:p>
            <w:pPr>
              <w:spacing w:after="0"/>
              <w:rPr>
                <w:sz w:val="20"/>
                <w:szCs w:val="20"/>
                <w:color w:val="auto"/>
              </w:rPr>
            </w:pPr>
            <w:r>
              <w:rPr>
                <w:rFonts w:ascii="Arial" w:cs="Arial" w:eastAsia="Arial" w:hAnsi="Arial"/>
                <w:sz w:val="18"/>
                <w:szCs w:val="18"/>
                <w:color w:val="auto"/>
              </w:rPr>
              <w:t>Vice President and</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and Treasurer</w:t>
            </w:r>
          </w:p>
        </w:tc>
        <w:tc>
          <w:tcPr>
            <w:tcW w:w="3740" w:type="dxa"/>
            <w:vAlign w:val="bottom"/>
            <w:gridSpan w:val="2"/>
          </w:tcPr>
          <w:p>
            <w:pPr>
              <w:spacing w:after="0"/>
              <w:rPr>
                <w:sz w:val="20"/>
                <w:szCs w:val="20"/>
                <w:color w:val="auto"/>
              </w:rPr>
            </w:pPr>
            <w:r>
              <w:rPr>
                <w:rFonts w:ascii="Arial" w:cs="Arial" w:eastAsia="Arial" w:hAnsi="Arial"/>
                <w:sz w:val="18"/>
                <w:szCs w:val="18"/>
                <w:color w:val="auto"/>
              </w:rPr>
              <w:t>Controller</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and Director</w:t>
            </w: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37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217"/>
        </w:trPr>
        <w:tc>
          <w:tcPr>
            <w:tcW w:w="390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05"/>
        </w:trPr>
        <w:tc>
          <w:tcPr>
            <w:tcW w:w="1020" w:type="dxa"/>
            <w:vAlign w:val="bottom"/>
          </w:tcPr>
          <w:p>
            <w:pPr>
              <w:spacing w:after="0"/>
              <w:rPr>
                <w:sz w:val="20"/>
                <w:szCs w:val="20"/>
                <w:color w:val="auto"/>
              </w:rPr>
            </w:pPr>
            <w:r>
              <w:rPr>
                <w:rFonts w:ascii="Arial" w:cs="Arial" w:eastAsia="Arial" w:hAnsi="Arial"/>
                <w:sz w:val="18"/>
                <w:szCs w:val="18"/>
                <w:b w:val="1"/>
                <w:bCs w:val="1"/>
                <w:color w:val="auto"/>
              </w:rPr>
              <w:t>Item 9B.</w:t>
            </w:r>
          </w:p>
        </w:tc>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INFORMATION</w:t>
            </w:r>
          </w:p>
        </w:tc>
        <w:tc>
          <w:tcPr>
            <w:tcW w:w="1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11"/>
        </w:trPr>
        <w:tc>
          <w:tcPr>
            <w:tcW w:w="1020" w:type="dxa"/>
            <w:vAlign w:val="bottom"/>
          </w:tcPr>
          <w:p>
            <w:pPr>
              <w:ind w:left="380"/>
              <w:spacing w:after="0"/>
              <w:rPr>
                <w:sz w:val="20"/>
                <w:szCs w:val="20"/>
                <w:color w:val="auto"/>
              </w:rPr>
            </w:pPr>
            <w:r>
              <w:rPr>
                <w:rFonts w:ascii="Arial" w:cs="Arial" w:eastAsia="Arial" w:hAnsi="Arial"/>
                <w:sz w:val="18"/>
                <w:szCs w:val="18"/>
                <w:color w:val="auto"/>
              </w:rPr>
              <w:t>None.</w:t>
            </w: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19"/>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89"/>
        </w:trPr>
        <w:tc>
          <w:tcPr>
            <w:tcW w:w="1020" w:type="dxa"/>
            <w:vAlign w:val="bottom"/>
            <w:tcBorders>
              <w:bottom w:val="single" w:sz="8" w:color="EEEEEE"/>
            </w:tcBorders>
          </w:tcPr>
          <w:p>
            <w:pPr>
              <w:spacing w:after="0"/>
              <w:rPr>
                <w:sz w:val="16"/>
                <w:szCs w:val="16"/>
                <w:color w:val="auto"/>
              </w:rPr>
            </w:pPr>
          </w:p>
        </w:tc>
        <w:tc>
          <w:tcPr>
            <w:tcW w:w="680" w:type="dxa"/>
            <w:vAlign w:val="bottom"/>
            <w:tcBorders>
              <w:bottom w:val="single" w:sz="8" w:color="EEEEEE"/>
            </w:tcBorders>
          </w:tcPr>
          <w:p>
            <w:pPr>
              <w:spacing w:after="0"/>
              <w:rPr>
                <w:sz w:val="16"/>
                <w:szCs w:val="16"/>
                <w:color w:val="auto"/>
              </w:rPr>
            </w:pPr>
          </w:p>
        </w:tc>
        <w:tc>
          <w:tcPr>
            <w:tcW w:w="2200" w:type="dxa"/>
            <w:vAlign w:val="bottom"/>
            <w:tcBorders>
              <w:bottom w:val="single" w:sz="8" w:color="EEEEEE"/>
            </w:tcBorders>
          </w:tcPr>
          <w:p>
            <w:pPr>
              <w:spacing w:after="0"/>
              <w:rPr>
                <w:sz w:val="16"/>
                <w:szCs w:val="16"/>
                <w:color w:val="auto"/>
              </w:rPr>
            </w:pPr>
          </w:p>
        </w:tc>
        <w:tc>
          <w:tcPr>
            <w:tcW w:w="1680" w:type="dxa"/>
            <w:vAlign w:val="bottom"/>
            <w:tcBorders>
              <w:bottom w:val="single" w:sz="8" w:color="EEEEEE"/>
            </w:tcBorders>
          </w:tcPr>
          <w:p>
            <w:pPr>
              <w:spacing w:after="0"/>
              <w:rPr>
                <w:sz w:val="16"/>
                <w:szCs w:val="16"/>
                <w:color w:val="auto"/>
              </w:rPr>
            </w:pPr>
          </w:p>
        </w:tc>
        <w:tc>
          <w:tcPr>
            <w:tcW w:w="2080" w:type="dxa"/>
            <w:vAlign w:val="bottom"/>
            <w:tcBorders>
              <w:bottom w:val="single" w:sz="8" w:color="EEEEEE"/>
            </w:tcBorders>
          </w:tcPr>
          <w:p>
            <w:pPr>
              <w:spacing w:after="0"/>
              <w:rPr>
                <w:sz w:val="16"/>
                <w:szCs w:val="16"/>
                <w:color w:val="auto"/>
              </w:rPr>
            </w:pPr>
          </w:p>
        </w:tc>
        <w:tc>
          <w:tcPr>
            <w:tcW w:w="1620" w:type="dxa"/>
            <w:vAlign w:val="bottom"/>
            <w:tcBorders>
              <w:bottom w:val="single" w:sz="8" w:color="EEEEEE"/>
            </w:tcBorders>
          </w:tcPr>
          <w:p>
            <w:pPr>
              <w:spacing w:after="0"/>
              <w:rPr>
                <w:sz w:val="16"/>
                <w:szCs w:val="16"/>
                <w:color w:val="auto"/>
              </w:rPr>
            </w:pPr>
          </w:p>
        </w:tc>
        <w:tc>
          <w:tcPr>
            <w:tcW w:w="212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26" w:lineRule="exact"/>
        <w:rPr>
          <w:sz w:val="20"/>
          <w:szCs w:val="20"/>
          <w:color w:val="auto"/>
        </w:rPr>
      </w:pPr>
    </w:p>
    <w:p>
      <w:pPr>
        <w:jc w:val="both"/>
        <w:ind w:right="60" w:firstLine="378"/>
        <w:spacing w:after="0"/>
        <w:rPr>
          <w:sz w:val="20"/>
          <w:szCs w:val="20"/>
          <w:color w:val="auto"/>
        </w:rPr>
      </w:pPr>
      <w:r>
        <w:rPr>
          <w:rFonts w:ascii="Arial" w:cs="Arial" w:eastAsia="Arial" w:hAnsi="Arial"/>
          <w:sz w:val="18"/>
          <w:szCs w:val="18"/>
          <w:color w:val="auto"/>
        </w:rPr>
        <w:t>The information required by Items 10, 11, 12, 13, and 14 is set forth under the headings below and when applicable is incorporated herein by reference to the Company’s 2020 Proxy Statement (“Proxy Statement”) to be filed with the SEC within 120 days after December 31, 2019 in connection with the solicitation of proxies for the Company’s 2020 annual meeting of shareholders.</w:t>
      </w:r>
    </w:p>
    <w:p>
      <w:pPr>
        <w:spacing w:after="0" w:line="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4" w:lineRule="exact"/>
        <w:rPr>
          <w:sz w:val="20"/>
          <w:szCs w:val="20"/>
          <w:color w:val="auto"/>
        </w:rPr>
      </w:pPr>
    </w:p>
    <w:p>
      <w:pPr>
        <w:ind w:left="1040" w:right="580" w:hanging="526"/>
        <w:spacing w:after="0" w:line="23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The information set out in the section captioned “Election of Directors”, will be filed within the Proxy Statement. On January 20, 2020 Erland E. Kailbourne, will return to his role as Chairman of the Board, succeeding A. William Higgins. The Company also reduced the size of the Board from ten to nine members and the size of the audit committee from five to four members. Mr. Higgins has resigned from the audit committee and will not serve on any Board committees.</w:t>
      </w:r>
    </w:p>
    <w:p>
      <w:pPr>
        <w:spacing w:after="0" w:line="3" w:lineRule="exact"/>
        <w:rPr>
          <w:rFonts w:ascii="Arial" w:cs="Arial" w:eastAsia="Arial" w:hAnsi="Arial"/>
          <w:sz w:val="18"/>
          <w:szCs w:val="18"/>
          <w:color w:val="auto"/>
        </w:rPr>
      </w:pPr>
    </w:p>
    <w:p>
      <w:pPr>
        <w:ind w:left="1040" w:right="580" w:hanging="526"/>
        <w:spacing w:after="0" w:line="23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xml:space="preserve"> On January 20, 2020, the Board of Directors of the Company appointed A. William Higgins as President and Chief Executive Officer effective January 20, 2020 to succeed Olivier M. Jarrault, who resigned by mutual agreement with the Board on this date. See Note 22, of the Consolidated Financial Statements in Item 8 for details regarding separation agreement terms. Additional information about the officers of the Company is set forth in Item 1.</w:t>
      </w:r>
    </w:p>
    <w:p>
      <w:pPr>
        <w:spacing w:after="0" w:line="3" w:lineRule="exact"/>
        <w:rPr>
          <w:rFonts w:ascii="Arial" w:cs="Arial" w:eastAsia="Arial" w:hAnsi="Arial"/>
          <w:sz w:val="18"/>
          <w:szCs w:val="18"/>
          <w:color w:val="auto"/>
        </w:rPr>
      </w:pPr>
    </w:p>
    <w:p>
      <w:pPr>
        <w:ind w:left="1040" w:hanging="526"/>
        <w:spacing w:after="0" w:line="23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Significant Employees.</w:t>
      </w:r>
      <w:r>
        <w:rPr>
          <w:rFonts w:ascii="Arial" w:cs="Arial" w:eastAsia="Arial" w:hAnsi="Arial"/>
          <w:sz w:val="18"/>
          <w:szCs w:val="18"/>
          <w:color w:val="auto"/>
        </w:rPr>
        <w:t xml:space="preserve"> Same as Executive Officers.</w:t>
      </w:r>
    </w:p>
    <w:p>
      <w:pPr>
        <w:ind w:left="1040" w:right="640" w:hanging="526"/>
        <w:spacing w:after="0" w:line="23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Nature of any family relationship between any director, executive officer, person nominated or chosen to become a director or executive officer.</w:t>
      </w:r>
      <w:r>
        <w:rPr>
          <w:rFonts w:ascii="Arial" w:cs="Arial" w:eastAsia="Arial" w:hAnsi="Arial"/>
          <w:sz w:val="18"/>
          <w:szCs w:val="18"/>
          <w:color w:val="auto"/>
        </w:rPr>
        <w:t xml:space="preserve"> The information set out in the section captioned “Certain Business Relationships and Related Person Transactions”, will be filed within in the Proxy Statement.</w:t>
      </w:r>
    </w:p>
    <w:p>
      <w:pPr>
        <w:spacing w:after="0" w:line="2" w:lineRule="exact"/>
        <w:rPr>
          <w:rFonts w:ascii="Arial" w:cs="Arial" w:eastAsia="Arial" w:hAnsi="Arial"/>
          <w:sz w:val="18"/>
          <w:szCs w:val="18"/>
          <w:color w:val="auto"/>
        </w:rPr>
      </w:pPr>
    </w:p>
    <w:p>
      <w:pPr>
        <w:ind w:left="1040" w:right="620" w:hanging="526"/>
        <w:spacing w:after="0" w:line="23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8"/>
          <w:szCs w:val="18"/>
          <w:color w:val="auto"/>
        </w:rPr>
        <w:t xml:space="preserve"> Information about the officers of the Company is set forth in Item 1 above and the information set out in the section captioned “Election of Directors” in the Proxy Statement.</w:t>
      </w:r>
    </w:p>
    <w:p>
      <w:pPr>
        <w:spacing w:after="0" w:line="2" w:lineRule="exact"/>
        <w:rPr>
          <w:rFonts w:ascii="Arial" w:cs="Arial" w:eastAsia="Arial" w:hAnsi="Arial"/>
          <w:sz w:val="18"/>
          <w:szCs w:val="18"/>
          <w:color w:val="auto"/>
        </w:rPr>
      </w:pPr>
    </w:p>
    <w:p>
      <w:pPr>
        <w:ind w:left="1040" w:right="760" w:hanging="526"/>
        <w:spacing w:after="0" w:line="23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Involvement in certain legal proceedings by any director, person nominated to become a director or executive officer.</w:t>
      </w:r>
      <w:r>
        <w:rPr>
          <w:rFonts w:ascii="Arial" w:cs="Arial" w:eastAsia="Arial" w:hAnsi="Arial"/>
          <w:sz w:val="18"/>
          <w:szCs w:val="18"/>
          <w:color w:val="auto"/>
        </w:rPr>
        <w:t xml:space="preserve"> The information set out in the section captioned “Election of Directors”, will be filed within the Proxy Statement.</w:t>
      </w:r>
    </w:p>
    <w:p>
      <w:pPr>
        <w:spacing w:after="0" w:line="1" w:lineRule="exact"/>
        <w:rPr>
          <w:rFonts w:ascii="Arial" w:cs="Arial" w:eastAsia="Arial" w:hAnsi="Arial"/>
          <w:sz w:val="18"/>
          <w:szCs w:val="18"/>
          <w:color w:val="auto"/>
        </w:rPr>
      </w:pPr>
    </w:p>
    <w:p>
      <w:pPr>
        <w:ind w:left="1040" w:hanging="526"/>
        <w:spacing w:after="0" w:line="23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Certain promoters and control persons.</w:t>
      </w:r>
      <w:r>
        <w:rPr>
          <w:rFonts w:ascii="Arial" w:cs="Arial" w:eastAsia="Arial" w:hAnsi="Arial"/>
          <w:sz w:val="18"/>
          <w:szCs w:val="18"/>
          <w:color w:val="auto"/>
        </w:rPr>
        <w:t xml:space="preserve"> None.</w:t>
      </w:r>
    </w:p>
    <w:p>
      <w:pPr>
        <w:ind w:left="1040" w:right="840" w:hanging="526"/>
        <w:spacing w:after="0" w:line="23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Audit Committee Financial Expert.</w:t>
      </w:r>
      <w:r>
        <w:rPr>
          <w:rFonts w:ascii="Arial" w:cs="Arial" w:eastAsia="Arial" w:hAnsi="Arial"/>
          <w:sz w:val="18"/>
          <w:szCs w:val="18"/>
          <w:color w:val="auto"/>
        </w:rPr>
        <w:t xml:space="preserve"> The information set out in the section captioned “Corporate Governance”, will be filed within the Proxy Statement.</w:t>
      </w:r>
    </w:p>
    <w:p>
      <w:pPr>
        <w:spacing w:after="0" w:line="1" w:lineRule="exact"/>
        <w:rPr>
          <w:rFonts w:ascii="Arial" w:cs="Arial" w:eastAsia="Arial" w:hAnsi="Arial"/>
          <w:sz w:val="18"/>
          <w:szCs w:val="18"/>
          <w:color w:val="auto"/>
        </w:rPr>
      </w:pPr>
    </w:p>
    <w:p>
      <w:pPr>
        <w:ind w:left="1040" w:right="560" w:hanging="526"/>
        <w:spacing w:after="0" w:line="23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Code of Ethics.</w:t>
      </w:r>
      <w:r>
        <w:rPr>
          <w:rFonts w:ascii="Arial" w:cs="Arial" w:eastAsia="Arial" w:hAnsi="Arial"/>
          <w:sz w:val="18"/>
          <w:szCs w:val="18"/>
          <w:color w:val="auto"/>
        </w:rPr>
        <w:t xml:space="preserve"> The Company has adopted a Code of Ethics that applies to all of its employees, directors, and officers, including the Chief Executive Officer, Chief Financial Officer and Vice President- Controller. A copy of the Code of Ethics is filed as Exhibit 10(p) and is available at the Corporate Governance section of the Company’s website (www.albint.com), within the investor materials section.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26" w:lineRule="exact"/>
        <w:rPr>
          <w:sz w:val="20"/>
          <w:szCs w:val="20"/>
          <w:color w:val="auto"/>
        </w:rPr>
      </w:pPr>
    </w:p>
    <w:p>
      <w:pPr>
        <w:ind w:right="200" w:firstLine="378"/>
        <w:spacing w:after="0" w:line="238" w:lineRule="auto"/>
        <w:rPr>
          <w:sz w:val="20"/>
          <w:szCs w:val="20"/>
          <w:color w:val="auto"/>
        </w:rPr>
      </w:pPr>
      <w:r>
        <w:rPr>
          <w:rFonts w:ascii="Arial" w:cs="Arial" w:eastAsia="Arial" w:hAnsi="Arial"/>
          <w:sz w:val="18"/>
          <w:szCs w:val="18"/>
          <w:color w:val="auto"/>
        </w:rPr>
        <w:t>The information required by this item is set forth in the sections of the Company’s 2020 Proxy Statement captioned “Executive Compensation Earned,” “Summary Compensation Table,” “CEO Pay Ratio,”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8" w:lineRule="exact"/>
        <w:rPr>
          <w:sz w:val="20"/>
          <w:szCs w:val="20"/>
          <w:color w:val="auto"/>
        </w:rPr>
      </w:pPr>
    </w:p>
    <w:p>
      <w:pPr>
        <w:ind w:right="280" w:firstLine="378"/>
        <w:spacing w:after="0" w:line="246" w:lineRule="auto"/>
        <w:rPr>
          <w:sz w:val="20"/>
          <w:szCs w:val="20"/>
          <w:color w:val="auto"/>
        </w:rPr>
      </w:pPr>
      <w:r>
        <w:rPr>
          <w:rFonts w:ascii="Arial" w:cs="Arial" w:eastAsia="Arial" w:hAnsi="Arial"/>
          <w:sz w:val="18"/>
          <w:szCs w:val="18"/>
          <w:color w:val="auto"/>
        </w:rPr>
        <w:t>The information required by this item is set forth in the section captioned “Share Ownership” in the Company’s 2020 Proxy Statement is incorporated herein by reference.</w:t>
      </w:r>
    </w:p>
    <w:p>
      <w:pPr>
        <w:sectPr>
          <w:pgSz w:w="11900" w:h="16838" w:orient="portrait"/>
          <w:cols w:equalWidth="0" w:num="1">
            <w:col w:w="11420"/>
          </w:cols>
          <w:pgMar w:left="240" w:top="269" w:right="239" w:bottom="144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9878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980"/>
        <w:spacing w:after="0" w:line="246"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9861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62"/>
        </w:trPr>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 securities</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2"/>
        </w:trPr>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 be issued upon</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62"/>
        </w:trPr>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 of</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 price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62"/>
        </w:trPr>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 options,</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 options,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w:t>
            </w:r>
          </w:p>
        </w:tc>
        <w:tc>
          <w:tcPr>
            <w:tcW w:w="0" w:type="dxa"/>
            <w:vAlign w:val="bottom"/>
          </w:tcPr>
          <w:p>
            <w:pPr>
              <w:spacing w:after="0"/>
              <w:rPr>
                <w:sz w:val="1"/>
                <w:szCs w:val="1"/>
                <w:color w:val="auto"/>
              </w:rPr>
            </w:pPr>
          </w:p>
        </w:tc>
      </w:tr>
      <w:tr>
        <w:trPr>
          <w:trHeight w:val="175"/>
        </w:trPr>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warrants, and rights</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warrants, and rights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55"/>
        </w:trPr>
        <w:tc>
          <w:tcPr>
            <w:tcW w:w="14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3"/>
                <w:szCs w:val="13"/>
                <w:color w:val="auto"/>
              </w:rPr>
            </w:pPr>
          </w:p>
        </w:tc>
        <w:tc>
          <w:tcPr>
            <w:tcW w:w="14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3"/>
                <w:szCs w:val="13"/>
                <w:color w:val="auto"/>
              </w:rPr>
            </w:pPr>
          </w:p>
        </w:tc>
        <w:tc>
          <w:tcPr>
            <w:tcW w:w="14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43"/>
        </w:trPr>
        <w:tc>
          <w:tcPr>
            <w:tcW w:w="1480" w:type="dxa"/>
            <w:vAlign w:val="bottom"/>
            <w:vMerge w:val="restart"/>
          </w:tcPr>
          <w:p>
            <w:pPr>
              <w:jc w:val="right"/>
              <w:ind w:right="182"/>
              <w:spacing w:after="0"/>
              <w:rPr>
                <w:sz w:val="20"/>
                <w:szCs w:val="20"/>
                <w:color w:val="auto"/>
              </w:rPr>
            </w:pPr>
            <w:r>
              <w:rPr>
                <w:rFonts w:ascii="Arial" w:cs="Arial" w:eastAsia="Arial" w:hAnsi="Arial"/>
                <w:sz w:val="18"/>
                <w:szCs w:val="18"/>
                <w:color w:val="auto"/>
              </w:rPr>
              <w:t>11,950</w:t>
            </w:r>
            <w:r>
              <w:rPr>
                <w:rFonts w:ascii="Arial" w:cs="Arial" w:eastAsia="Arial" w:hAnsi="Arial"/>
                <w:sz w:val="30"/>
                <w:szCs w:val="30"/>
                <w:color w:val="auto"/>
                <w:vertAlign w:val="superscript"/>
              </w:rPr>
              <w:t>(1)</w:t>
            </w:r>
          </w:p>
        </w:tc>
        <w:tc>
          <w:tcPr>
            <w:tcW w:w="24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21"/>
                <w:szCs w:val="21"/>
                <w:color w:val="auto"/>
              </w:rPr>
            </w:pPr>
          </w:p>
        </w:tc>
        <w:tc>
          <w:tcPr>
            <w:tcW w:w="1480" w:type="dxa"/>
            <w:vAlign w:val="bottom"/>
          </w:tcPr>
          <w:p>
            <w:pPr>
              <w:jc w:val="right"/>
              <w:ind w:right="25"/>
              <w:spacing w:after="0" w:line="243" w:lineRule="exact"/>
              <w:rPr>
                <w:sz w:val="20"/>
                <w:szCs w:val="20"/>
                <w:color w:val="auto"/>
              </w:rPr>
            </w:pPr>
            <w:r>
              <w:rPr>
                <w:rFonts w:ascii="Arial" w:cs="Arial" w:eastAsia="Arial" w:hAnsi="Arial"/>
                <w:sz w:val="17"/>
                <w:szCs w:val="17"/>
                <w:color w:val="auto"/>
              </w:rPr>
              <w:t>1,115,472</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202"/>
        </w:trPr>
        <w:tc>
          <w:tcPr>
            <w:tcW w:w="1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203"/>
        </w:trPr>
        <w:tc>
          <w:tcPr>
            <w:tcW w:w="172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w:t>
            </w:r>
          </w:p>
        </w:tc>
        <w:tc>
          <w:tcPr>
            <w:tcW w:w="170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05"/>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48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8"/>
                <w:szCs w:val="18"/>
                <w:color w:val="auto"/>
              </w:rPr>
              <w:t>11,950</w:t>
            </w:r>
            <w:r>
              <w:rPr>
                <w:rFonts w:ascii="Arial" w:cs="Arial" w:eastAsia="Arial" w:hAnsi="Arial"/>
                <w:sz w:val="30"/>
                <w:szCs w:val="30"/>
                <w:color w:val="auto"/>
                <w:vertAlign w:val="superscript"/>
              </w:rPr>
              <w:t>(1)</w:t>
            </w:r>
          </w:p>
        </w:tc>
        <w:tc>
          <w:tcPr>
            <w:tcW w:w="240" w:type="dxa"/>
            <w:vAlign w:val="bottom"/>
          </w:tcPr>
          <w:p>
            <w:pPr>
              <w:spacing w:after="0"/>
              <w:rPr>
                <w:sz w:val="20"/>
                <w:szCs w:val="20"/>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ind w:right="25"/>
              <w:spacing w:after="0" w:line="236" w:lineRule="exact"/>
              <w:rPr>
                <w:sz w:val="20"/>
                <w:szCs w:val="20"/>
                <w:color w:val="auto"/>
              </w:rPr>
            </w:pPr>
            <w:r>
              <w:rPr>
                <w:rFonts w:ascii="Arial" w:cs="Arial" w:eastAsia="Arial" w:hAnsi="Arial"/>
                <w:sz w:val="17"/>
                <w:szCs w:val="17"/>
                <w:color w:val="auto"/>
              </w:rPr>
              <w:t>1,115,472</w:t>
            </w:r>
            <w:r>
              <w:rPr>
                <w:rFonts w:ascii="Arial" w:cs="Arial" w:eastAsia="Arial" w:hAnsi="Arial"/>
                <w:sz w:val="27"/>
                <w:szCs w:val="27"/>
                <w:color w:val="auto"/>
                <w:vertAlign w:val="superscript"/>
              </w:rPr>
              <w:t>(2),</w:t>
            </w:r>
          </w:p>
        </w:tc>
        <w:tc>
          <w:tcPr>
            <w:tcW w:w="0" w:type="dxa"/>
            <w:vAlign w:val="bottom"/>
          </w:tcPr>
          <w:p>
            <w:pPr>
              <w:spacing w:after="0"/>
              <w:rPr>
                <w:sz w:val="1"/>
                <w:szCs w:val="1"/>
                <w:color w:val="auto"/>
              </w:rPr>
            </w:pPr>
          </w:p>
        </w:tc>
      </w:tr>
      <w:tr>
        <w:trPr>
          <w:trHeight w:val="203"/>
        </w:trPr>
        <w:tc>
          <w:tcPr>
            <w:tcW w:w="14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00" w:space="720"/>
            <w:col w:w="4900"/>
          </w:cols>
          <w:pgMar w:left="240" w:top="269" w:right="239" w:bottom="1440" w:gutter="0" w:footer="0" w:header="0"/>
          <w:type w:val="continuous"/>
        </w:sectPr>
      </w:pPr>
    </w:p>
    <w:p>
      <w:pPr>
        <w:spacing w:after="0" w:line="285" w:lineRule="exact"/>
        <w:rPr>
          <w:sz w:val="20"/>
          <w:szCs w:val="20"/>
          <w:color w:val="auto"/>
        </w:rPr>
      </w:pPr>
    </w:p>
    <w:p>
      <w:pPr>
        <w:ind w:left="460" w:right="120" w:hanging="452"/>
        <w:spacing w:after="0" w:line="23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Does not include 20,579, 31,222, and 18,771 shares that may be issued pursuant to 2017, 2018 and 2019, respectively, performance incentive awards granted to certain executive officers pursuant to the 2011 Incentive Plan and the 2017 Incentive Plan. Such awards are not “exercisable,” but will be paid out to the recipients in accordance with their terms, subject to certain conditions.</w:t>
      </w:r>
    </w:p>
    <w:p>
      <w:pPr>
        <w:spacing w:after="0" w:line="2" w:lineRule="exact"/>
        <w:rPr>
          <w:rFonts w:ascii="Arial" w:cs="Arial" w:eastAsia="Arial" w:hAnsi="Arial"/>
          <w:sz w:val="18"/>
          <w:szCs w:val="18"/>
          <w:color w:val="auto"/>
        </w:rPr>
      </w:pPr>
    </w:p>
    <w:p>
      <w:pPr>
        <w:ind w:left="460" w:right="20" w:hanging="452"/>
        <w:spacing w:after="0" w:line="23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the number of shares that may be issued pursuant to future awards under the 2011 Incentive Plan and 2017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3"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115,472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Assuming full exercise by the Board of its power to increase annually the number of shares available under the 2011 Incentive Plan, the maximum number of additional shares that could yet be issued pursuant to the Plan awards (including those set forth in column (c) above) would be 1,615,472. No new shares have been awarded under this plan during 2018 or 2019.</w:t>
      </w:r>
    </w:p>
    <w:p>
      <w:pPr>
        <w:spacing w:after="0" w:line="9" w:lineRule="exact"/>
        <w:rPr>
          <w:rFonts w:ascii="Arial" w:cs="Arial" w:eastAsia="Arial" w:hAnsi="Arial"/>
          <w:sz w:val="18"/>
          <w:szCs w:val="18"/>
          <w:color w:val="auto"/>
        </w:rPr>
      </w:pPr>
    </w:p>
    <w:p>
      <w:pPr>
        <w:ind w:left="460" w:right="40" w:hanging="452"/>
        <w:spacing w:after="0" w:line="23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1,000,000 shares available for future issuance under the 2017 Incentive Plan. Shares of Common Stock covered by awards granted under the 2017 Incentive Plan are only counted as used to the extent they are actually issued and delivered, including shares withheld to satisfy tax requirement. Accordingly, if an award is settled for cash, or if shares are withheld to pay any exercise price,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The Plan awards (including those set forth in column (c) above) would be 1,000,000.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110" w:name="page111"/>
    <w:bookmarkEnd w:id="1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left="460" w:right="100" w:hanging="452"/>
        <w:spacing w:after="0" w:line="23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Directors’ Annual Retainer Plan provides that the aggregate dollar amount of the annual retainer payable for service as a member of the Company’s Board of Directors is $160,000, $90,000 of which is</w:t>
      </w:r>
    </w:p>
    <w:p>
      <w:pPr>
        <w:spacing w:after="0" w:line="1" w:lineRule="exact"/>
        <w:rPr>
          <w:rFonts w:ascii="Arial" w:cs="Arial" w:eastAsia="Arial" w:hAnsi="Arial"/>
          <w:sz w:val="18"/>
          <w:szCs w:val="18"/>
          <w:color w:val="auto"/>
        </w:rPr>
      </w:pPr>
    </w:p>
    <w:p>
      <w:pPr>
        <w:ind w:left="460" w:right="320"/>
        <w:spacing w:after="0" w:line="237" w:lineRule="auto"/>
        <w:rPr>
          <w:rFonts w:ascii="Arial" w:cs="Arial" w:eastAsia="Arial" w:hAnsi="Arial"/>
          <w:sz w:val="18"/>
          <w:szCs w:val="18"/>
          <w:color w:val="auto"/>
        </w:rPr>
      </w:pPr>
      <w:r>
        <w:rPr>
          <w:rFonts w:ascii="Arial" w:cs="Arial" w:eastAsia="Arial" w:hAnsi="Arial"/>
          <w:sz w:val="18"/>
          <w:szCs w:val="18"/>
          <w:color w:val="auto"/>
        </w:rPr>
        <w:t>required to be paid in shares of Class A Common Stock, the exact number of shares to be paid for any year being determined on the basis of the per share closing price of such stock on the day of the Annual Meeting at which the election of the directors for such year occurs, as shown in the composite index published for such day in the Wall Street Journal, rounded down to the nearest whole share. Directors are expected to hold shares with a value of $480,000 or three times the value of the annual retainer. Directors may elect to receive, in stock, all of the retainer payable in shares of Common Stock. A director and related persons, who owns shares of Common Stock with a value of at least $480,000 may elect to receive, in cash, all or any portion of the retainer otherwise payable in shares of Common Stock.</w:t>
      </w:r>
    </w:p>
    <w:p>
      <w:pPr>
        <w:spacing w:after="0" w:line="1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RELATED TRANSACTIONS AND DIRECTOR INDEPENDENCE</w:t>
      </w:r>
    </w:p>
    <w:p>
      <w:pPr>
        <w:spacing w:after="0" w:line="126" w:lineRule="exact"/>
        <w:rPr>
          <w:sz w:val="20"/>
          <w:szCs w:val="20"/>
          <w:color w:val="auto"/>
        </w:rPr>
      </w:pPr>
    </w:p>
    <w:p>
      <w:pPr>
        <w:ind w:right="60" w:firstLine="378"/>
        <w:spacing w:after="0" w:line="246" w:lineRule="auto"/>
        <w:rPr>
          <w:sz w:val="20"/>
          <w:szCs w:val="20"/>
          <w:color w:val="auto"/>
        </w:rPr>
      </w:pPr>
      <w:r>
        <w:rPr>
          <w:rFonts w:ascii="Arial" w:cs="Arial" w:eastAsia="Arial" w:hAnsi="Arial"/>
          <w:sz w:val="18"/>
          <w:szCs w:val="18"/>
          <w:color w:val="auto"/>
        </w:rPr>
        <w:t>The information required by this item is set forth in the section captioned “Election of Directors” in the Company’s 2020 Proxy Statement is incorporated herein by reference.</w:t>
      </w:r>
    </w:p>
    <w:p>
      <w:pPr>
        <w:spacing w:after="0" w:line="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6" w:lineRule="exact"/>
        <w:rPr>
          <w:sz w:val="20"/>
          <w:szCs w:val="20"/>
          <w:color w:val="auto"/>
        </w:rPr>
      </w:pPr>
    </w:p>
    <w:p>
      <w:pPr>
        <w:ind w:right="140" w:firstLine="378"/>
        <w:spacing w:after="0" w:line="246" w:lineRule="auto"/>
        <w:rPr>
          <w:sz w:val="20"/>
          <w:szCs w:val="20"/>
          <w:color w:val="auto"/>
        </w:rPr>
      </w:pPr>
      <w:r>
        <w:rPr>
          <w:rFonts w:ascii="Arial" w:cs="Arial" w:eastAsia="Arial" w:hAnsi="Arial"/>
          <w:sz w:val="18"/>
          <w:szCs w:val="18"/>
          <w:color w:val="auto"/>
        </w:rPr>
        <w:t>The information required by this item is set forth in the section captioned “Independent Auditors” in the Company’s 2020 Proxy Statement is incorporated herein by reference.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16"/>
          </w:tcPr>
          <w:p>
            <w:pPr>
              <w:ind w:left="40"/>
              <w:spacing w:after="0"/>
              <w:rPr>
                <w:sz w:val="20"/>
                <w:szCs w:val="20"/>
                <w:color w:val="auto"/>
              </w:rPr>
            </w:pPr>
            <w:r>
              <w:rPr>
                <w:rFonts w:ascii="Arial" w:cs="Arial" w:eastAsia="Arial" w:hAnsi="Arial"/>
                <w:sz w:val="18"/>
                <w:szCs w:val="18"/>
                <w:b w:val="1"/>
                <w:bCs w:val="1"/>
                <w:color w:val="auto"/>
              </w:rPr>
              <w:t>PART IV</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9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5740" w:type="dxa"/>
            <w:vAlign w:val="bottom"/>
            <w:gridSpan w:val="32"/>
          </w:tcPr>
          <w:p>
            <w:pPr>
              <w:ind w:left="120"/>
              <w:spacing w:after="0"/>
              <w:rPr>
                <w:sz w:val="20"/>
                <w:szCs w:val="20"/>
                <w:color w:val="auto"/>
              </w:rPr>
            </w:pPr>
            <w:r>
              <w:rPr>
                <w:rFonts w:ascii="Arial" w:cs="Arial" w:eastAsia="Arial" w:hAnsi="Arial"/>
                <w:sz w:val="18"/>
                <w:szCs w:val="18"/>
                <w:b w:val="1"/>
                <w:bCs w:val="1"/>
                <w:color w:val="auto"/>
              </w:rPr>
              <w:t>EXHIBITS AND FINANCIAL STATEMENT SCHEDULES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vMerge w:val="restart"/>
          </w:tcPr>
          <w:p>
            <w:pPr>
              <w:spacing w:after="0"/>
              <w:rPr>
                <w:sz w:val="24"/>
                <w:szCs w:val="24"/>
                <w:color w:val="auto"/>
              </w:rPr>
            </w:pPr>
          </w:p>
        </w:tc>
        <w:tc>
          <w:tcPr>
            <w:tcW w:w="526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Herewith</w:t>
            </w:r>
          </w:p>
        </w:tc>
        <w:tc>
          <w:tcPr>
            <w:tcW w:w="100" w:type="dxa"/>
            <w:vAlign w:val="bottom"/>
            <w:vMerge w:val="restart"/>
          </w:tcPr>
          <w:p>
            <w:pPr>
              <w:spacing w:after="0"/>
              <w:rPr>
                <w:sz w:val="24"/>
                <w:szCs w:val="24"/>
                <w:color w:val="auto"/>
              </w:rPr>
            </w:pPr>
          </w:p>
        </w:tc>
        <w:tc>
          <w:tcPr>
            <w:tcW w:w="352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69"/>
        </w:trPr>
        <w:tc>
          <w:tcPr>
            <w:tcW w:w="116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60" w:type="dxa"/>
            <w:vAlign w:val="bottom"/>
            <w:tcBorders>
              <w:bottom w:val="single" w:sz="8" w:color="auto"/>
            </w:tcBorders>
            <w:gridSpan w:val="29"/>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Period Ending</w:t>
            </w:r>
          </w:p>
        </w:tc>
        <w:tc>
          <w:tcPr>
            <w:tcW w:w="120" w:type="dxa"/>
            <w:vAlign w:val="bottom"/>
          </w:tcPr>
          <w:p>
            <w:pPr>
              <w:spacing w:after="0"/>
              <w:rPr>
                <w:sz w:val="14"/>
                <w:szCs w:val="1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56"/>
        </w:trPr>
        <w:tc>
          <w:tcPr>
            <w:tcW w:w="920" w:type="dxa"/>
            <w:vAlign w:val="bottom"/>
          </w:tcPr>
          <w:p>
            <w:pPr>
              <w:spacing w:after="0" w:line="155" w:lineRule="exact"/>
              <w:rPr>
                <w:sz w:val="20"/>
                <w:szCs w:val="20"/>
                <w:color w:val="auto"/>
              </w:rPr>
            </w:pPr>
            <w:r>
              <w:rPr>
                <w:rFonts w:ascii="Arial" w:cs="Arial" w:eastAsia="Arial" w:hAnsi="Arial"/>
                <w:sz w:val="16"/>
                <w:szCs w:val="16"/>
                <w:color w:val="auto"/>
              </w:rPr>
              <w:t>3 (a)</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gridSpan w:val="30"/>
          </w:tcPr>
          <w:p>
            <w:pPr>
              <w:spacing w:after="0" w:line="155" w:lineRule="exact"/>
              <w:rPr>
                <w:rFonts w:ascii="Arial" w:cs="Arial" w:eastAsia="Arial" w:hAnsi="Arial"/>
                <w:sz w:val="16"/>
                <w:szCs w:val="16"/>
                <w:color w:val="0000EE"/>
              </w:rPr>
            </w:pPr>
            <w:hyperlink r:id="rId158">
              <w:r>
                <w:rPr>
                  <w:rFonts w:ascii="Arial" w:cs="Arial" w:eastAsia="Arial" w:hAnsi="Arial"/>
                  <w:sz w:val="16"/>
                  <w:szCs w:val="16"/>
                  <w:color w:val="0000EE"/>
                </w:rPr>
                <w:t>Amended and Restated Certificate of Incorporation of Company</w:t>
              </w:r>
            </w:hyperlink>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20"/>
              <w:spacing w:after="0" w:line="155"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6"/>
                <w:szCs w:val="16"/>
                <w:color w:val="auto"/>
              </w:rPr>
              <w:t>6/02/15</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3 (b)</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159">
              <w:r>
                <w:rPr>
                  <w:rFonts w:ascii="Arial" w:cs="Arial" w:eastAsia="Arial" w:hAnsi="Arial"/>
                  <w:sz w:val="16"/>
                  <w:szCs w:val="16"/>
                  <w:color w:val="0000EE"/>
                </w:rPr>
                <w:t>Bylaws of Company</w:t>
              </w:r>
            </w:hyperlink>
          </w:p>
        </w:tc>
        <w:tc>
          <w:tcPr>
            <w:tcW w:w="3120" w:type="dxa"/>
            <w:vAlign w:val="bottom"/>
            <w:tcBorders>
              <w:top w:val="single" w:sz="8" w:color="0000EE"/>
            </w:tcBorders>
            <w:gridSpan w:val="10"/>
          </w:tcPr>
          <w:p>
            <w:pPr>
              <w:spacing w:after="0"/>
              <w:rPr>
                <w:sz w:val="14"/>
                <w:szCs w:val="14"/>
                <w:color w:val="auto"/>
              </w:rPr>
            </w:pPr>
          </w:p>
        </w:tc>
        <w:tc>
          <w:tcPr>
            <w:tcW w:w="820" w:type="dxa"/>
            <w:vAlign w:val="bottom"/>
            <w:gridSpan w:val="14"/>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2/23/11</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4 (a)</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58">
              <w:r>
                <w:rPr>
                  <w:rFonts w:ascii="Arial" w:cs="Arial" w:eastAsia="Arial" w:hAnsi="Arial"/>
                  <w:sz w:val="16"/>
                  <w:szCs w:val="16"/>
                  <w:color w:val="0000EE"/>
                </w:rPr>
                <w:t>Article IV of Certificate of Incorporation of Company</w:t>
              </w:r>
            </w:hyperlink>
          </w:p>
        </w:tc>
        <w:tc>
          <w:tcPr>
            <w:tcW w:w="1680" w:type="dxa"/>
            <w:vAlign w:val="bottom"/>
            <w:gridSpan w:val="19"/>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6/02/15</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20"/>
                <w:szCs w:val="20"/>
                <w:color w:val="auto"/>
              </w:rPr>
            </w:pPr>
            <w:r>
              <w:rPr>
                <w:rFonts w:ascii="Arial" w:cs="Arial" w:eastAsia="Arial" w:hAnsi="Arial"/>
                <w:sz w:val="16"/>
                <w:szCs w:val="16"/>
                <w:color w:val="auto"/>
              </w:rPr>
              <w:t>4 (b)</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30"/>
          </w:tcPr>
          <w:p>
            <w:pPr>
              <w:spacing w:after="0"/>
              <w:rPr>
                <w:sz w:val="20"/>
                <w:szCs w:val="20"/>
                <w:color w:val="auto"/>
              </w:rPr>
            </w:pPr>
            <w:r>
              <w:rPr>
                <w:rFonts w:ascii="Arial" w:cs="Arial" w:eastAsia="Arial" w:hAnsi="Arial"/>
                <w:sz w:val="16"/>
                <w:szCs w:val="16"/>
                <w:color w:val="auto"/>
              </w:rPr>
              <w:t>Specimen Stock Certificate for Class A Common Stock</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S-1, No. 33-</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60" w:type="dxa"/>
            <w:vAlign w:val="bottom"/>
            <w:gridSpan w:val="33"/>
            <w:vMerge w:val="restart"/>
          </w:tcPr>
          <w:p>
            <w:pPr>
              <w:spacing w:after="0"/>
              <w:rPr>
                <w:sz w:val="20"/>
                <w:szCs w:val="20"/>
                <w:color w:val="auto"/>
              </w:rPr>
            </w:pPr>
            <w:r>
              <w:rPr>
                <w:rFonts w:ascii="Arial" w:cs="Arial" w:eastAsia="Arial" w:hAnsi="Arial"/>
                <w:sz w:val="16"/>
                <w:szCs w:val="16"/>
                <w:b w:val="1"/>
                <w:bCs w:val="1"/>
                <w:color w:val="auto"/>
              </w:rPr>
              <w:t>Credit Agreement</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16254</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9/30/87</w:t>
            </w:r>
          </w:p>
        </w:tc>
        <w:tc>
          <w:tcPr>
            <w:tcW w:w="0" w:type="dxa"/>
            <w:vAlign w:val="bottom"/>
          </w:tcPr>
          <w:p>
            <w:pPr>
              <w:spacing w:after="0"/>
              <w:rPr>
                <w:sz w:val="1"/>
                <w:szCs w:val="1"/>
                <w:color w:val="auto"/>
              </w:rPr>
            </w:pPr>
          </w:p>
        </w:tc>
      </w:tr>
      <w:tr>
        <w:trPr>
          <w:trHeight w:val="183"/>
        </w:trPr>
        <w:tc>
          <w:tcPr>
            <w:tcW w:w="6660" w:type="dxa"/>
            <w:vAlign w:val="bottom"/>
            <w:gridSpan w:val="33"/>
            <w:vMerge w:val="continue"/>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0" w:type="dxa"/>
            <w:vAlign w:val="bottom"/>
          </w:tcPr>
          <w:p>
            <w:pPr>
              <w:spacing w:after="0" w:line="160" w:lineRule="exact"/>
              <w:rPr>
                <w:sz w:val="20"/>
                <w:szCs w:val="20"/>
                <w:color w:val="auto"/>
              </w:rPr>
            </w:pPr>
            <w:r>
              <w:rPr>
                <w:rFonts w:ascii="Arial" w:cs="Arial" w:eastAsia="Arial" w:hAnsi="Arial"/>
                <w:sz w:val="16"/>
                <w:szCs w:val="16"/>
                <w:color w:val="auto"/>
              </w:rPr>
              <w:t>10(k)(xix)</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60" w:type="dxa"/>
            <w:vAlign w:val="bottom"/>
            <w:tcBorders>
              <w:bottom w:val="single" w:sz="8" w:color="0000EE"/>
            </w:tcBorders>
            <w:gridSpan w:val="19"/>
          </w:tcPr>
          <w:p>
            <w:pPr>
              <w:spacing w:after="0" w:line="160" w:lineRule="exact"/>
              <w:rPr>
                <w:rFonts w:ascii="Arial" w:cs="Arial" w:eastAsia="Arial" w:hAnsi="Arial"/>
                <w:sz w:val="16"/>
                <w:szCs w:val="16"/>
                <w:color w:val="0000EE"/>
              </w:rPr>
            </w:pPr>
            <w:hyperlink r:id="rId160">
              <w:r>
                <w:rPr>
                  <w:rFonts w:ascii="Arial" w:cs="Arial" w:eastAsia="Arial" w:hAnsi="Arial"/>
                  <w:sz w:val="16"/>
                  <w:szCs w:val="16"/>
                  <w:u w:val="single" w:color="auto"/>
                  <w:color w:val="0000EE"/>
                </w:rPr>
                <w:t>$</w:t>
              </w:r>
              <w:r>
                <w:rPr>
                  <w:rFonts w:ascii="Arial" w:cs="Arial" w:eastAsia="Arial" w:hAnsi="Arial"/>
                  <w:sz w:val="16"/>
                  <w:szCs w:val="16"/>
                  <w:color w:val="0000EE"/>
                </w:rPr>
                <w:t>685 Million Five-Year Revolving Credit Facility Agreement among</w:t>
              </w:r>
            </w:hyperlink>
          </w:p>
        </w:tc>
        <w:tc>
          <w:tcPr>
            <w:tcW w:w="620" w:type="dxa"/>
            <w:vAlign w:val="bottom"/>
            <w:gridSpan w:val="11"/>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60">
              <w:r>
                <w:rPr>
                  <w:rFonts w:ascii="Arial" w:cs="Arial" w:eastAsia="Arial" w:hAnsi="Arial"/>
                  <w:sz w:val="16"/>
                  <w:szCs w:val="16"/>
                  <w:color w:val="0000EE"/>
                </w:rPr>
                <w:t>Albany International Corp., the other Borrowers named therein, the</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60">
              <w:r>
                <w:rPr>
                  <w:rFonts w:ascii="Arial" w:cs="Arial" w:eastAsia="Arial" w:hAnsi="Arial"/>
                  <w:sz w:val="16"/>
                  <w:szCs w:val="16"/>
                  <w:color w:val="0000EE"/>
                </w:rPr>
                <w:t>Lenders Party thereto, JPMorgan Chase Bank, N.A., as Administrative</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160">
              <w:r>
                <w:rPr>
                  <w:rFonts w:ascii="Arial" w:cs="Arial" w:eastAsia="Arial" w:hAnsi="Arial"/>
                  <w:sz w:val="16"/>
                  <w:szCs w:val="16"/>
                  <w:color w:val="0000EE"/>
                </w:rPr>
                <w:t>Agent, dated as of November 7, 2017</w:t>
              </w:r>
            </w:hyperlink>
          </w:p>
        </w:tc>
        <w:tc>
          <w:tcPr>
            <w:tcW w:w="2340" w:type="dxa"/>
            <w:vAlign w:val="bottom"/>
            <w:tcBorders>
              <w:top w:val="single" w:sz="8" w:color="0000EE"/>
            </w:tcBorders>
            <w:gridSpan w:val="15"/>
          </w:tcPr>
          <w:p>
            <w:pPr>
              <w:spacing w:after="0"/>
              <w:rPr>
                <w:sz w:val="14"/>
                <w:szCs w:val="14"/>
                <w:color w:val="auto"/>
              </w:rPr>
            </w:pPr>
          </w:p>
        </w:tc>
        <w:tc>
          <w:tcPr>
            <w:tcW w:w="340" w:type="dxa"/>
            <w:vAlign w:val="bottom"/>
            <w:gridSpan w:val="5"/>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w w:val="99"/>
              </w:rPr>
              <w:t>11/07/17</w:t>
            </w:r>
          </w:p>
        </w:tc>
        <w:tc>
          <w:tcPr>
            <w:tcW w:w="0" w:type="dxa"/>
            <w:vAlign w:val="bottom"/>
          </w:tcPr>
          <w:p>
            <w:pPr>
              <w:spacing w:after="0"/>
              <w:rPr>
                <w:sz w:val="1"/>
                <w:szCs w:val="1"/>
                <w:color w:val="auto"/>
              </w:rPr>
            </w:pPr>
          </w:p>
        </w:tc>
      </w:tr>
      <w:tr>
        <w:trPr>
          <w:trHeight w:val="387"/>
        </w:trPr>
        <w:tc>
          <w:tcPr>
            <w:tcW w:w="6660" w:type="dxa"/>
            <w:vAlign w:val="bottom"/>
            <w:gridSpan w:val="33"/>
          </w:tcPr>
          <w:p>
            <w:pPr>
              <w:spacing w:after="0"/>
              <w:rPr>
                <w:sz w:val="20"/>
                <w:szCs w:val="20"/>
                <w:color w:val="auto"/>
              </w:rPr>
            </w:pPr>
            <w:r>
              <w:rPr>
                <w:rFonts w:ascii="Arial" w:cs="Arial" w:eastAsia="Arial" w:hAnsi="Arial"/>
                <w:sz w:val="16"/>
                <w:szCs w:val="16"/>
                <w:b w:val="1"/>
                <w:bCs w:val="1"/>
                <w:color w:val="auto"/>
              </w:rPr>
              <w:t>Restricted Stock Units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20" w:type="dxa"/>
            <w:vAlign w:val="bottom"/>
          </w:tcPr>
          <w:p>
            <w:pPr>
              <w:spacing w:after="0" w:line="160" w:lineRule="exact"/>
              <w:rPr>
                <w:sz w:val="20"/>
                <w:szCs w:val="20"/>
                <w:color w:val="auto"/>
              </w:rPr>
            </w:pPr>
            <w:r>
              <w:rPr>
                <w:rFonts w:ascii="Arial" w:cs="Arial" w:eastAsia="Arial" w:hAnsi="Arial"/>
                <w:sz w:val="16"/>
                <w:szCs w:val="16"/>
                <w:color w:val="auto"/>
              </w:rPr>
              <w:t>10(l)(viii)</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gridSpan w:val="30"/>
          </w:tcPr>
          <w:p>
            <w:pPr>
              <w:spacing w:after="0" w:line="160" w:lineRule="exact"/>
              <w:rPr>
                <w:rFonts w:ascii="Arial" w:cs="Arial" w:eastAsia="Arial" w:hAnsi="Arial"/>
                <w:sz w:val="16"/>
                <w:szCs w:val="16"/>
                <w:color w:val="0000EE"/>
              </w:rPr>
            </w:pPr>
            <w:hyperlink r:id="rId161">
              <w:r>
                <w:rPr>
                  <w:rFonts w:ascii="Arial" w:cs="Arial" w:eastAsia="Arial" w:hAnsi="Arial"/>
                  <w:sz w:val="16"/>
                  <w:szCs w:val="16"/>
                  <w:color w:val="0000EE"/>
                </w:rPr>
                <w:t>2011 Performance Phantom Stock Plan as adopted on May 26, 2011</w:t>
              </w:r>
            </w:hyperlink>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00"/>
              <w:spacing w:after="0" w:line="160" w:lineRule="exact"/>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rPr>
              <w:t>6/30/11</w:t>
            </w:r>
          </w:p>
        </w:tc>
        <w:tc>
          <w:tcPr>
            <w:tcW w:w="12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color w:val="auto"/>
              </w:rPr>
              <w:t>8/09/11</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10(l)(vi)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62">
              <w:r>
                <w:rPr>
                  <w:rFonts w:ascii="Arial" w:cs="Arial" w:eastAsia="Arial" w:hAnsi="Arial"/>
                  <w:sz w:val="16"/>
                  <w:szCs w:val="16"/>
                  <w:color w:val="0000EE"/>
                </w:rPr>
                <w:t>2003 Restricted Stock Unit Plan, as amended May 7, 2008</w:t>
              </w:r>
            </w:hyperlink>
          </w:p>
        </w:tc>
        <w:tc>
          <w:tcPr>
            <w:tcW w:w="440" w:type="dxa"/>
            <w:vAlign w:val="bottom"/>
            <w:gridSpan w:val="7"/>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5/13/08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10(l)(x)</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63">
              <w:r>
                <w:rPr>
                  <w:rFonts w:ascii="Arial" w:cs="Arial" w:eastAsia="Arial" w:hAnsi="Arial"/>
                  <w:sz w:val="16"/>
                  <w:szCs w:val="16"/>
                  <w:color w:val="0000EE"/>
                </w:rPr>
                <w:t>Form of Restricted Stock Unit Award for units granted on March 2, 2018</w:t>
              </w:r>
            </w:hyperlink>
          </w:p>
        </w:tc>
        <w:tc>
          <w:tcPr>
            <w:tcW w:w="220" w:type="dxa"/>
            <w:vAlign w:val="bottom"/>
            <w:gridSpan w:val="3"/>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3/06/18</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10(l)(xi)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64">
              <w:r>
                <w:rPr>
                  <w:rFonts w:ascii="Arial" w:cs="Arial" w:eastAsia="Arial" w:hAnsi="Arial"/>
                  <w:sz w:val="16"/>
                  <w:szCs w:val="16"/>
                  <w:color w:val="0000EE"/>
                </w:rPr>
                <w:t>Form of Restricted Stock Unit Award for units granted on August 28,</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5"/>
              </w:rPr>
            </w:pPr>
            <w:hyperlink r:id="rId164">
              <w:r>
                <w:rPr>
                  <w:rFonts w:ascii="Arial" w:cs="Arial" w:eastAsia="Arial" w:hAnsi="Arial"/>
                  <w:sz w:val="16"/>
                  <w:szCs w:val="16"/>
                  <w:color w:val="0000EE"/>
                  <w:w w:val="95"/>
                </w:rPr>
                <w:t>2018</w:t>
              </w:r>
            </w:hyperlink>
          </w:p>
        </w:tc>
        <w:tc>
          <w:tcPr>
            <w:tcW w:w="7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9/04/18</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10(l)(xii)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2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65">
              <w:r>
                <w:rPr>
                  <w:rFonts w:ascii="Arial" w:cs="Arial" w:eastAsia="Arial" w:hAnsi="Arial"/>
                  <w:sz w:val="16"/>
                  <w:szCs w:val="16"/>
                  <w:color w:val="0000EE"/>
                </w:rPr>
                <w:t>Form of Restricted Stock Unit Award for units granted on April 1, 2019</w:t>
              </w:r>
            </w:hyperlink>
          </w:p>
        </w:tc>
        <w:tc>
          <w:tcPr>
            <w:tcW w:w="360" w:type="dxa"/>
            <w:vAlign w:val="bottom"/>
            <w:gridSpan w:val="6"/>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rPr>
              <w:t>3/31/19</w:t>
            </w: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5/01/19</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10(l)(xiii)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Form of Restricted Stock Unit Award for units granted on November 4,</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5"/>
              </w:rPr>
            </w:pPr>
            <w:hyperlink w:anchor="page119">
              <w:r>
                <w:rPr>
                  <w:rFonts w:ascii="Arial" w:cs="Arial" w:eastAsia="Arial" w:hAnsi="Arial"/>
                  <w:sz w:val="16"/>
                  <w:szCs w:val="16"/>
                  <w:color w:val="0000EE"/>
                  <w:w w:val="95"/>
                </w:rPr>
                <w:t>2019</w:t>
              </w:r>
            </w:hyperlink>
          </w:p>
        </w:tc>
        <w:tc>
          <w:tcPr>
            <w:tcW w:w="7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w w:val="93"/>
              </w:rPr>
              <w:t>X</w:t>
            </w: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rPr>
              <w:t>12/31/19</w:t>
            </w: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10(l)(xiv)</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Form of 2011 Performance Stock Bonus agreement</w:t>
              </w:r>
            </w:hyperlink>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w w:val="93"/>
              </w:rPr>
              <w:t>X</w:t>
            </w: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rPr>
              <w:t>12/31/19</w:t>
            </w: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198"/>
        </w:trPr>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Stock Options</w:t>
            </w: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10(m)(i)</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80" w:type="dxa"/>
            <w:vAlign w:val="bottom"/>
            <w:gridSpan w:val="30"/>
          </w:tcPr>
          <w:p>
            <w:pPr>
              <w:spacing w:after="0"/>
              <w:rPr>
                <w:sz w:val="20"/>
                <w:szCs w:val="20"/>
                <w:color w:val="auto"/>
              </w:rPr>
            </w:pPr>
            <w:r>
              <w:rPr>
                <w:rFonts w:ascii="Arial" w:cs="Arial" w:eastAsia="Arial" w:hAnsi="Arial"/>
                <w:sz w:val="16"/>
                <w:szCs w:val="16"/>
                <w:color w:val="auto"/>
              </w:rPr>
              <w:t>1992 Stock Option Plan</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rPr>
              <w:t>8-K</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1/18/93</w:t>
            </w:r>
          </w:p>
        </w:tc>
        <w:tc>
          <w:tcPr>
            <w:tcW w:w="0" w:type="dxa"/>
            <w:vAlign w:val="bottom"/>
          </w:tcPr>
          <w:p>
            <w:pPr>
              <w:spacing w:after="0"/>
              <w:rPr>
                <w:sz w:val="1"/>
                <w:szCs w:val="1"/>
                <w:color w:val="auto"/>
              </w:rPr>
            </w:pPr>
          </w:p>
        </w:tc>
      </w:tr>
      <w:tr>
        <w:trPr>
          <w:trHeight w:val="160"/>
        </w:trPr>
        <w:tc>
          <w:tcPr>
            <w:tcW w:w="920" w:type="dxa"/>
            <w:vAlign w:val="bottom"/>
          </w:tcPr>
          <w:p>
            <w:pPr>
              <w:spacing w:after="0" w:line="160" w:lineRule="exact"/>
              <w:rPr>
                <w:sz w:val="20"/>
                <w:szCs w:val="20"/>
                <w:color w:val="auto"/>
              </w:rPr>
            </w:pPr>
            <w:r>
              <w:rPr>
                <w:rFonts w:ascii="Arial" w:cs="Arial" w:eastAsia="Arial" w:hAnsi="Arial"/>
                <w:sz w:val="16"/>
                <w:szCs w:val="16"/>
                <w:color w:val="auto"/>
              </w:rPr>
              <w:t>10(m)(vii)</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60" w:type="dxa"/>
            <w:vAlign w:val="bottom"/>
            <w:tcBorders>
              <w:bottom w:val="single" w:sz="8" w:color="0000EE"/>
            </w:tcBorders>
            <w:gridSpan w:val="27"/>
          </w:tcPr>
          <w:p>
            <w:pPr>
              <w:spacing w:after="0" w:line="160" w:lineRule="exact"/>
              <w:rPr>
                <w:rFonts w:ascii="Arial" w:cs="Arial" w:eastAsia="Arial" w:hAnsi="Arial"/>
                <w:sz w:val="16"/>
                <w:szCs w:val="16"/>
                <w:color w:val="0000EE"/>
              </w:rPr>
            </w:pPr>
            <w:hyperlink r:id="rId166">
              <w:r>
                <w:rPr>
                  <w:rFonts w:ascii="Arial" w:cs="Arial" w:eastAsia="Arial" w:hAnsi="Arial"/>
                  <w:sz w:val="16"/>
                  <w:szCs w:val="16"/>
                  <w:color w:val="0000EE"/>
                </w:rPr>
                <w:t>1998 Stock Option Plan, as amended and restated as of August 7, 2003</w:t>
              </w:r>
            </w:hyperlink>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00"/>
              <w:spacing w:after="0" w:line="160" w:lineRule="exact"/>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rPr>
              <w:t>9/30/03</w:t>
            </w:r>
          </w:p>
        </w:tc>
        <w:tc>
          <w:tcPr>
            <w:tcW w:w="12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color w:val="auto"/>
                <w:w w:val="99"/>
              </w:rPr>
              <w:t>11/06/03</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10(m)(ix)</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67">
              <w:r>
                <w:rPr>
                  <w:rFonts w:ascii="Arial" w:cs="Arial" w:eastAsia="Arial" w:hAnsi="Arial"/>
                  <w:sz w:val="16"/>
                  <w:szCs w:val="16"/>
                  <w:color w:val="0000EE"/>
                </w:rPr>
                <w:t>2011 Incentive Plan</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6/01/11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10(m)(xvii)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68">
              <w:r>
                <w:rPr>
                  <w:rFonts w:ascii="Arial" w:cs="Arial" w:eastAsia="Arial" w:hAnsi="Arial"/>
                  <w:sz w:val="16"/>
                  <w:szCs w:val="16"/>
                  <w:color w:val="0000EE"/>
                </w:rPr>
                <w:t>Form of 2011 Annual Performance Bonus Agreement</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3/29/11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10(m)(xviii)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69">
              <w:r>
                <w:rPr>
                  <w:rFonts w:ascii="Arial" w:cs="Arial" w:eastAsia="Arial" w:hAnsi="Arial"/>
                  <w:sz w:val="16"/>
                  <w:szCs w:val="16"/>
                  <w:color w:val="0000EE"/>
                </w:rPr>
                <w:t>Form of 2011 Multi-Year Performance Bonus Agreement</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3/29/11</w:t>
            </w: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320" w:type="dxa"/>
            <w:vAlign w:val="bottom"/>
            <w:gridSpan w:val="17"/>
          </w:tcPr>
          <w:p>
            <w:pPr>
              <w:spacing w:after="0"/>
              <w:rPr>
                <w:sz w:val="20"/>
                <w:szCs w:val="20"/>
                <w:color w:val="auto"/>
              </w:rPr>
            </w:pPr>
            <w:r>
              <w:rPr>
                <w:rFonts w:ascii="Arial" w:cs="Arial" w:eastAsia="Arial" w:hAnsi="Arial"/>
                <w:sz w:val="16"/>
                <w:szCs w:val="16"/>
                <w:b w:val="1"/>
                <w:bCs w:val="1"/>
                <w:color w:val="auto"/>
              </w:rPr>
              <w:t>Executive Compensation</w:t>
            </w:r>
          </w:p>
        </w:tc>
        <w:tc>
          <w:tcPr>
            <w:tcW w:w="540" w:type="dxa"/>
            <w:vAlign w:val="bottom"/>
            <w:gridSpan w:val="3"/>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gridSpan w:val="3"/>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920" w:type="dxa"/>
            <w:vAlign w:val="bottom"/>
            <w:vMerge w:val="restart"/>
          </w:tcPr>
          <w:p>
            <w:pPr>
              <w:spacing w:after="0"/>
              <w:rPr>
                <w:sz w:val="20"/>
                <w:szCs w:val="20"/>
                <w:color w:val="auto"/>
              </w:rPr>
            </w:pPr>
            <w:r>
              <w:rPr>
                <w:rFonts w:ascii="Arial" w:cs="Arial" w:eastAsia="Arial" w:hAnsi="Arial"/>
                <w:sz w:val="16"/>
                <w:szCs w:val="16"/>
                <w:color w:val="auto"/>
              </w:rPr>
              <w:t>10(l)(viii)</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gridSpan w:val="30"/>
          </w:tcPr>
          <w:p>
            <w:pPr>
              <w:spacing w:after="0" w:line="160" w:lineRule="exact"/>
              <w:rPr>
                <w:rFonts w:ascii="Arial" w:cs="Arial" w:eastAsia="Arial" w:hAnsi="Arial"/>
                <w:sz w:val="16"/>
                <w:szCs w:val="16"/>
                <w:color w:val="0000EE"/>
              </w:rPr>
            </w:pPr>
            <w:hyperlink r:id="rId170">
              <w:r>
                <w:rPr>
                  <w:rFonts w:ascii="Arial" w:cs="Arial" w:eastAsia="Arial" w:hAnsi="Arial"/>
                  <w:sz w:val="16"/>
                  <w:szCs w:val="16"/>
                  <w:color w:val="0000EE"/>
                </w:rPr>
                <w:t>Form of Severance Agreement between the Company and certain</w:t>
              </w:r>
            </w:hyperlink>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720" w:type="dxa"/>
            <w:vAlign w:val="bottom"/>
            <w:tcBorders>
              <w:top w:val="single" w:sz="8" w:color="0000EE"/>
            </w:tcBorders>
            <w:gridSpan w:val="18"/>
            <w:vMerge w:val="restart"/>
          </w:tcPr>
          <w:p>
            <w:pPr>
              <w:spacing w:after="0" w:line="169" w:lineRule="exact"/>
              <w:rPr>
                <w:rFonts w:ascii="Arial" w:cs="Arial" w:eastAsia="Arial" w:hAnsi="Arial"/>
                <w:sz w:val="16"/>
                <w:szCs w:val="16"/>
                <w:color w:val="0000EE"/>
              </w:rPr>
            </w:pPr>
            <w:hyperlink r:id="rId170">
              <w:r>
                <w:rPr>
                  <w:rFonts w:ascii="Arial" w:cs="Arial" w:eastAsia="Arial" w:hAnsi="Arial"/>
                  <w:sz w:val="16"/>
                  <w:szCs w:val="16"/>
                  <w:color w:val="0000EE"/>
                </w:rPr>
                <w:t>corporate officers or key executives</w:t>
              </w:r>
            </w:hyperlink>
          </w:p>
        </w:tc>
        <w:tc>
          <w:tcPr>
            <w:tcW w:w="660" w:type="dxa"/>
            <w:vAlign w:val="bottom"/>
            <w:gridSpan w:val="12"/>
            <w:vMerge w:val="restart"/>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center"/>
              <w:spacing w:after="0" w:line="169" w:lineRule="exact"/>
              <w:rPr>
                <w:sz w:val="20"/>
                <w:szCs w:val="20"/>
                <w:color w:val="auto"/>
              </w:rPr>
            </w:pPr>
            <w:r>
              <w:rPr>
                <w:rFonts w:ascii="Arial" w:cs="Arial" w:eastAsia="Arial" w:hAnsi="Arial"/>
                <w:sz w:val="16"/>
                <w:szCs w:val="16"/>
                <w:color w:val="auto"/>
              </w:rPr>
              <w:t>1/04/16</w:t>
            </w:r>
          </w:p>
        </w:tc>
        <w:tc>
          <w:tcPr>
            <w:tcW w:w="0" w:type="dxa"/>
            <w:vAlign w:val="bottom"/>
          </w:tcPr>
          <w:p>
            <w:pPr>
              <w:spacing w:after="0"/>
              <w:rPr>
                <w:sz w:val="1"/>
                <w:szCs w:val="1"/>
                <w:color w:val="auto"/>
              </w:rPr>
            </w:pPr>
          </w:p>
        </w:tc>
      </w:tr>
      <w:tr>
        <w:trPr>
          <w:trHeight w:val="60"/>
        </w:trPr>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720" w:type="dxa"/>
            <w:vAlign w:val="bottom"/>
            <w:gridSpan w:val="18"/>
            <w:vMerge w:val="continue"/>
          </w:tcPr>
          <w:p>
            <w:pPr>
              <w:spacing w:after="0"/>
              <w:rPr>
                <w:sz w:val="5"/>
                <w:szCs w:val="5"/>
                <w:color w:val="auto"/>
              </w:rPr>
            </w:pPr>
          </w:p>
        </w:tc>
        <w:tc>
          <w:tcPr>
            <w:tcW w:w="660" w:type="dxa"/>
            <w:vAlign w:val="bottom"/>
            <w:gridSpan w:val="12"/>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10(n)(i)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r:id="rId171">
              <w:r>
                <w:rPr>
                  <w:rFonts w:ascii="Arial" w:cs="Arial" w:eastAsia="Arial" w:hAnsi="Arial"/>
                  <w:sz w:val="16"/>
                  <w:szCs w:val="16"/>
                  <w:color w:val="0000EE"/>
                </w:rPr>
                <w:t>Supplemental Executive Retirement Plan, adopted as of January 1,</w:t>
              </w:r>
            </w:hyperlink>
          </w:p>
        </w:tc>
        <w:tc>
          <w:tcPr>
            <w:tcW w:w="560" w:type="dxa"/>
            <w:vAlign w:val="bottom"/>
            <w:gridSpan w:val="9"/>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71">
              <w:r>
                <w:rPr>
                  <w:rFonts w:ascii="Arial" w:cs="Arial" w:eastAsia="Arial" w:hAnsi="Arial"/>
                  <w:sz w:val="16"/>
                  <w:szCs w:val="16"/>
                  <w:color w:val="0000EE"/>
                </w:rPr>
                <w:t>1994, as amended and restated as of January 1, 2008</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1/02/08</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10(n)(ii)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r:id="rId172">
              <w:r>
                <w:rPr>
                  <w:rFonts w:ascii="Arial" w:cs="Arial" w:eastAsia="Arial" w:hAnsi="Arial"/>
                  <w:sz w:val="16"/>
                  <w:szCs w:val="16"/>
                  <w:color w:val="0000EE"/>
                </w:rPr>
                <w:t>2017 Incentive Plan</w:t>
              </w:r>
            </w:hyperlink>
          </w:p>
        </w:tc>
        <w:tc>
          <w:tcPr>
            <w:tcW w:w="1500" w:type="dxa"/>
            <w:vAlign w:val="bottom"/>
            <w:gridSpan w:val="17"/>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Def 14A</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3/29/17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10(n)(iii)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73">
              <w:r>
                <w:rPr>
                  <w:rFonts w:ascii="Arial" w:cs="Arial" w:eastAsia="Arial" w:hAnsi="Arial"/>
                  <w:sz w:val="16"/>
                  <w:szCs w:val="16"/>
                  <w:color w:val="0000EE"/>
                </w:rPr>
                <w:t>Form of Incentive Award, dated April 1, 2019, between the Company and</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r:id="rId173">
              <w:r>
                <w:rPr>
                  <w:rFonts w:ascii="Arial" w:cs="Arial" w:eastAsia="Arial" w:hAnsi="Arial"/>
                  <w:sz w:val="16"/>
                  <w:szCs w:val="16"/>
                  <w:color w:val="0000EE"/>
                  <w:w w:val="99"/>
                </w:rPr>
                <w:t>Stephen M. Nolan</w:t>
              </w:r>
            </w:hyperlink>
          </w:p>
        </w:tc>
        <w:tc>
          <w:tcPr>
            <w:tcW w:w="3920" w:type="dxa"/>
            <w:vAlign w:val="bottom"/>
            <w:tcBorders>
              <w:top w:val="single" w:sz="8" w:color="0000EE"/>
            </w:tcBorders>
            <w:gridSpan w:val="25"/>
          </w:tcPr>
          <w:p>
            <w:pPr>
              <w:spacing w:after="0"/>
              <w:rPr>
                <w:sz w:val="14"/>
                <w:szCs w:val="14"/>
                <w:color w:val="auto"/>
              </w:rPr>
            </w:pPr>
          </w:p>
        </w:tc>
        <w:tc>
          <w:tcPr>
            <w:tcW w:w="16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rPr>
              <w:t>3/31/19</w:t>
            </w: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5/01/19</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10(n)(iv)</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 xml:space="preserve">Form of Sign on Bonus Agreement, dated November </w:t>
              </w:r>
            </w:hyperlink>
            <w:hyperlink r:id="rId173">
              <w:r>
                <w:rPr>
                  <w:rFonts w:ascii="Arial" w:cs="Arial" w:eastAsia="Arial" w:hAnsi="Arial"/>
                  <w:sz w:val="16"/>
                  <w:szCs w:val="16"/>
                  <w:color w:val="0000EE"/>
                </w:rPr>
                <w:t>4,2019, between</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2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r:id="rId173">
              <w:r>
                <w:rPr>
                  <w:rFonts w:ascii="Arial" w:cs="Arial" w:eastAsia="Arial" w:hAnsi="Arial"/>
                  <w:sz w:val="16"/>
                  <w:szCs w:val="16"/>
                  <w:color w:val="0000EE"/>
                </w:rPr>
                <w:t>the Company and Greg Harwell</w:t>
              </w:r>
            </w:hyperlink>
          </w:p>
        </w:tc>
        <w:tc>
          <w:tcPr>
            <w:tcW w:w="360" w:type="dxa"/>
            <w:vAlign w:val="bottom"/>
            <w:gridSpan w:val="6"/>
          </w:tcPr>
          <w:p>
            <w:pPr>
              <w:spacing w:after="0"/>
              <w:rPr>
                <w:sz w:val="14"/>
                <w:szCs w:val="14"/>
                <w:color w:val="auto"/>
              </w:rPr>
            </w:pPr>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w w:val="93"/>
              </w:rPr>
              <w:t>X</w:t>
            </w: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rPr>
              <w:t>12/31/19</w:t>
            </w: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10(n)(v)</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4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r:id="rId174">
              <w:r>
                <w:rPr>
                  <w:rFonts w:ascii="Arial" w:cs="Arial" w:eastAsia="Arial" w:hAnsi="Arial"/>
                  <w:sz w:val="16"/>
                  <w:szCs w:val="16"/>
                  <w:color w:val="0000EE"/>
                </w:rPr>
                <w:t>Form of Retention Bonus Agreement, dated January 21, 2020, between</w:t>
              </w:r>
            </w:hyperlink>
          </w:p>
        </w:tc>
        <w:tc>
          <w:tcPr>
            <w:tcW w:w="240" w:type="dxa"/>
            <w:vAlign w:val="bottom"/>
            <w:gridSpan w:val="4"/>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174">
              <w:r>
                <w:rPr>
                  <w:rFonts w:ascii="Arial" w:cs="Arial" w:eastAsia="Arial" w:hAnsi="Arial"/>
                  <w:sz w:val="16"/>
                  <w:szCs w:val="16"/>
                  <w:color w:val="0000EE"/>
                </w:rPr>
                <w:t>the Company and Stephen M. Nolan</w:t>
              </w:r>
            </w:hyperlink>
          </w:p>
        </w:tc>
        <w:tc>
          <w:tcPr>
            <w:tcW w:w="2760" w:type="dxa"/>
            <w:vAlign w:val="bottom"/>
            <w:gridSpan w:val="21"/>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8-K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1/23/20</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10(o)(iv)</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0"/>
          </w:tcPr>
          <w:p>
            <w:pPr>
              <w:spacing w:after="0" w:line="169" w:lineRule="exact"/>
              <w:rPr>
                <w:rFonts w:ascii="Arial" w:cs="Arial" w:eastAsia="Arial" w:hAnsi="Arial"/>
                <w:sz w:val="16"/>
                <w:szCs w:val="16"/>
                <w:color w:val="0000EE"/>
              </w:rPr>
            </w:pPr>
            <w:hyperlink r:id="rId175">
              <w:r>
                <w:rPr>
                  <w:rFonts w:ascii="Arial" w:cs="Arial" w:eastAsia="Arial" w:hAnsi="Arial"/>
                  <w:sz w:val="16"/>
                  <w:szCs w:val="16"/>
                  <w:color w:val="0000EE"/>
                </w:rPr>
                <w:t>Directors’ Annual Retainer Plan, as amended and restated as of</w:t>
              </w:r>
            </w:hyperlink>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75">
              <w:r>
                <w:rPr>
                  <w:rFonts w:ascii="Arial" w:cs="Arial" w:eastAsia="Arial" w:hAnsi="Arial"/>
                  <w:sz w:val="16"/>
                  <w:szCs w:val="16"/>
                  <w:color w:val="0000EE"/>
                </w:rPr>
                <w:t>February 23, 2018</w:t>
              </w:r>
            </w:hyperlink>
          </w:p>
        </w:tc>
        <w:tc>
          <w:tcPr>
            <w:tcW w:w="800" w:type="dxa"/>
            <w:vAlign w:val="bottom"/>
            <w:gridSpan w:val="13"/>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Def 14A</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3/28/18</w:t>
            </w: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10(p)</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9"/>
              </w:rPr>
            </w:pPr>
            <w:hyperlink r:id="rId176">
              <w:r>
                <w:rPr>
                  <w:rFonts w:ascii="Arial" w:cs="Arial" w:eastAsia="Arial" w:hAnsi="Arial"/>
                  <w:sz w:val="16"/>
                  <w:szCs w:val="16"/>
                  <w:color w:val="0000EE"/>
                  <w:w w:val="99"/>
                </w:rPr>
                <w:t>Code of Ethics</w:t>
              </w:r>
            </w:hyperlink>
          </w:p>
        </w:tc>
        <w:tc>
          <w:tcPr>
            <w:tcW w:w="260" w:type="dxa"/>
            <w:vAlign w:val="bottom"/>
            <w:tcBorders>
              <w:top w:val="single" w:sz="8" w:color="0000EE"/>
            </w:tcBorders>
            <w:gridSpan w:val="2"/>
          </w:tcPr>
          <w:p>
            <w:pPr>
              <w:spacing w:after="0"/>
              <w:rPr>
                <w:sz w:val="14"/>
                <w:szCs w:val="14"/>
                <w:color w:val="auto"/>
              </w:rPr>
            </w:pPr>
          </w:p>
        </w:tc>
        <w:tc>
          <w:tcPr>
            <w:tcW w:w="4060" w:type="dxa"/>
            <w:vAlign w:val="bottom"/>
            <w:gridSpan w:val="26"/>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rPr>
              <w:t>12/31/03</w:t>
            </w: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3/11/04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12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tcPr>
          <w:p>
            <w:pPr>
              <w:spacing w:after="0"/>
              <w:rPr>
                <w:sz w:val="24"/>
                <w:szCs w:val="24"/>
                <w:color w:val="auto"/>
              </w:rPr>
            </w:pPr>
          </w:p>
        </w:tc>
        <w:tc>
          <w:tcPr>
            <w:tcW w:w="5140" w:type="dxa"/>
            <w:vAlign w:val="bottom"/>
            <w:tcBorders>
              <w:bottom w:val="single" w:sz="8" w:color="auto"/>
            </w:tcBorders>
            <w:gridSpan w:val="27"/>
          </w:tcPr>
          <w:p>
            <w:pPr>
              <w:spacing w:after="0"/>
              <w:rPr>
                <w:sz w:val="20"/>
                <w:szCs w:val="20"/>
                <w:color w:val="auto"/>
              </w:rPr>
            </w:pPr>
            <w:r>
              <w:rPr>
                <w:rFonts w:ascii="Arial" w:cs="Arial" w:eastAsia="Arial" w:hAnsi="Arial"/>
                <w:sz w:val="14"/>
                <w:szCs w:val="14"/>
                <w:b w:val="1"/>
                <w:bCs w:val="1"/>
                <w:color w:val="auto"/>
              </w:rPr>
              <w:t>Exhibit Description</w:t>
            </w:r>
          </w:p>
        </w:tc>
      </w:tr>
      <w:tr>
        <w:trPr>
          <w:trHeight w:val="156"/>
        </w:trPr>
        <w:tc>
          <w:tcPr>
            <w:tcW w:w="1280" w:type="dxa"/>
            <w:vAlign w:val="bottom"/>
            <w:gridSpan w:val="3"/>
          </w:tcPr>
          <w:p>
            <w:pPr>
              <w:spacing w:after="0" w:line="155" w:lineRule="exact"/>
              <w:rPr>
                <w:sz w:val="20"/>
                <w:szCs w:val="20"/>
                <w:color w:val="auto"/>
              </w:rPr>
            </w:pPr>
            <w:r>
              <w:rPr>
                <w:rFonts w:ascii="Arial" w:cs="Arial" w:eastAsia="Arial" w:hAnsi="Arial"/>
                <w:sz w:val="16"/>
                <w:szCs w:val="16"/>
                <w:color w:val="auto"/>
              </w:rPr>
              <w:t>10(q)</w:t>
            </w:r>
          </w:p>
        </w:tc>
        <w:tc>
          <w:tcPr>
            <w:tcW w:w="4760" w:type="dxa"/>
            <w:vAlign w:val="bottom"/>
            <w:tcBorders>
              <w:bottom w:val="single" w:sz="8" w:color="0000EE"/>
            </w:tcBorders>
            <w:gridSpan w:val="17"/>
          </w:tcPr>
          <w:p>
            <w:pPr>
              <w:spacing w:after="0" w:line="155" w:lineRule="exact"/>
              <w:rPr>
                <w:rFonts w:ascii="Arial" w:cs="Arial" w:eastAsia="Arial" w:hAnsi="Arial"/>
                <w:sz w:val="16"/>
                <w:szCs w:val="16"/>
                <w:color w:val="0000EE"/>
              </w:rPr>
            </w:pPr>
            <w:hyperlink r:id="rId178">
              <w:r>
                <w:rPr>
                  <w:rFonts w:ascii="Arial" w:cs="Arial" w:eastAsia="Arial" w:hAnsi="Arial"/>
                  <w:sz w:val="16"/>
                  <w:szCs w:val="16"/>
                  <w:color w:val="0000EE"/>
                </w:rPr>
                <w:t>Directors Pension Plan, amendment dated as of January 12, 2005</w:t>
              </w:r>
            </w:hyperlink>
          </w:p>
        </w:tc>
        <w:tc>
          <w:tcPr>
            <w:tcW w:w="380" w:type="dxa"/>
            <w:vAlign w:val="bottom"/>
            <w:gridSpan w:val="10"/>
          </w:tcPr>
          <w:p>
            <w:pPr>
              <w:spacing w:after="0"/>
              <w:rPr>
                <w:sz w:val="13"/>
                <w:szCs w:val="13"/>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10(t)</w:t>
            </w:r>
          </w:p>
        </w:tc>
        <w:tc>
          <w:tcPr>
            <w:tcW w:w="5140" w:type="dxa"/>
            <w:vAlign w:val="bottom"/>
            <w:gridSpan w:val="27"/>
          </w:tcPr>
          <w:p>
            <w:pPr>
              <w:spacing w:after="0" w:line="169" w:lineRule="exact"/>
              <w:rPr>
                <w:rFonts w:ascii="Arial" w:cs="Arial" w:eastAsia="Arial" w:hAnsi="Arial"/>
                <w:sz w:val="16"/>
                <w:szCs w:val="16"/>
                <w:color w:val="0000EE"/>
              </w:rPr>
            </w:pPr>
            <w:hyperlink r:id="rId179">
              <w:r>
                <w:rPr>
                  <w:rFonts w:ascii="Arial" w:cs="Arial" w:eastAsia="Arial" w:hAnsi="Arial"/>
                  <w:sz w:val="16"/>
                  <w:szCs w:val="16"/>
                  <w:color w:val="0000EE"/>
                </w:rPr>
                <w:t>Form of Indemnification Agreement</w:t>
              </w:r>
            </w:hyperlink>
          </w:p>
        </w:tc>
      </w:tr>
      <w:tr>
        <w:trPr>
          <w:trHeight w:val="20"/>
        </w:trPr>
        <w:tc>
          <w:tcPr>
            <w:tcW w:w="128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10(u)</w:t>
            </w:r>
          </w:p>
        </w:tc>
        <w:tc>
          <w:tcPr>
            <w:tcW w:w="5140" w:type="dxa"/>
            <w:vAlign w:val="bottom"/>
            <w:gridSpan w:val="27"/>
          </w:tcPr>
          <w:p>
            <w:pPr>
              <w:spacing w:after="0" w:line="169" w:lineRule="exact"/>
              <w:rPr>
                <w:rFonts w:ascii="Arial" w:cs="Arial" w:eastAsia="Arial" w:hAnsi="Arial"/>
                <w:sz w:val="16"/>
                <w:szCs w:val="16"/>
                <w:color w:val="0000EE"/>
              </w:rPr>
            </w:pPr>
            <w:hyperlink r:id="rId180">
              <w:r>
                <w:rPr>
                  <w:rFonts w:ascii="Arial" w:cs="Arial" w:eastAsia="Arial" w:hAnsi="Arial"/>
                  <w:sz w:val="16"/>
                  <w:szCs w:val="16"/>
                  <w:color w:val="0000EE"/>
                </w:rPr>
                <w:t>Employment agreement, dated March 2, 2018, between the Company</w:t>
              </w:r>
            </w:hyperlink>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80">
              <w:r>
                <w:rPr>
                  <w:rFonts w:ascii="Arial" w:cs="Arial" w:eastAsia="Arial" w:hAnsi="Arial"/>
                  <w:sz w:val="16"/>
                  <w:szCs w:val="16"/>
                  <w:color w:val="0000EE"/>
                </w:rPr>
                <w:t>and Olivier M. Jarrault</w:t>
              </w:r>
            </w:hyperlink>
          </w:p>
        </w:tc>
        <w:tc>
          <w:tcPr>
            <w:tcW w:w="140" w:type="dxa"/>
            <w:vAlign w:val="bottom"/>
            <w:gridSpan w:val="4"/>
          </w:tcPr>
          <w:p>
            <w:pPr>
              <w:spacing w:after="0"/>
              <w:rPr>
                <w:sz w:val="14"/>
                <w:szCs w:val="14"/>
                <w:color w:val="auto"/>
              </w:rPr>
            </w:pPr>
          </w:p>
        </w:tc>
      </w:tr>
      <w:tr>
        <w:trPr>
          <w:trHeight w:val="20"/>
        </w:trPr>
        <w:tc>
          <w:tcPr>
            <w:tcW w:w="128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10(u)</w:t>
            </w:r>
          </w:p>
        </w:tc>
        <w:tc>
          <w:tcPr>
            <w:tcW w:w="462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181">
              <w:r>
                <w:rPr>
                  <w:rFonts w:ascii="Arial" w:cs="Arial" w:eastAsia="Arial" w:hAnsi="Arial"/>
                  <w:sz w:val="16"/>
                  <w:szCs w:val="16"/>
                  <w:color w:val="0000EE"/>
                </w:rPr>
                <w:t>First Amendment, dated July 9, 2018, to amend the employment</w:t>
              </w:r>
            </w:hyperlink>
          </w:p>
        </w:tc>
        <w:tc>
          <w:tcPr>
            <w:tcW w:w="520" w:type="dxa"/>
            <w:vAlign w:val="bottom"/>
            <w:gridSpan w:val="13"/>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81">
              <w:r>
                <w:rPr>
                  <w:rFonts w:ascii="Arial" w:cs="Arial" w:eastAsia="Arial" w:hAnsi="Arial"/>
                  <w:sz w:val="16"/>
                  <w:szCs w:val="16"/>
                  <w:color w:val="0000EE"/>
                </w:rPr>
                <w:t>agreement between the Company and Olivier M. Jarrault</w:t>
              </w:r>
            </w:hyperlink>
          </w:p>
        </w:tc>
        <w:tc>
          <w:tcPr>
            <w:tcW w:w="1060" w:type="dxa"/>
            <w:vAlign w:val="bottom"/>
            <w:gridSpan w:val="16"/>
          </w:tcPr>
          <w:p>
            <w:pPr>
              <w:spacing w:after="0"/>
              <w:rPr>
                <w:sz w:val="14"/>
                <w:szCs w:val="14"/>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10(u)(ii)</w:t>
            </w:r>
          </w:p>
        </w:tc>
        <w:tc>
          <w:tcPr>
            <w:tcW w:w="510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82">
              <w:r>
                <w:rPr>
                  <w:rFonts w:ascii="Arial" w:cs="Arial" w:eastAsia="Arial" w:hAnsi="Arial"/>
                  <w:sz w:val="16"/>
                  <w:szCs w:val="16"/>
                  <w:color w:val="0000EE"/>
                </w:rPr>
                <w:t>Second Amendment, dated March 15, 2019, to amend employment the</w:t>
              </w:r>
            </w:hyperlink>
          </w:p>
        </w:tc>
        <w:tc>
          <w:tcPr>
            <w:tcW w:w="40" w:type="dxa"/>
            <w:vAlign w:val="bottom"/>
            <w:gridSpan w:val="2"/>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82">
              <w:r>
                <w:rPr>
                  <w:rFonts w:ascii="Arial" w:cs="Arial" w:eastAsia="Arial" w:hAnsi="Arial"/>
                  <w:sz w:val="16"/>
                  <w:szCs w:val="16"/>
                  <w:color w:val="0000EE"/>
                </w:rPr>
                <w:t>agreement between the Company and Olivier M. Jarrault</w:t>
              </w:r>
            </w:hyperlink>
          </w:p>
        </w:tc>
        <w:tc>
          <w:tcPr>
            <w:tcW w:w="1060" w:type="dxa"/>
            <w:vAlign w:val="bottom"/>
            <w:gridSpan w:val="16"/>
          </w:tcPr>
          <w:p>
            <w:pPr>
              <w:spacing w:after="0"/>
              <w:rPr>
                <w:sz w:val="14"/>
                <w:szCs w:val="14"/>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10(u)(iii)</w:t>
            </w:r>
          </w:p>
        </w:tc>
        <w:tc>
          <w:tcPr>
            <w:tcW w:w="5140" w:type="dxa"/>
            <w:vAlign w:val="bottom"/>
            <w:gridSpan w:val="27"/>
          </w:tcPr>
          <w:p>
            <w:pPr>
              <w:spacing w:after="0" w:line="169" w:lineRule="exact"/>
              <w:rPr>
                <w:rFonts w:ascii="Arial" w:cs="Arial" w:eastAsia="Arial" w:hAnsi="Arial"/>
                <w:sz w:val="16"/>
                <w:szCs w:val="16"/>
                <w:color w:val="0000EE"/>
              </w:rPr>
            </w:pPr>
            <w:hyperlink w:anchor="page134">
              <w:r>
                <w:rPr>
                  <w:rFonts w:ascii="Arial" w:cs="Arial" w:eastAsia="Arial" w:hAnsi="Arial"/>
                  <w:sz w:val="16"/>
                  <w:szCs w:val="16"/>
                  <w:color w:val="0000EE"/>
                </w:rPr>
                <w:t>Third Amendment, dated November 8, 2019, to amend employment the</w:t>
              </w:r>
            </w:hyperlink>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w:anchor="page134">
              <w:r>
                <w:rPr>
                  <w:rFonts w:ascii="Arial" w:cs="Arial" w:eastAsia="Arial" w:hAnsi="Arial"/>
                  <w:sz w:val="16"/>
                  <w:szCs w:val="16"/>
                  <w:color w:val="0000EE"/>
                </w:rPr>
                <w:t>agreement between the Company and Olivier M. Jarrault</w:t>
              </w:r>
            </w:hyperlink>
          </w:p>
        </w:tc>
        <w:tc>
          <w:tcPr>
            <w:tcW w:w="20" w:type="dxa"/>
            <w:vAlign w:val="bottom"/>
          </w:tcPr>
          <w:p>
            <w:pPr>
              <w:spacing w:after="0"/>
              <w:rPr>
                <w:sz w:val="14"/>
                <w:szCs w:val="14"/>
                <w:color w:val="auto"/>
              </w:rPr>
            </w:pPr>
          </w:p>
        </w:tc>
      </w:tr>
      <w:tr>
        <w:trPr>
          <w:trHeight w:val="20"/>
        </w:trPr>
        <w:tc>
          <w:tcPr>
            <w:tcW w:w="128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10(u)(iv)</w:t>
            </w:r>
          </w:p>
        </w:tc>
        <w:tc>
          <w:tcPr>
            <w:tcW w:w="5140" w:type="dxa"/>
            <w:vAlign w:val="bottom"/>
            <w:gridSpan w:val="27"/>
          </w:tcPr>
          <w:p>
            <w:pPr>
              <w:spacing w:after="0" w:line="169" w:lineRule="exact"/>
              <w:rPr>
                <w:rFonts w:ascii="Arial" w:cs="Arial" w:eastAsia="Arial" w:hAnsi="Arial"/>
                <w:sz w:val="16"/>
                <w:szCs w:val="16"/>
                <w:color w:val="0000EE"/>
              </w:rPr>
            </w:pPr>
            <w:hyperlink w:anchor="page136">
              <w:r>
                <w:rPr>
                  <w:rFonts w:ascii="Arial" w:cs="Arial" w:eastAsia="Arial" w:hAnsi="Arial"/>
                  <w:sz w:val="16"/>
                  <w:szCs w:val="16"/>
                  <w:color w:val="0000EE"/>
                </w:rPr>
                <w:t>Executive separation agreement, dated December 12, 2019, between</w:t>
              </w:r>
            </w:hyperlink>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w:anchor="page136">
              <w:r>
                <w:rPr>
                  <w:rFonts w:ascii="Arial" w:cs="Arial" w:eastAsia="Arial" w:hAnsi="Arial"/>
                  <w:sz w:val="16"/>
                  <w:szCs w:val="16"/>
                  <w:color w:val="0000EE"/>
                </w:rPr>
                <w:t>the Company and Charles J. Silva, Jr.</w:t>
              </w:r>
            </w:hyperlink>
          </w:p>
        </w:tc>
        <w:tc>
          <w:tcPr>
            <w:tcW w:w="160" w:type="dxa"/>
            <w:vAlign w:val="bottom"/>
            <w:gridSpan w:val="5"/>
          </w:tcPr>
          <w:p>
            <w:pPr>
              <w:spacing w:after="0"/>
              <w:rPr>
                <w:sz w:val="14"/>
                <w:szCs w:val="14"/>
                <w:color w:val="auto"/>
              </w:rPr>
            </w:pPr>
          </w:p>
        </w:tc>
      </w:tr>
      <w:tr>
        <w:trPr>
          <w:trHeight w:val="20"/>
        </w:trPr>
        <w:tc>
          <w:tcPr>
            <w:tcW w:w="128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10(u)(v)</w:t>
            </w:r>
          </w:p>
        </w:tc>
        <w:tc>
          <w:tcPr>
            <w:tcW w:w="5140" w:type="dxa"/>
            <w:vAlign w:val="bottom"/>
            <w:gridSpan w:val="27"/>
          </w:tcPr>
          <w:p>
            <w:pPr>
              <w:spacing w:after="0" w:line="169" w:lineRule="exact"/>
              <w:rPr>
                <w:rFonts w:ascii="Arial" w:cs="Arial" w:eastAsia="Arial" w:hAnsi="Arial"/>
                <w:sz w:val="16"/>
                <w:szCs w:val="16"/>
                <w:color w:val="0000EE"/>
              </w:rPr>
            </w:pPr>
            <w:hyperlink w:anchor="page146">
              <w:r>
                <w:rPr>
                  <w:rFonts w:ascii="Arial" w:cs="Arial" w:eastAsia="Arial" w:hAnsi="Arial"/>
                  <w:sz w:val="16"/>
                  <w:szCs w:val="16"/>
                  <w:color w:val="0000EE"/>
                </w:rPr>
                <w:t>Executive separation agreement, dated March 29, 2019, between the</w:t>
              </w:r>
            </w:hyperlink>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w:anchor="page146">
              <w:r>
                <w:rPr>
                  <w:rFonts w:ascii="Arial" w:cs="Arial" w:eastAsia="Arial" w:hAnsi="Arial"/>
                  <w:sz w:val="16"/>
                  <w:szCs w:val="16"/>
                  <w:color w:val="0000EE"/>
                </w:rPr>
                <w:t>Company and John Cozzolino</w:t>
              </w:r>
            </w:hyperlink>
          </w:p>
        </w:tc>
        <w:tc>
          <w:tcPr>
            <w:tcW w:w="2800" w:type="dxa"/>
            <w:vAlign w:val="bottom"/>
            <w:tcBorders>
              <w:top w:val="single" w:sz="8" w:color="0000EE"/>
            </w:tcBorders>
            <w:gridSpan w:val="17"/>
          </w:tcPr>
          <w:p>
            <w:pPr>
              <w:spacing w:after="0"/>
              <w:rPr>
                <w:sz w:val="14"/>
                <w:szCs w:val="14"/>
                <w:color w:val="auto"/>
              </w:rPr>
            </w:pPr>
          </w:p>
        </w:tc>
        <w:tc>
          <w:tcPr>
            <w:tcW w:w="180" w:type="dxa"/>
            <w:vAlign w:val="bottom"/>
            <w:gridSpan w:val="6"/>
          </w:tcPr>
          <w:p>
            <w:pPr>
              <w:spacing w:after="0"/>
              <w:rPr>
                <w:sz w:val="14"/>
                <w:szCs w:val="14"/>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10(u)(vi)</w:t>
            </w:r>
          </w:p>
        </w:tc>
        <w:tc>
          <w:tcPr>
            <w:tcW w:w="5140" w:type="dxa"/>
            <w:vAlign w:val="bottom"/>
            <w:gridSpan w:val="27"/>
          </w:tcPr>
          <w:p>
            <w:pPr>
              <w:spacing w:after="0" w:line="169" w:lineRule="exact"/>
              <w:rPr>
                <w:rFonts w:ascii="Arial" w:cs="Arial" w:eastAsia="Arial" w:hAnsi="Arial"/>
                <w:sz w:val="16"/>
                <w:szCs w:val="16"/>
                <w:color w:val="0000EE"/>
              </w:rPr>
            </w:pPr>
            <w:hyperlink w:anchor="page150">
              <w:r>
                <w:rPr>
                  <w:rFonts w:ascii="Arial" w:cs="Arial" w:eastAsia="Arial" w:hAnsi="Arial"/>
                  <w:sz w:val="16"/>
                  <w:szCs w:val="16"/>
                  <w:color w:val="0000EE"/>
                </w:rPr>
                <w:t>Executive separation agreement, dated January 20, 2020, between the</w:t>
              </w:r>
            </w:hyperlink>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w:anchor="page150">
              <w:r>
                <w:rPr>
                  <w:rFonts w:ascii="Arial" w:cs="Arial" w:eastAsia="Arial" w:hAnsi="Arial"/>
                  <w:sz w:val="16"/>
                  <w:szCs w:val="16"/>
                  <w:color w:val="0000EE"/>
                </w:rPr>
                <w:t>Company and Olivier M. Jarrault</w:t>
              </w:r>
            </w:hyperlink>
          </w:p>
        </w:tc>
        <w:tc>
          <w:tcPr>
            <w:tcW w:w="60" w:type="dxa"/>
            <w:vAlign w:val="bottom"/>
            <w:gridSpan w:val="3"/>
          </w:tcPr>
          <w:p>
            <w:pPr>
              <w:spacing w:after="0"/>
              <w:rPr>
                <w:sz w:val="14"/>
                <w:szCs w:val="14"/>
                <w:color w:val="auto"/>
              </w:rPr>
            </w:pPr>
          </w:p>
        </w:tc>
      </w:tr>
      <w:tr>
        <w:trPr>
          <w:trHeight w:val="20"/>
        </w:trPr>
        <w:tc>
          <w:tcPr>
            <w:tcW w:w="128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280" w:type="dxa"/>
            <w:vAlign w:val="bottom"/>
            <w:gridSpan w:val="3"/>
          </w:tcPr>
          <w:p>
            <w:pPr>
              <w:spacing w:after="0" w:line="169" w:lineRule="exact"/>
              <w:rPr>
                <w:sz w:val="20"/>
                <w:szCs w:val="20"/>
                <w:color w:val="auto"/>
              </w:rPr>
            </w:pPr>
            <w:r>
              <w:rPr>
                <w:rFonts w:ascii="Arial" w:cs="Arial" w:eastAsia="Arial" w:hAnsi="Arial"/>
                <w:sz w:val="16"/>
                <w:szCs w:val="16"/>
                <w:color w:val="auto"/>
              </w:rPr>
              <w:t>10(u)(vii)</w:t>
            </w:r>
          </w:p>
        </w:tc>
        <w:tc>
          <w:tcPr>
            <w:tcW w:w="5140" w:type="dxa"/>
            <w:vAlign w:val="bottom"/>
            <w:gridSpan w:val="27"/>
          </w:tcPr>
          <w:p>
            <w:pPr>
              <w:spacing w:after="0" w:line="169" w:lineRule="exact"/>
              <w:rPr>
                <w:rFonts w:ascii="Arial" w:cs="Arial" w:eastAsia="Arial" w:hAnsi="Arial"/>
                <w:sz w:val="16"/>
                <w:szCs w:val="16"/>
                <w:color w:val="0000EE"/>
              </w:rPr>
            </w:pPr>
            <w:hyperlink w:anchor="page176">
              <w:r>
                <w:rPr>
                  <w:rFonts w:ascii="Arial" w:cs="Arial" w:eastAsia="Arial" w:hAnsi="Arial"/>
                  <w:sz w:val="16"/>
                  <w:szCs w:val="16"/>
                  <w:color w:val="0000EE"/>
                </w:rPr>
                <w:t>Employment agreement, dated January 21, 2020, between the</w:t>
              </w:r>
            </w:hyperlink>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w:anchor="page176">
              <w:r>
                <w:rPr>
                  <w:rFonts w:ascii="Arial" w:cs="Arial" w:eastAsia="Arial" w:hAnsi="Arial"/>
                  <w:sz w:val="16"/>
                  <w:szCs w:val="16"/>
                  <w:color w:val="0000EE"/>
                </w:rPr>
                <w:t>Company and A. William Higgins</w:t>
              </w:r>
            </w:hyperlink>
          </w:p>
        </w:tc>
        <w:tc>
          <w:tcPr>
            <w:tcW w:w="2120" w:type="dxa"/>
            <w:vAlign w:val="bottom"/>
            <w:tcBorders>
              <w:top w:val="single" w:sz="8" w:color="0000EE"/>
            </w:tcBorders>
            <w:gridSpan w:val="6"/>
          </w:tcPr>
          <w:p>
            <w:pPr>
              <w:spacing w:after="0"/>
              <w:rPr>
                <w:sz w:val="14"/>
                <w:szCs w:val="14"/>
                <w:color w:val="auto"/>
              </w:rPr>
            </w:pPr>
          </w:p>
        </w:tc>
        <w:tc>
          <w:tcPr>
            <w:tcW w:w="660" w:type="dxa"/>
            <w:vAlign w:val="bottom"/>
            <w:gridSpan w:val="15"/>
          </w:tcPr>
          <w:p>
            <w:pPr>
              <w:spacing w:after="0"/>
              <w:rPr>
                <w:sz w:val="14"/>
                <w:szCs w:val="14"/>
                <w:color w:val="auto"/>
              </w:rPr>
            </w:pPr>
          </w:p>
        </w:tc>
      </w:tr>
      <w:tr>
        <w:trPr>
          <w:trHeight w:val="169"/>
        </w:trPr>
        <w:tc>
          <w:tcPr>
            <w:tcW w:w="320" w:type="dxa"/>
            <w:vAlign w:val="bottom"/>
          </w:tcPr>
          <w:p>
            <w:pPr>
              <w:spacing w:after="0" w:line="169" w:lineRule="exact"/>
              <w:rPr>
                <w:sz w:val="20"/>
                <w:szCs w:val="20"/>
                <w:color w:val="auto"/>
              </w:rPr>
            </w:pPr>
            <w:r>
              <w:rPr>
                <w:rFonts w:ascii="Arial" w:cs="Arial" w:eastAsia="Arial" w:hAnsi="Arial"/>
                <w:sz w:val="16"/>
                <w:szCs w:val="16"/>
                <w:color w:val="auto"/>
              </w:rPr>
              <w:t>1.1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183">
              <w:r>
                <w:rPr>
                  <w:rFonts w:ascii="Arial" w:cs="Arial" w:eastAsia="Arial" w:hAnsi="Arial"/>
                  <w:sz w:val="16"/>
                  <w:szCs w:val="16"/>
                  <w:color w:val="0000EE"/>
                </w:rPr>
                <w:t>Underwriting Agreement, dated May 30, 2019 by and among Albany</w:t>
              </w:r>
            </w:hyperlink>
          </w:p>
        </w:tc>
        <w:tc>
          <w:tcPr>
            <w:tcW w:w="240" w:type="dxa"/>
            <w:vAlign w:val="bottom"/>
            <w:gridSpan w:val="7"/>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83">
              <w:r>
                <w:rPr>
                  <w:rFonts w:ascii="Arial" w:cs="Arial" w:eastAsia="Arial" w:hAnsi="Arial"/>
                  <w:sz w:val="16"/>
                  <w:szCs w:val="16"/>
                  <w:color w:val="0000EE"/>
                </w:rPr>
                <w:t>International Corp., J.P Morgan Securities LLC and BofA Securities</w:t>
              </w:r>
            </w:hyperlink>
          </w:p>
        </w:tc>
        <w:tc>
          <w:tcPr>
            <w:tcW w:w="320" w:type="dxa"/>
            <w:vAlign w:val="bottom"/>
            <w:gridSpan w:val="9"/>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40" w:type="dxa"/>
            <w:vAlign w:val="bottom"/>
            <w:gridSpan w:val="27"/>
          </w:tcPr>
          <w:p>
            <w:pPr>
              <w:spacing w:after="0" w:line="169" w:lineRule="exact"/>
              <w:rPr>
                <w:rFonts w:ascii="Arial" w:cs="Arial" w:eastAsia="Arial" w:hAnsi="Arial"/>
                <w:sz w:val="16"/>
                <w:szCs w:val="16"/>
                <w:color w:val="0000EE"/>
              </w:rPr>
            </w:pPr>
            <w:hyperlink r:id="rId183">
              <w:r>
                <w:rPr>
                  <w:rFonts w:ascii="Arial" w:cs="Arial" w:eastAsia="Arial" w:hAnsi="Arial"/>
                  <w:sz w:val="16"/>
                  <w:szCs w:val="16"/>
                  <w:color w:val="0000EE"/>
                </w:rPr>
                <w:t>Inc., as representatives of the several underwriters named in the</w:t>
              </w:r>
            </w:hyperlink>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8"/>
              </w:rPr>
            </w:pPr>
            <w:hyperlink r:id="rId183">
              <w:r>
                <w:rPr>
                  <w:rFonts w:ascii="Arial" w:cs="Arial" w:eastAsia="Arial" w:hAnsi="Arial"/>
                  <w:sz w:val="16"/>
                  <w:szCs w:val="16"/>
                  <w:color w:val="0000EE"/>
                  <w:w w:val="98"/>
                </w:rPr>
                <w:t>agreement.</w:t>
              </w:r>
            </w:hyperlink>
          </w:p>
        </w:tc>
        <w:tc>
          <w:tcPr>
            <w:tcW w:w="3780" w:type="dxa"/>
            <w:vAlign w:val="bottom"/>
            <w:tcBorders>
              <w:top w:val="single" w:sz="8" w:color="0000EE"/>
            </w:tcBorders>
            <w:gridSpan w:val="11"/>
          </w:tcPr>
          <w:p>
            <w:pPr>
              <w:spacing w:after="0"/>
              <w:rPr>
                <w:sz w:val="14"/>
                <w:szCs w:val="14"/>
                <w:color w:val="auto"/>
              </w:rPr>
            </w:pPr>
          </w:p>
        </w:tc>
        <w:tc>
          <w:tcPr>
            <w:tcW w:w="540" w:type="dxa"/>
            <w:vAlign w:val="bottom"/>
            <w:gridSpan w:val="14"/>
          </w:tcPr>
          <w:p>
            <w:pPr>
              <w:spacing w:after="0"/>
              <w:rPr>
                <w:sz w:val="14"/>
                <w:szCs w:val="14"/>
                <w:color w:val="auto"/>
              </w:rPr>
            </w:pPr>
          </w:p>
        </w:tc>
      </w:tr>
      <w:tr>
        <w:trPr>
          <w:trHeight w:val="169"/>
        </w:trPr>
        <w:tc>
          <w:tcPr>
            <w:tcW w:w="320" w:type="dxa"/>
            <w:vAlign w:val="bottom"/>
          </w:tcPr>
          <w:p>
            <w:pPr>
              <w:spacing w:after="0" w:line="169" w:lineRule="exact"/>
              <w:rPr>
                <w:sz w:val="20"/>
                <w:szCs w:val="20"/>
                <w:color w:val="auto"/>
              </w:rPr>
            </w:pPr>
            <w:r>
              <w:rPr>
                <w:rFonts w:ascii="Arial" w:cs="Arial" w:eastAsia="Arial" w:hAnsi="Arial"/>
                <w:sz w:val="16"/>
                <w:szCs w:val="16"/>
                <w:color w:val="auto"/>
                <w:w w:val="96"/>
              </w:rPr>
              <w:t>10.1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r:id="rId184">
              <w:r>
                <w:rPr>
                  <w:rFonts w:ascii="Arial" w:cs="Arial" w:eastAsia="Arial" w:hAnsi="Arial"/>
                  <w:sz w:val="16"/>
                  <w:szCs w:val="16"/>
                  <w:color w:val="0000EE"/>
                </w:rPr>
                <w:t>Fee side letter agreement between Albany International Corp. and</w:t>
              </w:r>
            </w:hyperlink>
          </w:p>
        </w:tc>
        <w:tc>
          <w:tcPr>
            <w:tcW w:w="400" w:type="dxa"/>
            <w:vAlign w:val="bottom"/>
            <w:gridSpan w:val="11"/>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40" w:type="dxa"/>
            <w:vAlign w:val="bottom"/>
            <w:gridSpan w:val="27"/>
          </w:tcPr>
          <w:p>
            <w:pPr>
              <w:spacing w:after="0" w:line="169" w:lineRule="exact"/>
              <w:rPr>
                <w:rFonts w:ascii="Arial" w:cs="Arial" w:eastAsia="Arial" w:hAnsi="Arial"/>
                <w:sz w:val="16"/>
                <w:szCs w:val="16"/>
                <w:color w:val="0000EE"/>
              </w:rPr>
            </w:pPr>
            <w:hyperlink r:id="rId184">
              <w:r>
                <w:rPr>
                  <w:rFonts w:ascii="Arial" w:cs="Arial" w:eastAsia="Arial" w:hAnsi="Arial"/>
                  <w:sz w:val="16"/>
                  <w:szCs w:val="16"/>
                  <w:color w:val="0000EE"/>
                </w:rPr>
                <w:t>Standish Family Holdings, LLC and J.S. Standish Company, dated May</w:t>
              </w:r>
            </w:hyperlink>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6"/>
              </w:rPr>
            </w:pPr>
            <w:hyperlink r:id="rId184">
              <w:r>
                <w:rPr>
                  <w:rFonts w:ascii="Arial" w:cs="Arial" w:eastAsia="Arial" w:hAnsi="Arial"/>
                  <w:sz w:val="16"/>
                  <w:szCs w:val="16"/>
                  <w:color w:val="0000EE"/>
                  <w:w w:val="96"/>
                </w:rPr>
                <w:t>28, 2019</w:t>
              </w:r>
            </w:hyperlink>
          </w:p>
        </w:tc>
        <w:tc>
          <w:tcPr>
            <w:tcW w:w="20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20" w:type="dxa"/>
            <w:vAlign w:val="bottom"/>
          </w:tcPr>
          <w:p>
            <w:pPr>
              <w:spacing w:after="0" w:line="169" w:lineRule="exact"/>
              <w:rPr>
                <w:sz w:val="20"/>
                <w:szCs w:val="20"/>
                <w:color w:val="auto"/>
              </w:rPr>
            </w:pPr>
            <w:r>
              <w:rPr>
                <w:rFonts w:ascii="Arial" w:cs="Arial" w:eastAsia="Arial" w:hAnsi="Arial"/>
                <w:sz w:val="16"/>
                <w:szCs w:val="16"/>
                <w:color w:val="auto"/>
                <w:w w:val="96"/>
              </w:rPr>
              <w:t>10.2</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40" w:type="dxa"/>
            <w:vAlign w:val="bottom"/>
            <w:gridSpan w:val="27"/>
          </w:tcPr>
          <w:p>
            <w:pPr>
              <w:spacing w:after="0" w:line="169" w:lineRule="exact"/>
              <w:rPr>
                <w:rFonts w:ascii="Arial" w:cs="Arial" w:eastAsia="Arial" w:hAnsi="Arial"/>
                <w:sz w:val="16"/>
                <w:szCs w:val="16"/>
                <w:color w:val="0000EE"/>
              </w:rPr>
            </w:pPr>
            <w:hyperlink r:id="rId185">
              <w:r>
                <w:rPr>
                  <w:rFonts w:ascii="Arial" w:cs="Arial" w:eastAsia="Arial" w:hAnsi="Arial"/>
                  <w:sz w:val="16"/>
                  <w:szCs w:val="16"/>
                  <w:color w:val="0000EE"/>
                </w:rPr>
                <w:t>Amended and restated LLC operating agreement by and between</w:t>
              </w:r>
            </w:hyperlink>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9"/>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8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85">
              <w:r>
                <w:rPr>
                  <w:rFonts w:ascii="Arial" w:cs="Arial" w:eastAsia="Arial" w:hAnsi="Arial"/>
                  <w:sz w:val="16"/>
                  <w:szCs w:val="16"/>
                  <w:color w:val="0000EE"/>
                </w:rPr>
                <w:t>Albany Engineered Composites and Safran Aerospace Composites,</w:t>
              </w:r>
            </w:hyperlink>
          </w:p>
        </w:tc>
        <w:tc>
          <w:tcPr>
            <w:tcW w:w="260" w:type="dxa"/>
            <w:vAlign w:val="bottom"/>
            <w:gridSpan w:val="8"/>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40" w:type="dxa"/>
            <w:vAlign w:val="bottom"/>
            <w:gridSpan w:val="27"/>
          </w:tcPr>
          <w:p>
            <w:pPr>
              <w:spacing w:after="0" w:line="169" w:lineRule="exact"/>
              <w:rPr>
                <w:rFonts w:ascii="Arial" w:cs="Arial" w:eastAsia="Arial" w:hAnsi="Arial"/>
                <w:sz w:val="16"/>
                <w:szCs w:val="16"/>
                <w:color w:val="0000EE"/>
              </w:rPr>
            </w:pPr>
            <w:hyperlink r:id="rId185">
              <w:r>
                <w:rPr>
                  <w:rFonts w:ascii="Arial" w:cs="Arial" w:eastAsia="Arial" w:hAnsi="Arial"/>
                  <w:sz w:val="16"/>
                  <w:szCs w:val="16"/>
                  <w:color w:val="0000EE"/>
                </w:rPr>
                <w:t xml:space="preserve">Inc. 10% equity interest in ASC for </w:t>
              </w:r>
              <w:r>
                <w:rPr>
                  <w:rFonts w:ascii="Arial" w:cs="Arial" w:eastAsia="Arial" w:hAnsi="Arial"/>
                  <w:sz w:val="16"/>
                  <w:szCs w:val="16"/>
                  <w:u w:val="single" w:color="auto"/>
                  <w:color w:val="0000EE"/>
                </w:rPr>
                <w:t>$</w:t>
              </w:r>
              <w:r>
                <w:rPr>
                  <w:rFonts w:ascii="Arial" w:cs="Arial" w:eastAsia="Arial" w:hAnsi="Arial"/>
                  <w:sz w:val="16"/>
                  <w:szCs w:val="16"/>
                  <w:color w:val="0000EE"/>
                </w:rPr>
                <w:t>28 million</w:t>
              </w:r>
            </w:hyperlink>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 w:lineRule="exact"/>
        <w:rPr>
          <w:sz w:val="20"/>
          <w:szCs w:val="20"/>
          <w:color w:val="auto"/>
        </w:rPr>
      </w:pPr>
    </w:p>
    <w:p>
      <w:pPr>
        <w:ind w:left="1280" w:right="80" w:hanging="1272"/>
        <w:spacing w:after="0" w:line="246" w:lineRule="auto"/>
        <w:tabs>
          <w:tab w:leader="none" w:pos="1280" w:val="left"/>
        </w:tabs>
        <w:numPr>
          <w:ilvl w:val="0"/>
          <w:numId w:val="55"/>
        </w:numPr>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Statement of Computation of Earnings per share (provided in Footnote</w:t>
        </w:r>
      </w:hyperlink>
      <w:r>
        <w:rPr>
          <w:rFonts w:ascii="Arial" w:cs="Arial" w:eastAsia="Arial" w:hAnsi="Arial"/>
          <w:sz w:val="16"/>
          <w:szCs w:val="16"/>
          <w:u w:val="single" w:color="auto"/>
          <w:color w:val="0000EE"/>
        </w:rPr>
        <w:t xml:space="preserve"> </w:t>
      </w:r>
      <w:hyperlink w:anchor="page80">
        <w:r>
          <w:rPr>
            <w:rFonts w:ascii="Arial" w:cs="Arial" w:eastAsia="Arial" w:hAnsi="Arial"/>
            <w:sz w:val="16"/>
            <w:szCs w:val="16"/>
            <w:u w:val="single" w:color="auto"/>
            <w:color w:val="0000EE"/>
          </w:rPr>
          <w:t>8 to the Consolidated Financial Statements)</w:t>
        </w:r>
      </w:hyperlink>
    </w:p>
    <w:p>
      <w:pPr>
        <w:spacing w:after="0" w:line="1" w:lineRule="exact"/>
        <w:rPr>
          <w:rFonts w:ascii="Arial" w:cs="Arial" w:eastAsia="Arial" w:hAnsi="Arial"/>
          <w:sz w:val="16"/>
          <w:szCs w:val="16"/>
          <w:color w:val="auto"/>
        </w:rPr>
      </w:pPr>
    </w:p>
    <w:p>
      <w:pPr>
        <w:ind w:left="1280" w:hanging="1272"/>
        <w:spacing w:after="0"/>
        <w:tabs>
          <w:tab w:leader="none" w:pos="1280" w:val="left"/>
        </w:tabs>
        <w:numPr>
          <w:ilvl w:val="0"/>
          <w:numId w:val="56"/>
        </w:numPr>
        <w:rPr>
          <w:rFonts w:ascii="Arial" w:cs="Arial" w:eastAsia="Arial" w:hAnsi="Arial"/>
          <w:sz w:val="16"/>
          <w:szCs w:val="16"/>
          <w:u w:val="single" w:color="auto"/>
          <w:color w:val="0000EE"/>
        </w:rPr>
      </w:pPr>
      <w:hyperlink w:anchor="page186">
        <w:r>
          <w:rPr>
            <w:rFonts w:ascii="Arial" w:cs="Arial" w:eastAsia="Arial" w:hAnsi="Arial"/>
            <w:sz w:val="16"/>
            <w:szCs w:val="16"/>
            <w:u w:val="single" w:color="auto"/>
            <w:color w:val="0000EE"/>
          </w:rPr>
          <w:t>Subsidiaries of Company</w:t>
        </w:r>
      </w:hyperlink>
    </w:p>
    <w:p>
      <w:pPr>
        <w:spacing w:after="0" w:line="5" w:lineRule="exact"/>
        <w:rPr>
          <w:rFonts w:ascii="Arial" w:cs="Arial" w:eastAsia="Arial" w:hAnsi="Arial"/>
          <w:sz w:val="16"/>
          <w:szCs w:val="16"/>
          <w:color w:val="auto"/>
        </w:rPr>
      </w:pPr>
    </w:p>
    <w:p>
      <w:pPr>
        <w:ind w:left="1280" w:hanging="1272"/>
        <w:spacing w:after="0"/>
        <w:tabs>
          <w:tab w:leader="none" w:pos="1280" w:val="left"/>
        </w:tabs>
        <w:numPr>
          <w:ilvl w:val="0"/>
          <w:numId w:val="57"/>
        </w:numPr>
        <w:rPr>
          <w:rFonts w:ascii="Arial" w:cs="Arial" w:eastAsia="Arial" w:hAnsi="Arial"/>
          <w:sz w:val="16"/>
          <w:szCs w:val="16"/>
          <w:u w:val="single" w:color="auto"/>
          <w:color w:val="0000EE"/>
        </w:rPr>
      </w:pPr>
      <w:hyperlink w:anchor="page187">
        <w:r>
          <w:rPr>
            <w:rFonts w:ascii="Arial" w:cs="Arial" w:eastAsia="Arial" w:hAnsi="Arial"/>
            <w:sz w:val="16"/>
            <w:szCs w:val="16"/>
            <w:u w:val="single" w:color="auto"/>
            <w:color w:val="0000EE"/>
          </w:rPr>
          <w:t>Consent of Independent Registered Public Accounting Firms</w:t>
        </w:r>
      </w:hyperlink>
    </w:p>
    <w:p>
      <w:pPr>
        <w:spacing w:after="0" w:line="5" w:lineRule="exact"/>
        <w:rPr>
          <w:rFonts w:ascii="Arial" w:cs="Arial" w:eastAsia="Arial" w:hAnsi="Arial"/>
          <w:sz w:val="16"/>
          <w:szCs w:val="16"/>
          <w:u w:val="single" w:color="auto"/>
          <w:color w:val="0000EE"/>
        </w:rPr>
      </w:pPr>
    </w:p>
    <w:p>
      <w:pPr>
        <w:ind w:left="1280" w:hanging="1272"/>
        <w:spacing w:after="0" w:line="208" w:lineRule="auto"/>
        <w:tabs>
          <w:tab w:leader="none" w:pos="1280" w:val="left"/>
        </w:tabs>
        <w:numPr>
          <w:ilvl w:val="0"/>
          <w:numId w:val="57"/>
        </w:numPr>
        <w:rPr>
          <w:rFonts w:ascii="Arial" w:cs="Arial" w:eastAsia="Arial" w:hAnsi="Arial"/>
          <w:sz w:val="16"/>
          <w:szCs w:val="16"/>
          <w:color w:val="0000EE"/>
        </w:rPr>
      </w:pPr>
      <w:hyperlink w:anchor="page188">
        <w:r>
          <w:rPr>
            <w:rFonts w:ascii="Arial" w:cs="Arial" w:eastAsia="Arial" w:hAnsi="Arial"/>
            <w:sz w:val="16"/>
            <w:szCs w:val="16"/>
            <w:color w:val="0000EE"/>
          </w:rPr>
          <w:t>Powers of Attorney</w:t>
        </w:r>
      </w:hyperlink>
    </w:p>
    <w:p>
      <w:pPr>
        <w:spacing w:after="0" w:line="21"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
        </w:trPr>
        <w:tc>
          <w:tcPr>
            <w:tcW w:w="12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6"/>
                <w:szCs w:val="16"/>
                <w:color w:val="auto"/>
              </w:rPr>
              <w:t>31(a)</w:t>
            </w:r>
          </w:p>
        </w:tc>
        <w:tc>
          <w:tcPr>
            <w:tcW w:w="5000" w:type="dxa"/>
            <w:vAlign w:val="bottom"/>
            <w:tcBorders>
              <w:bottom w:val="single" w:sz="8" w:color="0000EE"/>
            </w:tcBorders>
            <w:gridSpan w:val="6"/>
          </w:tcPr>
          <w:p>
            <w:pPr>
              <w:spacing w:after="0" w:line="149" w:lineRule="exact"/>
              <w:rPr>
                <w:rFonts w:ascii="Arial" w:cs="Arial" w:eastAsia="Arial" w:hAnsi="Arial"/>
                <w:sz w:val="16"/>
                <w:szCs w:val="16"/>
                <w:color w:val="0000EE"/>
              </w:rPr>
            </w:pPr>
            <w:hyperlink w:anchor="page189">
              <w:r>
                <w:rPr>
                  <w:rFonts w:ascii="Arial" w:cs="Arial" w:eastAsia="Arial" w:hAnsi="Arial"/>
                  <w:sz w:val="16"/>
                  <w:szCs w:val="16"/>
                  <w:color w:val="0000EE"/>
                </w:rPr>
                <w:t>Certification of A. William Higgins required pursuant to Rule 13a-14(a)</w:t>
              </w:r>
            </w:hyperlink>
          </w:p>
        </w:tc>
      </w:tr>
      <w:tr>
        <w:trPr>
          <w:trHeight w:val="169"/>
        </w:trPr>
        <w:tc>
          <w:tcPr>
            <w:tcW w:w="1280" w:type="dxa"/>
            <w:vAlign w:val="bottom"/>
          </w:tcPr>
          <w:p>
            <w:pPr>
              <w:spacing w:after="0"/>
              <w:rPr>
                <w:sz w:val="14"/>
                <w:szCs w:val="14"/>
                <w:color w:val="auto"/>
              </w:rPr>
            </w:pPr>
          </w:p>
        </w:tc>
        <w:tc>
          <w:tcPr>
            <w:tcW w:w="5000" w:type="dxa"/>
            <w:vAlign w:val="bottom"/>
            <w:gridSpan w:val="6"/>
          </w:tcPr>
          <w:p>
            <w:pPr>
              <w:spacing w:after="0" w:line="169" w:lineRule="exact"/>
              <w:rPr>
                <w:rFonts w:ascii="Arial" w:cs="Arial" w:eastAsia="Arial" w:hAnsi="Arial"/>
                <w:sz w:val="16"/>
                <w:szCs w:val="16"/>
                <w:color w:val="0000EE"/>
              </w:rPr>
            </w:pPr>
            <w:hyperlink w:anchor="page189">
              <w:r>
                <w:rPr>
                  <w:rFonts w:ascii="Arial" w:cs="Arial" w:eastAsia="Arial" w:hAnsi="Arial"/>
                  <w:sz w:val="16"/>
                  <w:szCs w:val="16"/>
                  <w:color w:val="0000EE"/>
                </w:rPr>
                <w:t>or Rule 15d-14(a)</w:t>
              </w:r>
            </w:hyperlink>
          </w:p>
        </w:tc>
      </w:tr>
      <w:tr>
        <w:trPr>
          <w:trHeight w:val="20"/>
        </w:trPr>
        <w:tc>
          <w:tcPr>
            <w:tcW w:w="12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6"/>
                <w:szCs w:val="16"/>
                <w:color w:val="auto"/>
              </w:rPr>
              <w:t>31(b)</w:t>
            </w:r>
          </w:p>
        </w:tc>
        <w:tc>
          <w:tcPr>
            <w:tcW w:w="500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190">
              <w:r>
                <w:rPr>
                  <w:rFonts w:ascii="Arial" w:cs="Arial" w:eastAsia="Arial" w:hAnsi="Arial"/>
                  <w:sz w:val="16"/>
                  <w:szCs w:val="16"/>
                  <w:color w:val="0000EE"/>
                </w:rPr>
                <w:t>Certification of Stephen M. Nolan required pursuant to Rule 13a-14(a)</w:t>
              </w:r>
            </w:hyperlink>
          </w:p>
        </w:tc>
      </w:tr>
      <w:tr>
        <w:trPr>
          <w:trHeight w:val="169"/>
        </w:trPr>
        <w:tc>
          <w:tcPr>
            <w:tcW w:w="1280" w:type="dxa"/>
            <w:vAlign w:val="bottom"/>
          </w:tcPr>
          <w:p>
            <w:pPr>
              <w:spacing w:after="0"/>
              <w:rPr>
                <w:sz w:val="14"/>
                <w:szCs w:val="14"/>
                <w:color w:val="auto"/>
              </w:rPr>
            </w:pPr>
          </w:p>
        </w:tc>
        <w:tc>
          <w:tcPr>
            <w:tcW w:w="5000" w:type="dxa"/>
            <w:vAlign w:val="bottom"/>
            <w:gridSpan w:val="6"/>
          </w:tcPr>
          <w:p>
            <w:pPr>
              <w:spacing w:after="0" w:line="169" w:lineRule="exact"/>
              <w:rPr>
                <w:rFonts w:ascii="Arial" w:cs="Arial" w:eastAsia="Arial" w:hAnsi="Arial"/>
                <w:sz w:val="16"/>
                <w:szCs w:val="16"/>
                <w:color w:val="0000EE"/>
              </w:rPr>
            </w:pPr>
            <w:hyperlink w:anchor="page190">
              <w:r>
                <w:rPr>
                  <w:rFonts w:ascii="Arial" w:cs="Arial" w:eastAsia="Arial" w:hAnsi="Arial"/>
                  <w:sz w:val="16"/>
                  <w:szCs w:val="16"/>
                  <w:color w:val="0000EE"/>
                </w:rPr>
                <w:t>or Rule 15d-14(a)</w:t>
              </w:r>
            </w:hyperlink>
          </w:p>
        </w:tc>
      </w:tr>
      <w:tr>
        <w:trPr>
          <w:trHeight w:val="20"/>
        </w:trPr>
        <w:tc>
          <w:tcPr>
            <w:tcW w:w="12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6"/>
                <w:szCs w:val="16"/>
                <w:color w:val="auto"/>
              </w:rPr>
              <w:t>32(a)</w:t>
            </w:r>
          </w:p>
        </w:tc>
        <w:tc>
          <w:tcPr>
            <w:tcW w:w="5000" w:type="dxa"/>
            <w:vAlign w:val="bottom"/>
            <w:gridSpan w:val="6"/>
          </w:tcPr>
          <w:p>
            <w:pPr>
              <w:spacing w:after="0" w:line="169" w:lineRule="exact"/>
              <w:rPr>
                <w:rFonts w:ascii="Arial" w:cs="Arial" w:eastAsia="Arial" w:hAnsi="Arial"/>
                <w:sz w:val="16"/>
                <w:szCs w:val="16"/>
                <w:color w:val="0000EE"/>
              </w:rPr>
            </w:pPr>
            <w:hyperlink w:anchor="page191">
              <w:r>
                <w:rPr>
                  <w:rFonts w:ascii="Arial" w:cs="Arial" w:eastAsia="Arial" w:hAnsi="Arial"/>
                  <w:sz w:val="16"/>
                  <w:szCs w:val="16"/>
                  <w:color w:val="0000EE"/>
                </w:rPr>
                <w:t>Certification of A. William Higgins and Stephen M. Nolan required</w:t>
              </w:r>
            </w:hyperlink>
          </w:p>
        </w:tc>
      </w:tr>
      <w:tr>
        <w:trPr>
          <w:trHeight w:val="20"/>
        </w:trPr>
        <w:tc>
          <w:tcPr>
            <w:tcW w:w="128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474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191">
              <w:r>
                <w:rPr>
                  <w:rFonts w:ascii="Arial" w:cs="Arial" w:eastAsia="Arial" w:hAnsi="Arial"/>
                  <w:sz w:val="16"/>
                  <w:szCs w:val="16"/>
                  <w:color w:val="0000EE"/>
                </w:rPr>
                <w:t>pursuant to Rule 13a-14(b) or Rule 15d-14(b) and Section 1350 of</w:t>
              </w:r>
            </w:hyperlink>
          </w:p>
        </w:tc>
        <w:tc>
          <w:tcPr>
            <w:tcW w:w="26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3460" w:type="dxa"/>
            <w:vAlign w:val="bottom"/>
            <w:tcBorders>
              <w:bottom w:val="single" w:sz="8" w:color="0000EE"/>
            </w:tcBorders>
            <w:gridSpan w:val="3"/>
          </w:tcPr>
          <w:p>
            <w:pPr>
              <w:spacing w:after="0" w:line="169" w:lineRule="exact"/>
              <w:rPr>
                <w:rFonts w:ascii="Arial" w:cs="Arial" w:eastAsia="Arial" w:hAnsi="Arial"/>
                <w:sz w:val="16"/>
                <w:szCs w:val="16"/>
                <w:color w:val="0000EE"/>
              </w:rPr>
            </w:pPr>
            <w:hyperlink w:anchor="page191">
              <w:r>
                <w:rPr>
                  <w:rFonts w:ascii="Arial" w:cs="Arial" w:eastAsia="Arial" w:hAnsi="Arial"/>
                  <w:sz w:val="16"/>
                  <w:szCs w:val="16"/>
                  <w:color w:val="0000EE"/>
                </w:rPr>
                <w:t>Chapter 63 of Title 18 of the United States Code</w:t>
              </w:r>
            </w:hyperlink>
          </w:p>
        </w:tc>
        <w:tc>
          <w:tcPr>
            <w:tcW w:w="1540" w:type="dxa"/>
            <w:vAlign w:val="bottom"/>
            <w:gridSpan w:val="3"/>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272020"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Filed Herewith</w:t>
            </w:r>
          </w:p>
        </w:tc>
        <w:tc>
          <w:tcPr>
            <w:tcW w:w="8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tcPr>
          <w:p>
            <w:pPr>
              <w:jc w:val="center"/>
              <w:ind w:right="739"/>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69"/>
        </w:trPr>
        <w:tc>
          <w:tcPr>
            <w:tcW w:w="1260" w:type="dxa"/>
            <w:vAlign w:val="bottom"/>
            <w:gridSpan w:val="2"/>
            <w:vMerge w:val="continue"/>
          </w:tcPr>
          <w:p>
            <w:pPr>
              <w:spacing w:after="0"/>
              <w:rPr>
                <w:sz w:val="14"/>
                <w:szCs w:val="14"/>
                <w:color w:val="auto"/>
              </w:rPr>
            </w:pPr>
          </w:p>
        </w:tc>
        <w:tc>
          <w:tcPr>
            <w:tcW w:w="820" w:type="dxa"/>
            <w:vAlign w:val="bottom"/>
          </w:tcPr>
          <w:p>
            <w:pPr>
              <w:jc w:val="center"/>
              <w:ind w:left="219"/>
              <w:spacing w:after="0"/>
              <w:rPr>
                <w:sz w:val="20"/>
                <w:szCs w:val="20"/>
                <w:color w:val="auto"/>
              </w:rPr>
            </w:pPr>
            <w:r>
              <w:rPr>
                <w:rFonts w:ascii="Arial" w:cs="Arial" w:eastAsia="Arial" w:hAnsi="Arial"/>
                <w:sz w:val="14"/>
                <w:szCs w:val="14"/>
                <w:b w:val="1"/>
                <w:bCs w:val="1"/>
                <w:color w:val="auto"/>
              </w:rPr>
              <w:t>Form</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Period Ending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4"/>
        </w:trPr>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tcPr>
          <w:p>
            <w:pPr>
              <w:jc w:val="center"/>
              <w:ind w:left="239"/>
              <w:spacing w:after="0"/>
              <w:rPr>
                <w:sz w:val="20"/>
                <w:szCs w:val="20"/>
                <w:color w:val="auto"/>
              </w:rPr>
            </w:pPr>
            <w:r>
              <w:rPr>
                <w:rFonts w:ascii="Arial" w:cs="Arial" w:eastAsia="Arial" w:hAnsi="Arial"/>
                <w:sz w:val="16"/>
                <w:szCs w:val="16"/>
                <w:color w:val="auto"/>
              </w:rPr>
              <w:t>8-K</w:t>
            </w: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1/13/05</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8-K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4/12/06</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left="21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rPr>
              <w:t>3/31/18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5/08/18</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left="21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rPr>
              <w:t>6/30/18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8/07/18</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left="21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rPr>
              <w:t>3/31/19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5/01/19</w:t>
            </w:r>
          </w:p>
        </w:tc>
        <w:tc>
          <w:tcPr>
            <w:tcW w:w="0" w:type="dxa"/>
            <w:vAlign w:val="bottom"/>
          </w:tcPr>
          <w:p>
            <w:pPr>
              <w:spacing w:after="0"/>
              <w:rPr>
                <w:sz w:val="1"/>
                <w:szCs w:val="1"/>
                <w:color w:val="auto"/>
              </w:rPr>
            </w:pPr>
          </w:p>
        </w:tc>
      </w:tr>
      <w:tr>
        <w:trPr>
          <w:trHeight w:val="378"/>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378"/>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378"/>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378"/>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378"/>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756"/>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8-K</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6/04/19</w:t>
            </w:r>
          </w:p>
        </w:tc>
        <w:tc>
          <w:tcPr>
            <w:tcW w:w="0" w:type="dxa"/>
            <w:vAlign w:val="bottom"/>
          </w:tcPr>
          <w:p>
            <w:pPr>
              <w:spacing w:after="0"/>
              <w:rPr>
                <w:sz w:val="1"/>
                <w:szCs w:val="1"/>
                <w:color w:val="auto"/>
              </w:rPr>
            </w:pPr>
          </w:p>
        </w:tc>
      </w:tr>
      <w:tr>
        <w:trPr>
          <w:trHeight w:val="56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8-K</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5/28/19</w:t>
            </w:r>
          </w:p>
        </w:tc>
        <w:tc>
          <w:tcPr>
            <w:tcW w:w="0" w:type="dxa"/>
            <w:vAlign w:val="bottom"/>
          </w:tcPr>
          <w:p>
            <w:pPr>
              <w:spacing w:after="0"/>
              <w:rPr>
                <w:sz w:val="1"/>
                <w:szCs w:val="1"/>
                <w:color w:val="auto"/>
              </w:rPr>
            </w:pPr>
          </w:p>
        </w:tc>
      </w:tr>
      <w:tr>
        <w:trPr>
          <w:trHeight w:val="56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2/26/14</w:t>
            </w:r>
          </w:p>
        </w:tc>
        <w:tc>
          <w:tcPr>
            <w:tcW w:w="0" w:type="dxa"/>
            <w:vAlign w:val="bottom"/>
          </w:tcPr>
          <w:p>
            <w:pPr>
              <w:spacing w:after="0"/>
              <w:rPr>
                <w:sz w:val="1"/>
                <w:szCs w:val="1"/>
                <w:color w:val="auto"/>
              </w:rPr>
            </w:pPr>
          </w:p>
        </w:tc>
      </w:tr>
      <w:tr>
        <w:trPr>
          <w:trHeight w:val="373"/>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189"/>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189"/>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195"/>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378"/>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378"/>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567"/>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2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340"/>
              <w:spacing w:after="0"/>
              <w:rPr>
                <w:sz w:val="20"/>
                <w:szCs w:val="20"/>
                <w:color w:val="auto"/>
              </w:rPr>
            </w:pPr>
            <w:r>
              <w:rPr>
                <w:rFonts w:ascii="Arial" w:cs="Arial" w:eastAsia="Arial" w:hAnsi="Arial"/>
                <w:sz w:val="16"/>
                <w:szCs w:val="16"/>
                <w:color w:val="auto"/>
                <w:w w:val="99"/>
              </w:rPr>
              <w:t>12/31/19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ectPr>
          <w:pgSz w:w="11900" w:h="16838" w:orient="portrait"/>
          <w:cols w:equalWidth="0" w:num="2">
            <w:col w:w="6420" w:space="120"/>
            <w:col w:w="4880"/>
          </w:cols>
          <w:pgMar w:left="240" w:top="262" w:right="2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information from the Registrant’s Annual Report on Form 10-K for the year ended December 31, 2019, formatted in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Inline XBRL (Extensive Business Reporting Language), filed herewith:</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Arial" w:cs="Arial" w:eastAsia="Arial" w:hAnsi="Arial"/>
                <w:sz w:val="16"/>
                <w:szCs w:val="16"/>
                <w:color w:val="auto"/>
              </w:rPr>
              <w:t>101(i)</w:t>
            </w:r>
          </w:p>
        </w:tc>
        <w:tc>
          <w:tcPr>
            <w:tcW w:w="5120" w:type="dxa"/>
            <w:vAlign w:val="bottom"/>
            <w:gridSpan w:val="7"/>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Consolidated Statements of Income for the years ended December 31,</w:t>
              </w:r>
            </w:hyperlink>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9"/>
        </w:trPr>
        <w:tc>
          <w:tcPr>
            <w:tcW w:w="1280" w:type="dxa"/>
            <w:vAlign w:val="bottom"/>
          </w:tcPr>
          <w:p>
            <w:pPr>
              <w:spacing w:after="0"/>
              <w:rPr>
                <w:sz w:val="14"/>
                <w:szCs w:val="14"/>
                <w:color w:val="auto"/>
              </w:rPr>
            </w:pPr>
          </w:p>
        </w:tc>
        <w:tc>
          <w:tcPr>
            <w:tcW w:w="5060" w:type="dxa"/>
            <w:vAlign w:val="bottom"/>
            <w:tcBorders>
              <w:top w:val="single" w:sz="8" w:color="0000EE"/>
            </w:tcBorders>
            <w:gridSpan w:val="6"/>
          </w:tcPr>
          <w:p>
            <w:pPr>
              <w:spacing w:after="0" w:line="169" w:lineRule="exact"/>
              <w:rPr>
                <w:rFonts w:ascii="Arial" w:cs="Arial" w:eastAsia="Arial" w:hAnsi="Arial"/>
                <w:sz w:val="16"/>
                <w:szCs w:val="16"/>
                <w:color w:val="0000EE"/>
              </w:rPr>
            </w:pPr>
            <w:hyperlink w:anchor="page48">
              <w:r>
                <w:rPr>
                  <w:rFonts w:ascii="Arial" w:cs="Arial" w:eastAsia="Arial" w:hAnsi="Arial"/>
                  <w:sz w:val="16"/>
                  <w:szCs w:val="16"/>
                  <w:color w:val="0000EE"/>
                </w:rPr>
                <w:t>2019, 2018 and 2017</w:t>
              </w:r>
            </w:hyperlink>
          </w:p>
        </w:tc>
        <w:tc>
          <w:tcPr>
            <w:tcW w:w="60" w:type="dxa"/>
            <w:vAlign w:val="bottom"/>
          </w:tcPr>
          <w:p>
            <w:pPr>
              <w:spacing w:after="0"/>
              <w:rPr>
                <w:sz w:val="14"/>
                <w:szCs w:val="14"/>
                <w:color w:val="auto"/>
              </w:rPr>
            </w:pPr>
          </w:p>
        </w:tc>
        <w:tc>
          <w:tcPr>
            <w:tcW w:w="1280" w:type="dxa"/>
            <w:vAlign w:val="bottom"/>
          </w:tcPr>
          <w:p>
            <w:pPr>
              <w:ind w:left="660"/>
              <w:spacing w:after="0" w:line="169" w:lineRule="exact"/>
              <w:rPr>
                <w:sz w:val="20"/>
                <w:szCs w:val="20"/>
                <w:color w:val="auto"/>
              </w:rPr>
            </w:pPr>
            <w:r>
              <w:rPr>
                <w:rFonts w:ascii="Arial" w:cs="Arial" w:eastAsia="Arial" w:hAnsi="Arial"/>
                <w:sz w:val="16"/>
                <w:szCs w:val="16"/>
                <w:color w:val="auto"/>
              </w:rPr>
              <w:t>X</w:t>
            </w:r>
          </w:p>
        </w:tc>
        <w:tc>
          <w:tcPr>
            <w:tcW w:w="1240" w:type="dxa"/>
            <w:vAlign w:val="bottom"/>
          </w:tcPr>
          <w:p>
            <w:pPr>
              <w:ind w:left="520"/>
              <w:spacing w:after="0" w:line="169" w:lineRule="exact"/>
              <w:rPr>
                <w:sz w:val="20"/>
                <w:szCs w:val="20"/>
                <w:color w:val="auto"/>
              </w:rPr>
            </w:pPr>
            <w:r>
              <w:rPr>
                <w:rFonts w:ascii="Arial" w:cs="Arial" w:eastAsia="Arial" w:hAnsi="Arial"/>
                <w:sz w:val="16"/>
                <w:szCs w:val="16"/>
                <w:color w:val="auto"/>
              </w:rPr>
              <w:t>10-K</w:t>
            </w:r>
          </w:p>
        </w:tc>
        <w:tc>
          <w:tcPr>
            <w:tcW w:w="1340" w:type="dxa"/>
            <w:vAlign w:val="bottom"/>
          </w:tcPr>
          <w:p>
            <w:pPr>
              <w:jc w:val="right"/>
              <w:ind w:right="259"/>
              <w:spacing w:after="0" w:line="169" w:lineRule="exact"/>
              <w:rPr>
                <w:sz w:val="20"/>
                <w:szCs w:val="20"/>
                <w:color w:val="auto"/>
              </w:rPr>
            </w:pPr>
            <w:r>
              <w:rPr>
                <w:rFonts w:ascii="Arial" w:cs="Arial" w:eastAsia="Arial" w:hAnsi="Arial"/>
                <w:sz w:val="16"/>
                <w:szCs w:val="16"/>
                <w:color w:val="auto"/>
              </w:rPr>
              <w:t>12/31/19</w:t>
            </w: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2/28/20</w:t>
            </w:r>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6"/>
                <w:szCs w:val="16"/>
                <w:color w:val="auto"/>
              </w:rPr>
              <w:t>101(ii)</w:t>
            </w:r>
          </w:p>
        </w:tc>
        <w:tc>
          <w:tcPr>
            <w:tcW w:w="470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Consolidated Statements of Comprehensive Income for the years</w:t>
              </w:r>
            </w:hyperlink>
          </w:p>
        </w:tc>
        <w:tc>
          <w:tcPr>
            <w:tcW w:w="420" w:type="dxa"/>
            <w:vAlign w:val="bottom"/>
            <w:gridSpan w:val="2"/>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3140" w:type="dxa"/>
            <w:vAlign w:val="bottom"/>
            <w:tcBorders>
              <w:bottom w:val="single" w:sz="8" w:color="0000EE"/>
            </w:tcBorders>
            <w:gridSpan w:val="3"/>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ended December 31, 2019, 2018, and 2017</w:t>
              </w:r>
            </w:hyperlink>
          </w:p>
        </w:tc>
        <w:tc>
          <w:tcPr>
            <w:tcW w:w="1980" w:type="dxa"/>
            <w:vAlign w:val="bottom"/>
            <w:gridSpan w:val="4"/>
          </w:tcPr>
          <w:p>
            <w:pPr>
              <w:spacing w:after="0"/>
              <w:rPr>
                <w:sz w:val="14"/>
                <w:szCs w:val="14"/>
                <w:color w:val="auto"/>
              </w:rPr>
            </w:pPr>
          </w:p>
        </w:tc>
        <w:tc>
          <w:tcPr>
            <w:tcW w:w="1280" w:type="dxa"/>
            <w:vAlign w:val="bottom"/>
          </w:tcPr>
          <w:p>
            <w:pPr>
              <w:ind w:left="660"/>
              <w:spacing w:after="0" w:line="169" w:lineRule="exact"/>
              <w:rPr>
                <w:sz w:val="20"/>
                <w:szCs w:val="20"/>
                <w:color w:val="auto"/>
              </w:rPr>
            </w:pPr>
            <w:r>
              <w:rPr>
                <w:rFonts w:ascii="Arial" w:cs="Arial" w:eastAsia="Arial" w:hAnsi="Arial"/>
                <w:sz w:val="16"/>
                <w:szCs w:val="16"/>
                <w:color w:val="auto"/>
              </w:rPr>
              <w:t>X</w:t>
            </w:r>
          </w:p>
        </w:tc>
        <w:tc>
          <w:tcPr>
            <w:tcW w:w="1240" w:type="dxa"/>
            <w:vAlign w:val="bottom"/>
          </w:tcPr>
          <w:p>
            <w:pPr>
              <w:ind w:left="520"/>
              <w:spacing w:after="0" w:line="169" w:lineRule="exact"/>
              <w:rPr>
                <w:sz w:val="20"/>
                <w:szCs w:val="20"/>
                <w:color w:val="auto"/>
              </w:rPr>
            </w:pPr>
            <w:r>
              <w:rPr>
                <w:rFonts w:ascii="Arial" w:cs="Arial" w:eastAsia="Arial" w:hAnsi="Arial"/>
                <w:sz w:val="16"/>
                <w:szCs w:val="16"/>
                <w:color w:val="auto"/>
              </w:rPr>
              <w:t>10-K</w:t>
            </w:r>
          </w:p>
        </w:tc>
        <w:tc>
          <w:tcPr>
            <w:tcW w:w="1340" w:type="dxa"/>
            <w:vAlign w:val="bottom"/>
          </w:tcPr>
          <w:p>
            <w:pPr>
              <w:jc w:val="right"/>
              <w:ind w:right="259"/>
              <w:spacing w:after="0" w:line="169" w:lineRule="exact"/>
              <w:rPr>
                <w:sz w:val="20"/>
                <w:szCs w:val="20"/>
                <w:color w:val="auto"/>
              </w:rPr>
            </w:pPr>
            <w:r>
              <w:rPr>
                <w:rFonts w:ascii="Arial" w:cs="Arial" w:eastAsia="Arial" w:hAnsi="Arial"/>
                <w:sz w:val="16"/>
                <w:szCs w:val="16"/>
                <w:color w:val="auto"/>
              </w:rPr>
              <w:t>12/31/19</w:t>
            </w: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2/28/20</w:t>
            </w: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6"/>
                <w:szCs w:val="16"/>
                <w:color w:val="auto"/>
              </w:rPr>
              <w:t>101(iii)</w:t>
            </w:r>
          </w:p>
        </w:tc>
        <w:tc>
          <w:tcPr>
            <w:tcW w:w="5120" w:type="dxa"/>
            <w:vAlign w:val="bottom"/>
            <w:gridSpan w:val="7"/>
          </w:tcPr>
          <w:p>
            <w:pPr>
              <w:spacing w:after="0" w:line="169" w:lineRule="exact"/>
              <w:rPr>
                <w:rFonts w:ascii="Arial" w:cs="Arial" w:eastAsia="Arial" w:hAnsi="Arial"/>
                <w:sz w:val="16"/>
                <w:szCs w:val="16"/>
                <w:color w:val="0000EE"/>
              </w:rPr>
            </w:pPr>
            <w:hyperlink w:anchor="page50">
              <w:r>
                <w:rPr>
                  <w:rFonts w:ascii="Arial" w:cs="Arial" w:eastAsia="Arial" w:hAnsi="Arial"/>
                  <w:sz w:val="16"/>
                  <w:szCs w:val="16"/>
                  <w:color w:val="0000EE"/>
                </w:rPr>
                <w:t>Consolidated Balance Sheets as of December 31, 2019 and 2018</w:t>
              </w:r>
            </w:hyperlink>
          </w:p>
        </w:tc>
        <w:tc>
          <w:tcPr>
            <w:tcW w:w="1280" w:type="dxa"/>
            <w:vAlign w:val="bottom"/>
          </w:tcPr>
          <w:p>
            <w:pPr>
              <w:ind w:left="660"/>
              <w:spacing w:after="0" w:line="169" w:lineRule="exact"/>
              <w:rPr>
                <w:sz w:val="20"/>
                <w:szCs w:val="20"/>
                <w:color w:val="auto"/>
              </w:rPr>
            </w:pPr>
            <w:r>
              <w:rPr>
                <w:rFonts w:ascii="Arial" w:cs="Arial" w:eastAsia="Arial" w:hAnsi="Arial"/>
                <w:sz w:val="16"/>
                <w:szCs w:val="16"/>
                <w:color w:val="auto"/>
              </w:rPr>
              <w:t>X</w:t>
            </w:r>
          </w:p>
        </w:tc>
        <w:tc>
          <w:tcPr>
            <w:tcW w:w="1240" w:type="dxa"/>
            <w:vAlign w:val="bottom"/>
          </w:tcPr>
          <w:p>
            <w:pPr>
              <w:ind w:left="520"/>
              <w:spacing w:after="0" w:line="169" w:lineRule="exact"/>
              <w:rPr>
                <w:sz w:val="20"/>
                <w:szCs w:val="20"/>
                <w:color w:val="auto"/>
              </w:rPr>
            </w:pPr>
            <w:r>
              <w:rPr>
                <w:rFonts w:ascii="Arial" w:cs="Arial" w:eastAsia="Arial" w:hAnsi="Arial"/>
                <w:sz w:val="16"/>
                <w:szCs w:val="16"/>
                <w:color w:val="auto"/>
              </w:rPr>
              <w:t>10-K</w:t>
            </w:r>
          </w:p>
        </w:tc>
        <w:tc>
          <w:tcPr>
            <w:tcW w:w="1340" w:type="dxa"/>
            <w:vAlign w:val="bottom"/>
          </w:tcPr>
          <w:p>
            <w:pPr>
              <w:jc w:val="right"/>
              <w:ind w:right="259"/>
              <w:spacing w:after="0" w:line="169" w:lineRule="exact"/>
              <w:rPr>
                <w:sz w:val="20"/>
                <w:szCs w:val="20"/>
                <w:color w:val="auto"/>
              </w:rPr>
            </w:pPr>
            <w:r>
              <w:rPr>
                <w:rFonts w:ascii="Arial" w:cs="Arial" w:eastAsia="Arial" w:hAnsi="Arial"/>
                <w:sz w:val="16"/>
                <w:szCs w:val="16"/>
                <w:color w:val="auto"/>
              </w:rPr>
              <w:t>12/31/19</w:t>
            </w: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2/28/20</w:t>
            </w:r>
          </w:p>
        </w:tc>
      </w:tr>
      <w:tr>
        <w:trPr>
          <w:trHeight w:val="20"/>
        </w:trPr>
        <w:tc>
          <w:tcPr>
            <w:tcW w:w="128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6"/>
                <w:szCs w:val="16"/>
                <w:color w:val="auto"/>
              </w:rPr>
              <w:t>101(iv)</w:t>
            </w:r>
          </w:p>
        </w:tc>
        <w:tc>
          <w:tcPr>
            <w:tcW w:w="512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Consolidated Statements of Cash Flows for the years ended December</w:t>
              </w:r>
            </w:hyperlink>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5120" w:type="dxa"/>
            <w:vAlign w:val="bottom"/>
            <w:gridSpan w:val="7"/>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31, 2019, 2018, and 2017</w:t>
              </w:r>
            </w:hyperlink>
          </w:p>
        </w:tc>
        <w:tc>
          <w:tcPr>
            <w:tcW w:w="1280" w:type="dxa"/>
            <w:vAlign w:val="bottom"/>
          </w:tcPr>
          <w:p>
            <w:pPr>
              <w:ind w:left="660"/>
              <w:spacing w:after="0" w:line="169" w:lineRule="exact"/>
              <w:rPr>
                <w:sz w:val="20"/>
                <w:szCs w:val="20"/>
                <w:color w:val="auto"/>
              </w:rPr>
            </w:pPr>
            <w:r>
              <w:rPr>
                <w:rFonts w:ascii="Arial" w:cs="Arial" w:eastAsia="Arial" w:hAnsi="Arial"/>
                <w:sz w:val="16"/>
                <w:szCs w:val="16"/>
                <w:color w:val="auto"/>
              </w:rPr>
              <w:t>X</w:t>
            </w:r>
          </w:p>
        </w:tc>
        <w:tc>
          <w:tcPr>
            <w:tcW w:w="1240" w:type="dxa"/>
            <w:vAlign w:val="bottom"/>
          </w:tcPr>
          <w:p>
            <w:pPr>
              <w:ind w:left="520"/>
              <w:spacing w:after="0" w:line="169" w:lineRule="exact"/>
              <w:rPr>
                <w:sz w:val="20"/>
                <w:szCs w:val="20"/>
                <w:color w:val="auto"/>
              </w:rPr>
            </w:pPr>
            <w:r>
              <w:rPr>
                <w:rFonts w:ascii="Arial" w:cs="Arial" w:eastAsia="Arial" w:hAnsi="Arial"/>
                <w:sz w:val="16"/>
                <w:szCs w:val="16"/>
                <w:color w:val="auto"/>
              </w:rPr>
              <w:t>10-K</w:t>
            </w:r>
          </w:p>
        </w:tc>
        <w:tc>
          <w:tcPr>
            <w:tcW w:w="1340" w:type="dxa"/>
            <w:vAlign w:val="bottom"/>
          </w:tcPr>
          <w:p>
            <w:pPr>
              <w:jc w:val="right"/>
              <w:ind w:right="259"/>
              <w:spacing w:after="0" w:line="169" w:lineRule="exact"/>
              <w:rPr>
                <w:sz w:val="20"/>
                <w:szCs w:val="20"/>
                <w:color w:val="auto"/>
              </w:rPr>
            </w:pPr>
            <w:r>
              <w:rPr>
                <w:rFonts w:ascii="Arial" w:cs="Arial" w:eastAsia="Arial" w:hAnsi="Arial"/>
                <w:sz w:val="16"/>
                <w:szCs w:val="16"/>
                <w:color w:val="auto"/>
              </w:rPr>
              <w:t>12/31/19</w:t>
            </w: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2/28/20</w:t>
            </w:r>
          </w:p>
        </w:tc>
      </w:tr>
      <w:tr>
        <w:trPr>
          <w:trHeight w:val="20"/>
        </w:trPr>
        <w:tc>
          <w:tcPr>
            <w:tcW w:w="128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6"/>
                <w:szCs w:val="16"/>
                <w:color w:val="auto"/>
              </w:rPr>
              <w:t>101(v)</w:t>
            </w:r>
          </w:p>
        </w:tc>
        <w:tc>
          <w:tcPr>
            <w:tcW w:w="316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w:anchor="page52">
              <w:r>
                <w:rPr>
                  <w:rFonts w:ascii="Arial" w:cs="Arial" w:eastAsia="Arial" w:hAnsi="Arial"/>
                  <w:sz w:val="16"/>
                  <w:szCs w:val="16"/>
                  <w:color w:val="0000EE"/>
                </w:rPr>
                <w:t>Notes to Consolidated Financial Statements</w:t>
              </w:r>
            </w:hyperlink>
          </w:p>
        </w:tc>
        <w:tc>
          <w:tcPr>
            <w:tcW w:w="1960" w:type="dxa"/>
            <w:vAlign w:val="bottom"/>
            <w:gridSpan w:val="3"/>
          </w:tcPr>
          <w:p>
            <w:pPr>
              <w:spacing w:after="0"/>
              <w:rPr>
                <w:sz w:val="14"/>
                <w:szCs w:val="14"/>
                <w:color w:val="auto"/>
              </w:rPr>
            </w:pPr>
          </w:p>
        </w:tc>
        <w:tc>
          <w:tcPr>
            <w:tcW w:w="1280" w:type="dxa"/>
            <w:vAlign w:val="bottom"/>
          </w:tcPr>
          <w:p>
            <w:pPr>
              <w:ind w:left="660"/>
              <w:spacing w:after="0" w:line="169" w:lineRule="exact"/>
              <w:rPr>
                <w:sz w:val="20"/>
                <w:szCs w:val="20"/>
                <w:color w:val="auto"/>
              </w:rPr>
            </w:pPr>
            <w:r>
              <w:rPr>
                <w:rFonts w:ascii="Arial" w:cs="Arial" w:eastAsia="Arial" w:hAnsi="Arial"/>
                <w:sz w:val="16"/>
                <w:szCs w:val="16"/>
                <w:color w:val="auto"/>
              </w:rPr>
              <w:t>X</w:t>
            </w:r>
          </w:p>
        </w:tc>
        <w:tc>
          <w:tcPr>
            <w:tcW w:w="1240" w:type="dxa"/>
            <w:vAlign w:val="bottom"/>
          </w:tcPr>
          <w:p>
            <w:pPr>
              <w:ind w:left="520"/>
              <w:spacing w:after="0" w:line="169" w:lineRule="exact"/>
              <w:rPr>
                <w:sz w:val="20"/>
                <w:szCs w:val="20"/>
                <w:color w:val="auto"/>
              </w:rPr>
            </w:pPr>
            <w:r>
              <w:rPr>
                <w:rFonts w:ascii="Arial" w:cs="Arial" w:eastAsia="Arial" w:hAnsi="Arial"/>
                <w:sz w:val="16"/>
                <w:szCs w:val="16"/>
                <w:color w:val="auto"/>
              </w:rPr>
              <w:t>10-K</w:t>
            </w:r>
          </w:p>
        </w:tc>
        <w:tc>
          <w:tcPr>
            <w:tcW w:w="1340" w:type="dxa"/>
            <w:vAlign w:val="bottom"/>
          </w:tcPr>
          <w:p>
            <w:pPr>
              <w:jc w:val="right"/>
              <w:ind w:right="259"/>
              <w:spacing w:after="0" w:line="169" w:lineRule="exact"/>
              <w:rPr>
                <w:sz w:val="20"/>
                <w:szCs w:val="20"/>
                <w:color w:val="auto"/>
              </w:rPr>
            </w:pPr>
            <w:r>
              <w:rPr>
                <w:rFonts w:ascii="Arial" w:cs="Arial" w:eastAsia="Arial" w:hAnsi="Arial"/>
                <w:sz w:val="16"/>
                <w:szCs w:val="16"/>
                <w:color w:val="auto"/>
              </w:rPr>
              <w:t>12/31/19</w:t>
            </w: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2/28/20</w:t>
            </w:r>
          </w:p>
        </w:tc>
      </w:tr>
      <w:tr>
        <w:trPr>
          <w:trHeight w:val="198"/>
        </w:trPr>
        <w:tc>
          <w:tcPr>
            <w:tcW w:w="1280" w:type="dxa"/>
            <w:vAlign w:val="bottom"/>
          </w:tcPr>
          <w:p>
            <w:pPr>
              <w:spacing w:after="0"/>
              <w:rPr>
                <w:sz w:val="20"/>
                <w:szCs w:val="20"/>
                <w:color w:val="auto"/>
              </w:rPr>
            </w:pPr>
            <w:r>
              <w:rPr>
                <w:rFonts w:ascii="Arial" w:cs="Arial" w:eastAsia="Arial" w:hAnsi="Arial"/>
                <w:sz w:val="16"/>
                <w:szCs w:val="16"/>
                <w:color w:val="auto"/>
              </w:rPr>
              <w:t>101.INS</w:t>
            </w:r>
          </w:p>
        </w:tc>
        <w:tc>
          <w:tcPr>
            <w:tcW w:w="10060" w:type="dxa"/>
            <w:vAlign w:val="bottom"/>
            <w:gridSpan w:val="11"/>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189"/>
        </w:trPr>
        <w:tc>
          <w:tcPr>
            <w:tcW w:w="1280" w:type="dxa"/>
            <w:vAlign w:val="bottom"/>
          </w:tcPr>
          <w:p>
            <w:pPr>
              <w:spacing w:after="0"/>
              <w:rPr>
                <w:sz w:val="16"/>
                <w:szCs w:val="16"/>
                <w:color w:val="auto"/>
              </w:rPr>
            </w:pPr>
          </w:p>
        </w:tc>
        <w:tc>
          <w:tcPr>
            <w:tcW w:w="5120" w:type="dxa"/>
            <w:vAlign w:val="bottom"/>
            <w:gridSpan w:val="7"/>
          </w:tcPr>
          <w:p>
            <w:pPr>
              <w:spacing w:after="0"/>
              <w:rPr>
                <w:sz w:val="20"/>
                <w:szCs w:val="20"/>
                <w:color w:val="auto"/>
              </w:rPr>
            </w:pPr>
            <w:r>
              <w:rPr>
                <w:rFonts w:ascii="Arial" w:cs="Arial" w:eastAsia="Arial" w:hAnsi="Arial"/>
                <w:sz w:val="16"/>
                <w:szCs w:val="16"/>
                <w:color w:val="auto"/>
              </w:rPr>
              <w:t>the Inline XBRL document.</w:t>
            </w: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101.SCH</w:t>
            </w:r>
          </w:p>
        </w:tc>
        <w:tc>
          <w:tcPr>
            <w:tcW w:w="5120" w:type="dxa"/>
            <w:vAlign w:val="bottom"/>
            <w:gridSpan w:val="7"/>
          </w:tcPr>
          <w:p>
            <w:pPr>
              <w:spacing w:after="0"/>
              <w:rPr>
                <w:sz w:val="20"/>
                <w:szCs w:val="20"/>
                <w:color w:val="auto"/>
              </w:rPr>
            </w:pPr>
            <w:r>
              <w:rPr>
                <w:rFonts w:ascii="Arial" w:cs="Arial" w:eastAsia="Arial" w:hAnsi="Arial"/>
                <w:sz w:val="16"/>
                <w:szCs w:val="16"/>
                <w:color w:val="auto"/>
              </w:rPr>
              <w:t>XBRL Taxonomy Extension Schema Document</w:t>
            </w: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101.CAL</w:t>
            </w:r>
          </w:p>
        </w:tc>
        <w:tc>
          <w:tcPr>
            <w:tcW w:w="512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101.DEF</w:t>
            </w:r>
          </w:p>
        </w:tc>
        <w:tc>
          <w:tcPr>
            <w:tcW w:w="512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101.LAB</w:t>
            </w:r>
          </w:p>
        </w:tc>
        <w:tc>
          <w:tcPr>
            <w:tcW w:w="512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 Document</w:t>
            </w: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101.PRE</w:t>
            </w:r>
          </w:p>
        </w:tc>
        <w:tc>
          <w:tcPr>
            <w:tcW w:w="512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6"/>
                <w:szCs w:val="16"/>
                <w:color w:val="auto"/>
              </w:rPr>
              <w:t>104</w:t>
            </w:r>
          </w:p>
        </w:tc>
        <w:tc>
          <w:tcPr>
            <w:tcW w:w="5120" w:type="dxa"/>
            <w:vAlign w:val="bottom"/>
            <w:gridSpan w:val="7"/>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9861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60" w:right="600" w:hanging="452"/>
        <w:spacing w:after="0" w:line="24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sectPr>
      </w:pPr>
    </w:p>
    <w:bookmarkStart w:id="114" w:name="page115"/>
    <w:bookmarkEnd w:id="1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200" w:firstLine="37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the 28th day of February, 2020.</w:t>
      </w:r>
    </w:p>
    <w:p>
      <w:pPr>
        <w:spacing w:after="0" w:line="200" w:lineRule="exact"/>
        <w:rPr>
          <w:sz w:val="20"/>
          <w:szCs w:val="20"/>
          <w:color w:val="auto"/>
        </w:rPr>
      </w:pPr>
    </w:p>
    <w:p>
      <w:pPr>
        <w:spacing w:after="0" w:line="32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ALBANY INTERNATIONAL CORP.</w:t>
      </w:r>
    </w:p>
    <w:p>
      <w:pPr>
        <w:spacing w:after="0" w:line="25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Stephen M. Nolan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p>
      <w:pPr>
        <w:ind w:right="20" w:firstLine="37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Company and in the capacities and on the dates indicated.</w:t>
      </w:r>
    </w:p>
    <w:p>
      <w:pPr>
        <w:spacing w:after="0" w:line="185" w:lineRule="exact"/>
        <w:rPr>
          <w:sz w:val="20"/>
          <w:szCs w:val="20"/>
          <w:color w:val="auto"/>
        </w:rPr>
      </w:pPr>
    </w:p>
    <w:p>
      <w:pPr>
        <w:ind w:left="1100"/>
        <w:spacing w:after="0"/>
        <w:tabs>
          <w:tab w:leader="none" w:pos="5660" w:val="left"/>
          <w:tab w:leader="none" w:pos="99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p>
      <w:pPr>
        <w:spacing w:after="0" w:line="31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A. William Higgins</w:t>
      </w:r>
    </w:p>
    <w:p>
      <w:pPr>
        <w:spacing w:after="0" w:line="21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8180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Stephen M. Nolan</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David M. Pawlick</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Erland E. Kailbourne</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John F. Cassidy, Jr.</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Katharine Plourde</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Mark J. Murphy</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John R. Scannell</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Christine L. Standish</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Kenneth W. Krueger</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180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ind w:left="440"/>
        <w:spacing w:after="0"/>
        <w:rPr>
          <w:sz w:val="20"/>
          <w:szCs w:val="20"/>
          <w:color w:val="auto"/>
        </w:rPr>
      </w:pPr>
      <w:r>
        <w:rPr>
          <w:rFonts w:ascii="Arial" w:cs="Arial" w:eastAsia="Arial" w:hAnsi="Arial"/>
          <w:sz w:val="18"/>
          <w:szCs w:val="18"/>
          <w:color w:val="auto"/>
        </w:rPr>
        <w:t>Lee C. Wortham</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*By /s/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8180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Stephen M. Nolan</w:t>
      </w:r>
    </w:p>
    <w:p>
      <w:pPr>
        <w:ind w:left="8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President and Chief Executive Officer and Director</w:t>
      </w:r>
      <w:r>
        <w:rPr>
          <w:sz w:val="20"/>
          <w:szCs w:val="20"/>
          <w:color w:val="auto"/>
        </w:rPr>
        <w:tab/>
      </w:r>
      <w:r>
        <w:rPr>
          <w:rFonts w:ascii="Arial" w:cs="Arial" w:eastAsia="Arial" w:hAnsi="Arial"/>
          <w:sz w:val="18"/>
          <w:szCs w:val="18"/>
          <w:color w:val="auto"/>
        </w:rPr>
        <w:t>February 28,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Chief Financial Officer and Treasurer</w:t>
      </w:r>
      <w:r>
        <w:rPr>
          <w:sz w:val="20"/>
          <w:szCs w:val="20"/>
          <w:color w:val="auto"/>
        </w:rPr>
        <w:tab/>
      </w:r>
      <w:r>
        <w:rPr>
          <w:rFonts w:ascii="Arial" w:cs="Arial" w:eastAsia="Arial" w:hAnsi="Arial"/>
          <w:sz w:val="18"/>
          <w:szCs w:val="18"/>
          <w:color w:val="auto"/>
        </w:rPr>
        <w:t>February 28,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Vice President–Controller</w:t>
      </w:r>
      <w:r>
        <w:rPr>
          <w:sz w:val="20"/>
          <w:szCs w:val="20"/>
          <w:color w:val="auto"/>
        </w:rPr>
        <w:tab/>
      </w:r>
      <w:r>
        <w:rPr>
          <w:rFonts w:ascii="Arial" w:cs="Arial" w:eastAsia="Arial" w:hAnsi="Arial"/>
          <w:sz w:val="18"/>
          <w:szCs w:val="18"/>
          <w:color w:val="auto"/>
        </w:rPr>
        <w:t>February 28,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Chairman of the Board and Director</w:t>
      </w:r>
      <w:r>
        <w:rPr>
          <w:sz w:val="20"/>
          <w:szCs w:val="20"/>
          <w:color w:val="auto"/>
        </w:rPr>
        <w:tab/>
      </w: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105410</wp:posOffset>
            </wp:positionV>
            <wp:extent cx="7272020"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2">
            <w:col w:w="2440" w:space="660"/>
            <w:col w:w="8320"/>
          </w:cols>
          <w:pgMar w:left="240" w:top="269" w:right="239" w:bottom="1440" w:gutter="0" w:footer="0" w:header="0"/>
          <w:type w:val="continuous"/>
        </w:sectPr>
      </w:pPr>
    </w:p>
    <w:bookmarkStart w:id="115" w:name="page116"/>
    <w:bookmarkEnd w:id="1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0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ALBANY INTERNATIONAL CORP.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60" w:type="dxa"/>
            <w:vAlign w:val="bottom"/>
          </w:tcPr>
          <w:p>
            <w:pPr>
              <w:spacing w:after="0"/>
              <w:rPr>
                <w:sz w:val="15"/>
                <w:szCs w:val="15"/>
                <w:color w:val="auto"/>
              </w:rPr>
            </w:pPr>
          </w:p>
        </w:tc>
        <w:tc>
          <w:tcPr>
            <w:tcW w:w="3480" w:type="dxa"/>
            <w:vAlign w:val="bottom"/>
            <w:gridSpan w:val="4"/>
          </w:tcPr>
          <w:p>
            <w:pPr>
              <w:jc w:val="center"/>
              <w:ind w:right="2720"/>
              <w:spacing w:after="0"/>
              <w:rPr>
                <w:sz w:val="20"/>
                <w:szCs w:val="20"/>
                <w:color w:val="auto"/>
              </w:rPr>
            </w:pPr>
            <w:r>
              <w:rPr>
                <w:rFonts w:ascii="Arial" w:cs="Arial" w:eastAsia="Arial" w:hAnsi="Arial"/>
                <w:sz w:val="14"/>
                <w:szCs w:val="14"/>
                <w:b w:val="1"/>
                <w:bCs w:val="1"/>
                <w:color w:val="auto"/>
              </w:rPr>
              <w:t>Column A</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Column B</w:t>
            </w:r>
          </w:p>
        </w:tc>
        <w:tc>
          <w:tcPr>
            <w:tcW w:w="1480" w:type="dxa"/>
            <w:vAlign w:val="bottom"/>
            <w:gridSpan w:val="3"/>
          </w:tcPr>
          <w:p>
            <w:pPr>
              <w:ind w:left="220"/>
              <w:spacing w:after="0"/>
              <w:rPr>
                <w:sz w:val="20"/>
                <w:szCs w:val="20"/>
                <w:color w:val="auto"/>
              </w:rPr>
            </w:pPr>
            <w:r>
              <w:rPr>
                <w:rFonts w:ascii="Arial" w:cs="Arial" w:eastAsia="Arial" w:hAnsi="Arial"/>
                <w:sz w:val="14"/>
                <w:szCs w:val="14"/>
                <w:b w:val="1"/>
                <w:bCs w:val="1"/>
                <w:color w:val="auto"/>
              </w:rPr>
              <w:t>Column C</w:t>
            </w: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Column 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Column E</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beginning of</w:t>
            </w: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Charge to</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75"/>
        </w:trPr>
        <w:tc>
          <w:tcPr>
            <w:tcW w:w="5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period</w:t>
            </w: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rPr>
              <w:t>expense</w:t>
            </w:r>
          </w:p>
        </w:tc>
        <w:tc>
          <w:tcPr>
            <w:tcW w:w="280" w:type="dxa"/>
            <w:vAlign w:val="bottom"/>
          </w:tcPr>
          <w:p>
            <w:pPr>
              <w:spacing w:after="0"/>
              <w:rPr>
                <w:sz w:val="15"/>
                <w:szCs w:val="15"/>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of the period</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40" w:type="dxa"/>
            <w:vAlign w:val="bottom"/>
            <w:gridSpan w:val="4"/>
          </w:tcPr>
          <w:p>
            <w:pPr>
              <w:spacing w:after="0" w:line="195" w:lineRule="exact"/>
              <w:rPr>
                <w:sz w:val="20"/>
                <w:szCs w:val="20"/>
                <w:color w:val="auto"/>
              </w:rPr>
            </w:pPr>
            <w:r>
              <w:rPr>
                <w:rFonts w:ascii="Arial" w:cs="Arial" w:eastAsia="Arial" w:hAnsi="Arial"/>
                <w:sz w:val="18"/>
                <w:szCs w:val="18"/>
                <w:color w:val="auto"/>
              </w:rPr>
              <w:t>Allowance for doubtful accounts</w:t>
            </w:r>
          </w:p>
        </w:tc>
        <w:tc>
          <w:tcPr>
            <w:tcW w:w="270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4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right"/>
              <w:ind w:right="1691"/>
              <w:spacing w:after="0" w:line="202" w:lineRule="exact"/>
              <w:rPr>
                <w:sz w:val="20"/>
                <w:szCs w:val="20"/>
                <w:color w:val="auto"/>
              </w:rPr>
            </w:pPr>
            <w:r>
              <w:rPr>
                <w:rFonts w:ascii="Arial" w:cs="Arial" w:eastAsia="Arial" w:hAnsi="Arial"/>
                <w:sz w:val="18"/>
                <w:szCs w:val="18"/>
                <w:color w:val="auto"/>
              </w:rPr>
              <w:t>2019</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$ 7,337</w:t>
            </w:r>
          </w:p>
        </w:tc>
        <w:tc>
          <w:tcPr>
            <w:tcW w:w="340" w:type="dxa"/>
            <w:vAlign w:val="bottom"/>
          </w:tcPr>
          <w:p>
            <w:pPr>
              <w:spacing w:after="0"/>
              <w:rPr>
                <w:sz w:val="17"/>
                <w:szCs w:val="17"/>
                <w:color w:val="auto"/>
              </w:rPr>
            </w:pP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309</w:t>
            </w: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(5,927)</w:t>
            </w:r>
          </w:p>
        </w:tc>
        <w:tc>
          <w:tcPr>
            <w:tcW w:w="340" w:type="dxa"/>
            <w:vAlign w:val="bottom"/>
          </w:tcPr>
          <w:p>
            <w:pPr>
              <w:spacing w:after="0"/>
              <w:rPr>
                <w:sz w:val="17"/>
                <w:szCs w:val="17"/>
                <w:color w:val="auto"/>
              </w:rPr>
            </w:pP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$ 1,719</w:t>
            </w:r>
          </w:p>
        </w:tc>
        <w:tc>
          <w:tcPr>
            <w:tcW w:w="0" w:type="dxa"/>
            <w:vAlign w:val="bottom"/>
          </w:tcPr>
          <w:p>
            <w:pPr>
              <w:spacing w:after="0"/>
              <w:rPr>
                <w:sz w:val="1"/>
                <w:szCs w:val="1"/>
                <w:color w:val="auto"/>
              </w:rPr>
            </w:pPr>
          </w:p>
        </w:tc>
      </w:tr>
      <w:tr>
        <w:trPr>
          <w:trHeight w:val="203"/>
        </w:trPr>
        <w:tc>
          <w:tcPr>
            <w:tcW w:w="2360" w:type="dxa"/>
            <w:vAlign w:val="bottom"/>
          </w:tcPr>
          <w:p>
            <w:pPr>
              <w:jc w:val="right"/>
              <w:ind w:right="1691"/>
              <w:spacing w:after="0" w:line="202" w:lineRule="exact"/>
              <w:rPr>
                <w:sz w:val="20"/>
                <w:szCs w:val="20"/>
                <w:color w:val="auto"/>
              </w:rPr>
            </w:pPr>
            <w:r>
              <w:rPr>
                <w:rFonts w:ascii="Arial" w:cs="Arial" w:eastAsia="Arial" w:hAnsi="Arial"/>
                <w:sz w:val="18"/>
                <w:szCs w:val="18"/>
                <w:color w:val="auto"/>
              </w:rPr>
              <w:t>2018</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7,919</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579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(1,161)</w:t>
            </w:r>
          </w:p>
        </w:tc>
        <w:tc>
          <w:tcPr>
            <w:tcW w:w="340" w:type="dxa"/>
            <w:vAlign w:val="bottom"/>
          </w:tcPr>
          <w:p>
            <w:pPr>
              <w:spacing w:after="0"/>
              <w:rPr>
                <w:sz w:val="17"/>
                <w:szCs w:val="17"/>
                <w:color w:val="auto"/>
              </w:rPr>
            </w:pP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3"/>
        </w:trPr>
        <w:tc>
          <w:tcPr>
            <w:tcW w:w="2360" w:type="dxa"/>
            <w:vAlign w:val="bottom"/>
          </w:tcPr>
          <w:p>
            <w:pPr>
              <w:jc w:val="right"/>
              <w:ind w:right="1691"/>
              <w:spacing w:after="0" w:line="202" w:lineRule="exact"/>
              <w:rPr>
                <w:sz w:val="20"/>
                <w:szCs w:val="20"/>
                <w:color w:val="auto"/>
              </w:rPr>
            </w:pPr>
            <w:r>
              <w:rPr>
                <w:rFonts w:ascii="Arial" w:cs="Arial" w:eastAsia="Arial" w:hAnsi="Arial"/>
                <w:sz w:val="18"/>
                <w:szCs w:val="18"/>
                <w:color w:val="auto"/>
              </w:rPr>
              <w:t>2017</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6,952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7"/>
              </w:rPr>
              <w:t>1,388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(421)</w:t>
            </w:r>
          </w:p>
        </w:tc>
        <w:tc>
          <w:tcPr>
            <w:tcW w:w="340" w:type="dxa"/>
            <w:vAlign w:val="bottom"/>
          </w:tcPr>
          <w:p>
            <w:pPr>
              <w:spacing w:after="0"/>
              <w:rPr>
                <w:sz w:val="17"/>
                <w:szCs w:val="17"/>
                <w:color w:val="auto"/>
              </w:rPr>
            </w:pP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03"/>
        </w:trPr>
        <w:tc>
          <w:tcPr>
            <w:tcW w:w="5840" w:type="dxa"/>
            <w:vAlign w:val="bottom"/>
            <w:gridSpan w:val="5"/>
          </w:tcPr>
          <w:p>
            <w:pPr>
              <w:spacing w:after="0" w:line="202" w:lineRule="exact"/>
              <w:rPr>
                <w:sz w:val="20"/>
                <w:szCs w:val="20"/>
                <w:color w:val="auto"/>
              </w:rPr>
            </w:pPr>
            <w:r>
              <w:rPr>
                <w:rFonts w:ascii="Arial" w:cs="Arial" w:eastAsia="Arial" w:hAnsi="Arial"/>
                <w:sz w:val="18"/>
                <w:szCs w:val="18"/>
                <w:color w:val="auto"/>
              </w:rPr>
              <w:t>Allowance for sales returns</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right"/>
              <w:ind w:right="1691"/>
              <w:spacing w:after="0" w:line="202" w:lineRule="exact"/>
              <w:rPr>
                <w:sz w:val="20"/>
                <w:szCs w:val="20"/>
                <w:color w:val="auto"/>
              </w:rPr>
            </w:pPr>
            <w:r>
              <w:rPr>
                <w:rFonts w:ascii="Arial" w:cs="Arial" w:eastAsia="Arial" w:hAnsi="Arial"/>
                <w:sz w:val="18"/>
                <w:szCs w:val="18"/>
                <w:color w:val="auto"/>
              </w:rPr>
              <w:t>2019</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8"/>
              </w:rPr>
              <w:t>$11,343</w:t>
            </w:r>
          </w:p>
        </w:tc>
        <w:tc>
          <w:tcPr>
            <w:tcW w:w="340" w:type="dxa"/>
            <w:vAlign w:val="bottom"/>
          </w:tcPr>
          <w:p>
            <w:pPr>
              <w:spacing w:after="0"/>
              <w:rPr>
                <w:sz w:val="17"/>
                <w:szCs w:val="17"/>
                <w:color w:val="auto"/>
              </w:rPr>
            </w:pPr>
          </w:p>
        </w:tc>
        <w:tc>
          <w:tcPr>
            <w:tcW w:w="4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7,278</w:t>
            </w: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(7,372)</w:t>
            </w:r>
          </w:p>
        </w:tc>
        <w:tc>
          <w:tcPr>
            <w:tcW w:w="3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03"/>
        </w:trPr>
        <w:tc>
          <w:tcPr>
            <w:tcW w:w="2360" w:type="dxa"/>
            <w:vAlign w:val="bottom"/>
          </w:tcPr>
          <w:p>
            <w:pPr>
              <w:jc w:val="right"/>
              <w:ind w:right="1691"/>
              <w:spacing w:after="0" w:line="202" w:lineRule="exact"/>
              <w:rPr>
                <w:sz w:val="20"/>
                <w:szCs w:val="20"/>
                <w:color w:val="auto"/>
              </w:rPr>
            </w:pPr>
            <w:r>
              <w:rPr>
                <w:rFonts w:ascii="Arial" w:cs="Arial" w:eastAsia="Arial" w:hAnsi="Arial"/>
                <w:sz w:val="18"/>
                <w:szCs w:val="18"/>
                <w:color w:val="auto"/>
              </w:rPr>
              <w:t>2018</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11,370</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7"/>
              </w:rPr>
              <w:t>8,372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(8,399)</w:t>
            </w:r>
          </w:p>
        </w:tc>
        <w:tc>
          <w:tcPr>
            <w:tcW w:w="340" w:type="dxa"/>
            <w:vAlign w:val="bottom"/>
          </w:tcPr>
          <w:p>
            <w:pPr>
              <w:spacing w:after="0"/>
              <w:rPr>
                <w:sz w:val="17"/>
                <w:szCs w:val="17"/>
                <w:color w:val="auto"/>
              </w:rPr>
            </w:pP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03"/>
        </w:trPr>
        <w:tc>
          <w:tcPr>
            <w:tcW w:w="2360" w:type="dxa"/>
            <w:vAlign w:val="bottom"/>
          </w:tcPr>
          <w:p>
            <w:pPr>
              <w:jc w:val="right"/>
              <w:ind w:right="1691"/>
              <w:spacing w:after="0" w:line="202" w:lineRule="exact"/>
              <w:rPr>
                <w:sz w:val="20"/>
                <w:szCs w:val="20"/>
                <w:color w:val="auto"/>
              </w:rPr>
            </w:pPr>
            <w:r>
              <w:rPr>
                <w:rFonts w:ascii="Arial" w:cs="Arial" w:eastAsia="Arial" w:hAnsi="Arial"/>
                <w:sz w:val="18"/>
                <w:szCs w:val="18"/>
                <w:color w:val="auto"/>
              </w:rPr>
              <w:t>2017</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13,714</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7"/>
              </w:rPr>
              <w:t>8,909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8"/>
              </w:rPr>
              <w:t>(11,253)</w:t>
            </w:r>
          </w:p>
        </w:tc>
        <w:tc>
          <w:tcPr>
            <w:tcW w:w="340" w:type="dxa"/>
            <w:vAlign w:val="bottom"/>
          </w:tcPr>
          <w:p>
            <w:pPr>
              <w:spacing w:after="0"/>
              <w:rPr>
                <w:sz w:val="17"/>
                <w:szCs w:val="17"/>
                <w:color w:val="auto"/>
              </w:rPr>
            </w:pP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03"/>
        </w:trPr>
        <w:tc>
          <w:tcPr>
            <w:tcW w:w="5840" w:type="dxa"/>
            <w:vAlign w:val="bottom"/>
            <w:gridSpan w:val="5"/>
          </w:tcPr>
          <w:p>
            <w:pPr>
              <w:spacing w:after="0" w:line="202" w:lineRule="exact"/>
              <w:rPr>
                <w:sz w:val="20"/>
                <w:szCs w:val="20"/>
                <w:color w:val="auto"/>
              </w:rPr>
            </w:pPr>
            <w:r>
              <w:rPr>
                <w:rFonts w:ascii="Arial" w:cs="Arial" w:eastAsia="Arial" w:hAnsi="Arial"/>
                <w:sz w:val="18"/>
                <w:szCs w:val="18"/>
                <w:color w:val="auto"/>
              </w:rPr>
              <w:t>Valuation allowance deferred tax assets</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right"/>
              <w:ind w:right="1691"/>
              <w:spacing w:after="0" w:line="202" w:lineRule="exact"/>
              <w:rPr>
                <w:sz w:val="20"/>
                <w:szCs w:val="20"/>
                <w:color w:val="auto"/>
              </w:rPr>
            </w:pPr>
            <w:r>
              <w:rPr>
                <w:rFonts w:ascii="Arial" w:cs="Arial" w:eastAsia="Arial" w:hAnsi="Arial"/>
                <w:sz w:val="18"/>
                <w:szCs w:val="18"/>
                <w:color w:val="auto"/>
              </w:rPr>
              <w:t>2019</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$ 8,389</w:t>
            </w:r>
          </w:p>
        </w:tc>
        <w:tc>
          <w:tcPr>
            <w:tcW w:w="340" w:type="dxa"/>
            <w:vAlign w:val="bottom"/>
          </w:tcPr>
          <w:p>
            <w:pPr>
              <w:spacing w:after="0"/>
              <w:rPr>
                <w:sz w:val="17"/>
                <w:szCs w:val="17"/>
                <w:color w:val="auto"/>
              </w:rPr>
            </w:pP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859</w:t>
            </w: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(146)</w:t>
            </w:r>
          </w:p>
        </w:tc>
        <w:tc>
          <w:tcPr>
            <w:tcW w:w="340" w:type="dxa"/>
            <w:vAlign w:val="bottom"/>
          </w:tcPr>
          <w:p>
            <w:pPr>
              <w:spacing w:after="0"/>
              <w:rPr>
                <w:sz w:val="17"/>
                <w:szCs w:val="17"/>
                <w:color w:val="auto"/>
              </w:rPr>
            </w:pP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$ 9,102</w:t>
            </w:r>
          </w:p>
        </w:tc>
        <w:tc>
          <w:tcPr>
            <w:tcW w:w="0" w:type="dxa"/>
            <w:vAlign w:val="bottom"/>
          </w:tcPr>
          <w:p>
            <w:pPr>
              <w:spacing w:after="0"/>
              <w:rPr>
                <w:sz w:val="1"/>
                <w:szCs w:val="1"/>
                <w:color w:val="auto"/>
              </w:rPr>
            </w:pPr>
          </w:p>
        </w:tc>
      </w:tr>
      <w:tr>
        <w:trPr>
          <w:trHeight w:val="203"/>
        </w:trPr>
        <w:tc>
          <w:tcPr>
            <w:tcW w:w="2360" w:type="dxa"/>
            <w:vAlign w:val="bottom"/>
          </w:tcPr>
          <w:p>
            <w:pPr>
              <w:jc w:val="right"/>
              <w:ind w:right="1691"/>
              <w:spacing w:after="0" w:line="202" w:lineRule="exact"/>
              <w:rPr>
                <w:sz w:val="20"/>
                <w:szCs w:val="20"/>
                <w:color w:val="auto"/>
              </w:rPr>
            </w:pPr>
            <w:r>
              <w:rPr>
                <w:rFonts w:ascii="Arial" w:cs="Arial" w:eastAsia="Arial" w:hAnsi="Arial"/>
                <w:sz w:val="18"/>
                <w:szCs w:val="18"/>
                <w:color w:val="auto"/>
              </w:rPr>
              <w:t>2018</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16,057</w:t>
            </w:r>
          </w:p>
        </w:tc>
        <w:tc>
          <w:tcPr>
            <w:tcW w:w="340" w:type="dxa"/>
            <w:vAlign w:val="bottom"/>
          </w:tcPr>
          <w:p>
            <w:pPr>
              <w:spacing w:after="0"/>
              <w:rPr>
                <w:sz w:val="17"/>
                <w:szCs w:val="17"/>
                <w:color w:val="auto"/>
              </w:rPr>
            </w:pPr>
          </w:p>
        </w:tc>
        <w:tc>
          <w:tcPr>
            <w:tcW w:w="11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(4,882)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(2,786)</w:t>
            </w:r>
          </w:p>
        </w:tc>
        <w:tc>
          <w:tcPr>
            <w:tcW w:w="340" w:type="dxa"/>
            <w:vAlign w:val="bottom"/>
          </w:tcPr>
          <w:p>
            <w:pPr>
              <w:spacing w:after="0"/>
              <w:rPr>
                <w:sz w:val="17"/>
                <w:szCs w:val="17"/>
                <w:color w:val="auto"/>
              </w:rPr>
            </w:pP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17"/>
        </w:trPr>
        <w:tc>
          <w:tcPr>
            <w:tcW w:w="2360" w:type="dxa"/>
            <w:vAlign w:val="bottom"/>
          </w:tcPr>
          <w:p>
            <w:pPr>
              <w:jc w:val="right"/>
              <w:ind w:right="1691"/>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22,821</w:t>
            </w:r>
          </w:p>
        </w:tc>
        <w:tc>
          <w:tcPr>
            <w:tcW w:w="34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(3,552)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(3,212)</w:t>
            </w:r>
          </w:p>
        </w:tc>
        <w:tc>
          <w:tcPr>
            <w:tcW w:w="340" w:type="dxa"/>
            <w:vAlign w:val="bottom"/>
          </w:tcPr>
          <w:p>
            <w:pPr>
              <w:spacing w:after="0"/>
              <w:rPr>
                <w:sz w:val="18"/>
                <w:szCs w:val="18"/>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color w:val="auto"/>
              </w:rPr>
              <w:t>16,057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9861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986155" cy="425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sold, written off, or recovered, and the effect of changes in currency translation rates, are included in Column D.</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Investor Relations Department may be contacted at: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Investor Relations Department</w:t>
      </w:r>
    </w:p>
    <w:p>
      <w:pPr>
        <w:ind w:left="440"/>
        <w:spacing w:after="0" w:line="234" w:lineRule="auto"/>
        <w:rPr>
          <w:sz w:val="20"/>
          <w:szCs w:val="20"/>
          <w:color w:val="auto"/>
        </w:rPr>
      </w:pPr>
      <w:r>
        <w:rPr>
          <w:rFonts w:ascii="Arial" w:cs="Arial" w:eastAsia="Arial" w:hAnsi="Arial"/>
          <w:sz w:val="18"/>
          <w:szCs w:val="18"/>
          <w:color w:val="auto"/>
        </w:rPr>
        <w:t>Albany International Corp.</w:t>
      </w:r>
    </w:p>
    <w:p>
      <w:pPr>
        <w:ind w:left="440"/>
        <w:spacing w:after="0" w:line="235" w:lineRule="auto"/>
        <w:rPr>
          <w:sz w:val="20"/>
          <w:szCs w:val="20"/>
          <w:color w:val="auto"/>
        </w:rPr>
      </w:pPr>
      <w:r>
        <w:rPr>
          <w:rFonts w:ascii="Arial" w:cs="Arial" w:eastAsia="Arial" w:hAnsi="Arial"/>
          <w:sz w:val="18"/>
          <w:szCs w:val="18"/>
          <w:color w:val="auto"/>
        </w:rPr>
        <w:t>216 Airport Drive</w:t>
      </w:r>
    </w:p>
    <w:p>
      <w:pPr>
        <w:ind w:left="440"/>
        <w:spacing w:after="0" w:line="235" w:lineRule="auto"/>
        <w:rPr>
          <w:sz w:val="20"/>
          <w:szCs w:val="20"/>
          <w:color w:val="auto"/>
        </w:rPr>
      </w:pPr>
      <w:r>
        <w:rPr>
          <w:rFonts w:ascii="Arial" w:cs="Arial" w:eastAsia="Arial" w:hAnsi="Arial"/>
          <w:sz w:val="18"/>
          <w:szCs w:val="18"/>
          <w:color w:val="auto"/>
        </w:rPr>
        <w:t>Rochester, NH 03867</w:t>
      </w:r>
    </w:p>
    <w:p>
      <w:pPr>
        <w:ind w:left="440"/>
        <w:spacing w:after="0" w:line="235" w:lineRule="auto"/>
        <w:rPr>
          <w:sz w:val="20"/>
          <w:szCs w:val="20"/>
          <w:color w:val="auto"/>
        </w:rPr>
      </w:pPr>
      <w:r>
        <w:rPr>
          <w:rFonts w:ascii="Arial" w:cs="Arial" w:eastAsia="Arial" w:hAnsi="Arial"/>
          <w:sz w:val="18"/>
          <w:szCs w:val="18"/>
          <w:color w:val="auto"/>
        </w:rPr>
        <w:t>Telephone: (603) 330-5850</w:t>
      </w:r>
    </w:p>
    <w:p>
      <w:pPr>
        <w:ind w:left="440"/>
        <w:spacing w:after="0" w:line="235" w:lineRule="auto"/>
        <w:rPr>
          <w:sz w:val="20"/>
          <w:szCs w:val="20"/>
          <w:color w:val="auto"/>
        </w:rPr>
      </w:pPr>
      <w:r>
        <w:rPr>
          <w:rFonts w:ascii="Arial" w:cs="Arial" w:eastAsia="Arial" w:hAnsi="Arial"/>
          <w:sz w:val="18"/>
          <w:szCs w:val="18"/>
          <w:color w:val="auto"/>
        </w:rPr>
        <w:t>Fax: (603) 994-3974</w:t>
      </w:r>
    </w:p>
    <w:p>
      <w:pPr>
        <w:ind w:left="440"/>
        <w:spacing w:after="0"/>
        <w:rPr>
          <w:sz w:val="20"/>
          <w:szCs w:val="20"/>
          <w:color w:val="auto"/>
        </w:rPr>
      </w:pPr>
      <w:r>
        <w:rPr>
          <w:rFonts w:ascii="Arial" w:cs="Arial" w:eastAsia="Arial" w:hAnsi="Arial"/>
          <w:sz w:val="18"/>
          <w:szCs w:val="18"/>
          <w:color w:val="auto"/>
        </w:rPr>
        <w:t>E-mail: investor.relations@albint.com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Computershare</w:t>
      </w:r>
    </w:p>
    <w:p>
      <w:pPr>
        <w:ind w:left="440"/>
        <w:spacing w:after="0" w:line="234" w:lineRule="auto"/>
        <w:rPr>
          <w:sz w:val="20"/>
          <w:szCs w:val="20"/>
          <w:color w:val="auto"/>
        </w:rPr>
      </w:pPr>
      <w:r>
        <w:rPr>
          <w:rFonts w:ascii="Arial" w:cs="Arial" w:eastAsia="Arial" w:hAnsi="Arial"/>
          <w:sz w:val="18"/>
          <w:szCs w:val="18"/>
          <w:color w:val="auto"/>
        </w:rPr>
        <w:t>P.O. Box 505000</w:t>
      </w:r>
    </w:p>
    <w:p>
      <w:pPr>
        <w:ind w:left="440"/>
        <w:spacing w:after="0" w:line="235" w:lineRule="auto"/>
        <w:rPr>
          <w:sz w:val="20"/>
          <w:szCs w:val="20"/>
          <w:color w:val="auto"/>
        </w:rPr>
      </w:pPr>
      <w:r>
        <w:rPr>
          <w:rFonts w:ascii="Arial" w:cs="Arial" w:eastAsia="Arial" w:hAnsi="Arial"/>
          <w:sz w:val="18"/>
          <w:szCs w:val="18"/>
          <w:color w:val="auto"/>
        </w:rPr>
        <w:t>Louisville, KY 40233-5000</w:t>
      </w:r>
    </w:p>
    <w:p>
      <w:pPr>
        <w:ind w:left="440"/>
        <w:spacing w:after="0" w:line="235" w:lineRule="auto"/>
        <w:rPr>
          <w:sz w:val="20"/>
          <w:szCs w:val="20"/>
          <w:color w:val="auto"/>
        </w:rPr>
      </w:pPr>
      <w:r>
        <w:rPr>
          <w:rFonts w:ascii="Arial" w:cs="Arial" w:eastAsia="Arial" w:hAnsi="Arial"/>
          <w:sz w:val="18"/>
          <w:szCs w:val="18"/>
          <w:color w:val="auto"/>
        </w:rPr>
        <w:t>Telephone (toll-free): 1-877-277-9931</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Web: www.computershare.com/investor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Services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an Albany International shareholder, you are invited to take advantage of our convenient shareholder services.</w:t>
      </w:r>
    </w:p>
    <w:p>
      <w:pPr>
        <w:spacing w:after="0" w:line="90" w:lineRule="exact"/>
        <w:rPr>
          <w:sz w:val="20"/>
          <w:szCs w:val="20"/>
          <w:color w:val="auto"/>
        </w:rPr>
      </w:pPr>
    </w:p>
    <w:p>
      <w:pPr>
        <w:ind w:right="20" w:firstLine="378"/>
        <w:spacing w:after="0" w:line="246" w:lineRule="auto"/>
        <w:rPr>
          <w:sz w:val="20"/>
          <w:szCs w:val="20"/>
          <w:color w:val="auto"/>
        </w:rPr>
      </w:pPr>
      <w:r>
        <w:rPr>
          <w:rFonts w:ascii="Arial" w:cs="Arial" w:eastAsia="Arial" w:hAnsi="Arial"/>
          <w:sz w:val="18"/>
          <w:szCs w:val="18"/>
          <w:color w:val="auto"/>
        </w:rPr>
        <w:t>Computershare maintains the records for our registered shareholders and can help you with a variety of shareholder-related services at no charge, including:</w:t>
      </w:r>
    </w:p>
    <w:p>
      <w:pPr>
        <w:spacing w:after="0" w:line="55" w:lineRule="exact"/>
        <w:rPr>
          <w:sz w:val="20"/>
          <w:szCs w:val="20"/>
          <w:color w:val="auto"/>
        </w:rPr>
      </w:pPr>
    </w:p>
    <w:p>
      <w:pPr>
        <w:ind w:left="600" w:hanging="214"/>
        <w:spacing w:after="0"/>
        <w:tabs>
          <w:tab w:leader="none" w:pos="600" w:val="left"/>
        </w:tabs>
        <w:numPr>
          <w:ilvl w:val="0"/>
          <w:numId w:val="60"/>
        </w:numPr>
        <w:rPr>
          <w:rFonts w:ascii="Arial" w:cs="Arial" w:eastAsia="Arial" w:hAnsi="Arial"/>
          <w:sz w:val="23"/>
          <w:szCs w:val="23"/>
          <w:color w:val="auto"/>
        </w:rPr>
      </w:pPr>
      <w:r>
        <w:rPr>
          <w:rFonts w:ascii="Arial" w:cs="Arial" w:eastAsia="Arial" w:hAnsi="Arial"/>
          <w:sz w:val="18"/>
          <w:szCs w:val="18"/>
          <w:color w:val="auto"/>
        </w:rPr>
        <w:t>Change of name and/or address</w:t>
      </w:r>
    </w:p>
    <w:p>
      <w:pPr>
        <w:spacing w:after="0" w:line="59" w:lineRule="exact"/>
        <w:rPr>
          <w:rFonts w:ascii="Arial" w:cs="Arial" w:eastAsia="Arial" w:hAnsi="Arial"/>
          <w:sz w:val="23"/>
          <w:szCs w:val="23"/>
          <w:color w:val="auto"/>
        </w:rPr>
      </w:pPr>
    </w:p>
    <w:p>
      <w:pPr>
        <w:ind w:left="600" w:hanging="214"/>
        <w:spacing w:after="0"/>
        <w:tabs>
          <w:tab w:leader="none" w:pos="600" w:val="left"/>
        </w:tabs>
        <w:numPr>
          <w:ilvl w:val="0"/>
          <w:numId w:val="60"/>
        </w:numPr>
        <w:rPr>
          <w:rFonts w:ascii="Arial" w:cs="Arial" w:eastAsia="Arial" w:hAnsi="Arial"/>
          <w:sz w:val="23"/>
          <w:szCs w:val="23"/>
          <w:color w:val="auto"/>
        </w:rPr>
      </w:pPr>
      <w:r>
        <w:rPr>
          <w:rFonts w:ascii="Arial" w:cs="Arial" w:eastAsia="Arial" w:hAnsi="Arial"/>
          <w:sz w:val="18"/>
          <w:szCs w:val="18"/>
          <w:color w:val="auto"/>
        </w:rPr>
        <w:t>Consolidation of accounts</w:t>
      </w:r>
    </w:p>
    <w:p>
      <w:pPr>
        <w:spacing w:after="0" w:line="59" w:lineRule="exact"/>
        <w:rPr>
          <w:rFonts w:ascii="Arial" w:cs="Arial" w:eastAsia="Arial" w:hAnsi="Arial"/>
          <w:sz w:val="23"/>
          <w:szCs w:val="23"/>
          <w:color w:val="auto"/>
        </w:rPr>
      </w:pPr>
    </w:p>
    <w:p>
      <w:pPr>
        <w:ind w:left="600" w:hanging="214"/>
        <w:spacing w:after="0"/>
        <w:tabs>
          <w:tab w:leader="none" w:pos="600" w:val="left"/>
        </w:tabs>
        <w:numPr>
          <w:ilvl w:val="0"/>
          <w:numId w:val="60"/>
        </w:numPr>
        <w:rPr>
          <w:rFonts w:ascii="Arial" w:cs="Arial" w:eastAsia="Arial" w:hAnsi="Arial"/>
          <w:sz w:val="23"/>
          <w:szCs w:val="23"/>
          <w:color w:val="auto"/>
        </w:rPr>
      </w:pPr>
      <w:r>
        <w:rPr>
          <w:rFonts w:ascii="Arial" w:cs="Arial" w:eastAsia="Arial" w:hAnsi="Arial"/>
          <w:sz w:val="18"/>
          <w:szCs w:val="18"/>
          <w:color w:val="auto"/>
        </w:rPr>
        <w:t>Duplicate mailings</w:t>
      </w:r>
    </w:p>
    <w:p>
      <w:pPr>
        <w:spacing w:after="0" w:line="59" w:lineRule="exact"/>
        <w:rPr>
          <w:rFonts w:ascii="Arial" w:cs="Arial" w:eastAsia="Arial" w:hAnsi="Arial"/>
          <w:sz w:val="23"/>
          <w:szCs w:val="23"/>
          <w:color w:val="auto"/>
        </w:rPr>
      </w:pPr>
    </w:p>
    <w:p>
      <w:pPr>
        <w:ind w:left="600" w:hanging="214"/>
        <w:spacing w:after="0"/>
        <w:tabs>
          <w:tab w:leader="none" w:pos="600" w:val="left"/>
        </w:tabs>
        <w:numPr>
          <w:ilvl w:val="0"/>
          <w:numId w:val="60"/>
        </w:numPr>
        <w:rPr>
          <w:rFonts w:ascii="Arial" w:cs="Arial" w:eastAsia="Arial" w:hAnsi="Arial"/>
          <w:sz w:val="23"/>
          <w:szCs w:val="23"/>
          <w:color w:val="auto"/>
        </w:rPr>
      </w:pPr>
      <w:r>
        <w:rPr>
          <w:rFonts w:ascii="Arial" w:cs="Arial" w:eastAsia="Arial" w:hAnsi="Arial"/>
          <w:sz w:val="18"/>
          <w:szCs w:val="18"/>
          <w:color w:val="auto"/>
        </w:rPr>
        <w:t>Dividend reinvestment enrollment</w:t>
      </w:r>
    </w:p>
    <w:p>
      <w:pPr>
        <w:spacing w:after="0" w:line="59" w:lineRule="exact"/>
        <w:rPr>
          <w:rFonts w:ascii="Arial" w:cs="Arial" w:eastAsia="Arial" w:hAnsi="Arial"/>
          <w:sz w:val="23"/>
          <w:szCs w:val="23"/>
          <w:color w:val="auto"/>
        </w:rPr>
      </w:pPr>
    </w:p>
    <w:p>
      <w:pPr>
        <w:ind w:left="600" w:hanging="214"/>
        <w:spacing w:after="0"/>
        <w:tabs>
          <w:tab w:leader="none" w:pos="600" w:val="left"/>
        </w:tabs>
        <w:numPr>
          <w:ilvl w:val="0"/>
          <w:numId w:val="60"/>
        </w:numPr>
        <w:rPr>
          <w:rFonts w:ascii="Arial" w:cs="Arial" w:eastAsia="Arial" w:hAnsi="Arial"/>
          <w:sz w:val="23"/>
          <w:szCs w:val="23"/>
          <w:color w:val="auto"/>
        </w:rPr>
      </w:pPr>
      <w:r>
        <w:rPr>
          <w:rFonts w:ascii="Arial" w:cs="Arial" w:eastAsia="Arial" w:hAnsi="Arial"/>
          <w:sz w:val="18"/>
          <w:szCs w:val="18"/>
          <w:color w:val="auto"/>
        </w:rPr>
        <w:t>Lost stock certificates</w:t>
      </w:r>
    </w:p>
    <w:p>
      <w:pPr>
        <w:spacing w:after="0" w:line="59" w:lineRule="exact"/>
        <w:rPr>
          <w:rFonts w:ascii="Arial" w:cs="Arial" w:eastAsia="Arial" w:hAnsi="Arial"/>
          <w:sz w:val="23"/>
          <w:szCs w:val="23"/>
          <w:color w:val="auto"/>
        </w:rPr>
      </w:pPr>
    </w:p>
    <w:p>
      <w:pPr>
        <w:ind w:left="600" w:hanging="214"/>
        <w:spacing w:after="0"/>
        <w:tabs>
          <w:tab w:leader="none" w:pos="600" w:val="left"/>
        </w:tabs>
        <w:numPr>
          <w:ilvl w:val="0"/>
          <w:numId w:val="60"/>
        </w:numPr>
        <w:rPr>
          <w:rFonts w:ascii="Arial" w:cs="Arial" w:eastAsia="Arial" w:hAnsi="Arial"/>
          <w:sz w:val="23"/>
          <w:szCs w:val="23"/>
          <w:color w:val="auto"/>
        </w:rPr>
      </w:pPr>
      <w:r>
        <w:rPr>
          <w:rFonts w:ascii="Arial" w:cs="Arial" w:eastAsia="Arial" w:hAnsi="Arial"/>
          <w:sz w:val="18"/>
          <w:szCs w:val="18"/>
          <w:color w:val="auto"/>
        </w:rPr>
        <w:t>Transfer of stock to another person</w:t>
      </w:r>
    </w:p>
    <w:p>
      <w:pPr>
        <w:spacing w:after="0" w:line="59" w:lineRule="exact"/>
        <w:rPr>
          <w:rFonts w:ascii="Arial" w:cs="Arial" w:eastAsia="Arial" w:hAnsi="Arial"/>
          <w:sz w:val="23"/>
          <w:szCs w:val="23"/>
          <w:color w:val="auto"/>
        </w:rPr>
      </w:pPr>
    </w:p>
    <w:p>
      <w:pPr>
        <w:ind w:left="600" w:hanging="214"/>
        <w:spacing w:after="0"/>
        <w:tabs>
          <w:tab w:leader="none" w:pos="600" w:val="left"/>
        </w:tabs>
        <w:numPr>
          <w:ilvl w:val="0"/>
          <w:numId w:val="60"/>
        </w:numPr>
        <w:rPr>
          <w:rFonts w:ascii="Arial" w:cs="Arial" w:eastAsia="Arial" w:hAnsi="Arial"/>
          <w:sz w:val="23"/>
          <w:szCs w:val="23"/>
          <w:color w:val="auto"/>
        </w:rPr>
      </w:pPr>
      <w:r>
        <w:rPr>
          <w:rFonts w:ascii="Arial" w:cs="Arial" w:eastAsia="Arial" w:hAnsi="Arial"/>
          <w:sz w:val="18"/>
          <w:szCs w:val="18"/>
          <w:color w:val="auto"/>
        </w:rPr>
        <w:t>Additional administrative services</w:t>
      </w:r>
    </w:p>
    <w:p>
      <w:pPr>
        <w:spacing w:after="0" w:line="49" w:lineRule="exact"/>
        <w:rPr>
          <w:sz w:val="20"/>
          <w:szCs w:val="20"/>
          <w:color w:val="auto"/>
        </w:rPr>
      </w:pPr>
    </w:p>
    <w:p>
      <w:pPr>
        <w:ind w:right="1680" w:firstLine="378"/>
        <w:spacing w:after="0" w:line="267" w:lineRule="auto"/>
        <w:rPr>
          <w:sz w:val="20"/>
          <w:szCs w:val="20"/>
          <w:color w:val="auto"/>
        </w:rPr>
      </w:pPr>
      <w:r>
        <w:rPr>
          <w:rFonts w:ascii="Arial" w:cs="Arial" w:eastAsia="Arial" w:hAnsi="Arial"/>
          <w:sz w:val="18"/>
          <w:szCs w:val="18"/>
          <w:i w:val="1"/>
          <w:iCs w:val="1"/>
          <w:color w:val="auto"/>
        </w:rPr>
        <w:t>Access your investor statements online 24 hours a day, 7 days a week at Investor Center. For more information, go to www.computershare.com/investor.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112" w:lineRule="exact"/>
        <w:rPr>
          <w:sz w:val="20"/>
          <w:szCs w:val="20"/>
          <w:color w:val="auto"/>
        </w:rPr>
      </w:pPr>
    </w:p>
    <w:p>
      <w:pPr>
        <w:ind w:right="460" w:firstLine="378"/>
        <w:spacing w:after="0" w:line="246" w:lineRule="auto"/>
        <w:rPr>
          <w:sz w:val="20"/>
          <w:szCs w:val="20"/>
          <w:color w:val="auto"/>
        </w:rPr>
      </w:pPr>
      <w:r>
        <w:rPr>
          <w:rFonts w:ascii="Arial" w:cs="Arial" w:eastAsia="Arial" w:hAnsi="Arial"/>
          <w:sz w:val="18"/>
          <w:szCs w:val="18"/>
          <w:color w:val="auto"/>
        </w:rPr>
        <w:t>The Annual Meeting of the Company’s shareholders will be held on Thursday, May 14, 2020 at 9:00 a.m. at Loews Boston Hotel, 154 Berkeley Street, Boston MA 02116.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12" w:lineRule="exact"/>
        <w:rPr>
          <w:sz w:val="20"/>
          <w:szCs w:val="20"/>
          <w:color w:val="auto"/>
        </w:rPr>
      </w:pPr>
    </w:p>
    <w:p>
      <w:pPr>
        <w:ind w:right="340" w:firstLine="378"/>
        <w:spacing w:after="0" w:line="246" w:lineRule="auto"/>
        <w:rPr>
          <w:sz w:val="20"/>
          <w:szCs w:val="20"/>
          <w:color w:val="auto"/>
        </w:rPr>
      </w:pPr>
      <w:r>
        <w:rPr>
          <w:rFonts w:ascii="Arial" w:cs="Arial" w:eastAsia="Arial" w:hAnsi="Arial"/>
          <w:sz w:val="18"/>
          <w:szCs w:val="18"/>
          <w:color w:val="auto"/>
        </w:rPr>
        <w:t>Albany International is listed on the New York Stock Exchange (Symbol AIN). Stock tables in newspapers and financial publications list Albany International as “AlbanyInt.”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Equal Employment Opportunity</w:t>
      </w:r>
    </w:p>
    <w:p>
      <w:pPr>
        <w:spacing w:after="0" w:line="99" w:lineRule="exact"/>
        <w:rPr>
          <w:sz w:val="20"/>
          <w:szCs w:val="20"/>
          <w:color w:val="auto"/>
        </w:rPr>
      </w:pPr>
    </w:p>
    <w:p>
      <w:pPr>
        <w:ind w:right="20" w:firstLine="378"/>
        <w:spacing w:after="0" w:line="239" w:lineRule="auto"/>
        <w:rPr>
          <w:sz w:val="20"/>
          <w:szCs w:val="20"/>
          <w:color w:val="auto"/>
        </w:rPr>
      </w:pPr>
      <w:r>
        <w:rPr>
          <w:rFonts w:ascii="Arial" w:cs="Arial" w:eastAsia="Arial" w:hAnsi="Arial"/>
          <w:sz w:val="18"/>
          <w:szCs w:val="18"/>
          <w:color w:val="auto"/>
        </w:rPr>
        <w:t>Albany International, as a matter of policy, does not discriminate against any employee or applicant for employment because of race, color, religion, sex, sexual orientation,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12" w:lineRule="exact"/>
        <w:rPr>
          <w:sz w:val="20"/>
          <w:szCs w:val="20"/>
          <w:color w:val="auto"/>
        </w:rPr>
      </w:pPr>
    </w:p>
    <w:p>
      <w:pPr>
        <w:ind w:firstLine="378"/>
        <w:spacing w:after="0" w:line="239" w:lineRule="auto"/>
        <w:rPr>
          <w:sz w:val="20"/>
          <w:szCs w:val="20"/>
          <w:color w:val="auto"/>
        </w:rPr>
      </w:pPr>
      <w:r>
        <w:rPr>
          <w:rFonts w:ascii="Arial" w:cs="Arial" w:eastAsia="Arial" w:hAnsi="Arial"/>
          <w:sz w:val="18"/>
          <w:szCs w:val="18"/>
          <w:color w:val="auto"/>
        </w:rPr>
        <w:t>INLINE, KRAFTLINE, PRINTLINE, HYDROCROSS, SEAM HYDROCROSS, SEAMPLANE, Seam KMX, SPRING, VENTABELT EVM, VENTABELT XTS, VENTABELT XTR, TRANSBELT GX, TRANSBELT GXM, SPIRALTOP, AEROPULSE, AEROPOINT, DURASPIRAL, TOPSTAT, SUPRASTAT, PROVANTAGE, PROVANTAGE LC, PACKLINE, PROLUX, KRAFTEX, FIBRETEX, ULTRA XT, DYNATEX, Aeroclean, SpiralRun, X-COR, K-COR, and NOVALACE are all trade names of Albany International Corp.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94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6460" w:type="dxa"/>
            <w:vAlign w:val="bottom"/>
            <w:vMerge w:val="restart"/>
          </w:tcPr>
          <w:p>
            <w:pPr>
              <w:ind w:left="760"/>
              <w:spacing w:after="0"/>
              <w:rPr>
                <w:sz w:val="20"/>
                <w:szCs w:val="20"/>
                <w:color w:val="auto"/>
              </w:rPr>
            </w:pPr>
            <w:r>
              <w:rPr>
                <w:rFonts w:ascii="Arial" w:cs="Arial" w:eastAsia="Arial" w:hAnsi="Arial"/>
                <w:sz w:val="18"/>
                <w:szCs w:val="18"/>
                <w:color w:val="auto"/>
              </w:rPr>
              <w:t>A. William Higgins</w:t>
            </w:r>
          </w:p>
        </w:tc>
        <w:tc>
          <w:tcPr>
            <w:tcW w:w="0" w:type="dxa"/>
            <w:vAlign w:val="bottom"/>
          </w:tcPr>
          <w:p>
            <w:pPr>
              <w:spacing w:after="0"/>
              <w:rPr>
                <w:sz w:val="1"/>
                <w:szCs w:val="1"/>
                <w:color w:val="auto"/>
              </w:rPr>
            </w:pPr>
          </w:p>
        </w:tc>
      </w:tr>
      <w:tr>
        <w:trPr>
          <w:trHeight w:val="243"/>
        </w:trPr>
        <w:tc>
          <w:tcPr>
            <w:tcW w:w="4940" w:type="dxa"/>
            <w:vAlign w:val="bottom"/>
          </w:tcPr>
          <w:p>
            <w:pPr>
              <w:spacing w:after="0" w:line="243" w:lineRule="exact"/>
              <w:rPr>
                <w:sz w:val="20"/>
                <w:szCs w:val="20"/>
                <w:color w:val="auto"/>
              </w:rPr>
            </w:pPr>
            <w:r>
              <w:rPr>
                <w:rFonts w:ascii="Arial" w:cs="Arial" w:eastAsia="Arial" w:hAnsi="Arial"/>
                <w:sz w:val="17"/>
                <w:szCs w:val="17"/>
                <w:color w:val="auto"/>
              </w:rPr>
              <w:t>Erland E. Kailbourne, Chairman</w:t>
            </w:r>
            <w:r>
              <w:rPr>
                <w:rFonts w:ascii="Arial" w:cs="Arial" w:eastAsia="Arial" w:hAnsi="Arial"/>
                <w:sz w:val="28"/>
                <w:szCs w:val="28"/>
                <w:color w:val="auto"/>
                <w:vertAlign w:val="superscript"/>
              </w:rPr>
              <w:t>1,3</w:t>
            </w:r>
          </w:p>
        </w:tc>
        <w:tc>
          <w:tcPr>
            <w:tcW w:w="6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Retired – Chairman and Chief Executive Officer,</w:t>
            </w:r>
          </w:p>
        </w:tc>
        <w:tc>
          <w:tcPr>
            <w:tcW w:w="6460" w:type="dxa"/>
            <w:vAlign w:val="bottom"/>
          </w:tcPr>
          <w:p>
            <w:pPr>
              <w:ind w:left="760"/>
              <w:spacing w:after="0" w:line="202"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Fleet National Bank (New York Region)</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0"/>
                <w:szCs w:val="20"/>
                <w:color w:val="auto"/>
              </w:rPr>
            </w:pPr>
            <w:r>
              <w:rPr>
                <w:rFonts w:ascii="Arial" w:cs="Arial" w:eastAsia="Arial" w:hAnsi="Arial"/>
                <w:sz w:val="18"/>
                <w:szCs w:val="18"/>
                <w:color w:val="auto"/>
              </w:rPr>
              <w:t>John F. Cassidy, Jr.</w:t>
            </w:r>
            <w:r>
              <w:rPr>
                <w:rFonts w:ascii="Arial" w:cs="Arial" w:eastAsia="Arial" w:hAnsi="Arial"/>
                <w:sz w:val="30"/>
                <w:szCs w:val="30"/>
                <w:color w:val="auto"/>
                <w:vertAlign w:val="superscript"/>
              </w:rPr>
              <w:t>2,3</w:t>
            </w:r>
          </w:p>
        </w:tc>
        <w:tc>
          <w:tcPr>
            <w:tcW w:w="6460" w:type="dxa"/>
            <w:vAlign w:val="bottom"/>
          </w:tcPr>
          <w:p>
            <w:pPr>
              <w:ind w:left="760"/>
              <w:spacing w:after="0"/>
              <w:rPr>
                <w:sz w:val="20"/>
                <w:szCs w:val="20"/>
                <w:color w:val="auto"/>
              </w:rPr>
            </w:pPr>
            <w:r>
              <w:rPr>
                <w:rFonts w:ascii="Arial" w:cs="Arial" w:eastAsia="Arial" w:hAnsi="Arial"/>
                <w:sz w:val="18"/>
                <w:szCs w:val="18"/>
                <w:color w:val="auto"/>
              </w:rPr>
              <w:t>Christine L. Standish</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Retired – Senior Vice President,</w:t>
            </w:r>
          </w:p>
        </w:tc>
        <w:tc>
          <w:tcPr>
            <w:tcW w:w="6460" w:type="dxa"/>
            <w:vAlign w:val="bottom"/>
          </w:tcPr>
          <w:p>
            <w:pPr>
              <w:ind w:left="760"/>
              <w:spacing w:after="0" w:line="202" w:lineRule="exact"/>
              <w:rPr>
                <w:sz w:val="20"/>
                <w:szCs w:val="20"/>
                <w:color w:val="auto"/>
              </w:rPr>
            </w:pPr>
            <w:r>
              <w:rPr>
                <w:rFonts w:ascii="Arial" w:cs="Arial" w:eastAsia="Arial" w:hAnsi="Arial"/>
                <w:sz w:val="18"/>
                <w:szCs w:val="18"/>
                <w:color w:val="auto"/>
              </w:rPr>
              <w:t>Director and Executive Officer, J.S. Standish Company</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Science and Technology, United Technologies Corp.</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940" w:type="dxa"/>
            <w:vAlign w:val="bottom"/>
          </w:tcPr>
          <w:p>
            <w:pPr>
              <w:spacing w:after="0"/>
              <w:rPr>
                <w:sz w:val="20"/>
                <w:szCs w:val="20"/>
                <w:color w:val="auto"/>
              </w:rPr>
            </w:pPr>
            <w:r>
              <w:rPr>
                <w:rFonts w:ascii="Arial" w:cs="Arial" w:eastAsia="Arial" w:hAnsi="Arial"/>
                <w:sz w:val="18"/>
                <w:szCs w:val="18"/>
                <w:color w:val="auto"/>
              </w:rPr>
              <w:t>Katharine L. Plourde</w:t>
            </w:r>
            <w:r>
              <w:rPr>
                <w:rFonts w:ascii="Arial" w:cs="Arial" w:eastAsia="Arial" w:hAnsi="Arial"/>
                <w:sz w:val="30"/>
                <w:szCs w:val="30"/>
                <w:color w:val="auto"/>
                <w:vertAlign w:val="superscript"/>
              </w:rPr>
              <w:t>1,3</w:t>
            </w:r>
          </w:p>
        </w:tc>
        <w:tc>
          <w:tcPr>
            <w:tcW w:w="6460" w:type="dxa"/>
            <w:vAlign w:val="bottom"/>
          </w:tcPr>
          <w:p>
            <w:pPr>
              <w:ind w:left="760"/>
              <w:spacing w:after="0"/>
              <w:rPr>
                <w:sz w:val="20"/>
                <w:szCs w:val="20"/>
                <w:color w:val="auto"/>
              </w:rPr>
            </w:pPr>
            <w:r>
              <w:rPr>
                <w:rFonts w:ascii="Arial" w:cs="Arial" w:eastAsia="Arial" w:hAnsi="Arial"/>
                <w:sz w:val="18"/>
                <w:szCs w:val="18"/>
                <w:color w:val="auto"/>
              </w:rPr>
              <w:t>Kenneth Krueger</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Retired – Principal and Analyst,</w:t>
            </w:r>
          </w:p>
        </w:tc>
        <w:tc>
          <w:tcPr>
            <w:tcW w:w="6460" w:type="dxa"/>
            <w:vAlign w:val="bottom"/>
          </w:tcPr>
          <w:p>
            <w:pPr>
              <w:ind w:left="760"/>
              <w:spacing w:after="0" w:line="202" w:lineRule="exact"/>
              <w:rPr>
                <w:sz w:val="20"/>
                <w:szCs w:val="20"/>
                <w:color w:val="auto"/>
              </w:rPr>
            </w:pPr>
            <w:r>
              <w:rPr>
                <w:rFonts w:ascii="Arial" w:cs="Arial" w:eastAsia="Arial" w:hAnsi="Arial"/>
                <w:sz w:val="18"/>
                <w:szCs w:val="18"/>
                <w:color w:val="auto"/>
              </w:rPr>
              <w:t>Chairman of the Board, Manitowoc Company Inc.</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Donaldson, Lufkin &amp; Jenrette, Inc.</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940" w:type="dxa"/>
            <w:vAlign w:val="bottom"/>
          </w:tcPr>
          <w:p>
            <w:pPr>
              <w:spacing w:after="0"/>
              <w:rPr>
                <w:sz w:val="20"/>
                <w:szCs w:val="20"/>
                <w:color w:val="auto"/>
              </w:rPr>
            </w:pPr>
            <w:r>
              <w:rPr>
                <w:rFonts w:ascii="Arial" w:cs="Arial" w:eastAsia="Arial" w:hAnsi="Arial"/>
                <w:sz w:val="18"/>
                <w:szCs w:val="18"/>
                <w:color w:val="auto"/>
              </w:rPr>
              <w:t>Mark J. Murphy</w:t>
            </w:r>
            <w:r>
              <w:rPr>
                <w:rFonts w:ascii="Arial" w:cs="Arial" w:eastAsia="Arial" w:hAnsi="Arial"/>
                <w:sz w:val="30"/>
                <w:szCs w:val="30"/>
                <w:color w:val="auto"/>
                <w:vertAlign w:val="superscript"/>
              </w:rPr>
              <w:t>1</w:t>
            </w:r>
          </w:p>
        </w:tc>
        <w:tc>
          <w:tcPr>
            <w:tcW w:w="6460" w:type="dxa"/>
            <w:vAlign w:val="bottom"/>
          </w:tcPr>
          <w:p>
            <w:pPr>
              <w:ind w:left="760"/>
              <w:spacing w:after="0"/>
              <w:rPr>
                <w:sz w:val="20"/>
                <w:szCs w:val="20"/>
                <w:color w:val="auto"/>
              </w:rPr>
            </w:pPr>
            <w:r>
              <w:rPr>
                <w:rFonts w:ascii="Arial" w:cs="Arial" w:eastAsia="Arial" w:hAnsi="Arial"/>
                <w:sz w:val="18"/>
                <w:szCs w:val="18"/>
                <w:color w:val="auto"/>
              </w:rPr>
              <w:t>John R. Scannell</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Chief Financial Officer, Qorvo, Inc.</w:t>
            </w:r>
          </w:p>
        </w:tc>
        <w:tc>
          <w:tcPr>
            <w:tcW w:w="6460" w:type="dxa"/>
            <w:vAlign w:val="bottom"/>
          </w:tcPr>
          <w:p>
            <w:pPr>
              <w:ind w:left="760"/>
              <w:spacing w:after="0"/>
              <w:rPr>
                <w:sz w:val="20"/>
                <w:szCs w:val="20"/>
                <w:color w:val="auto"/>
              </w:rPr>
            </w:pPr>
            <w:r>
              <w:rPr>
                <w:rFonts w:ascii="Arial" w:cs="Arial" w:eastAsia="Arial" w:hAnsi="Arial"/>
                <w:sz w:val="18"/>
                <w:szCs w:val="18"/>
                <w:color w:val="auto"/>
              </w:rPr>
              <w:t>Chairman and Chief Executive Officer, Moog Inc.</w:t>
            </w: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0"/>
                <w:szCs w:val="20"/>
                <w:color w:val="auto"/>
              </w:rPr>
            </w:pPr>
            <w:r>
              <w:rPr>
                <w:rFonts w:ascii="Arial" w:cs="Arial" w:eastAsia="Arial" w:hAnsi="Arial"/>
                <w:sz w:val="18"/>
                <w:szCs w:val="18"/>
                <w:color w:val="auto"/>
              </w:rPr>
              <w:t>Lee C. Wortham</w:t>
            </w:r>
            <w:r>
              <w:rPr>
                <w:rFonts w:ascii="Arial" w:cs="Arial" w:eastAsia="Arial" w:hAnsi="Arial"/>
                <w:sz w:val="30"/>
                <w:szCs w:val="30"/>
                <w:color w:val="auto"/>
                <w:vertAlign w:val="superscript"/>
              </w:rPr>
              <w:t>2</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Partner and COO, Barrantys LLC</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4940" w:type="dxa"/>
            <w:vAlign w:val="bottom"/>
          </w:tcPr>
          <w:p>
            <w:pPr>
              <w:spacing w:after="0"/>
              <w:rPr>
                <w:sz w:val="24"/>
                <w:szCs w:val="24"/>
                <w:color w:val="auto"/>
              </w:rPr>
            </w:pPr>
          </w:p>
        </w:tc>
        <w:tc>
          <w:tcPr>
            <w:tcW w:w="6460" w:type="dxa"/>
            <w:vAlign w:val="bottom"/>
          </w:tcPr>
          <w:p>
            <w:pPr>
              <w:ind w:left="76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Member, Audit Committee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6460" w:type="dxa"/>
            <w:vAlign w:val="bottom"/>
          </w:tcPr>
          <w:p>
            <w:pPr>
              <w:ind w:left="760"/>
              <w:spacing w:after="0" w:line="149" w:lineRule="exact"/>
              <w:rPr>
                <w:sz w:val="20"/>
                <w:szCs w:val="20"/>
                <w:color w:val="auto"/>
              </w:rPr>
            </w:pPr>
            <w:r>
              <w:rPr>
                <w:rFonts w:ascii="Arial" w:cs="Arial" w:eastAsia="Arial" w:hAnsi="Arial"/>
                <w:sz w:val="17"/>
                <w:szCs w:val="17"/>
                <w:color w:val="auto"/>
                <w:vertAlign w:val="superscript"/>
              </w:rPr>
              <w:t>2</w:t>
            </w:r>
            <w:r>
              <w:rPr>
                <w:rFonts w:ascii="Arial" w:cs="Arial" w:eastAsia="Arial" w:hAnsi="Arial"/>
                <w:sz w:val="10"/>
                <w:szCs w:val="10"/>
                <w:color w:val="auto"/>
              </w:rPr>
              <w:t xml:space="preserve"> Member, Compensation Committee</w:t>
            </w:r>
          </w:p>
        </w:tc>
        <w:tc>
          <w:tcPr>
            <w:tcW w:w="0" w:type="dxa"/>
            <w:vAlign w:val="bottom"/>
          </w:tcPr>
          <w:p>
            <w:pPr>
              <w:spacing w:after="0"/>
              <w:rPr>
                <w:sz w:val="1"/>
                <w:szCs w:val="1"/>
                <w:color w:val="auto"/>
              </w:rPr>
            </w:pPr>
          </w:p>
        </w:tc>
      </w:tr>
      <w:tr>
        <w:trPr>
          <w:trHeight w:val="233"/>
        </w:trPr>
        <w:tc>
          <w:tcPr>
            <w:tcW w:w="4940" w:type="dxa"/>
            <w:vAlign w:val="bottom"/>
          </w:tcPr>
          <w:p>
            <w:pPr>
              <w:spacing w:after="0"/>
              <w:rPr>
                <w:sz w:val="20"/>
                <w:szCs w:val="20"/>
                <w:color w:val="auto"/>
              </w:rPr>
            </w:pPr>
          </w:p>
        </w:tc>
        <w:tc>
          <w:tcPr>
            <w:tcW w:w="6460" w:type="dxa"/>
            <w:vAlign w:val="bottom"/>
          </w:tcPr>
          <w:p>
            <w:pPr>
              <w:ind w:left="760"/>
              <w:spacing w:after="0"/>
              <w:rPr>
                <w:sz w:val="20"/>
                <w:szCs w:val="20"/>
                <w:color w:val="auto"/>
              </w:rPr>
            </w:pPr>
            <w:r>
              <w:rPr>
                <w:rFonts w:ascii="Arial" w:cs="Arial" w:eastAsia="Arial" w:hAnsi="Arial"/>
                <w:sz w:val="18"/>
                <w:szCs w:val="18"/>
                <w:color w:val="auto"/>
                <w:vertAlign w:val="superscript"/>
              </w:rPr>
              <w:t>3</w:t>
            </w:r>
            <w:r>
              <w:rPr>
                <w:rFonts w:ascii="Arial" w:cs="Arial" w:eastAsia="Arial" w:hAnsi="Arial"/>
                <w:sz w:val="11"/>
                <w:szCs w:val="11"/>
                <w:color w:val="auto"/>
              </w:rPr>
              <w:t xml:space="preserve"> Member, Governance Committee</w:t>
            </w:r>
          </w:p>
        </w:tc>
        <w:tc>
          <w:tcPr>
            <w:tcW w:w="0" w:type="dxa"/>
            <w:vAlign w:val="bottom"/>
          </w:tcPr>
          <w:p>
            <w:pPr>
              <w:spacing w:after="0"/>
              <w:rPr>
                <w:sz w:val="1"/>
                <w:szCs w:val="1"/>
                <w:color w:val="auto"/>
              </w:rPr>
            </w:pPr>
          </w:p>
        </w:tc>
      </w:tr>
      <w:tr>
        <w:trPr>
          <w:trHeight w:val="322"/>
        </w:trPr>
        <w:tc>
          <w:tcPr>
            <w:tcW w:w="4940" w:type="dxa"/>
            <w:vAlign w:val="bottom"/>
          </w:tcPr>
          <w:p>
            <w:pPr>
              <w:spacing w:after="0"/>
              <w:rPr>
                <w:sz w:val="20"/>
                <w:szCs w:val="20"/>
                <w:color w:val="auto"/>
              </w:rPr>
            </w:pPr>
            <w:r>
              <w:rPr>
                <w:rFonts w:ascii="Arial" w:cs="Arial" w:eastAsia="Arial" w:hAnsi="Arial"/>
                <w:sz w:val="18"/>
                <w:szCs w:val="18"/>
                <w:b w:val="1"/>
                <w:bCs w:val="1"/>
                <w:color w:val="auto"/>
              </w:rPr>
              <w:t>Officers</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 William Higgins</w:t>
            </w:r>
          </w:p>
        </w:tc>
        <w:tc>
          <w:tcPr>
            <w:tcW w:w="6460" w:type="dxa"/>
            <w:vAlign w:val="bottom"/>
          </w:tcPr>
          <w:p>
            <w:pPr>
              <w:ind w:left="760"/>
              <w:spacing w:after="0" w:line="202" w:lineRule="exact"/>
              <w:rPr>
                <w:sz w:val="20"/>
                <w:szCs w:val="20"/>
                <w:color w:val="auto"/>
              </w:rPr>
            </w:pPr>
            <w:r>
              <w:rPr>
                <w:rFonts w:ascii="Arial" w:cs="Arial" w:eastAsia="Arial" w:hAnsi="Arial"/>
                <w:sz w:val="18"/>
                <w:szCs w:val="18"/>
                <w:color w:val="auto"/>
              </w:rPr>
              <w:t>Stephen M. Nolan</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460" w:type="dxa"/>
            <w:vAlign w:val="bottom"/>
          </w:tcPr>
          <w:p>
            <w:pPr>
              <w:ind w:left="76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391"/>
        </w:trPr>
        <w:tc>
          <w:tcPr>
            <w:tcW w:w="4940" w:type="dxa"/>
            <w:vAlign w:val="bottom"/>
          </w:tcPr>
          <w:p>
            <w:pPr>
              <w:spacing w:after="0"/>
              <w:rPr>
                <w:sz w:val="20"/>
                <w:szCs w:val="20"/>
                <w:color w:val="auto"/>
              </w:rPr>
            </w:pPr>
            <w:r>
              <w:rPr>
                <w:rFonts w:ascii="Arial" w:cs="Arial" w:eastAsia="Arial" w:hAnsi="Arial"/>
                <w:sz w:val="18"/>
                <w:szCs w:val="18"/>
                <w:color w:val="auto"/>
              </w:rPr>
              <w:t>Daniel A. Halftermeyer</w:t>
            </w:r>
          </w:p>
        </w:tc>
        <w:tc>
          <w:tcPr>
            <w:tcW w:w="6460" w:type="dxa"/>
            <w:vAlign w:val="bottom"/>
          </w:tcPr>
          <w:p>
            <w:pPr>
              <w:ind w:left="760"/>
              <w:spacing w:after="0"/>
              <w:rPr>
                <w:sz w:val="20"/>
                <w:szCs w:val="20"/>
                <w:color w:val="auto"/>
              </w:rPr>
            </w:pPr>
            <w:r>
              <w:rPr>
                <w:rFonts w:ascii="Arial" w:cs="Arial" w:eastAsia="Arial" w:hAnsi="Arial"/>
                <w:sz w:val="18"/>
                <w:szCs w:val="18"/>
                <w:color w:val="auto"/>
              </w:rPr>
              <w:t>Greg Harwell</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President – Machine Clothing</w:t>
            </w:r>
          </w:p>
        </w:tc>
        <w:tc>
          <w:tcPr>
            <w:tcW w:w="6460" w:type="dxa"/>
            <w:vAlign w:val="bottom"/>
          </w:tcPr>
          <w:p>
            <w:pPr>
              <w:ind w:left="760"/>
              <w:spacing w:after="0"/>
              <w:rPr>
                <w:sz w:val="20"/>
                <w:szCs w:val="20"/>
                <w:color w:val="auto"/>
              </w:rPr>
            </w:pPr>
            <w:r>
              <w:rPr>
                <w:rFonts w:ascii="Arial" w:cs="Arial" w:eastAsia="Arial" w:hAnsi="Arial"/>
                <w:sz w:val="18"/>
                <w:szCs w:val="18"/>
                <w:color w:val="auto"/>
              </w:rPr>
              <w:t>President – Engineered Composites</w:t>
            </w:r>
          </w:p>
        </w:tc>
        <w:tc>
          <w:tcPr>
            <w:tcW w:w="0" w:type="dxa"/>
            <w:vAlign w:val="bottom"/>
          </w:tcPr>
          <w:p>
            <w:pPr>
              <w:spacing w:after="0"/>
              <w:rPr>
                <w:sz w:val="1"/>
                <w:szCs w:val="1"/>
                <w:color w:val="auto"/>
              </w:rPr>
            </w:pPr>
          </w:p>
        </w:tc>
      </w:tr>
      <w:tr>
        <w:trPr>
          <w:trHeight w:val="391"/>
        </w:trPr>
        <w:tc>
          <w:tcPr>
            <w:tcW w:w="4940" w:type="dxa"/>
            <w:vAlign w:val="bottom"/>
          </w:tcPr>
          <w:p>
            <w:pPr>
              <w:spacing w:after="0"/>
              <w:rPr>
                <w:sz w:val="20"/>
                <w:szCs w:val="20"/>
                <w:color w:val="auto"/>
              </w:rPr>
            </w:pPr>
            <w:r>
              <w:rPr>
                <w:rFonts w:ascii="Arial" w:cs="Arial" w:eastAsia="Arial" w:hAnsi="Arial"/>
                <w:sz w:val="18"/>
                <w:szCs w:val="18"/>
                <w:color w:val="auto"/>
              </w:rPr>
              <w:t>Alice McCarvill</w:t>
            </w:r>
          </w:p>
        </w:tc>
        <w:tc>
          <w:tcPr>
            <w:tcW w:w="6460" w:type="dxa"/>
            <w:vAlign w:val="bottom"/>
          </w:tcPr>
          <w:p>
            <w:pPr>
              <w:ind w:left="760"/>
              <w:spacing w:after="0"/>
              <w:rPr>
                <w:sz w:val="20"/>
                <w:szCs w:val="20"/>
                <w:color w:val="auto"/>
              </w:rPr>
            </w:pPr>
            <w:r>
              <w:rPr>
                <w:rFonts w:ascii="Arial" w:cs="Arial" w:eastAsia="Arial" w:hAnsi="Arial"/>
                <w:sz w:val="18"/>
                <w:szCs w:val="18"/>
                <w:color w:val="auto"/>
              </w:rPr>
              <w:t>Robert A. Hansen</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Executive Vice President Human Resources</w:t>
            </w:r>
          </w:p>
        </w:tc>
        <w:tc>
          <w:tcPr>
            <w:tcW w:w="6460" w:type="dxa"/>
            <w:vAlign w:val="bottom"/>
          </w:tcPr>
          <w:p>
            <w:pPr>
              <w:ind w:left="760"/>
              <w:spacing w:after="0" w:line="202" w:lineRule="exact"/>
              <w:rPr>
                <w:sz w:val="20"/>
                <w:szCs w:val="20"/>
                <w:color w:val="auto"/>
              </w:rPr>
            </w:pPr>
            <w:r>
              <w:rPr>
                <w:rFonts w:ascii="Arial" w:cs="Arial" w:eastAsia="Arial" w:hAnsi="Arial"/>
                <w:sz w:val="18"/>
                <w:szCs w:val="18"/>
                <w:color w:val="auto"/>
              </w:rPr>
              <w:t>Senior Vice President and Chief Technology Officer</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and Chief Human Resources Officer</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940" w:type="dxa"/>
            <w:vAlign w:val="bottom"/>
          </w:tcPr>
          <w:p>
            <w:pPr>
              <w:spacing w:after="0"/>
              <w:rPr>
                <w:sz w:val="20"/>
                <w:szCs w:val="20"/>
                <w:color w:val="auto"/>
              </w:rPr>
            </w:pPr>
            <w:r>
              <w:rPr>
                <w:rFonts w:ascii="Arial" w:cs="Arial" w:eastAsia="Arial" w:hAnsi="Arial"/>
                <w:sz w:val="18"/>
                <w:szCs w:val="18"/>
                <w:color w:val="auto"/>
              </w:rPr>
              <w:t>David M. Pawlick</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Vice President – Controller</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940" w:type="dxa"/>
            <w:vAlign w:val="bottom"/>
          </w:tcPr>
          <w:p>
            <w:pPr>
              <w:spacing w:after="0"/>
              <w:rPr>
                <w:sz w:val="20"/>
                <w:szCs w:val="20"/>
                <w:color w:val="auto"/>
              </w:rPr>
            </w:pPr>
            <w:r>
              <w:rPr>
                <w:rFonts w:ascii="Arial" w:cs="Arial" w:eastAsia="Arial" w:hAnsi="Arial"/>
                <w:sz w:val="18"/>
                <w:szCs w:val="18"/>
                <w:color w:val="auto"/>
              </w:rPr>
              <w:t>118</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EEEEEE"/>
            </w:tcBorders>
          </w:tcPr>
          <w:p>
            <w:pPr>
              <w:spacing w:after="0"/>
              <w:rPr>
                <w:sz w:val="16"/>
                <w:szCs w:val="16"/>
                <w:color w:val="auto"/>
              </w:rPr>
            </w:pPr>
          </w:p>
        </w:tc>
        <w:tc>
          <w:tcPr>
            <w:tcW w:w="6460" w:type="dxa"/>
            <w:vAlign w:val="bottom"/>
            <w:tcBorders>
              <w:bottom w:val="single" w:sz="8" w:color="EEEEE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i w:val="1"/>
          <w:iCs w:val="1"/>
          <w:color w:val="auto"/>
        </w:rPr>
        <w:t>Exhibit 10(l)(xiii)</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RESTRICTED UNIT AWARD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the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ALBANY INTERNATIONAL CORP.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2003 RESTRICTED STOCK UNIT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76"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Participant:</w:t>
      </w:r>
      <w:r>
        <w:rPr>
          <w:sz w:val="20"/>
          <w:szCs w:val="20"/>
          <w:color w:val="auto"/>
        </w:rPr>
        <w:tab/>
      </w:r>
      <w:r>
        <w:rPr>
          <w:rFonts w:ascii="Arial" w:cs="Arial" w:eastAsia="Arial" w:hAnsi="Arial"/>
          <w:sz w:val="19"/>
          <w:szCs w:val="19"/>
          <w:color w:val="auto"/>
        </w:rPr>
        <w:t>Greg Harwell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Award Date: November 4,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Number of Restricted Units Awarded: 7,292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3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THIS AWARD AGREEMENT, dated as of the Award Date specified above, is entered into by and between Albany International Corp.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specified above, pursuant to the Amended and Restated Albany International Corp. 2003 Restricted Stock Unit Plan, as in effect and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and</w:t>
      </w:r>
    </w:p>
    <w:p>
      <w:pPr>
        <w:spacing w:after="0" w:line="194"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WHEREAS, as an incentive to encourage the Participant to remain in the employ of the Company and its subsidiaries by affording the Participant a greater interest in the success of the Company and its subsidiaries, the Company desires to grant the Participant the Restricted Units provided herein;</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Participant desires to obtain such Restricted Units on the terms and conditions provided for herein;</w:t>
      </w:r>
    </w:p>
    <w:p>
      <w:pPr>
        <w:spacing w:after="0" w:line="26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NOW, THEREFORE, in consideration of the premises, the mutual covenants herein set forth and other good and valuable considerations receipt of which is hereby acknowledged, the Company and the Participant agree as follows:</w:t>
      </w:r>
    </w:p>
    <w:p>
      <w:pPr>
        <w:spacing w:after="0" w:line="178" w:lineRule="exact"/>
        <w:rPr>
          <w:sz w:val="20"/>
          <w:szCs w:val="20"/>
          <w:color w:val="auto"/>
        </w:rPr>
      </w:pPr>
    </w:p>
    <w:p>
      <w:pPr>
        <w:jc w:val="both"/>
        <w:ind w:firstLine="1305"/>
        <w:spacing w:after="0" w:line="246" w:lineRule="auto"/>
        <w:tabs>
          <w:tab w:leader="none" w:pos="2291"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Incorporation by Reference; Plan Document Receipt</w:t>
      </w:r>
      <w:r>
        <w:rPr>
          <w:rFonts w:ascii="Arial" w:cs="Arial" w:eastAsia="Arial" w:hAnsi="Arial"/>
          <w:sz w:val="21"/>
          <w:szCs w:val="21"/>
          <w:color w:val="auto"/>
        </w:rPr>
        <w:t>. Except as otherwise provided herein, this Award Agreement is subject in all respects to the terms and provisions of the Plan (including, without limitation, any amendments thereto adopted at any time and from time to time and which are expressly intended to apply to the grant of the Restricted Units provided for herein), all of which terms and provisions are made a part of and incorporated in this Award Agreement as if they were expressly set forth herein. Any capitalized term not defined in this Award Agreement shall have the same meaning as is ascribed thereto in the Plan. The Participant hereby acknowledges receipt of a true copy of the Plan and that the Participant has read the Plan carefully and fully understands its content. In the event of a conflict between the terms of this Award Agreement and the terms of the Plan, the terms of the Plan shall control.</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jc w:val="both"/>
        <w:ind w:firstLine="1305"/>
        <w:spacing w:after="0"/>
        <w:tabs>
          <w:tab w:leader="none" w:pos="206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Award of Restricted Units; Credit to Restricted Unit Account</w:t>
      </w:r>
      <w:r>
        <w:rPr>
          <w:rFonts w:ascii="Arial" w:cs="Arial" w:eastAsia="Arial" w:hAnsi="Arial"/>
          <w:sz w:val="22"/>
          <w:szCs w:val="22"/>
          <w:color w:val="auto"/>
        </w:rPr>
        <w:t>. Subject to the terms hereof and the Plan, the Company hereby grants to the Participant, as of the Award Date specified above, the number of Restricted Units specified above. The Company shall record such Restricted Units in the Participant’s Restricted Unit Account.</w:t>
      </w:r>
    </w:p>
    <w:p>
      <w:pPr>
        <w:spacing w:after="0" w:line="186" w:lineRule="exact"/>
        <w:rPr>
          <w:rFonts w:ascii="Arial" w:cs="Arial" w:eastAsia="Arial" w:hAnsi="Arial"/>
          <w:sz w:val="22"/>
          <w:szCs w:val="22"/>
          <w:color w:val="auto"/>
        </w:rPr>
      </w:pPr>
    </w:p>
    <w:p>
      <w:pPr>
        <w:jc w:val="both"/>
        <w:ind w:firstLine="1305"/>
        <w:spacing w:after="0"/>
        <w:tabs>
          <w:tab w:leader="none" w:pos="2034"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As permitted in Section 5.1 of the Plan, the following Vesting Dates shall apply with respect to the Restricted Units (including any additional Restricted Units credited as Cash Dividend Equivalents with respect to such Restricted Units) awarded hereunder and shall supersede any contrary provision in Section 5.1:</w:t>
      </w:r>
    </w:p>
    <w:p>
      <w:pPr>
        <w:spacing w:after="0" w:line="186" w:lineRule="exact"/>
        <w:rPr>
          <w:sz w:val="20"/>
          <w:szCs w:val="20"/>
          <w:color w:val="auto"/>
        </w:rPr>
      </w:pPr>
    </w:p>
    <w:p>
      <w:pPr>
        <w:ind w:left="1620" w:right="240" w:hanging="315"/>
        <w:spacing w:after="0" w:line="273" w:lineRule="auto"/>
        <w:tabs>
          <w:tab w:leader="none" w:pos="16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Twenty-four and nineteen one-hundredths percent (24.19%) of such Restricted Units (including any additional Restricted Units credited as Cash Dividend Equivalents with respect to such Restricted Units) shall vest on November 4, 2020, subject to the Participant being employed with the Albany Group on such Vesting Date;</w:t>
      </w:r>
    </w:p>
    <w:p>
      <w:pPr>
        <w:spacing w:after="0" w:line="1" w:lineRule="exact"/>
        <w:rPr>
          <w:rFonts w:ascii="Arial" w:cs="Arial" w:eastAsia="Arial" w:hAnsi="Arial"/>
          <w:sz w:val="19"/>
          <w:szCs w:val="19"/>
          <w:color w:val="auto"/>
        </w:rPr>
      </w:pPr>
    </w:p>
    <w:p>
      <w:pPr>
        <w:ind w:left="1620" w:right="120" w:hanging="315"/>
        <w:spacing w:after="0" w:line="267" w:lineRule="auto"/>
        <w:tabs>
          <w:tab w:leader="none" w:pos="16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Thirty-five and forty-eight one-hundredths percent (35.48%) of such Restricted Units (including any additional Restricted Units credited as Cash Dividend Equivalents with respect to such Restricted Units) shall vest on November 4, 2021, subject to the Participant being employed with the Albany Group on such Vesting Date; and</w:t>
      </w:r>
    </w:p>
    <w:p>
      <w:pPr>
        <w:jc w:val="both"/>
        <w:ind w:left="1620" w:right="500" w:hanging="315"/>
        <w:spacing w:after="0" w:line="287" w:lineRule="auto"/>
        <w:tabs>
          <w:tab w:leader="none" w:pos="16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Forty and thirty-three one-hundredths percent (40.33%) of such Restricted Units (including any additional Restricted Units credited as Cash Dividend Equivalents with respect to such Restricted Units) shall vest on November 4, 2022, subject to the Participant being employed with the Albany Group on such Vesting Date.</w:t>
      </w:r>
    </w:p>
    <w:p>
      <w:pPr>
        <w:spacing w:after="0" w:line="171" w:lineRule="exact"/>
        <w:rPr>
          <w:sz w:val="20"/>
          <w:szCs w:val="20"/>
          <w:color w:val="auto"/>
        </w:rPr>
      </w:pPr>
    </w:p>
    <w:p>
      <w:pPr>
        <w:jc w:val="both"/>
        <w:ind w:firstLine="1305"/>
        <w:spacing w:after="0"/>
        <w:tabs>
          <w:tab w:leader="none" w:pos="203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Additional Special Vesting</w:t>
      </w:r>
      <w:r>
        <w:rPr>
          <w:rFonts w:ascii="Arial" w:cs="Arial" w:eastAsia="Arial" w:hAnsi="Arial"/>
          <w:sz w:val="22"/>
          <w:szCs w:val="22"/>
          <w:color w:val="auto"/>
        </w:rPr>
        <w:t>. The special vesting provisions set forth in Section 5.2 of the Plan shall apply to the Restricted Units (including any additional Restricted Units credited as Cash Dividend Equivalents with respect to such Restricted Units) awarded hereunder.</w:t>
      </w:r>
    </w:p>
    <w:p>
      <w:pPr>
        <w:spacing w:after="0" w:line="186" w:lineRule="exact"/>
        <w:rPr>
          <w:rFonts w:ascii="Arial" w:cs="Arial" w:eastAsia="Arial" w:hAnsi="Arial"/>
          <w:sz w:val="22"/>
          <w:szCs w:val="22"/>
          <w:color w:val="auto"/>
        </w:rPr>
      </w:pPr>
    </w:p>
    <w:p>
      <w:pPr>
        <w:jc w:val="both"/>
        <w:ind w:firstLine="1305"/>
        <w:spacing w:after="0" w:line="273" w:lineRule="auto"/>
        <w:tabs>
          <w:tab w:leader="none" w:pos="1967"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Settlement; Payment Delay</w:t>
      </w:r>
      <w:r>
        <w:rPr>
          <w:rFonts w:ascii="Arial" w:cs="Arial" w:eastAsia="Arial" w:hAnsi="Arial"/>
          <w:sz w:val="19"/>
          <w:szCs w:val="19"/>
          <w:color w:val="auto"/>
        </w:rPr>
        <w:t>. The Restricted Units (including any additional Restricted Units credited as Cash Dividend Equivalents with respect to such Restricted Units) credited to Participant’s Restricted Unit Account pursuant to this Award Agreement shall be settled in accordance with the provisions of the Plan, including without limitation Section 6.1. Notwithstanding any provision to the contrary, if, pursuant to the provisions of Section 409A of the Internal Revenue Code of 1986, as amended, and the regulations promulgated thereunder (the “Code”), any payment is required to be delayed as a result of the Participant being deemed to be a “specified employee” within the meaning of that term under Section 409A(a)(2)(B) of the Code, then any such payments under the Plan shall not be made prior to the earlier of (A) the expiration of the six month period measured from the date of the “separation from service” (as such term is defined in Treasury Regulations issued under Section 409A of the Code) or (B) the date of the Participant’s death. Upon the expiration of such period, all payments under the Plan delayed pursuant to this paragraph 6 shall be paid to the Participant in a lump sum, and any remaining payments due under the Plan shall be paid or provided in accordance with the normal payment dates specified for them herein.</w:t>
      </w:r>
    </w:p>
    <w:p>
      <w:pPr>
        <w:spacing w:after="0" w:line="156" w:lineRule="exact"/>
        <w:rPr>
          <w:rFonts w:ascii="Arial" w:cs="Arial" w:eastAsia="Arial" w:hAnsi="Arial"/>
          <w:sz w:val="19"/>
          <w:szCs w:val="19"/>
          <w:color w:val="auto"/>
        </w:rPr>
      </w:pPr>
    </w:p>
    <w:p>
      <w:pPr>
        <w:jc w:val="both"/>
        <w:ind w:firstLine="1305"/>
        <w:spacing w:after="0" w:line="238" w:lineRule="auto"/>
        <w:tabs>
          <w:tab w:leader="none" w:pos="2399"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Amendment and Waiver</w:t>
      </w:r>
      <w:r>
        <w:rPr>
          <w:rFonts w:ascii="Arial" w:cs="Arial" w:eastAsia="Arial" w:hAnsi="Arial"/>
          <w:sz w:val="22"/>
          <w:szCs w:val="22"/>
          <w:color w:val="auto"/>
        </w:rPr>
        <w:t>. Neither this Award Agreement nor any provision hereof may be amended, modified, changed, discharged, terminated or waived orally, by any course of dealing or purported course of dealing or by any other means except (a) in the case of an amendment, modification, change or waiver that does not impair the rights of the Participant with respect to outstanding Restricted Units or that is deemed by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20" w:name="page121"/>
    <w:bookmarkEnd w:id="120"/>
    <w:p>
      <w:pPr>
        <w:jc w:val="both"/>
        <w:spacing w:after="0" w:line="249" w:lineRule="auto"/>
        <w:rPr>
          <w:sz w:val="20"/>
          <w:szCs w:val="20"/>
          <w:color w:val="auto"/>
        </w:rPr>
      </w:pPr>
      <w:r>
        <w:rPr>
          <w:rFonts w:ascii="Arial" w:cs="Arial" w:eastAsia="Arial" w:hAnsi="Arial"/>
          <w:sz w:val="21"/>
          <w:szCs w:val="21"/>
          <w:color w:val="auto"/>
        </w:rPr>
        <w:t>the Committee to be advisable to avoid the imposition of any tax under Section 409A of the Code, by written notice to the Participant or (b) an agreement in writing signed by the Company and the Participant. No such written notice of agreement shall extend to or affect any provision of this Award Agreement not expressly amended, modified, changed, discharged, terminated or waived or impair any right consequent on such a provision. The waiver of or failure to enforce any breach of this Award Agreement shall not be deemed to be a waiver of or acquiescence in any other breach hereof.</w:t>
      </w:r>
    </w:p>
    <w:p>
      <w:pPr>
        <w:spacing w:after="0" w:line="179" w:lineRule="exact"/>
        <w:rPr>
          <w:sz w:val="20"/>
          <w:szCs w:val="20"/>
          <w:color w:val="auto"/>
        </w:rPr>
      </w:pPr>
    </w:p>
    <w:p>
      <w:pPr>
        <w:ind w:left="2240" w:hanging="935"/>
        <w:spacing w:after="0"/>
        <w:tabs>
          <w:tab w:leader="none" w:pos="224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under this Award Agreement shall be in writing and shall be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deemed properly given:</w:t>
      </w:r>
    </w:p>
    <w:p>
      <w:pPr>
        <w:spacing w:after="0" w:line="18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7.1 in the case of notice to the Company, if delivered in person to the Secretary of the Company, or mailed to the Company to the attention of the Secretary by registered mail (return receipt requested) at 216 Airport Drive, Rochester, New Hampshire, 03867, or at such other address as the Company may from time to time hereafter designate by written notice to the Participant; and</w:t>
      </w:r>
    </w:p>
    <w:p>
      <w:pPr>
        <w:spacing w:after="0" w:line="21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7.2 in the case of notice to the Participant, if delivered to him or her in person, or mailed to him or her by registered mail (return receipt requested) at the last known residence address provided by Participant to the Company or at such other address as the Participant may from time to time hereafter designate by written notice to the Company.</w:t>
      </w:r>
    </w:p>
    <w:p>
      <w:pPr>
        <w:spacing w:after="0" w:line="194" w:lineRule="exact"/>
        <w:rPr>
          <w:sz w:val="20"/>
          <w:szCs w:val="20"/>
          <w:color w:val="auto"/>
        </w:rPr>
      </w:pPr>
    </w:p>
    <w:p>
      <w:pPr>
        <w:ind w:left="2020" w:hanging="715"/>
        <w:spacing w:after="0"/>
        <w:tabs>
          <w:tab w:leader="none" w:pos="202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Award Agreement shall be governed by and construed in accordance with the laws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State of New York.</w:t>
      </w:r>
    </w:p>
    <w:p>
      <w:pPr>
        <w:spacing w:after="0" w:line="188" w:lineRule="exact"/>
        <w:rPr>
          <w:rFonts w:ascii="Arial" w:cs="Arial" w:eastAsia="Arial" w:hAnsi="Arial"/>
          <w:sz w:val="19"/>
          <w:szCs w:val="19"/>
          <w:color w:val="auto"/>
        </w:rPr>
      </w:pPr>
    </w:p>
    <w:p>
      <w:pPr>
        <w:jc w:val="both"/>
        <w:ind w:firstLine="1305"/>
        <w:spacing w:after="0"/>
        <w:tabs>
          <w:tab w:leader="none" w:pos="2021"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Binding Agreement; Assignment</w:t>
      </w:r>
      <w:r>
        <w:rPr>
          <w:rFonts w:ascii="Arial" w:cs="Arial" w:eastAsia="Arial" w:hAnsi="Arial"/>
          <w:sz w:val="22"/>
          <w:szCs w:val="22"/>
          <w:color w:val="auto"/>
        </w:rPr>
        <w:t>. This Award Agreement shall inure to the benefit of, be binding upon, and be enforceable by the Company and its successors and assigns. The Participant shall not assign any part of this Award Agreement without the prior express written consent of the Company.</w:t>
      </w:r>
    </w:p>
    <w:p>
      <w:pPr>
        <w:spacing w:after="0" w:line="186" w:lineRule="exact"/>
        <w:rPr>
          <w:rFonts w:ascii="Arial" w:cs="Arial" w:eastAsia="Arial" w:hAnsi="Arial"/>
          <w:sz w:val="22"/>
          <w:szCs w:val="22"/>
          <w:color w:val="auto"/>
        </w:rPr>
      </w:pPr>
    </w:p>
    <w:p>
      <w:pPr>
        <w:ind w:firstLine="1305"/>
        <w:spacing w:after="0" w:line="251" w:lineRule="auto"/>
        <w:tabs>
          <w:tab w:leader="none" w:pos="2017"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executed in one or more counterparts, each of which shall be deemed to be an original, but all of which shall constitute one and the same instrument.</w:t>
      </w:r>
    </w:p>
    <w:p>
      <w:pPr>
        <w:spacing w:after="0" w:line="173" w:lineRule="exact"/>
        <w:rPr>
          <w:rFonts w:ascii="Arial" w:cs="Arial" w:eastAsia="Arial" w:hAnsi="Arial"/>
          <w:sz w:val="22"/>
          <w:szCs w:val="22"/>
          <w:color w:val="auto"/>
        </w:rPr>
      </w:pPr>
    </w:p>
    <w:p>
      <w:pPr>
        <w:ind w:firstLine="1305"/>
        <w:spacing w:after="0" w:line="251" w:lineRule="auto"/>
        <w:tabs>
          <w:tab w:leader="none" w:pos="207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titles and headings of the various sections of this Award Agreement have been inserted for convenience of reference only and shall not be deemed to be a part of this Award Agreement.</w:t>
      </w:r>
    </w:p>
    <w:p>
      <w:pPr>
        <w:spacing w:after="0" w:line="173" w:lineRule="exact"/>
        <w:rPr>
          <w:rFonts w:ascii="Arial" w:cs="Arial" w:eastAsia="Arial" w:hAnsi="Arial"/>
          <w:sz w:val="22"/>
          <w:szCs w:val="22"/>
          <w:color w:val="auto"/>
        </w:rPr>
      </w:pPr>
    </w:p>
    <w:p>
      <w:pPr>
        <w:jc w:val="both"/>
        <w:ind w:firstLine="1305"/>
        <w:spacing w:after="0" w:line="238" w:lineRule="auto"/>
        <w:tabs>
          <w:tab w:leader="none" w:pos="208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shall do and perform (or shall cause to be done and performed) all such further acts and shall execute and deliver all such other agreements, certificates, instruments and documents as any other party hereto reasonably may request in order to carry out the intent and accomplish the purposes of this Award Agreement and the Plan and the consummation of the transactions contemplated thereunder.</w:t>
      </w:r>
    </w:p>
    <w:p>
      <w:pPr>
        <w:spacing w:after="0" w:line="185" w:lineRule="exact"/>
        <w:rPr>
          <w:rFonts w:ascii="Arial" w:cs="Arial" w:eastAsia="Arial" w:hAnsi="Arial"/>
          <w:sz w:val="22"/>
          <w:szCs w:val="22"/>
          <w:color w:val="auto"/>
        </w:rPr>
      </w:pPr>
    </w:p>
    <w:p>
      <w:pPr>
        <w:jc w:val="both"/>
        <w:ind w:firstLine="1305"/>
        <w:spacing w:after="0" w:line="287" w:lineRule="auto"/>
        <w:tabs>
          <w:tab w:leader="none" w:pos="239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provisions of this Award Agreement in any jurisdiction shall not affect the validity, legality or enforceability of the remainder of this Award Agreement in such jurisdiction or the validity, legality or enforceability of any provision of this Award Agreement in any other jurisdiction, it being intended that all rights and obligations of the parties hereunder shall be enforceable to the fullest extent permitted by law.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21" w:name="page122"/>
    <w:bookmarkEnd w:id="121"/>
    <w:p>
      <w:pPr>
        <w:jc w:val="both"/>
        <w:ind w:firstLine="1305"/>
        <w:spacing w:after="0" w:line="297" w:lineRule="auto"/>
        <w:tabs>
          <w:tab w:leader="none" w:pos="212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Acceptance of Restricted Units</w:t>
      </w:r>
      <w:r>
        <w:rPr>
          <w:rFonts w:ascii="Arial" w:cs="Arial" w:eastAsia="Arial" w:hAnsi="Arial"/>
          <w:sz w:val="19"/>
          <w:szCs w:val="19"/>
          <w:color w:val="auto"/>
        </w:rPr>
        <w:t>. Unless, within 45 days following the date of this Award Agreement, the Company has received written notice from the Participant rejecting the Restricted Units, this Award Agreement shall be deemed to have been accepted by the Participant and shall constitute a legal and binding agreement between the Participant and the Company.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has duly executed this Award Agreement as of the Award Date specified above.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ALBANY INTERNATIONAL CORP.</w:t>
      </w:r>
    </w:p>
    <w:p>
      <w:pPr>
        <w:spacing w:after="0" w:line="200" w:lineRule="exact"/>
        <w:rPr>
          <w:sz w:val="20"/>
          <w:szCs w:val="20"/>
          <w:color w:val="auto"/>
        </w:rPr>
      </w:pPr>
    </w:p>
    <w:p>
      <w:pPr>
        <w:spacing w:after="0" w:line="249"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Alice McCarvill</w:t>
      </w:r>
      <w:r>
        <w:rPr>
          <w:rFonts w:ascii="Arial" w:cs="Arial" w:eastAsia="Arial" w:hAnsi="Arial"/>
          <w:sz w:val="22"/>
          <w:szCs w:val="22"/>
          <w:color w:val="auto"/>
        </w:rPr>
        <w:t>___________________________</w:t>
      </w:r>
    </w:p>
    <w:p>
      <w:pPr>
        <w:ind w:left="3240"/>
        <w:spacing w:after="0" w:line="238" w:lineRule="auto"/>
        <w:rPr>
          <w:sz w:val="20"/>
          <w:szCs w:val="20"/>
          <w:color w:val="auto"/>
        </w:rPr>
      </w:pPr>
      <w:r>
        <w:rPr>
          <w:rFonts w:ascii="Arial" w:cs="Arial" w:eastAsia="Arial" w:hAnsi="Arial"/>
          <w:sz w:val="22"/>
          <w:szCs w:val="22"/>
          <w:color w:val="auto"/>
        </w:rPr>
        <w:t>Name: Alice McCarvill</w:t>
      </w:r>
    </w:p>
    <w:p>
      <w:pPr>
        <w:ind w:left="3240"/>
        <w:spacing w:after="0" w:line="230" w:lineRule="auto"/>
        <w:rPr>
          <w:sz w:val="20"/>
          <w:szCs w:val="20"/>
          <w:color w:val="auto"/>
        </w:rPr>
      </w:pPr>
      <w:r>
        <w:rPr>
          <w:rFonts w:ascii="Arial" w:cs="Arial" w:eastAsia="Arial" w:hAnsi="Arial"/>
          <w:sz w:val="22"/>
          <w:szCs w:val="22"/>
          <w:color w:val="auto"/>
        </w:rPr>
        <w:t>Title: Executive Vice President Human Resources</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/s/ Greg Harwell</w:t>
      </w:r>
      <w:r>
        <w:rPr>
          <w:rFonts w:ascii="Arial" w:cs="Arial" w:eastAsia="Arial" w:hAnsi="Arial"/>
          <w:sz w:val="22"/>
          <w:szCs w:val="22"/>
          <w:color w:val="auto"/>
        </w:rPr>
        <w:t>___________________________</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Greg Harwell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i w:val="1"/>
          <w:iCs w:val="1"/>
          <w:color w:val="auto"/>
        </w:rPr>
        <w:t>Exhibit 10(l)(xiv)</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ALBANY INTERNATIONAL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PERFORMANCE PHANTOM STOCK PLAN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AWARD AGREEMENT</w:t>
      </w:r>
    </w:p>
    <w:p>
      <w:pPr>
        <w:spacing w:after="0" w:line="200" w:lineRule="exact"/>
        <w:rPr>
          <w:sz w:val="20"/>
          <w:szCs w:val="20"/>
          <w:color w:val="auto"/>
        </w:rPr>
      </w:pP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the ____ day of ________________, 2018, between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Albany International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_____________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88" w:lineRule="exact"/>
        <w:rPr>
          <w:sz w:val="20"/>
          <w:szCs w:val="20"/>
          <w:color w:val="auto"/>
        </w:rPr>
      </w:pPr>
    </w:p>
    <w:p>
      <w:pPr>
        <w:ind w:right="100" w:firstLine="1297"/>
        <w:spacing w:after="0" w:line="251" w:lineRule="auto"/>
        <w:rPr>
          <w:sz w:val="20"/>
          <w:szCs w:val="20"/>
          <w:color w:val="auto"/>
        </w:rPr>
      </w:pPr>
      <w:r>
        <w:rPr>
          <w:rFonts w:ascii="Arial" w:cs="Arial" w:eastAsia="Arial" w:hAnsi="Arial"/>
          <w:sz w:val="22"/>
          <w:szCs w:val="22"/>
          <w:color w:val="auto"/>
        </w:rPr>
        <w:t>WHEREAS, the Company adopted and maintains the Albany International Corp. 2011 Performance Phantom Stock Plan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Plan provides for the grant of awards of Performance Phantom Stock to participants in the Plan;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ind w:right="440" w:firstLine="1297"/>
        <w:spacing w:after="0" w:line="251" w:lineRule="auto"/>
        <w:rPr>
          <w:sz w:val="20"/>
          <w:szCs w:val="20"/>
          <w:color w:val="auto"/>
        </w:rPr>
      </w:pPr>
      <w:r>
        <w:rPr>
          <w:rFonts w:ascii="Arial" w:cs="Arial" w:eastAsia="Arial" w:hAnsi="Arial"/>
          <w:sz w:val="22"/>
          <w:szCs w:val="22"/>
          <w:color w:val="auto"/>
        </w:rPr>
        <w:t>WHEREAS, Section 4(b) of the Plan provides for the establishment of Performance Measures and Performance Targets for awards granted under the Plan.</w:t>
      </w:r>
    </w:p>
    <w:p>
      <w:pPr>
        <w:spacing w:after="0" w:line="173"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NOW THEREFORE, in consideration of the agreements and obligations hereinafter set forth, the parties hereto agree as follows:</w:t>
      </w:r>
    </w:p>
    <w:p>
      <w:pPr>
        <w:spacing w:after="0" w:line="173"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Definitions; References</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used herein, the following terms shall have the meanings indicated below.</w:t>
      </w:r>
    </w:p>
    <w:p>
      <w:pPr>
        <w:spacing w:after="0" w:line="206" w:lineRule="exact"/>
        <w:rPr>
          <w:sz w:val="20"/>
          <w:szCs w:val="20"/>
          <w:color w:val="auto"/>
        </w:rPr>
      </w:pPr>
    </w:p>
    <w:p>
      <w:pPr>
        <w:ind w:right="200" w:firstLine="656"/>
        <w:spacing w:after="0"/>
        <w:tabs>
          <w:tab w:leader="none" w:pos="13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Award</w:t>
      </w:r>
      <w:r>
        <w:rPr>
          <w:rFonts w:ascii="Arial" w:cs="Arial" w:eastAsia="Arial" w:hAnsi="Arial"/>
          <w:sz w:val="22"/>
          <w:szCs w:val="22"/>
          <w:color w:val="auto"/>
        </w:rPr>
        <w:t>”, with respect to the Performance Period, shall mean the number of shares of Performance Phantom Stock equal to the product of the Target Award multiplied by the Performance Percentage for the Performance Period (which number may be zero).</w:t>
      </w:r>
    </w:p>
    <w:p>
      <w:pPr>
        <w:spacing w:after="0" w:line="186" w:lineRule="exact"/>
        <w:rPr>
          <w:rFonts w:ascii="Arial" w:cs="Arial" w:eastAsia="Arial" w:hAnsi="Arial"/>
          <w:sz w:val="22"/>
          <w:szCs w:val="22"/>
          <w:color w:val="auto"/>
        </w:rPr>
      </w:pPr>
    </w:p>
    <w:p>
      <w:pPr>
        <w:ind w:right="100" w:firstLine="656"/>
        <w:spacing w:after="0" w:line="251" w:lineRule="auto"/>
        <w:tabs>
          <w:tab w:leader="none" w:pos="1373" w:val="left"/>
        </w:tabs>
        <w:numPr>
          <w:ilvl w:val="1"/>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Percentage</w:t>
      </w:r>
      <w:r>
        <w:rPr>
          <w:rFonts w:ascii="Arial" w:cs="Arial" w:eastAsia="Arial" w:hAnsi="Arial"/>
          <w:sz w:val="22"/>
          <w:szCs w:val="22"/>
          <w:color w:val="auto"/>
        </w:rPr>
        <w:t>” shall mean, with respect to the Performance Period, the percentage determined pursuant to the Scorecard.</w:t>
      </w:r>
    </w:p>
    <w:p>
      <w:pPr>
        <w:spacing w:after="0" w:line="173" w:lineRule="exact"/>
        <w:rPr>
          <w:rFonts w:ascii="Arial" w:cs="Arial" w:eastAsia="Arial" w:hAnsi="Arial"/>
          <w:sz w:val="22"/>
          <w:szCs w:val="22"/>
          <w:color w:val="auto"/>
        </w:rPr>
      </w:pPr>
    </w:p>
    <w:p>
      <w:pPr>
        <w:ind w:left="1360" w:hanging="704"/>
        <w:spacing w:after="0"/>
        <w:tabs>
          <w:tab w:leader="none" w:pos="13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shall mean the period that commences on January 1, 2018 and ends on December 31, 2018.</w:t>
      </w:r>
    </w:p>
    <w:p>
      <w:pPr>
        <w:spacing w:after="0" w:line="240" w:lineRule="exact"/>
        <w:rPr>
          <w:rFonts w:ascii="Arial" w:cs="Arial" w:eastAsia="Arial" w:hAnsi="Arial"/>
          <w:sz w:val="19"/>
          <w:szCs w:val="19"/>
          <w:color w:val="auto"/>
        </w:rPr>
      </w:pPr>
    </w:p>
    <w:p>
      <w:pPr>
        <w:ind w:left="1380" w:hanging="724"/>
        <w:spacing w:after="0"/>
        <w:tabs>
          <w:tab w:leader="none" w:pos="13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Scorecard</w:t>
      </w:r>
      <w:r>
        <w:rPr>
          <w:rFonts w:ascii="Arial" w:cs="Arial" w:eastAsia="Arial" w:hAnsi="Arial"/>
          <w:sz w:val="22"/>
          <w:szCs w:val="22"/>
          <w:color w:val="auto"/>
        </w:rPr>
        <w:t>” shall mean a performance scorecard as set forth in Section 3 hereof.</w:t>
      </w:r>
    </w:p>
    <w:p>
      <w:pPr>
        <w:spacing w:after="0" w:line="206" w:lineRule="exact"/>
        <w:rPr>
          <w:rFonts w:ascii="Arial" w:cs="Arial" w:eastAsia="Arial" w:hAnsi="Arial"/>
          <w:sz w:val="22"/>
          <w:szCs w:val="22"/>
          <w:color w:val="auto"/>
        </w:rPr>
      </w:pPr>
    </w:p>
    <w:p>
      <w:pPr>
        <w:ind w:right="100" w:firstLine="656"/>
        <w:spacing w:after="0"/>
        <w:tabs>
          <w:tab w:leader="none" w:pos="13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Award</w:t>
      </w:r>
      <w:r>
        <w:rPr>
          <w:rFonts w:ascii="Arial" w:cs="Arial" w:eastAsia="Arial" w:hAnsi="Arial"/>
          <w:sz w:val="22"/>
          <w:szCs w:val="22"/>
          <w:color w:val="auto"/>
        </w:rPr>
        <w:t>”, with respect to the Performance Period, shall mean the number of shares of Performance Phantom Stock specified in Section 2, which is the amount of the Final Award for the Performance Period if the Performance Percentage is 100%.</w:t>
      </w:r>
    </w:p>
    <w:p>
      <w:pPr>
        <w:spacing w:after="0" w:line="186" w:lineRule="exact"/>
        <w:rPr>
          <w:rFonts w:ascii="Arial" w:cs="Arial" w:eastAsia="Arial" w:hAnsi="Arial"/>
          <w:sz w:val="22"/>
          <w:szCs w:val="22"/>
          <w:color w:val="auto"/>
        </w:rPr>
      </w:pPr>
    </w:p>
    <w:p>
      <w:pPr>
        <w:jc w:val="both"/>
        <w:ind w:right="280" w:firstLine="8"/>
        <w:spacing w:after="0"/>
        <w:tabs>
          <w:tab w:leader="none" w:pos="729"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Establishment of the Target Award</w:t>
      </w:r>
      <w:r>
        <w:rPr>
          <w:rFonts w:ascii="Arial" w:cs="Arial" w:eastAsia="Arial" w:hAnsi="Arial"/>
          <w:sz w:val="22"/>
          <w:szCs w:val="22"/>
          <w:color w:val="auto"/>
        </w:rPr>
        <w:t>. Pursuant to, and subject to, the terms and conditions set forth herein and in the Plan, the Committee hereby establishes the Participant’s Target Award at _______________ shares of Performance Phantom Stock for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ind w:right="120" w:firstLine="8"/>
        <w:spacing w:after="0" w:line="287" w:lineRule="auto"/>
        <w:tabs>
          <w:tab w:leader="none" w:pos="72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Establishment of the Scorecard</w:t>
      </w:r>
      <w:r>
        <w:rPr>
          <w:rFonts w:ascii="Arial" w:cs="Arial" w:eastAsia="Arial" w:hAnsi="Arial"/>
          <w:sz w:val="19"/>
          <w:szCs w:val="19"/>
          <w:color w:val="auto"/>
        </w:rPr>
        <w:t>. Pursuant to, and subject to, the terms and conditions set forth herein and in the Plan, the Committee hereby establishes the Scorecard, attached hereto as Exhibit A, based on the objective criteria specified, with which to evaluate the Company’s and/or the Participant’s performance during the Performance Period. The Scorecard shall represent an objective basis for determining the Performance Percentage for the duration of this Agreement.</w:t>
      </w:r>
    </w:p>
    <w:p>
      <w:pPr>
        <w:spacing w:after="0" w:line="143" w:lineRule="exact"/>
        <w:rPr>
          <w:rFonts w:ascii="Arial" w:cs="Arial" w:eastAsia="Arial" w:hAnsi="Arial"/>
          <w:sz w:val="19"/>
          <w:szCs w:val="19"/>
          <w:color w:val="auto"/>
        </w:rPr>
      </w:pPr>
    </w:p>
    <w:p>
      <w:pPr>
        <w:ind w:left="740" w:hanging="732"/>
        <w:spacing w:after="0"/>
        <w:tabs>
          <w:tab w:leader="none" w:pos="7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Determination and Vesting of Final Award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right="340" w:hanging="644"/>
        <w:spacing w:after="0" w:line="271" w:lineRule="auto"/>
        <w:tabs>
          <w:tab w:leader="none" w:pos="1301" w:val="left"/>
        </w:tabs>
        <w:numPr>
          <w:ilvl w:val="1"/>
          <w:numId w:val="71"/>
        </w:numPr>
        <w:rPr>
          <w:rFonts w:ascii="Arial" w:cs="Arial" w:eastAsia="Arial" w:hAnsi="Arial"/>
          <w:sz w:val="19"/>
          <w:szCs w:val="19"/>
          <w:color w:val="auto"/>
        </w:rPr>
      </w:pPr>
      <w:r>
        <w:rPr>
          <w:rFonts w:ascii="Arial" w:cs="Arial" w:eastAsia="Arial" w:hAnsi="Arial"/>
          <w:sz w:val="19"/>
          <w:szCs w:val="19"/>
          <w:color w:val="auto"/>
        </w:rPr>
        <w:t>As soon as practicable after the end of the Performance Period, and in no event later than the last day of the first February following the Performance Period (the “</w:t>
      </w:r>
      <w:r>
        <w:rPr>
          <w:rFonts w:ascii="Arial" w:cs="Arial" w:eastAsia="Arial" w:hAnsi="Arial"/>
          <w:sz w:val="19"/>
          <w:szCs w:val="19"/>
          <w:u w:val="single" w:color="auto"/>
          <w:color w:val="auto"/>
        </w:rPr>
        <w:t>Determination Date</w:t>
      </w:r>
      <w:r>
        <w:rPr>
          <w:rFonts w:ascii="Arial" w:cs="Arial" w:eastAsia="Arial" w:hAnsi="Arial"/>
          <w:sz w:val="19"/>
          <w:szCs w:val="19"/>
          <w:color w:val="auto"/>
        </w:rPr>
        <w:t>”), the Committee shall determine the Performance Percentage based on the Scorecard and the resulting Final Award to be allocated as of the Determination Date to the Participant’s Performance Phantom Stock Account for the Performance Period.</w:t>
      </w:r>
    </w:p>
    <w:p>
      <w:pPr>
        <w:spacing w:after="0" w:line="3" w:lineRule="exact"/>
        <w:rPr>
          <w:rFonts w:ascii="Arial" w:cs="Arial" w:eastAsia="Arial" w:hAnsi="Arial"/>
          <w:sz w:val="19"/>
          <w:szCs w:val="19"/>
          <w:color w:val="auto"/>
        </w:rPr>
      </w:pPr>
    </w:p>
    <w:p>
      <w:pPr>
        <w:ind w:left="1280" w:hanging="624"/>
        <w:spacing w:after="0"/>
        <w:tabs>
          <w:tab w:leader="none" w:pos="12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vesting, special vesting and forfeiture provisions set forth in Sections 5(b), (c) and (d) of the Plan shall apply.</w:t>
      </w:r>
    </w:p>
    <w:p>
      <w:pPr>
        <w:spacing w:after="0" w:line="249" w:lineRule="exact"/>
        <w:rPr>
          <w:rFonts w:ascii="Arial" w:cs="Arial" w:eastAsia="Arial" w:hAnsi="Arial"/>
          <w:sz w:val="19"/>
          <w:szCs w:val="19"/>
          <w:color w:val="auto"/>
        </w:rPr>
      </w:pPr>
    </w:p>
    <w:p>
      <w:pPr>
        <w:ind w:left="740" w:hanging="732"/>
        <w:spacing w:after="0"/>
        <w:tabs>
          <w:tab w:leader="none" w:pos="7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Time and Method of Settlement of Final Award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60" w:hanging="704"/>
        <w:spacing w:after="0"/>
        <w:tabs>
          <w:tab w:leader="none" w:pos="1360" w:val="left"/>
        </w:tabs>
        <w:numPr>
          <w:ilvl w:val="1"/>
          <w:numId w:val="71"/>
        </w:numPr>
        <w:rPr>
          <w:rFonts w:ascii="Arial" w:cs="Arial" w:eastAsia="Arial" w:hAnsi="Arial"/>
          <w:sz w:val="19"/>
          <w:szCs w:val="19"/>
          <w:color w:val="auto"/>
        </w:rPr>
      </w:pPr>
      <w:r>
        <w:rPr>
          <w:rFonts w:ascii="Arial" w:cs="Arial" w:eastAsia="Arial" w:hAnsi="Arial"/>
          <w:sz w:val="19"/>
          <w:szCs w:val="19"/>
          <w:color w:val="auto"/>
        </w:rPr>
        <w:t>As promptly as practicable after each Vesting Date and in no event later than the later of (i) December 31 of the</w:t>
      </w:r>
    </w:p>
    <w:p>
      <w:pPr>
        <w:spacing w:after="0" w:line="48" w:lineRule="exact"/>
        <w:rPr>
          <w:sz w:val="20"/>
          <w:szCs w:val="20"/>
          <w:color w:val="auto"/>
        </w:rPr>
      </w:pPr>
    </w:p>
    <w:p>
      <w:pPr>
        <w:ind w:right="100"/>
        <w:spacing w:after="0" w:line="211" w:lineRule="auto"/>
        <w:rPr>
          <w:sz w:val="20"/>
          <w:szCs w:val="20"/>
          <w:color w:val="auto"/>
        </w:rPr>
      </w:pPr>
      <w:r>
        <w:rPr>
          <w:rFonts w:ascii="Arial" w:cs="Arial" w:eastAsia="Arial" w:hAnsi="Arial"/>
          <w:sz w:val="22"/>
          <w:szCs w:val="22"/>
          <w:color w:val="auto"/>
        </w:rPr>
        <w:t>year in which the Vesting Date occurs, and (ii) the 15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the third month following the Vesting Date, the Company or one of its subsidiaries shall pay to the Participant or the Participant’s Beneficiary, as applicable, an amount in U.S. dollars equal to the product of (i) the number of shares of Performance Phantom Stock vesting on such Vesting Date multiplied by (ii) the Share Price as of such Vesting Date.</w:t>
      </w:r>
    </w:p>
    <w:p>
      <w:pPr>
        <w:spacing w:after="0" w:line="188" w:lineRule="exact"/>
        <w:rPr>
          <w:sz w:val="20"/>
          <w:szCs w:val="20"/>
          <w:color w:val="auto"/>
        </w:rPr>
      </w:pPr>
    </w:p>
    <w:p>
      <w:pPr>
        <w:ind w:firstLine="8"/>
        <w:spacing w:after="0" w:line="287" w:lineRule="auto"/>
        <w:tabs>
          <w:tab w:leader="none" w:pos="72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If there is a significant restatement of the Company’s financial results, caused or substantially caused by the fraud or intentional misconduct of the Participant, the entire amount of the Final Award, whether vested or unvested, shall be forfeited and the Participant shall not be entitled to any payment under Section 5 hereof or have any other rights with respect to the Final Award. Moreover, the Participant shall, upon demand, repay any payments already paid prior to the restatement.</w:t>
      </w:r>
    </w:p>
    <w:p>
      <w:pPr>
        <w:spacing w:after="0" w:line="143" w:lineRule="exact"/>
        <w:rPr>
          <w:rFonts w:ascii="Arial" w:cs="Arial" w:eastAsia="Arial" w:hAnsi="Arial"/>
          <w:sz w:val="19"/>
          <w:szCs w:val="19"/>
          <w:color w:val="auto"/>
        </w:rPr>
      </w:pPr>
    </w:p>
    <w:p>
      <w:pPr>
        <w:ind w:right="100" w:firstLine="8"/>
        <w:spacing w:after="0" w:line="247" w:lineRule="auto"/>
        <w:tabs>
          <w:tab w:leader="none" w:pos="729"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Modification and Waiver</w:t>
      </w:r>
      <w:r>
        <w:rPr>
          <w:rFonts w:ascii="Arial" w:cs="Arial" w:eastAsia="Arial" w:hAnsi="Arial"/>
          <w:sz w:val="21"/>
          <w:szCs w:val="21"/>
          <w:color w:val="auto"/>
        </w:rPr>
        <w:t>. Except as provided in the Plan with respect to determinations of the Committee and subject to the right of the Board and the Committee to amend the Plan, neither this Agreement nor any provision hereof can be changed, modified, amended, discharged, terminated or waived orally or by any course of dealing or purported course of dealing, except by an agreement in writing signed by the Participant and the Company.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24662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577" w:right="319" w:bottom="1440" w:gutter="0" w:footer="0" w:header="0"/>
        </w:sectPr>
      </w:pPr>
    </w:p>
    <w:bookmarkStart w:id="124" w:name="page125"/>
    <w:bookmarkEnd w:id="124"/>
    <w:p>
      <w:pPr>
        <w:ind w:right="60" w:firstLine="8"/>
        <w:spacing w:after="0" w:line="236" w:lineRule="auto"/>
        <w:tabs>
          <w:tab w:leader="none" w:pos="729"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hereunder shall be in writing, shall be deemed to have been given if delivered in person or by first-class registered or certified mail, return receipt requested, and shall be deemed to have been given when personally delivered or five (5) days after mailing to the following address (or to such other address as either party may have furnished to the others in writing in accordance herewith, except that notices of change of address shall only be effective upon receipt):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Albany International Corp.</w:t>
      </w:r>
    </w:p>
    <w:p>
      <w:pPr>
        <w:ind w:left="1960"/>
        <w:spacing w:after="0" w:line="238" w:lineRule="auto"/>
        <w:rPr>
          <w:sz w:val="20"/>
          <w:szCs w:val="20"/>
          <w:color w:val="auto"/>
        </w:rPr>
      </w:pPr>
      <w:r>
        <w:rPr>
          <w:rFonts w:ascii="Arial" w:cs="Arial" w:eastAsia="Arial" w:hAnsi="Arial"/>
          <w:sz w:val="22"/>
          <w:szCs w:val="22"/>
          <w:color w:val="auto"/>
        </w:rPr>
        <w:t>216 Airport Drive</w:t>
      </w:r>
    </w:p>
    <w:p>
      <w:pPr>
        <w:ind w:left="1960"/>
        <w:spacing w:after="0" w:line="230" w:lineRule="auto"/>
        <w:rPr>
          <w:sz w:val="20"/>
          <w:szCs w:val="20"/>
          <w:color w:val="auto"/>
        </w:rPr>
      </w:pPr>
      <w:r>
        <w:rPr>
          <w:rFonts w:ascii="Arial" w:cs="Arial" w:eastAsia="Arial" w:hAnsi="Arial"/>
          <w:sz w:val="22"/>
          <w:szCs w:val="22"/>
          <w:color w:val="auto"/>
        </w:rPr>
        <w:t>Rochester, New Hampshire 03867</w:t>
      </w:r>
    </w:p>
    <w:p>
      <w:pPr>
        <w:ind w:left="1960"/>
        <w:spacing w:after="0" w:line="231" w:lineRule="auto"/>
        <w:rPr>
          <w:sz w:val="20"/>
          <w:szCs w:val="20"/>
          <w:color w:val="auto"/>
        </w:rPr>
      </w:pPr>
      <w:r>
        <w:rPr>
          <w:rFonts w:ascii="Arial" w:cs="Arial" w:eastAsia="Arial" w:hAnsi="Arial"/>
          <w:sz w:val="22"/>
          <w:szCs w:val="22"/>
          <w:color w:val="auto"/>
        </w:rPr>
        <w:t>Fax: (518) 935-9316</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Legal Department</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If to the Participant, to the most recent address of the Participant that the Company has in its records.</w:t>
      </w:r>
    </w:p>
    <w:p>
      <w:pPr>
        <w:spacing w:after="0" w:line="206" w:lineRule="exact"/>
        <w:rPr>
          <w:sz w:val="20"/>
          <w:szCs w:val="20"/>
          <w:color w:val="auto"/>
        </w:rPr>
      </w:pPr>
    </w:p>
    <w:p>
      <w:pPr>
        <w:ind w:firstLine="8"/>
        <w:spacing w:after="0" w:line="246" w:lineRule="auto"/>
        <w:tabs>
          <w:tab w:leader="none" w:pos="729"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Incorporation By Reference; Plan Document Receipt</w:t>
      </w:r>
      <w:r>
        <w:rPr>
          <w:rFonts w:ascii="Arial" w:cs="Arial" w:eastAsia="Arial" w:hAnsi="Arial"/>
          <w:sz w:val="21"/>
          <w:szCs w:val="21"/>
          <w:color w:val="auto"/>
        </w:rPr>
        <w:t>. Except as otherwise provided herein, this Award Agreement is subject in all respects to the terms and provisions of the Plan (including, without limitation, any amendments thereto adopted at any time and from time to time and which are expressly intended to apply to the grant of the Performance Phantom Stock provided for herein), all of which terms and provisions are made a part of and incorporated in this Award Agreement as if they were expressly set forth herein. Any capitalized term not defined in this Award Agreement shall have the same meaning as is ascribed thereto in the Plan. The Participant hereby acknowledges receipt of a true copy of the Plan and that the Participant has read the Plan carefully and fully understands its content. In the event of a conflict between the terms of this Award Agreement and the terms of the Plan, the terms of the Plan shall control.</w:t>
      </w:r>
    </w:p>
    <w:p>
      <w:pPr>
        <w:spacing w:after="0" w:line="180" w:lineRule="exact"/>
        <w:rPr>
          <w:rFonts w:ascii="Arial" w:cs="Arial" w:eastAsia="Arial" w:hAnsi="Arial"/>
          <w:sz w:val="21"/>
          <w:szCs w:val="21"/>
          <w:color w:val="auto"/>
        </w:rPr>
      </w:pPr>
    </w:p>
    <w:p>
      <w:pPr>
        <w:ind w:right="580" w:firstLine="8"/>
        <w:spacing w:after="0" w:line="251" w:lineRule="auto"/>
        <w:tabs>
          <w:tab w:leader="none" w:pos="711"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to be an original, but each of which together shall constitute one and the same document.</w:t>
      </w:r>
    </w:p>
    <w:p>
      <w:pPr>
        <w:spacing w:after="0" w:line="173" w:lineRule="exact"/>
        <w:rPr>
          <w:rFonts w:ascii="Arial" w:cs="Arial" w:eastAsia="Arial" w:hAnsi="Arial"/>
          <w:sz w:val="22"/>
          <w:szCs w:val="22"/>
          <w:color w:val="auto"/>
        </w:rPr>
      </w:pPr>
    </w:p>
    <w:p>
      <w:pPr>
        <w:ind w:right="100" w:firstLine="8"/>
        <w:spacing w:after="0"/>
        <w:tabs>
          <w:tab w:leader="none" w:pos="703"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Governing Law; Choice of Forum</w:t>
      </w:r>
      <w:r>
        <w:rPr>
          <w:rFonts w:ascii="Arial" w:cs="Arial" w:eastAsia="Arial" w:hAnsi="Arial"/>
          <w:sz w:val="22"/>
          <w:szCs w:val="22"/>
          <w:color w:val="auto"/>
        </w:rPr>
        <w:t>. This Agreement shall be governed by and construed in accordance with the laws of the State of New York, without regard to its conflicts of law principles, and the parties hereby submit to the jurisdiction of the courts and tribunals of New York.</w:t>
      </w:r>
    </w:p>
    <w:p>
      <w:pPr>
        <w:spacing w:after="0" w:line="186" w:lineRule="exact"/>
        <w:rPr>
          <w:rFonts w:ascii="Arial" w:cs="Arial" w:eastAsia="Arial" w:hAnsi="Arial"/>
          <w:sz w:val="22"/>
          <w:szCs w:val="22"/>
          <w:color w:val="auto"/>
        </w:rPr>
      </w:pPr>
    </w:p>
    <w:p>
      <w:pPr>
        <w:ind w:right="120" w:firstLine="8"/>
        <w:spacing w:after="0" w:line="287" w:lineRule="auto"/>
        <w:tabs>
          <w:tab w:leader="none" w:pos="711"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shall be binding upon, inure to the benefit of, and be enforceable by the heirs, personal representatives and successors of the parties hereto. Nothing expressed or referred to in this Agreement is intended or shall be construed to give any person other than the parties to this Agreement, or their respective heirs, personal representatives or successors, any legal or equitable rights, remedy or claim under or in respect of this Agreement or any provision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77" w:right="279" w:bottom="1440" w:gutter="0" w:footer="0" w:header="0"/>
        </w:sectPr>
      </w:pPr>
    </w:p>
    <w:bookmarkStart w:id="125" w:name="page126"/>
    <w:bookmarkEnd w:id="125"/>
    <w:p>
      <w:pPr>
        <w:jc w:val="both"/>
        <w:ind w:firstLine="8"/>
        <w:spacing w:after="0"/>
        <w:tabs>
          <w:tab w:leader="none" w:pos="71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86" w:lineRule="exact"/>
        <w:rPr>
          <w:rFonts w:ascii="Arial" w:cs="Arial" w:eastAsia="Arial" w:hAnsi="Arial"/>
          <w:sz w:val="22"/>
          <w:szCs w:val="22"/>
          <w:color w:val="auto"/>
        </w:rPr>
      </w:pPr>
    </w:p>
    <w:p>
      <w:pPr>
        <w:ind w:right="240" w:firstLine="8"/>
        <w:spacing w:after="0" w:line="251" w:lineRule="auto"/>
        <w:tabs>
          <w:tab w:leader="none" w:pos="71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The headings contained in this Agreement are for reference purposes only and shall not affect in any way the meaning or interpretation of this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and the Participant have duly executed this Agreement as of the date specified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58"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ALBANY INTERNATIONAL CORP.</w:t>
      </w: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________________________________________</w:t>
      </w:r>
    </w:p>
    <w:p>
      <w:pPr>
        <w:spacing w:after="0" w:line="23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587375</wp:posOffset>
            </wp:positionV>
            <wp:extent cx="29159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Albany International 2018 Phantom Stock Plan Award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Percentage Scorecard</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740" w:type="dxa"/>
            <w:vAlign w:val="bottom"/>
            <w:tcBorders>
              <w:top w:val="single" w:sz="8" w:color="auto"/>
              <w:left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36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2"/>
              </w:rPr>
              <w:t>Performance Metric Percentage Goals</w:t>
            </w:r>
          </w:p>
        </w:tc>
        <w:tc>
          <w:tcPr>
            <w:tcW w:w="66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2740" w:type="dxa"/>
            <w:vAlign w:val="bottom"/>
            <w:tcBorders>
              <w:left w:val="single" w:sz="8" w:color="auto"/>
              <w:bottom w:val="single" w:sz="8" w:color="auto"/>
              <w:right w:val="single" w:sz="8" w:color="auto"/>
            </w:tcBorders>
          </w:tcPr>
          <w:p>
            <w:pPr>
              <w:jc w:val="center"/>
              <w:ind w:right="1019"/>
              <w:spacing w:after="0"/>
              <w:rPr>
                <w:sz w:val="20"/>
                <w:szCs w:val="20"/>
                <w:color w:val="auto"/>
              </w:rPr>
            </w:pPr>
            <w:r>
              <w:rPr>
                <w:rFonts w:ascii="Arial" w:cs="Arial" w:eastAsia="Arial" w:hAnsi="Arial"/>
                <w:sz w:val="16"/>
                <w:szCs w:val="16"/>
                <w:b w:val="1"/>
                <w:bCs w:val="1"/>
                <w:color w:val="auto"/>
                <w:w w:val="93"/>
              </w:rPr>
              <w:t>Performance Metric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Weight</w:t>
            </w:r>
          </w:p>
        </w:tc>
        <w:tc>
          <w:tcPr>
            <w:tcW w:w="3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Measurement</w:t>
            </w:r>
          </w:p>
        </w:tc>
        <w:tc>
          <w:tcPr>
            <w:tcW w:w="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50%</w:t>
            </w:r>
          </w:p>
        </w:tc>
        <w:tc>
          <w:tcPr>
            <w:tcW w:w="86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100%</w:t>
            </w:r>
          </w:p>
        </w:tc>
        <w:tc>
          <w:tcPr>
            <w:tcW w:w="86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150%</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w w:val="87"/>
              </w:rPr>
              <w:t>200%</w:t>
            </w:r>
          </w:p>
        </w:tc>
      </w:tr>
      <w:tr>
        <w:trPr>
          <w:trHeight w:val="186"/>
        </w:trPr>
        <w:tc>
          <w:tcPr>
            <w:tcW w:w="2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 2018 Weighted Corporate</w:t>
            </w:r>
          </w:p>
        </w:tc>
        <w:tc>
          <w:tcPr>
            <w:tcW w:w="1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100%</w:t>
            </w:r>
          </w:p>
        </w:tc>
        <w:tc>
          <w:tcPr>
            <w:tcW w:w="3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Combination of Financial Statements</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r>
      <w:tr>
        <w:trPr>
          <w:trHeight w:val="209"/>
        </w:trPr>
        <w:tc>
          <w:tcPr>
            <w:tcW w:w="2740" w:type="dxa"/>
            <w:vAlign w:val="bottom"/>
            <w:tcBorders>
              <w:left w:val="single" w:sz="8" w:color="auto"/>
              <w:bottom w:val="single" w:sz="8" w:color="auto"/>
              <w:right w:val="single" w:sz="8" w:color="auto"/>
            </w:tcBorders>
          </w:tcPr>
          <w:p>
            <w:pPr>
              <w:jc w:val="center"/>
              <w:ind w:right="999"/>
              <w:spacing w:after="0"/>
              <w:rPr>
                <w:sz w:val="20"/>
                <w:szCs w:val="20"/>
                <w:color w:val="auto"/>
              </w:rPr>
            </w:pPr>
            <w:r>
              <w:rPr>
                <w:rFonts w:ascii="Arial" w:cs="Arial" w:eastAsia="Arial" w:hAnsi="Arial"/>
                <w:sz w:val="16"/>
                <w:szCs w:val="16"/>
                <w:color w:val="auto"/>
                <w:w w:val="93"/>
              </w:rPr>
              <w:t>Performance Metric</w:t>
            </w:r>
          </w:p>
        </w:tc>
        <w:tc>
          <w:tcPr>
            <w:tcW w:w="1000" w:type="dxa"/>
            <w:vAlign w:val="bottom"/>
            <w:tcBorders>
              <w:bottom w:val="single" w:sz="8" w:color="auto"/>
              <w:right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1"/>
              </w:rPr>
              <w:t>To Be Calculated as Described Below</w:t>
            </w:r>
          </w:p>
        </w:tc>
        <w:tc>
          <w:tcPr>
            <w:tcW w:w="660" w:type="dxa"/>
            <w:vAlign w:val="bottom"/>
            <w:tcBorders>
              <w:bottom w:val="single" w:sz="8" w:color="auto"/>
              <w:right w:val="single" w:sz="8" w:color="auto"/>
            </w:tcBorders>
          </w:tcPr>
          <w:p>
            <w:pPr>
              <w:spacing w:after="0"/>
              <w:rPr>
                <w:sz w:val="18"/>
                <w:szCs w:val="18"/>
                <w:color w:val="auto"/>
              </w:rPr>
            </w:pPr>
          </w:p>
        </w:tc>
      </w:tr>
    </w:tbl>
    <w:p>
      <w:pPr>
        <w:spacing w:after="0" w:line="195" w:lineRule="exact"/>
        <w:rPr>
          <w:sz w:val="20"/>
          <w:szCs w:val="20"/>
          <w:color w:val="auto"/>
        </w:rPr>
      </w:pPr>
    </w:p>
    <w:p>
      <w:pPr>
        <w:ind w:left="180" w:right="360"/>
        <w:spacing w:after="0" w:line="273" w:lineRule="auto"/>
        <w:rPr>
          <w:sz w:val="20"/>
          <w:szCs w:val="20"/>
          <w:color w:val="auto"/>
        </w:rPr>
      </w:pPr>
      <w:r>
        <w:rPr>
          <w:rFonts w:ascii="Arial" w:cs="Arial" w:eastAsia="Arial" w:hAnsi="Arial"/>
          <w:sz w:val="19"/>
          <w:szCs w:val="19"/>
          <w:color w:val="auto"/>
        </w:rPr>
        <w:t xml:space="preserve">The Performance Percentage achievement level shall be determined by the Committee in its sole discretion and shall equal (45% x Metric Percentage achieved for the 2018 Global MC Cash Flow Metric defined below) + (45% x Metric Percentage achieved for the 2018 Global AEC EBITDA excluding R&amp;D Metric defined below) + (10% x Metric Percentage achieved for 2018 Other Cash Flow defined below)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the Company does not, at any time during 2018, breach any leverage ratio covenants set forth in the Company’s $685,000,000 Five-year Revolving Credit Agreement with various Lender Banks and JPMorgan Chase Bank, N.A. as Administrative Agent, dated November 7, 2017, or any other financing facility established during 2018 to replace the aforesaid credit agreement (in either case, the “Credit Agreement”). In the event that any leverage ratio covenant is breached at any point in 2018, or in the event that payment of the amounts to be paid out under this Plan award or any other Plan award would cause the breach of a leverage ratio covenant, the Performance Percentage shall equal zero. Neither the Performance Percentage, nor any Metric Percentage, shall exceed 200%.</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1"/>
          <w:szCs w:val="21"/>
          <w:color w:val="auto"/>
        </w:rPr>
        <w:t>For the purposes of calculating the Performance Percentage achievement level, the following definitions shall apply:</w:t>
      </w:r>
    </w:p>
    <w:p>
      <w:pPr>
        <w:spacing w:after="0" w:line="239" w:lineRule="exact"/>
        <w:rPr>
          <w:sz w:val="20"/>
          <w:szCs w:val="20"/>
          <w:color w:val="auto"/>
        </w:rPr>
      </w:pPr>
    </w:p>
    <w:p>
      <w:pPr>
        <w:ind w:left="180" w:right="44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2018 Global MC Cash Flow</w:t>
      </w:r>
      <w:r>
        <w:rPr>
          <w:rFonts w:ascii="Arial" w:cs="Arial" w:eastAsia="Arial" w:hAnsi="Arial"/>
          <w:sz w:val="19"/>
          <w:szCs w:val="19"/>
          <w:color w:val="auto"/>
        </w:rPr>
        <w:t>” shall be equal to the amount reported as “Net Income” for the Global Machine Clothing business segment for 2018 in the Company’s Consolidated Statement of Income for 2018, less any income, or plus any expense, derived from the revaluation of non-functional currency assets and liabilities, adjusted by adding back, to the extent that such item reduced Net Income, or subtracting, to the extent that such item increased Net Income:</w:t>
      </w:r>
    </w:p>
    <w:p>
      <w:pPr>
        <w:ind w:left="520" w:hanging="350"/>
        <w:spacing w:after="0" w:line="232" w:lineRule="auto"/>
        <w:tabs>
          <w:tab w:leader="none" w:pos="5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depreciation and amortization expense;</w:t>
      </w:r>
    </w:p>
    <w:p>
      <w:pPr>
        <w:ind w:left="180" w:right="460" w:hanging="10"/>
        <w:spacing w:after="0" w:line="230" w:lineRule="auto"/>
        <w:tabs>
          <w:tab w:leader="none" w:pos="522"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restructuring costs, provided however, that the Committee may, in its sole discretion, choose to omit certain restructuring costs from this provision so long as the failure to add back those restructuring costs does not result in a higher Metric Percentage or reduced target goal;</w:t>
      </w:r>
    </w:p>
    <w:p>
      <w:pPr>
        <w:spacing w:after="0" w:line="2" w:lineRule="exact"/>
        <w:rPr>
          <w:rFonts w:ascii="Arial" w:cs="Arial" w:eastAsia="Arial" w:hAnsi="Arial"/>
          <w:sz w:val="22"/>
          <w:szCs w:val="22"/>
          <w:color w:val="auto"/>
        </w:rPr>
      </w:pPr>
    </w:p>
    <w:p>
      <w:pPr>
        <w:ind w:left="520" w:hanging="350"/>
        <w:spacing w:after="0" w:line="230" w:lineRule="auto"/>
        <w:tabs>
          <w:tab w:leader="none" w:pos="5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goodwill and intangible impairment;</w:t>
      </w:r>
    </w:p>
    <w:p>
      <w:pPr>
        <w:ind w:left="180" w:right="620" w:hanging="10"/>
        <w:spacing w:after="0" w:line="230" w:lineRule="auto"/>
        <w:tabs>
          <w:tab w:leader="none" w:pos="534"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income tax expenses (including any taxes recorded as operating expenses that were not included in the 2018 Operating Plan approved by the Board of Directors);</w:t>
      </w:r>
    </w:p>
    <w:p>
      <w:pPr>
        <w:spacing w:after="0" w:line="1" w:lineRule="exact"/>
        <w:rPr>
          <w:rFonts w:ascii="Arial" w:cs="Arial" w:eastAsia="Arial" w:hAnsi="Arial"/>
          <w:sz w:val="22"/>
          <w:szCs w:val="22"/>
          <w:color w:val="auto"/>
        </w:rPr>
      </w:pPr>
    </w:p>
    <w:p>
      <w:pPr>
        <w:ind w:left="500" w:hanging="330"/>
        <w:spacing w:after="0"/>
        <w:tabs>
          <w:tab w:leader="none" w:pos="5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27" w:name="page128"/>
    <w:bookmarkEnd w:id="127"/>
    <w:p>
      <w:pPr>
        <w:ind w:left="10" w:right="40"/>
        <w:spacing w:after="0" w:line="269" w:lineRule="auto"/>
        <w:rPr>
          <w:sz w:val="20"/>
          <w:szCs w:val="20"/>
          <w:color w:val="auto"/>
        </w:rPr>
      </w:pPr>
      <w:r>
        <w:rPr>
          <w:rFonts w:ascii="Arial" w:cs="Arial" w:eastAsia="Arial" w:hAnsi="Arial"/>
          <w:sz w:val="19"/>
          <w:szCs w:val="19"/>
          <w:color w:val="auto"/>
        </w:rPr>
        <w:t xml:space="preserve">(in each case, as determined in accordance with GAAP and the Company’s accounting policies, consistently applied)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that the amount so determined shall then be further adjusted (1) to exclude the effect of any adjustments to the Company’s financial statements required to reflect the effect of (a) discontinued operations, or (b) newly effective accounting pronouncements, the effect of which were not incorporated into the Board approved operating plan (in each case, without duplication, as defined by GAAP and as included in the Company’s audited financial statements whether or not reflected as a separate line item in such audited financial statements); (2) to exclude (i) any gain or loss attributable to the sale of any business segment, or any real estate, during 2018, net of any expenses incurred in connection with the transaction, or (ii) reallocated overhead costs which were otherwise attributable to any discontinued operations divested during the Performance Period; (3) to exclude any income (or loss) attributable to any business operation acquired during the Performance Period; (4) to exclude the effect on income of any charges incurred in the connection of the settlement of pension benefit funding obligations; (5) to exclude the effect on income of any deferred bank fee write-offs or interest rate swap buyouts related to any new financing facility established during 2018 or any gain or loss associated with the early retirement of any debt instrument;</w:t>
      </w:r>
    </w:p>
    <w:p>
      <w:pPr>
        <w:spacing w:after="0" w:line="2" w:lineRule="exact"/>
        <w:rPr>
          <w:sz w:val="20"/>
          <w:szCs w:val="20"/>
          <w:color w:val="auto"/>
        </w:rPr>
      </w:pPr>
    </w:p>
    <w:p>
      <w:pPr>
        <w:ind w:left="10" w:right="100" w:hanging="10"/>
        <w:spacing w:after="0" w:line="275" w:lineRule="auto"/>
        <w:tabs>
          <w:tab w:leader="none" w:pos="316"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exclude the effect on income of any expenses, including consulting or professional fees, incurred in connection with any activities undertaken by management at the direction of the Board of Directors to investigate or pursue any strategic acquisitions, combinations, joint ventures or divestitures, regardless of whether such efforts result in the completion of such acquisition, combination, joint venture or divestiture during the Performance Period; and (7) to exclude the cost of any lease expense incurred in connection with the sale and leaseback of any real estate (the foregoing hereinafter collectively referred to as the “Adjustments”) as the same may be applied to such business segment</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22"/>
          <w:szCs w:val="22"/>
          <w:b w:val="1"/>
          <w:bCs w:val="1"/>
          <w:u w:val="single" w:color="auto"/>
          <w:color w:val="auto"/>
        </w:rPr>
        <w:t>then further adjusting the resulting amount by:</w:t>
      </w:r>
    </w:p>
    <w:p>
      <w:pPr>
        <w:spacing w:after="0" w:line="239" w:lineRule="exact"/>
        <w:rPr>
          <w:sz w:val="20"/>
          <w:szCs w:val="20"/>
          <w:color w:val="auto"/>
        </w:rPr>
      </w:pPr>
    </w:p>
    <w:p>
      <w:pPr>
        <w:ind w:left="10" w:right="20" w:hanging="10"/>
        <w:spacing w:after="0" w:line="271" w:lineRule="auto"/>
        <w:tabs>
          <w:tab w:leader="none" w:pos="364" w:val="left"/>
        </w:tabs>
        <w:numPr>
          <w:ilvl w:val="0"/>
          <w:numId w:val="78"/>
        </w:numPr>
        <w:rPr>
          <w:rFonts w:ascii="Arial" w:cs="Arial" w:eastAsia="Arial" w:hAnsi="Arial"/>
          <w:sz w:val="19"/>
          <w:szCs w:val="19"/>
          <w:color w:val="auto"/>
        </w:rPr>
      </w:pPr>
      <w:r>
        <w:rPr>
          <w:rFonts w:ascii="Arial" w:cs="Arial" w:eastAsia="Arial" w:hAnsi="Arial"/>
          <w:sz w:val="19"/>
          <w:szCs w:val="19"/>
          <w:color w:val="auto"/>
        </w:rPr>
        <w:t>deducting therefrom the aggregate sum of all approved Machine Clothing capital expenditures released during 2018, plus any over-budget capital expenditures costs or less any under budget capital expenditure costs budgeted regardless of the year in which released, adjusted to exclude any capital expenditures released during 2018 and any over or under budget capital expenditure costs that are attributable to any business operations acquired during the applicable year;</w:t>
      </w:r>
    </w:p>
    <w:p>
      <w:pPr>
        <w:spacing w:after="0" w:line="3" w:lineRule="exact"/>
        <w:rPr>
          <w:rFonts w:ascii="Arial" w:cs="Arial" w:eastAsia="Arial" w:hAnsi="Arial"/>
          <w:sz w:val="19"/>
          <w:szCs w:val="19"/>
          <w:color w:val="auto"/>
        </w:rPr>
      </w:pPr>
    </w:p>
    <w:p>
      <w:pPr>
        <w:ind w:left="10" w:right="600" w:hanging="10"/>
        <w:spacing w:after="0" w:line="230" w:lineRule="auto"/>
        <w:tabs>
          <w:tab w:leader="none" w:pos="364" w:val="left"/>
        </w:tabs>
        <w:numPr>
          <w:ilvl w:val="0"/>
          <w:numId w:val="78"/>
        </w:numPr>
        <w:rPr>
          <w:rFonts w:ascii="Arial" w:cs="Arial" w:eastAsia="Arial" w:hAnsi="Arial"/>
          <w:sz w:val="22"/>
          <w:szCs w:val="22"/>
          <w:color w:val="auto"/>
        </w:rPr>
      </w:pPr>
      <w:r>
        <w:rPr>
          <w:rFonts w:ascii="Arial" w:cs="Arial" w:eastAsia="Arial" w:hAnsi="Arial"/>
          <w:sz w:val="22"/>
          <w:szCs w:val="22"/>
          <w:color w:val="auto"/>
        </w:rPr>
        <w:t>adding back any expense related to machinery and equipment relocations and plant setup costs, or other capital expenditures associated with anticipated or announced plant closings or consolidation of manufacturing capacity and not otherwise considered restructuring costs; and</w:t>
      </w:r>
    </w:p>
    <w:p>
      <w:pPr>
        <w:spacing w:after="0" w:line="2" w:lineRule="exact"/>
        <w:rPr>
          <w:rFonts w:ascii="Arial" w:cs="Arial" w:eastAsia="Arial" w:hAnsi="Arial"/>
          <w:sz w:val="22"/>
          <w:szCs w:val="22"/>
          <w:color w:val="auto"/>
        </w:rPr>
      </w:pPr>
    </w:p>
    <w:p>
      <w:pPr>
        <w:ind w:left="10" w:hanging="10"/>
        <w:spacing w:after="0" w:line="243" w:lineRule="auto"/>
        <w:tabs>
          <w:tab w:leader="none" w:pos="340" w:val="left"/>
        </w:tabs>
        <w:numPr>
          <w:ilvl w:val="0"/>
          <w:numId w:val="78"/>
        </w:numPr>
        <w:rPr>
          <w:rFonts w:ascii="Arial" w:cs="Arial" w:eastAsia="Arial" w:hAnsi="Arial"/>
          <w:sz w:val="21"/>
          <w:szCs w:val="21"/>
          <w:color w:val="auto"/>
        </w:rPr>
      </w:pPr>
      <w:r>
        <w:rPr>
          <w:rFonts w:ascii="Arial" w:cs="Arial" w:eastAsia="Arial" w:hAnsi="Arial"/>
          <w:sz w:val="21"/>
          <w:szCs w:val="21"/>
          <w:color w:val="auto"/>
        </w:rPr>
        <w:t>by increasing, or decreasing as the case may be, the amount by a sum equal to the net decrease (or increase) in the aggregate sum of Machine Clothing Accounts Receivable and Inventories during the Performance Period. Accounts Receivable and Inventories shall in each case mean the amounts set forth in the Company’s financial accounting systems and reported in the Company’s year-end consolidated financial statements for the applicable year in accordance with GAAP, adjusted to exclude (1) any Accounts Receivable or Inventories attributable to any business operations acquired during the applicable year and (2) the effect of currency fluctuations. For the purposes of this definition, any funds released for the Company’s equipment contingency budget shall not reduce cash flow. For the purposes of determining the Metric Percentage achieved, the following goals are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166370</wp:posOffset>
            </wp:positionV>
            <wp:extent cx="724662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30"/>
          </w:cols>
          <w:pgMar w:left="410" w:top="571" w:right="459" w:bottom="1440" w:gutter="0" w:footer="0" w:header="0"/>
        </w:sectPr>
      </w:pPr>
    </w:p>
    <w:bookmarkStart w:id="128" w:name="page129"/>
    <w:bookmarkEnd w:id="128"/>
    <w:tbl>
      <w:tblPr>
        <w:tblLayout w:type="fixed"/>
        <w:tblInd w:w="10" w:type="dxa"/>
        <w:tblCellMar>
          <w:top w:w="0" w:type="dxa"/>
          <w:left w:w="0" w:type="dxa"/>
          <w:bottom w:w="0" w:type="dxa"/>
          <w:right w:w="0" w:type="dxa"/>
        </w:tblCellMar>
      </w:tblPr>
      <w:tr>
        <w:trPr>
          <w:trHeight w:val="216"/>
        </w:trPr>
        <w:tc>
          <w:tcPr>
            <w:tcW w:w="2660" w:type="dxa"/>
            <w:vAlign w:val="bottom"/>
            <w:tcBorders>
              <w:top w:val="single" w:sz="8" w:color="auto"/>
              <w:left w:val="single" w:sz="8" w:color="auto"/>
              <w:right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Metric Percentage</w:t>
            </w:r>
          </w:p>
        </w:tc>
        <w:tc>
          <w:tcPr>
            <w:tcW w:w="13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Performance Metric</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ind w:right="333"/>
              <w:spacing w:after="0"/>
              <w:rPr>
                <w:sz w:val="20"/>
                <w:szCs w:val="20"/>
                <w:color w:val="auto"/>
              </w:rPr>
            </w:pPr>
            <w:r>
              <w:rPr>
                <w:rFonts w:ascii="Arial" w:cs="Arial" w:eastAsia="Arial" w:hAnsi="Arial"/>
                <w:sz w:val="16"/>
                <w:szCs w:val="16"/>
                <w:color w:val="auto"/>
                <w:w w:val="92"/>
              </w:rPr>
              <w:t>150%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200%</w:t>
            </w:r>
          </w:p>
        </w:tc>
        <w:tc>
          <w:tcPr>
            <w:tcW w:w="0" w:type="dxa"/>
            <w:vAlign w:val="bottom"/>
          </w:tcPr>
          <w:p>
            <w:pPr>
              <w:spacing w:after="0"/>
              <w:rPr>
                <w:sz w:val="1"/>
                <w:szCs w:val="1"/>
                <w:color w:val="auto"/>
              </w:rPr>
            </w:pPr>
          </w:p>
        </w:tc>
      </w:tr>
      <w:tr>
        <w:trPr>
          <w:trHeight w:val="200"/>
        </w:trPr>
        <w:tc>
          <w:tcPr>
            <w:tcW w:w="2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2018 Global MC Cash Flow</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&lt;</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w:t>
            </w:r>
          </w:p>
        </w:tc>
        <w:tc>
          <w:tcPr>
            <w:tcW w:w="340" w:type="dxa"/>
            <w:vAlign w:val="bottom"/>
          </w:tcPr>
          <w:p>
            <w:pPr>
              <w:spacing w:after="0"/>
              <w:rPr>
                <w:sz w:val="17"/>
                <w:szCs w:val="17"/>
                <w:color w:val="auto"/>
              </w:rPr>
            </w:pPr>
          </w:p>
        </w:tc>
        <w:tc>
          <w:tcPr>
            <w:tcW w:w="1360" w:type="dxa"/>
            <w:vAlign w:val="bottom"/>
            <w:tcBorders>
              <w:right w:val="single" w:sz="8" w:color="auto"/>
            </w:tcBorders>
            <w:vMerge w:val="restart"/>
          </w:tcPr>
          <w:p>
            <w:pPr>
              <w:jc w:val="center"/>
              <w:ind w:right="313"/>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Borders>
              <w:left w:val="single" w:sz="8" w:color="auto"/>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$100.1M</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$100.1M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$166.8M</w:t>
            </w:r>
          </w:p>
        </w:tc>
        <w:tc>
          <w:tcPr>
            <w:tcW w:w="340" w:type="dxa"/>
            <w:vAlign w:val="bottom"/>
          </w:tcPr>
          <w:p>
            <w:pPr>
              <w:spacing w:after="0"/>
              <w:rPr>
                <w:sz w:val="17"/>
                <w:szCs w:val="17"/>
                <w:color w:val="auto"/>
              </w:rPr>
            </w:pPr>
          </w:p>
        </w:tc>
        <w:tc>
          <w:tcPr>
            <w:tcW w:w="1360" w:type="dxa"/>
            <w:vAlign w:val="bottom"/>
            <w:tcBorders>
              <w:right w:val="single" w:sz="8" w:color="auto"/>
            </w:tcBorders>
          </w:tcPr>
          <w:p>
            <w:pPr>
              <w:jc w:val="center"/>
              <w:ind w:right="313"/>
              <w:spacing w:after="0"/>
              <w:rPr>
                <w:sz w:val="20"/>
                <w:szCs w:val="20"/>
                <w:color w:val="auto"/>
              </w:rPr>
            </w:pPr>
            <w:r>
              <w:rPr>
                <w:rFonts w:ascii="Arial" w:cs="Arial" w:eastAsia="Arial" w:hAnsi="Arial"/>
                <w:sz w:val="16"/>
                <w:szCs w:val="16"/>
                <w:color w:val="auto"/>
                <w:w w:val="96"/>
              </w:rPr>
              <w:t>$200.2M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$233.6M</w:t>
            </w:r>
          </w:p>
        </w:tc>
        <w:tc>
          <w:tcPr>
            <w:tcW w:w="0" w:type="dxa"/>
            <w:vAlign w:val="bottom"/>
          </w:tcPr>
          <w:p>
            <w:pPr>
              <w:spacing w:after="0"/>
              <w:rPr>
                <w:sz w:val="1"/>
                <w:szCs w:val="1"/>
                <w:color w:val="auto"/>
              </w:rPr>
            </w:pPr>
          </w:p>
        </w:tc>
      </w:tr>
      <w:tr>
        <w:trPr>
          <w:trHeight w:val="411"/>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180" w:right="220"/>
        <w:spacing w:after="0" w:line="272" w:lineRule="auto"/>
        <w:rPr>
          <w:sz w:val="20"/>
          <w:szCs w:val="20"/>
          <w:color w:val="auto"/>
        </w:rPr>
      </w:pPr>
      <w:r>
        <w:rPr>
          <w:rFonts w:ascii="Arial" w:cs="Arial" w:eastAsia="Arial" w:hAnsi="Arial"/>
          <w:sz w:val="19"/>
          <w:szCs w:val="19"/>
          <w:b w:val="1"/>
          <w:bCs w:val="1"/>
          <w:color w:val="auto"/>
        </w:rPr>
        <w:t xml:space="preserve">“2018 Adjusted Global AEC EBITDA excluding R&amp;D” </w:t>
      </w:r>
      <w:r>
        <w:rPr>
          <w:rFonts w:ascii="Arial" w:cs="Arial" w:eastAsia="Arial" w:hAnsi="Arial"/>
          <w:sz w:val="19"/>
          <w:szCs w:val="19"/>
          <w:color w:val="auto"/>
        </w:rPr>
        <w:t>shall be equal to the amount reported as “Net Income”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Albany Engineered Composites business segment as reported in the Company’s 2018 Consolidated Statement of Income, exclusive of research and development costs and any amount recorded for the non-controlling interest in Albany Safran Composites (ASC), less any income, or plus any expense, derived from the revaluation of non-functional currency assets and liabilities, adjusted according to the Adjustments as the same may be applied to such business segment, and further adjusted to exclude the effect on income of any fixed asset-write-offs related to continued and discontinued programs within the AEC business segment (including ASC), any write-offs of previously capitalized costs related to non-recurring engineering and tooling for continued and discontinued programs, and adding back any expense related to machinery and equipment relocations, or other capital expenditures associated with plant closings or consolidation of manufacturing capacity, plus adding back charges related to any write-offs of previously capitalized costs or charges for recognized future losses, as related to the long term agreement for the supply of parts for the Rolls Royce BR725 engine, and to exclude the cost any any charges required by revenue Recognition Standard ASC 606 to recognize future losses relating to any new long-term contracts awarded during the Performance Period. For the purposes of determining the Metric Percentage achieved, the following goals are established:</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0" w:type="dxa"/>
            <w:vAlign w:val="bottom"/>
            <w:tcBorders>
              <w:top w:val="single" w:sz="8" w:color="auto"/>
              <w:left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2"/>
          </w:tcPr>
          <w:p>
            <w:pPr>
              <w:ind w:left="780"/>
              <w:spacing w:after="0"/>
              <w:rPr>
                <w:sz w:val="20"/>
                <w:szCs w:val="20"/>
                <w:color w:val="auto"/>
              </w:rPr>
            </w:pPr>
            <w:r>
              <w:rPr>
                <w:rFonts w:ascii="Arial" w:cs="Arial" w:eastAsia="Arial" w:hAnsi="Arial"/>
                <w:sz w:val="16"/>
                <w:szCs w:val="16"/>
                <w:b w:val="1"/>
                <w:bCs w:val="1"/>
                <w:color w:val="auto"/>
              </w:rPr>
              <w:t>Metric Percentage</w:t>
            </w:r>
          </w:p>
        </w:tc>
        <w:tc>
          <w:tcPr>
            <w:tcW w:w="1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30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Performance Metric</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c>
          <w:tcPr>
            <w:tcW w:w="1700" w:type="dxa"/>
            <w:vAlign w:val="bottom"/>
            <w:tcBorders>
              <w:bottom w:val="single" w:sz="8" w:color="auto"/>
              <w:right w:val="single" w:sz="8" w:color="auto"/>
            </w:tcBorders>
          </w:tcPr>
          <w:p>
            <w:pPr>
              <w:jc w:val="right"/>
              <w:ind w:right="659"/>
              <w:spacing w:after="0"/>
              <w:rPr>
                <w:sz w:val="20"/>
                <w:szCs w:val="20"/>
                <w:color w:val="auto"/>
              </w:rPr>
            </w:pPr>
            <w:r>
              <w:rPr>
                <w:rFonts w:ascii="Arial" w:cs="Arial" w:eastAsia="Arial" w:hAnsi="Arial"/>
                <w:sz w:val="16"/>
                <w:szCs w:val="16"/>
                <w:color w:val="auto"/>
              </w:rPr>
              <w:t>50%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ind w:right="373"/>
              <w:spacing w:after="0"/>
              <w:rPr>
                <w:sz w:val="20"/>
                <w:szCs w:val="20"/>
                <w:color w:val="auto"/>
              </w:rPr>
            </w:pPr>
            <w:r>
              <w:rPr>
                <w:rFonts w:ascii="Arial" w:cs="Arial" w:eastAsia="Arial" w:hAnsi="Arial"/>
                <w:sz w:val="16"/>
                <w:szCs w:val="16"/>
                <w:color w:val="auto"/>
                <w:w w:val="92"/>
              </w:rPr>
              <w:t>150%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200%</w:t>
            </w:r>
          </w:p>
        </w:tc>
      </w:tr>
      <w:tr>
        <w:trPr>
          <w:trHeight w:val="186"/>
        </w:trPr>
        <w:tc>
          <w:tcPr>
            <w:tcW w:w="30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2018 Adjusted Global AEC EBITDA</w:t>
            </w:r>
          </w:p>
        </w:tc>
        <w:tc>
          <w:tcPr>
            <w:tcW w:w="16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20"/>
                <w:szCs w:val="20"/>
                <w:color w:val="auto"/>
              </w:rPr>
              <w:t>&lt;</w:t>
            </w:r>
          </w:p>
        </w:tc>
        <w:tc>
          <w:tcPr>
            <w:tcW w:w="17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6"/>
                <w:szCs w:val="16"/>
                <w:color w:val="auto"/>
              </w:rPr>
            </w:pPr>
          </w:p>
        </w:tc>
        <w:tc>
          <w:tcPr>
            <w:tcW w:w="1320" w:type="dxa"/>
            <w:vAlign w:val="bottom"/>
            <w:tcBorders>
              <w:right w:val="single" w:sz="8" w:color="auto"/>
            </w:tcBorders>
          </w:tcPr>
          <w:p>
            <w:pPr>
              <w:jc w:val="center"/>
              <w:ind w:right="373"/>
              <w:spacing w:after="0" w:line="186" w:lineRule="exact"/>
              <w:rPr>
                <w:sz w:val="20"/>
                <w:szCs w:val="20"/>
                <w:color w:val="auto"/>
              </w:rPr>
            </w:pPr>
            <w:r>
              <w:rPr>
                <w:rFonts w:ascii="Arial" w:cs="Arial" w:eastAsia="Arial" w:hAnsi="Arial"/>
                <w:sz w:val="20"/>
                <w:szCs w:val="20"/>
                <w:color w:val="auto"/>
                <w:w w:val="90"/>
              </w:rPr>
              <w:t>≥</w:t>
            </w:r>
          </w:p>
        </w:tc>
        <w:tc>
          <w:tcPr>
            <w:tcW w:w="15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20"/>
                <w:szCs w:val="20"/>
                <w:color w:val="auto"/>
                <w:w w:val="90"/>
              </w:rPr>
              <w:t>≥</w:t>
            </w:r>
          </w:p>
        </w:tc>
      </w:tr>
      <w:tr>
        <w:trPr>
          <w:trHeight w:val="247"/>
        </w:trPr>
        <w:tc>
          <w:tcPr>
            <w:tcW w:w="30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excluding R&amp;D</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$40.8M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$40.8M</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$68.0M</w:t>
            </w:r>
          </w:p>
        </w:tc>
        <w:tc>
          <w:tcPr>
            <w:tcW w:w="380" w:type="dxa"/>
            <w:vAlign w:val="bottom"/>
          </w:tcPr>
          <w:p>
            <w:pPr>
              <w:spacing w:after="0"/>
              <w:rPr>
                <w:sz w:val="21"/>
                <w:szCs w:val="21"/>
                <w:color w:val="auto"/>
              </w:rPr>
            </w:pPr>
          </w:p>
        </w:tc>
        <w:tc>
          <w:tcPr>
            <w:tcW w:w="1320" w:type="dxa"/>
            <w:vAlign w:val="bottom"/>
            <w:tcBorders>
              <w:right w:val="single" w:sz="8" w:color="auto"/>
            </w:tcBorders>
          </w:tcPr>
          <w:p>
            <w:pPr>
              <w:jc w:val="center"/>
              <w:ind w:right="373"/>
              <w:spacing w:after="0"/>
              <w:rPr>
                <w:sz w:val="20"/>
                <w:szCs w:val="20"/>
                <w:color w:val="auto"/>
              </w:rPr>
            </w:pPr>
            <w:r>
              <w:rPr>
                <w:rFonts w:ascii="Arial" w:cs="Arial" w:eastAsia="Arial" w:hAnsi="Arial"/>
                <w:sz w:val="16"/>
                <w:szCs w:val="16"/>
                <w:color w:val="auto"/>
                <w:w w:val="93"/>
              </w:rPr>
              <w:t>$81.6M</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$95.2M</w:t>
            </w:r>
          </w:p>
        </w:tc>
      </w:tr>
      <w:tr>
        <w:trPr>
          <w:trHeight w:val="398"/>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59" w:lineRule="exact"/>
        <w:rPr>
          <w:sz w:val="20"/>
          <w:szCs w:val="20"/>
          <w:color w:val="auto"/>
        </w:rPr>
      </w:pPr>
    </w:p>
    <w:p>
      <w:pPr>
        <w:ind w:left="180" w:right="28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2018 Other Cash Flow</w:t>
      </w:r>
      <w:r>
        <w:rPr>
          <w:rFonts w:ascii="Arial" w:cs="Arial" w:eastAsia="Arial" w:hAnsi="Arial"/>
          <w:sz w:val="22"/>
          <w:szCs w:val="22"/>
          <w:color w:val="auto"/>
        </w:rPr>
        <w:t>” shall be equal to that portion of “Net Income” for 2018 as reported in the Company’s Consolidated Statement of Income for 2018, which is in the aggregate attributable to the Global Information Systems (GIS) and Corporate cost centers and items reported as other income/expense, net, less any income, or plus any expense, derived from the revaluation of non-functional currency assets and liabilities, adjusted according to the Adjustments as the same may be applied to such cost centers, less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then further adjusting the resulting amount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22" w:right="239" w:bottom="1440" w:gutter="0" w:footer="0" w:header="0"/>
        </w:sectPr>
      </w:pPr>
    </w:p>
    <w:bookmarkStart w:id="129" w:name="page130"/>
    <w:bookmarkEnd w:id="129"/>
    <w:p>
      <w:pPr>
        <w:ind w:left="180" w:right="240" w:hanging="10"/>
        <w:spacing w:after="0" w:line="287" w:lineRule="auto"/>
        <w:tabs>
          <w:tab w:leader="none" w:pos="534" w:val="left"/>
        </w:tabs>
        <w:numPr>
          <w:ilvl w:val="0"/>
          <w:numId w:val="79"/>
        </w:numPr>
        <w:rPr>
          <w:rFonts w:ascii="Arial" w:cs="Arial" w:eastAsia="Arial" w:hAnsi="Arial"/>
          <w:sz w:val="19"/>
          <w:szCs w:val="19"/>
          <w:color w:val="auto"/>
        </w:rPr>
      </w:pPr>
      <w:r>
        <w:rPr>
          <w:rFonts w:ascii="Arial" w:cs="Arial" w:eastAsia="Arial" w:hAnsi="Arial"/>
          <w:sz w:val="19"/>
          <w:szCs w:val="19"/>
          <w:color w:val="auto"/>
        </w:rPr>
        <w:t>deducting therefrom the aggregate sum of any GIS or Corporate approved capital expenditures released during 2018, plus any over-budget capital expenditures costs or less any under budget capital expenditure costs budgeted regardless of the year in which released, adjusted to exclude any capital expenditures released during 2018 and any over or under budget capital expenditure costs that are attributable to any business operations acquired during the applicable year.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For the purposes of determining the Metric Percentage achieved, the following goals are established:</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0" w:type="dxa"/>
            <w:vAlign w:val="bottom"/>
            <w:tcBorders>
              <w:top w:val="single" w:sz="8" w:color="auto"/>
              <w:left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Metric Percentage</w:t>
            </w:r>
          </w:p>
        </w:tc>
        <w:tc>
          <w:tcPr>
            <w:tcW w:w="132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Performance Metrics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100%</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ind w:right="373"/>
              <w:spacing w:after="0"/>
              <w:rPr>
                <w:sz w:val="20"/>
                <w:szCs w:val="20"/>
                <w:color w:val="auto"/>
              </w:rPr>
            </w:pPr>
            <w:r>
              <w:rPr>
                <w:rFonts w:ascii="Arial" w:cs="Arial" w:eastAsia="Arial" w:hAnsi="Arial"/>
                <w:sz w:val="16"/>
                <w:szCs w:val="16"/>
                <w:color w:val="auto"/>
                <w:w w:val="92"/>
              </w:rPr>
              <w:t>150%</w:t>
            </w:r>
          </w:p>
        </w:tc>
        <w:tc>
          <w:tcPr>
            <w:tcW w:w="1920" w:type="dxa"/>
            <w:vAlign w:val="bottom"/>
            <w:tcBorders>
              <w:bottom w:val="single" w:sz="8" w:color="auto"/>
              <w:right w:val="single" w:sz="8" w:color="auto"/>
            </w:tcBorders>
          </w:tcPr>
          <w:p>
            <w:pPr>
              <w:jc w:val="right"/>
              <w:ind w:right="713"/>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0"/>
        </w:trPr>
        <w:tc>
          <w:tcPr>
            <w:tcW w:w="30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2018 Other Cash Flow</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&lt;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320" w:type="dxa"/>
            <w:vAlign w:val="bottom"/>
            <w:tcBorders>
              <w:right w:val="single" w:sz="8" w:color="auto"/>
            </w:tcBorders>
            <w:vMerge w:val="restart"/>
          </w:tcPr>
          <w:p>
            <w:pPr>
              <w:jc w:val="center"/>
              <w:ind w:right="373"/>
              <w:spacing w:after="0"/>
              <w:rPr>
                <w:sz w:val="20"/>
                <w:szCs w:val="20"/>
                <w:color w:val="auto"/>
              </w:rPr>
            </w:pPr>
            <w:r>
              <w:rPr>
                <w:rFonts w:ascii="Arial" w:cs="Arial" w:eastAsia="Arial" w:hAnsi="Arial"/>
                <w:sz w:val="20"/>
                <w:szCs w:val="20"/>
                <w:color w:val="auto"/>
                <w:w w:val="90"/>
              </w:rPr>
              <w:t>≥</w:t>
            </w:r>
          </w:p>
        </w:tc>
        <w:tc>
          <w:tcPr>
            <w:tcW w:w="1920" w:type="dxa"/>
            <w:vAlign w:val="bottom"/>
            <w:tcBorders>
              <w:right w:val="single" w:sz="8" w:color="auto"/>
            </w:tcBorders>
            <w:vMerge w:val="restart"/>
          </w:tcPr>
          <w:p>
            <w:pPr>
              <w:jc w:val="right"/>
              <w:ind w:right="85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vMerge w:val="continue"/>
          </w:tcPr>
          <w:p>
            <w:pPr>
              <w:spacing w:after="0"/>
              <w:rPr>
                <w:sz w:val="18"/>
                <w:szCs w:val="18"/>
                <w:color w:val="auto"/>
              </w:rPr>
            </w:pPr>
          </w:p>
        </w:tc>
        <w:tc>
          <w:tcPr>
            <w:tcW w:w="1600" w:type="dxa"/>
            <w:vAlign w:val="bottom"/>
            <w:tcBorders>
              <w:right w:val="single" w:sz="8" w:color="auto"/>
            </w:tcBorders>
            <w:vMerge w:val="continue"/>
          </w:tcPr>
          <w:p>
            <w:pPr>
              <w:spacing w:after="0"/>
              <w:rPr>
                <w:sz w:val="18"/>
                <w:szCs w:val="18"/>
                <w:color w:val="auto"/>
              </w:rPr>
            </w:pPr>
          </w:p>
        </w:tc>
        <w:tc>
          <w:tcPr>
            <w:tcW w:w="1600" w:type="dxa"/>
            <w:vAlign w:val="bottom"/>
            <w:tcBorders>
              <w:righ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-$68.1M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-$68.1M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-$52.4M</w:t>
            </w:r>
          </w:p>
        </w:tc>
        <w:tc>
          <w:tcPr>
            <w:tcW w:w="380" w:type="dxa"/>
            <w:vAlign w:val="bottom"/>
          </w:tcPr>
          <w:p>
            <w:pPr>
              <w:spacing w:after="0"/>
              <w:rPr>
                <w:sz w:val="17"/>
                <w:szCs w:val="17"/>
                <w:color w:val="auto"/>
              </w:rPr>
            </w:pPr>
          </w:p>
        </w:tc>
        <w:tc>
          <w:tcPr>
            <w:tcW w:w="1320" w:type="dxa"/>
            <w:vAlign w:val="bottom"/>
            <w:tcBorders>
              <w:right w:val="single" w:sz="8" w:color="auto"/>
            </w:tcBorders>
          </w:tcPr>
          <w:p>
            <w:pPr>
              <w:jc w:val="center"/>
              <w:ind w:right="393"/>
              <w:spacing w:after="0"/>
              <w:rPr>
                <w:sz w:val="20"/>
                <w:szCs w:val="20"/>
                <w:color w:val="auto"/>
              </w:rPr>
            </w:pPr>
            <w:r>
              <w:rPr>
                <w:rFonts w:ascii="Arial" w:cs="Arial" w:eastAsia="Arial" w:hAnsi="Arial"/>
                <w:sz w:val="16"/>
                <w:szCs w:val="16"/>
                <w:color w:val="auto"/>
                <w:w w:val="95"/>
              </w:rPr>
              <w:t>-$41.9M</w:t>
            </w:r>
          </w:p>
        </w:tc>
        <w:tc>
          <w:tcPr>
            <w:tcW w:w="1920" w:type="dxa"/>
            <w:vAlign w:val="bottom"/>
            <w:tcBorders>
              <w:right w:val="single" w:sz="8" w:color="auto"/>
            </w:tcBorders>
          </w:tcPr>
          <w:p>
            <w:pPr>
              <w:jc w:val="right"/>
              <w:ind w:right="693"/>
              <w:spacing w:after="0"/>
              <w:rPr>
                <w:sz w:val="20"/>
                <w:szCs w:val="20"/>
                <w:color w:val="auto"/>
              </w:rPr>
            </w:pPr>
            <w:r>
              <w:rPr>
                <w:rFonts w:ascii="Arial" w:cs="Arial" w:eastAsia="Arial" w:hAnsi="Arial"/>
                <w:sz w:val="16"/>
                <w:szCs w:val="16"/>
                <w:color w:val="auto"/>
              </w:rPr>
              <w:t>-$31.4M</w:t>
            </w:r>
          </w:p>
        </w:tc>
        <w:tc>
          <w:tcPr>
            <w:tcW w:w="0" w:type="dxa"/>
            <w:vAlign w:val="bottom"/>
          </w:tcPr>
          <w:p>
            <w:pPr>
              <w:spacing w:after="0"/>
              <w:rPr>
                <w:sz w:val="1"/>
                <w:szCs w:val="1"/>
                <w:color w:val="auto"/>
              </w:rPr>
            </w:pPr>
          </w:p>
        </w:tc>
      </w:tr>
      <w:tr>
        <w:trPr>
          <w:trHeight w:val="411"/>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right="220"/>
        <w:spacing w:after="0" w:line="249" w:lineRule="auto"/>
        <w:rPr>
          <w:sz w:val="20"/>
          <w:szCs w:val="20"/>
          <w:color w:val="auto"/>
        </w:rPr>
      </w:pPr>
      <w:r>
        <w:rPr>
          <w:rFonts w:ascii="Arial" w:cs="Arial" w:eastAsia="Arial" w:hAnsi="Arial"/>
          <w:sz w:val="21"/>
          <w:szCs w:val="21"/>
          <w:color w:val="auto"/>
        </w:rPr>
        <w:t>The foregoing measurement goals shall be reduced, as necessary, to reflect any impact on sales and/or income as the result of any discontinued operations during 2018. The amount of the reduction shall be the amount of cash flow or net sales otherwise attributable to such business in the 2018 Operating Plan approved by the Company’s Board of Directors, pro-rated to reflect the timing of such divestiture. For performance between the data points indicated, the Metric Percentage shall be the interpolated value based on the next higher and lower data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i w:val="1"/>
          <w:iCs w:val="1"/>
          <w:color w:val="auto"/>
        </w:rPr>
        <w:t>Exhibit 10(n)(iv)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 ON BONUS AGREEMENT</w:t>
      </w:r>
    </w:p>
    <w:p>
      <w:pPr>
        <w:spacing w:after="0" w:line="200" w:lineRule="exact"/>
        <w:rPr>
          <w:sz w:val="20"/>
          <w:szCs w:val="20"/>
          <w:color w:val="auto"/>
        </w:rPr>
      </w:pPr>
    </w:p>
    <w:p>
      <w:pPr>
        <w:spacing w:after="0" w:line="26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THIS AGREEMENT is dated as of November 4, 2019, by and between Albany International Corp., a Delaware corporation having an office and principal place of business at 216 Airport Drive, Rochester, New Hampshire, (hereinafter referred to as “Albany”) and Greg Harwell (hereinafter referred to as “Employee”).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Albany has made an offer to hire Employee into a key position, critical to Albany’s business endeavors, to wit: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President, Albany Engineered Composites; and</w:t>
      </w:r>
    </w:p>
    <w:p>
      <w:pPr>
        <w:ind w:right="800" w:firstLine="648"/>
        <w:spacing w:after="0" w:line="237" w:lineRule="auto"/>
        <w:rPr>
          <w:sz w:val="20"/>
          <w:szCs w:val="20"/>
          <w:color w:val="auto"/>
        </w:rPr>
      </w:pPr>
      <w:r>
        <w:rPr>
          <w:rFonts w:ascii="Arial" w:cs="Arial" w:eastAsia="Arial" w:hAnsi="Arial"/>
          <w:sz w:val="22"/>
          <w:szCs w:val="22"/>
          <w:color w:val="auto"/>
        </w:rPr>
        <w:t>WHEREAS, Albany is willing to pay Employee a one-time sign on bonus to induce Employee to accept its offer of employment, subject to the terms set forth herein;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Employee is willing to accept the offer of employment;</w:t>
      </w:r>
    </w:p>
    <w:p>
      <w:pPr>
        <w:spacing w:after="0" w:line="206" w:lineRule="exact"/>
        <w:rPr>
          <w:sz w:val="20"/>
          <w:szCs w:val="20"/>
          <w:color w:val="auto"/>
        </w:rPr>
      </w:pPr>
    </w:p>
    <w:p>
      <w:pPr>
        <w:ind w:right="680" w:firstLine="648"/>
        <w:spacing w:after="0" w:line="251" w:lineRule="auto"/>
        <w:rPr>
          <w:sz w:val="20"/>
          <w:szCs w:val="20"/>
          <w:color w:val="auto"/>
        </w:rPr>
      </w:pPr>
      <w:r>
        <w:rPr>
          <w:rFonts w:ascii="Arial" w:cs="Arial" w:eastAsia="Arial" w:hAnsi="Arial"/>
          <w:sz w:val="22"/>
          <w:szCs w:val="22"/>
          <w:color w:val="auto"/>
        </w:rPr>
        <w:t>WHEREAS, Employee and Albany each believe that it is in their best interests to provide Employee with the certain protections as set forth herein.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foregoing premises, the covenants and promises set forth herein, and other good and valuable consideration, the receipt and sufficiency of which is hereby acknowledged, Albany and Employee hereby agree as follows:</w:t>
      </w:r>
    </w:p>
    <w:p>
      <w:pPr>
        <w:spacing w:after="0" w:line="200" w:lineRule="exact"/>
        <w:rPr>
          <w:sz w:val="20"/>
          <w:szCs w:val="20"/>
          <w:color w:val="auto"/>
        </w:rPr>
      </w:pPr>
    </w:p>
    <w:p>
      <w:pPr>
        <w:spacing w:after="0" w:line="257" w:lineRule="exact"/>
        <w:rPr>
          <w:sz w:val="20"/>
          <w:szCs w:val="20"/>
          <w:color w:val="auto"/>
        </w:rPr>
      </w:pPr>
    </w:p>
    <w:p>
      <w:pPr>
        <w:ind w:right="320" w:firstLine="656"/>
        <w:spacing w:after="0"/>
        <w:tabs>
          <w:tab w:leader="none" w:pos="1189"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 Employee agrees to accept Albany’s offer and become employed by Albany as an at-will employee performing, in good faith and to the best of his abilities, the duties of his position or such other duties that as are assigned to him from time to time.</w:t>
      </w:r>
    </w:p>
    <w:p>
      <w:pPr>
        <w:spacing w:after="0" w:line="186" w:lineRule="exact"/>
        <w:rPr>
          <w:rFonts w:ascii="Arial" w:cs="Arial" w:eastAsia="Arial" w:hAnsi="Arial"/>
          <w:sz w:val="22"/>
          <w:szCs w:val="22"/>
          <w:color w:val="auto"/>
        </w:rPr>
      </w:pPr>
    </w:p>
    <w:p>
      <w:pPr>
        <w:jc w:val="both"/>
        <w:ind w:right="200" w:firstLine="656"/>
        <w:spacing w:after="0"/>
        <w:tabs>
          <w:tab w:leader="none" w:pos="1189"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Bonus</w:t>
      </w:r>
      <w:r>
        <w:rPr>
          <w:rFonts w:ascii="Arial" w:cs="Arial" w:eastAsia="Arial" w:hAnsi="Arial"/>
          <w:sz w:val="22"/>
          <w:szCs w:val="22"/>
          <w:color w:val="auto"/>
        </w:rPr>
        <w:t>. In order to induce Employee to accept its offer of employment and to encourage him to remain so employed through at least November 4, 2020, Albany agrees to pay Employee a one-time sign-on bonus in the manner, and according to the terms, set forth herein.</w:t>
      </w:r>
    </w:p>
    <w:p>
      <w:pPr>
        <w:spacing w:after="0" w:line="186" w:lineRule="exact"/>
        <w:rPr>
          <w:rFonts w:ascii="Arial" w:cs="Arial" w:eastAsia="Arial" w:hAnsi="Arial"/>
          <w:sz w:val="22"/>
          <w:szCs w:val="22"/>
          <w:color w:val="auto"/>
        </w:rPr>
      </w:pPr>
    </w:p>
    <w:p>
      <w:pPr>
        <w:ind w:right="160" w:firstLine="656"/>
        <w:spacing w:after="0" w:line="297" w:lineRule="auto"/>
        <w:tabs>
          <w:tab w:leader="none" w:pos="1189"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Amount and Timing of Bonus.</w:t>
      </w:r>
      <w:r>
        <w:rPr>
          <w:rFonts w:ascii="Arial" w:cs="Arial" w:eastAsia="Arial" w:hAnsi="Arial"/>
          <w:sz w:val="19"/>
          <w:szCs w:val="19"/>
          <w:color w:val="auto"/>
        </w:rPr>
        <w:t xml:space="preserve"> Subject to the provisions of Paragraphs 4 below, Albany agrees to pay to Employee a one-time sign-on bonus in the gross sum of $100,000 (the “Bonus”) as soon as practical after the execution of this agreement and commencement of employment, but no later than December 15, 2019. The Bonus shall be settled in cash, and paid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color w:val="auto"/>
        </w:rPr>
        <w:t>by check or direct deposit, less applicable withholdings and deductions required by law, or otherwise agreed to by the parties.</w:t>
      </w:r>
    </w:p>
    <w:p>
      <w:pPr>
        <w:spacing w:after="0" w:line="13" w:lineRule="exact"/>
        <w:rPr>
          <w:sz w:val="20"/>
          <w:szCs w:val="20"/>
          <w:color w:val="auto"/>
        </w:rPr>
      </w:pPr>
    </w:p>
    <w:p>
      <w:pPr>
        <w:ind w:right="180" w:firstLine="656"/>
        <w:spacing w:after="0" w:line="280" w:lineRule="auto"/>
        <w:tabs>
          <w:tab w:leader="none" w:pos="1189"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Retention Period and Reimbursement</w:t>
      </w:r>
      <w:r>
        <w:rPr>
          <w:rFonts w:ascii="Arial" w:cs="Arial" w:eastAsia="Arial" w:hAnsi="Arial"/>
          <w:sz w:val="19"/>
          <w:szCs w:val="19"/>
          <w:color w:val="auto"/>
        </w:rPr>
        <w:t>. Employee agrees that in the event he shall voluntarily terminate his employment with Albany before the expiration of a period of approximately 12 months ending November 4, 2019 (the “Retention Period”) he shall reimburse Albany the full amount of the Bonus. The amount to be reimbursed by Employee, if any, shall be considered damages owed by Employee to Albany for his failure to honor his obligations, and not repayment of wages.</w:t>
      </w:r>
    </w:p>
    <w:p>
      <w:pPr>
        <w:spacing w:after="0" w:line="150" w:lineRule="exact"/>
        <w:rPr>
          <w:rFonts w:ascii="Arial" w:cs="Arial" w:eastAsia="Arial" w:hAnsi="Arial"/>
          <w:sz w:val="19"/>
          <w:szCs w:val="19"/>
          <w:color w:val="auto"/>
        </w:rPr>
      </w:pPr>
    </w:p>
    <w:p>
      <w:pPr>
        <w:ind w:right="80" w:firstLine="656"/>
        <w:spacing w:after="0" w:line="251" w:lineRule="auto"/>
        <w:tabs>
          <w:tab w:leader="none" w:pos="1189"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Employment At-Will</w:t>
      </w:r>
      <w:r>
        <w:rPr>
          <w:rFonts w:ascii="Arial" w:cs="Arial" w:eastAsia="Arial" w:hAnsi="Arial"/>
          <w:sz w:val="22"/>
          <w:szCs w:val="22"/>
          <w:color w:val="auto"/>
        </w:rPr>
        <w:t>. Nothing herein shall alter the at-will nature of Employee’s employment with Albany and either party may terminate such relationship at any time, with or without Cause.</w:t>
      </w:r>
    </w:p>
    <w:p>
      <w:pPr>
        <w:spacing w:after="0" w:line="173" w:lineRule="exact"/>
        <w:rPr>
          <w:rFonts w:ascii="Arial" w:cs="Arial" w:eastAsia="Arial" w:hAnsi="Arial"/>
          <w:sz w:val="22"/>
          <w:szCs w:val="22"/>
          <w:color w:val="auto"/>
        </w:rPr>
      </w:pPr>
    </w:p>
    <w:p>
      <w:pPr>
        <w:jc w:val="both"/>
        <w:ind w:firstLine="656"/>
        <w:spacing w:after="0" w:line="252" w:lineRule="auto"/>
        <w:tabs>
          <w:tab w:leader="none" w:pos="1364"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Authority to Withhold Compensation</w:t>
      </w:r>
      <w:r>
        <w:rPr>
          <w:rFonts w:ascii="Arial" w:cs="Arial" w:eastAsia="Arial" w:hAnsi="Arial"/>
          <w:sz w:val="21"/>
          <w:szCs w:val="21"/>
          <w:color w:val="auto"/>
        </w:rPr>
        <w:t>. In the event Employee is obligated to reimburse Albany for the Bonus in accordance with paragraph 4 above, Employee agrees to remit such payment within 30 days of termination. Employee further authorizes Albany, to the extent permitted by law, to withhold from his last payment of wages (or any other amounts that Albany may owe Employee) any portion of the obligations owed by Employee pursuant to paragraph 4.</w:t>
      </w:r>
    </w:p>
    <w:p>
      <w:pPr>
        <w:spacing w:after="0" w:line="201" w:lineRule="exact"/>
        <w:rPr>
          <w:rFonts w:ascii="Arial" w:cs="Arial" w:eastAsia="Arial" w:hAnsi="Arial"/>
          <w:sz w:val="21"/>
          <w:szCs w:val="21"/>
          <w:color w:val="auto"/>
        </w:rPr>
      </w:pPr>
    </w:p>
    <w:p>
      <w:pPr>
        <w:ind w:right="100" w:firstLine="656"/>
        <w:spacing w:after="0" w:line="236" w:lineRule="auto"/>
        <w:tabs>
          <w:tab w:leader="none" w:pos="1189"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Employee and Albany understand and agree that (a) the existence and terms of this agreement are strictly confidential; (b) they will not disclose the terms of this agreement to any third party, unless requested to do so by any state, federal or local regulatory, prosecutorial or administrative agency or body of competent jurisdiction, or court of competent jurisdiction. However, nothing herein shall preclude Employee from discussing the contents hereof with his family, accountant, tax adviser or legal advisor.</w:t>
      </w:r>
    </w:p>
    <w:p>
      <w:pPr>
        <w:spacing w:after="0" w:line="214" w:lineRule="exact"/>
        <w:rPr>
          <w:rFonts w:ascii="Arial" w:cs="Arial" w:eastAsia="Arial" w:hAnsi="Arial"/>
          <w:sz w:val="22"/>
          <w:szCs w:val="22"/>
          <w:color w:val="auto"/>
        </w:rPr>
      </w:pPr>
    </w:p>
    <w:p>
      <w:pPr>
        <w:ind w:right="20" w:firstLine="656"/>
        <w:spacing w:after="0" w:line="273" w:lineRule="auto"/>
        <w:tabs>
          <w:tab w:leader="none" w:pos="1243"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Entire Agreement; Extent and Applicability</w:t>
      </w:r>
      <w:r>
        <w:rPr>
          <w:rFonts w:ascii="Arial" w:cs="Arial" w:eastAsia="Arial" w:hAnsi="Arial"/>
          <w:sz w:val="19"/>
          <w:szCs w:val="19"/>
          <w:color w:val="auto"/>
        </w:rPr>
        <w:t>. This Agreement constitutes the entire agreement between the parties regarding the subject matter hereof and supersedes all prior agreements and understandings, whether written or oral. Nothing herein is intended to govern or determine, or shall be construed as governing or determining, (1) the period of Employee’s employment,</w:t>
      </w:r>
    </w:p>
    <w:p>
      <w:pPr>
        <w:spacing w:after="0" w:line="1" w:lineRule="exact"/>
        <w:rPr>
          <w:rFonts w:ascii="Arial" w:cs="Arial" w:eastAsia="Arial" w:hAnsi="Arial"/>
          <w:sz w:val="19"/>
          <w:szCs w:val="19"/>
          <w:color w:val="auto"/>
        </w:rPr>
      </w:pPr>
    </w:p>
    <w:p>
      <w:pPr>
        <w:ind w:right="460" w:firstLine="8"/>
        <w:spacing w:after="0" w:line="234" w:lineRule="auto"/>
        <w:tabs>
          <w:tab w:leader="none" w:pos="306"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rights of Employee, Albany, or its successors, to terminate such employment, or (3) any terms or conditions of such employment. This Agreement shall not be construed as giving Employee any legal or equitable right not otherwise specifically provided for herein.</w:t>
      </w:r>
    </w:p>
    <w:p>
      <w:pPr>
        <w:spacing w:after="0" w:line="79" w:lineRule="exact"/>
        <w:rPr>
          <w:rFonts w:ascii="Arial" w:cs="Arial" w:eastAsia="Arial" w:hAnsi="Arial"/>
          <w:sz w:val="22"/>
          <w:szCs w:val="22"/>
          <w:color w:val="auto"/>
        </w:rPr>
      </w:pPr>
    </w:p>
    <w:p>
      <w:pPr>
        <w:ind w:right="60" w:firstLine="656"/>
        <w:spacing w:after="0" w:line="251" w:lineRule="auto"/>
        <w:tabs>
          <w:tab w:leader="none" w:pos="1189"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regard to any provisions thereof relating to conflict of laws.</w:t>
      </w:r>
    </w:p>
    <w:p>
      <w:pPr>
        <w:spacing w:after="0" w:line="65" w:lineRule="exact"/>
        <w:rPr>
          <w:rFonts w:ascii="Arial" w:cs="Arial" w:eastAsia="Arial" w:hAnsi="Arial"/>
          <w:sz w:val="22"/>
          <w:szCs w:val="22"/>
          <w:color w:val="auto"/>
        </w:rPr>
      </w:pPr>
    </w:p>
    <w:p>
      <w:pPr>
        <w:ind w:right="560" w:firstLine="656"/>
        <w:spacing w:after="0" w:line="251" w:lineRule="auto"/>
        <w:tabs>
          <w:tab w:leader="none" w:pos="1189"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executed by both the Albany and the Employee.</w:t>
      </w:r>
    </w:p>
    <w:p>
      <w:pPr>
        <w:spacing w:after="0" w:line="65" w:lineRule="exact"/>
        <w:rPr>
          <w:rFonts w:ascii="Arial" w:cs="Arial" w:eastAsia="Arial" w:hAnsi="Arial"/>
          <w:sz w:val="22"/>
          <w:szCs w:val="22"/>
          <w:color w:val="auto"/>
        </w:rPr>
      </w:pPr>
    </w:p>
    <w:p>
      <w:pPr>
        <w:ind w:right="320" w:firstLine="656"/>
        <w:spacing w:after="0"/>
        <w:tabs>
          <w:tab w:leader="none" w:pos="118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both parties and their respective successors and assigns, including any corporation with which or into which the Albany may be merged or which may succeed to its assets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business, provided, however, that the obligations of the Employee are personal and shall not be assigned by him.</w:t>
      </w:r>
    </w:p>
    <w:p>
      <w:pPr>
        <w:spacing w:after="0" w:line="103" w:lineRule="exact"/>
        <w:rPr>
          <w:sz w:val="20"/>
          <w:szCs w:val="20"/>
          <w:color w:val="auto"/>
        </w:rPr>
      </w:pPr>
    </w:p>
    <w:p>
      <w:pPr>
        <w:ind w:right="200" w:firstLine="656"/>
        <w:spacing w:after="0" w:line="297" w:lineRule="auto"/>
        <w:tabs>
          <w:tab w:leader="none" w:pos="118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The parties agree that they have waived their right to a jury trial with respect to any controversy, claim, or dispute arising out of or relating to this Agreement, or the breach thereof, or arising out of or relating to the employment of the Employee, or the termination thereof, including any claims under federal, state, or local law.</w:t>
      </w:r>
    </w:p>
    <w:p>
      <w:pPr>
        <w:spacing w:after="0" w:line="269" w:lineRule="exact"/>
        <w:rPr>
          <w:sz w:val="20"/>
          <w:szCs w:val="20"/>
          <w:color w:val="auto"/>
        </w:rPr>
      </w:pPr>
    </w:p>
    <w:p>
      <w:pPr>
        <w:ind w:right="420" w:firstLine="648"/>
        <w:spacing w:after="0" w:line="251" w:lineRule="auto"/>
        <w:rPr>
          <w:sz w:val="20"/>
          <w:szCs w:val="20"/>
          <w:color w:val="auto"/>
        </w:rPr>
      </w:pPr>
      <w:r>
        <w:rPr>
          <w:rFonts w:ascii="Arial" w:cs="Arial" w:eastAsia="Arial" w:hAnsi="Arial"/>
          <w:sz w:val="22"/>
          <w:szCs w:val="22"/>
          <w:color w:val="auto"/>
        </w:rPr>
        <w:t>IN WITNESS WHEREOF, a duly authorized representative of Albany and Employee have signed this Agreement to be effective as of the day and year first set forth above.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ALBANY INTERNATIONAL CORP.</w:t>
      </w:r>
    </w:p>
    <w:p>
      <w:pPr>
        <w:spacing w:after="0" w:line="200" w:lineRule="exact"/>
        <w:rPr>
          <w:sz w:val="20"/>
          <w:szCs w:val="20"/>
          <w:color w:val="auto"/>
        </w:rPr>
      </w:pPr>
    </w:p>
    <w:p>
      <w:pPr>
        <w:spacing w:after="0" w:line="276" w:lineRule="exact"/>
        <w:rPr>
          <w:sz w:val="20"/>
          <w:szCs w:val="20"/>
          <w:color w:val="auto"/>
        </w:rPr>
      </w:pPr>
    </w:p>
    <w:p>
      <w:pPr>
        <w:spacing w:after="0"/>
        <w:tabs>
          <w:tab w:leader="none" w:pos="626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/s/Alice McCarvill</w:t>
      </w:r>
      <w:r>
        <w:rPr>
          <w:sz w:val="20"/>
          <w:szCs w:val="20"/>
          <w:color w:val="auto"/>
        </w:rPr>
        <w:tab/>
      </w:r>
      <w:r>
        <w:rPr>
          <w:rFonts w:ascii="Arial" w:cs="Arial" w:eastAsia="Arial" w:hAnsi="Arial"/>
          <w:sz w:val="19"/>
          <w:szCs w:val="19"/>
          <w:color w:val="auto"/>
        </w:rPr>
        <w:t>Dated: 12/5/2019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-8890</wp:posOffset>
            </wp:positionV>
            <wp:extent cx="17227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EMPLOYEE</w:t>
            </w:r>
          </w:p>
        </w:tc>
        <w:tc>
          <w:tcPr>
            <w:tcW w:w="5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699"/>
        </w:trPr>
        <w:tc>
          <w:tcPr>
            <w:tcW w:w="1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 Harwell</w:t>
            </w:r>
          </w:p>
        </w:tc>
        <w:tc>
          <w:tcPr>
            <w:tcW w:w="9600" w:type="dxa"/>
            <w:vAlign w:val="bottom"/>
            <w:gridSpan w:val="3"/>
          </w:tcPr>
          <w:p>
            <w:pPr>
              <w:ind w:left="4460"/>
              <w:spacing w:after="0"/>
              <w:rPr>
                <w:sz w:val="20"/>
                <w:szCs w:val="20"/>
                <w:color w:val="auto"/>
              </w:rPr>
            </w:pPr>
            <w:r>
              <w:rPr>
                <w:rFonts w:ascii="Arial" w:cs="Arial" w:eastAsia="Arial" w:hAnsi="Arial"/>
                <w:sz w:val="22"/>
                <w:szCs w:val="22"/>
                <w:color w:val="auto"/>
              </w:rPr>
              <w:t>Dated: 11/4/2019</w:t>
            </w:r>
          </w:p>
        </w:tc>
      </w:tr>
      <w:tr>
        <w:trPr>
          <w:trHeight w:val="267"/>
        </w:trPr>
        <w:tc>
          <w:tcPr>
            <w:tcW w:w="1820" w:type="dxa"/>
            <w:vAlign w:val="bottom"/>
          </w:tcPr>
          <w:p>
            <w:pPr>
              <w:spacing w:after="0"/>
              <w:rPr>
                <w:sz w:val="20"/>
                <w:szCs w:val="20"/>
                <w:color w:val="auto"/>
              </w:rPr>
            </w:pPr>
            <w:r>
              <w:rPr>
                <w:rFonts w:ascii="Arial" w:cs="Arial" w:eastAsia="Arial" w:hAnsi="Arial"/>
                <w:sz w:val="22"/>
                <w:szCs w:val="22"/>
                <w:color w:val="auto"/>
              </w:rPr>
              <w:t>Greg Harwell</w:t>
            </w:r>
          </w:p>
        </w:tc>
        <w:tc>
          <w:tcPr>
            <w:tcW w:w="5100" w:type="dxa"/>
            <w:vAlign w:val="bottom"/>
          </w:tcPr>
          <w:p>
            <w:pPr>
              <w:spacing w:after="0"/>
              <w:rPr>
                <w:sz w:val="23"/>
                <w:szCs w:val="23"/>
                <w:color w:val="auto"/>
              </w:rPr>
            </w:pPr>
          </w:p>
        </w:tc>
        <w:tc>
          <w:tcPr>
            <w:tcW w:w="2700" w:type="dxa"/>
            <w:vAlign w:val="bottom"/>
            <w:tcBorders>
              <w:top w:val="single" w:sz="8" w:color="auto"/>
            </w:tcBorders>
          </w:tcPr>
          <w:p>
            <w:pPr>
              <w:spacing w:after="0"/>
              <w:rPr>
                <w:sz w:val="23"/>
                <w:szCs w:val="23"/>
                <w:color w:val="auto"/>
              </w:rPr>
            </w:pPr>
          </w:p>
        </w:tc>
        <w:tc>
          <w:tcPr>
            <w:tcW w:w="1800" w:type="dxa"/>
            <w:vAlign w:val="bottom"/>
          </w:tcPr>
          <w:p>
            <w:pPr>
              <w:spacing w:after="0"/>
              <w:rPr>
                <w:sz w:val="23"/>
                <w:szCs w:val="23"/>
                <w:color w:val="auto"/>
              </w:rPr>
            </w:pPr>
          </w:p>
        </w:tc>
      </w:tr>
      <w:tr>
        <w:trPr>
          <w:trHeight w:val="638"/>
        </w:trPr>
        <w:tc>
          <w:tcPr>
            <w:tcW w:w="1820" w:type="dxa"/>
            <w:vAlign w:val="bottom"/>
          </w:tcPr>
          <w:p>
            <w:pPr>
              <w:spacing w:after="0"/>
              <w:rPr>
                <w:sz w:val="24"/>
                <w:szCs w:val="24"/>
                <w:color w:val="auto"/>
              </w:rPr>
            </w:pPr>
          </w:p>
        </w:tc>
        <w:tc>
          <w:tcPr>
            <w:tcW w:w="9600" w:type="dxa"/>
            <w:vAlign w:val="bottom"/>
            <w:gridSpan w:val="3"/>
          </w:tcPr>
          <w:p>
            <w:pPr>
              <w:ind w:left="3480"/>
              <w:spacing w:after="0"/>
              <w:rPr>
                <w:sz w:val="20"/>
                <w:szCs w:val="20"/>
                <w:color w:val="auto"/>
              </w:rPr>
            </w:pPr>
            <w:r>
              <w:rPr>
                <w:rFonts w:ascii="Arial" w:cs="Arial" w:eastAsia="Arial" w:hAnsi="Arial"/>
                <w:sz w:val="18"/>
                <w:szCs w:val="18"/>
                <w:color w:val="auto"/>
              </w:rPr>
              <w:t>Page 3 of 3</w:t>
            </w:r>
          </w:p>
        </w:tc>
      </w:tr>
      <w:tr>
        <w:trPr>
          <w:trHeight w:val="81"/>
        </w:trPr>
        <w:tc>
          <w:tcPr>
            <w:tcW w:w="18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68"/>
        </w:trPr>
        <w:tc>
          <w:tcPr>
            <w:tcW w:w="182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c>
          <w:tcPr>
            <w:tcW w:w="270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82"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i w:val="1"/>
          <w:iCs w:val="1"/>
          <w:color w:val="auto"/>
        </w:rPr>
        <w:t>Exhibit 10(u)(iii)</w:t>
      </w:r>
    </w:p>
    <w:p>
      <w:pPr>
        <w:spacing w:after="0" w:line="234" w:lineRule="exact"/>
        <w:rPr>
          <w:sz w:val="20"/>
          <w:szCs w:val="20"/>
          <w:color w:val="auto"/>
        </w:rPr>
      </w:pPr>
    </w:p>
    <w:p>
      <w:pPr>
        <w:ind w:left="3944"/>
        <w:spacing w:after="0"/>
        <w:rPr>
          <w:sz w:val="20"/>
          <w:szCs w:val="20"/>
          <w:color w:val="auto"/>
        </w:rPr>
      </w:pPr>
      <w:r>
        <w:rPr>
          <w:rFonts w:ascii="Arial" w:cs="Arial" w:eastAsia="Arial" w:hAnsi="Arial"/>
          <w:sz w:val="22"/>
          <w:szCs w:val="22"/>
          <w:color w:val="auto"/>
        </w:rPr>
        <w:t>AMENDMENT NO. 3 to</w:t>
      </w:r>
    </w:p>
    <w:p>
      <w:pPr>
        <w:spacing w:after="0" w:line="8" w:lineRule="exact"/>
        <w:rPr>
          <w:sz w:val="20"/>
          <w:szCs w:val="20"/>
          <w:color w:val="auto"/>
        </w:rPr>
      </w:pPr>
    </w:p>
    <w:p>
      <w:pPr>
        <w:ind w:left="3664"/>
        <w:spacing w:after="0"/>
        <w:rPr>
          <w:sz w:val="20"/>
          <w:szCs w:val="20"/>
          <w:color w:val="auto"/>
        </w:rPr>
      </w:pPr>
      <w:r>
        <w:rPr>
          <w:rFonts w:ascii="Arial" w:cs="Arial" w:eastAsia="Arial" w:hAnsi="Arial"/>
          <w:sz w:val="22"/>
          <w:szCs w:val="22"/>
          <w:color w:val="auto"/>
        </w:rPr>
        <w:t>EMPLOYMENT AGREEMENT</w:t>
      </w:r>
    </w:p>
    <w:p>
      <w:pPr>
        <w:spacing w:after="0" w:line="215" w:lineRule="exact"/>
        <w:rPr>
          <w:sz w:val="20"/>
          <w:szCs w:val="20"/>
          <w:color w:val="auto"/>
        </w:rPr>
      </w:pPr>
    </w:p>
    <w:p>
      <w:pPr>
        <w:ind w:left="4" w:right="1220" w:firstLine="972"/>
        <w:spacing w:after="0" w:line="251" w:lineRule="auto"/>
        <w:rPr>
          <w:sz w:val="20"/>
          <w:szCs w:val="20"/>
          <w:color w:val="auto"/>
        </w:rPr>
      </w:pPr>
      <w:r>
        <w:rPr>
          <w:rFonts w:ascii="Arial" w:cs="Arial" w:eastAsia="Arial" w:hAnsi="Arial"/>
          <w:sz w:val="22"/>
          <w:szCs w:val="22"/>
          <w:color w:val="auto"/>
        </w:rPr>
        <w:t>This AMENDMENT NO. 3, dated as of November 8, 2019 (the “Amendment”), is by and between Albany International Corp. (the "Company") and Olivier Jarrault ("Executive").</w:t>
      </w:r>
    </w:p>
    <w:p>
      <w:pPr>
        <w:spacing w:after="0" w:line="200" w:lineRule="exact"/>
        <w:rPr>
          <w:sz w:val="20"/>
          <w:szCs w:val="20"/>
          <w:color w:val="auto"/>
        </w:rPr>
      </w:pPr>
    </w:p>
    <w:p>
      <w:pPr>
        <w:ind w:left="4" w:right="600" w:firstLine="972"/>
        <w:spacing w:after="0" w:line="251" w:lineRule="auto"/>
        <w:rPr>
          <w:sz w:val="20"/>
          <w:szCs w:val="20"/>
          <w:color w:val="auto"/>
        </w:rPr>
      </w:pPr>
      <w:r>
        <w:rPr>
          <w:rFonts w:ascii="Arial" w:cs="Arial" w:eastAsia="Arial" w:hAnsi="Arial"/>
          <w:sz w:val="22"/>
          <w:szCs w:val="22"/>
          <w:color w:val="auto"/>
        </w:rPr>
        <w:t>WHEREAS, the Company and Executive are parties to that certain Agreement entered into as of March 2, 2018, relating to Executive’s employment by the Company (the “Agreement”); and</w:t>
      </w:r>
    </w:p>
    <w:p>
      <w:pPr>
        <w:spacing w:after="0" w:line="200" w:lineRule="exact"/>
        <w:rPr>
          <w:sz w:val="20"/>
          <w:szCs w:val="20"/>
          <w:color w:val="auto"/>
        </w:rPr>
      </w:pPr>
    </w:p>
    <w:p>
      <w:pPr>
        <w:ind w:left="4" w:right="600" w:firstLine="972"/>
        <w:spacing w:after="0" w:line="328" w:lineRule="auto"/>
        <w:rPr>
          <w:sz w:val="20"/>
          <w:szCs w:val="20"/>
          <w:color w:val="auto"/>
        </w:rPr>
      </w:pPr>
      <w:r>
        <w:rPr>
          <w:rFonts w:ascii="Arial" w:cs="Arial" w:eastAsia="Arial" w:hAnsi="Arial"/>
          <w:sz w:val="19"/>
          <w:szCs w:val="19"/>
          <w:color w:val="auto"/>
        </w:rPr>
        <w:t>WHEREAS, the Agreement was previously amended pursuant to that certain Amendment No.1, dated as of July 9, 2018, and then further amended pursuant to that certain Amendment No.1, dated as of March 15, 2019; and</w:t>
      </w:r>
    </w:p>
    <w:p>
      <w:pPr>
        <w:spacing w:after="0" w:line="132" w:lineRule="exact"/>
        <w:rPr>
          <w:sz w:val="20"/>
          <w:szCs w:val="20"/>
          <w:color w:val="auto"/>
        </w:rPr>
      </w:pPr>
    </w:p>
    <w:p>
      <w:pPr>
        <w:ind w:left="4" w:right="920" w:firstLine="972"/>
        <w:spacing w:after="0" w:line="251" w:lineRule="auto"/>
        <w:rPr>
          <w:sz w:val="20"/>
          <w:szCs w:val="20"/>
          <w:color w:val="auto"/>
        </w:rPr>
      </w:pPr>
      <w:r>
        <w:rPr>
          <w:rFonts w:ascii="Arial" w:cs="Arial" w:eastAsia="Arial" w:hAnsi="Arial"/>
          <w:sz w:val="22"/>
          <w:szCs w:val="22"/>
          <w:color w:val="auto"/>
        </w:rPr>
        <w:t>WHEREAS, the Company and Executive desire to further amend the Agreement to extend the time by which Executive is expected to relocate;</w:t>
      </w:r>
    </w:p>
    <w:p>
      <w:pPr>
        <w:spacing w:after="0" w:line="200" w:lineRule="exact"/>
        <w:rPr>
          <w:sz w:val="20"/>
          <w:szCs w:val="20"/>
          <w:color w:val="auto"/>
        </w:rPr>
      </w:pPr>
    </w:p>
    <w:p>
      <w:pPr>
        <w:ind w:left="4" w:right="680" w:firstLine="972"/>
        <w:spacing w:after="0" w:line="258" w:lineRule="auto"/>
        <w:rPr>
          <w:sz w:val="20"/>
          <w:szCs w:val="20"/>
          <w:color w:val="auto"/>
        </w:rPr>
      </w:pPr>
      <w:r>
        <w:rPr>
          <w:rFonts w:ascii="Arial" w:cs="Arial" w:eastAsia="Arial" w:hAnsi="Arial"/>
          <w:sz w:val="21"/>
          <w:szCs w:val="21"/>
          <w:color w:val="auto"/>
        </w:rPr>
        <w:t>NOW THEREFORE, in consideration of the premises, the mutual covenants and the agreements hereinafter set forth and other good and valuable consideration, the parties hereto hereby agree that the Agreement is hereby amended as follows, with effect from the Effective Date (as defined in the Agreement):</w:t>
      </w:r>
    </w:p>
    <w:p>
      <w:pPr>
        <w:spacing w:after="0" w:line="200" w:lineRule="exact"/>
        <w:rPr>
          <w:sz w:val="20"/>
          <w:szCs w:val="20"/>
          <w:color w:val="auto"/>
        </w:rPr>
      </w:pPr>
    </w:p>
    <w:p>
      <w:pPr>
        <w:spacing w:after="0" w:line="237" w:lineRule="exact"/>
        <w:rPr>
          <w:sz w:val="20"/>
          <w:szCs w:val="20"/>
          <w:color w:val="auto"/>
        </w:rPr>
      </w:pPr>
    </w:p>
    <w:p>
      <w:pPr>
        <w:ind w:left="484" w:hanging="484"/>
        <w:spacing w:after="0"/>
        <w:tabs>
          <w:tab w:leader="none" w:pos="48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Unless otherwise defined herein, terms defined in the Agreement are used herein as therein defined.</w:t>
      </w:r>
    </w:p>
    <w:p>
      <w:pPr>
        <w:spacing w:after="0" w:line="240" w:lineRule="exact"/>
        <w:rPr>
          <w:rFonts w:ascii="Arial" w:cs="Arial" w:eastAsia="Arial" w:hAnsi="Arial"/>
          <w:sz w:val="19"/>
          <w:szCs w:val="19"/>
          <w:color w:val="auto"/>
        </w:rPr>
      </w:pPr>
    </w:p>
    <w:p>
      <w:pPr>
        <w:ind w:left="484" w:hanging="484"/>
        <w:spacing w:after="0"/>
        <w:tabs>
          <w:tab w:leader="none" w:pos="484" w:val="left"/>
        </w:tabs>
        <w:numPr>
          <w:ilvl w:val="0"/>
          <w:numId w:val="84"/>
        </w:numPr>
        <w:rPr>
          <w:rFonts w:ascii="Arial" w:cs="Arial" w:eastAsia="Arial" w:hAnsi="Arial"/>
          <w:sz w:val="21"/>
          <w:szCs w:val="21"/>
          <w:color w:val="auto"/>
        </w:rPr>
      </w:pPr>
      <w:r>
        <w:rPr>
          <w:rFonts w:ascii="Arial" w:cs="Arial" w:eastAsia="Arial" w:hAnsi="Arial"/>
          <w:sz w:val="21"/>
          <w:szCs w:val="21"/>
          <w:color w:val="auto"/>
        </w:rPr>
        <w:t>Clause (e) of paragraph 3 of the Agreement is hereby amended and restated in its entirety to read as follows:</w:t>
      </w:r>
    </w:p>
    <w:p>
      <w:pPr>
        <w:spacing w:after="0" w:line="245" w:lineRule="exact"/>
        <w:rPr>
          <w:sz w:val="20"/>
          <w:szCs w:val="20"/>
          <w:color w:val="auto"/>
        </w:rPr>
      </w:pPr>
    </w:p>
    <w:p>
      <w:pPr>
        <w:ind w:left="484" w:right="1160" w:firstLine="2"/>
        <w:spacing w:after="0" w:line="244" w:lineRule="auto"/>
        <w:tabs>
          <w:tab w:leader="none" w:pos="778" w:val="left"/>
        </w:tabs>
        <w:numPr>
          <w:ilvl w:val="0"/>
          <w:numId w:val="85"/>
        </w:numPr>
        <w:rPr>
          <w:rFonts w:ascii="Arial" w:cs="Arial" w:eastAsia="Arial" w:hAnsi="Arial"/>
          <w:sz w:val="21"/>
          <w:szCs w:val="21"/>
          <w:color w:val="auto"/>
        </w:rPr>
      </w:pPr>
      <w:r>
        <w:rPr>
          <w:rFonts w:ascii="Arial" w:cs="Arial" w:eastAsia="Arial" w:hAnsi="Arial"/>
          <w:sz w:val="21"/>
          <w:szCs w:val="21"/>
          <w:color w:val="auto"/>
        </w:rPr>
        <w:t>Relocation. Executive shall relocate to Rochester, New Hampshire area no later than March 31, 2020. In the interim, Executive shall be reimbursed for temporary housing expenses and shall be entitled to such other relocation benefits as (i) are provided for pursuant to the Company's Executive Relocation Policy, a copy of which has been provided to the Executive, with the caveat that neither the one-year policy expiration nor 90-day temporary housing limit shall apply to Executive, or (ii) are approved by the Chairman of the Board of the Company. Provided such expenses are incurred in compliance with the Company’s travel and expense policy, or have otherwise been approved by the Chairman, the Company will pay or reimburse Executive for all flight expenses incurred prior to December 31, 2019 for travel from any Company work location to Los Angeles, California, travel from Los Angeles, California to any Company work location, and travel from any Company work location to any other Company work location through Los Angeles, California. (Evidence of approval of any item covered by this clause may be in the form of an</w:t>
      </w:r>
    </w:p>
    <w:p>
      <w:pPr>
        <w:spacing w:after="0" w:line="160" w:lineRule="exact"/>
        <w:rPr>
          <w:sz w:val="20"/>
          <w:szCs w:val="20"/>
          <w:color w:val="auto"/>
        </w:rPr>
      </w:pPr>
    </w:p>
    <w:p>
      <w:pPr>
        <w:ind w:left="4564"/>
        <w:spacing w:after="0"/>
        <w:rPr>
          <w:sz w:val="20"/>
          <w:szCs w:val="20"/>
          <w:color w:val="auto"/>
        </w:rPr>
      </w:pPr>
      <w:r>
        <w:rPr>
          <w:rFonts w:ascii="Arial" w:cs="Arial" w:eastAsia="Arial" w:hAnsi="Arial"/>
          <w:sz w:val="22"/>
          <w:szCs w:val="22"/>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4"/>
          </w:cols>
          <w:pgMar w:left="896" w:top="118" w:right="239" w:bottom="1440" w:gutter="0" w:footer="0" w:header="0"/>
        </w:sectPr>
      </w:pPr>
    </w:p>
    <w:bookmarkStart w:id="134" w:name="page135"/>
    <w:bookmarkEnd w:id="134"/>
    <w:p>
      <w:pPr>
        <w:ind w:left="1140" w:right="1260"/>
        <w:spacing w:after="0" w:line="238" w:lineRule="auto"/>
        <w:rPr>
          <w:sz w:val="20"/>
          <w:szCs w:val="20"/>
          <w:color w:val="auto"/>
        </w:rPr>
      </w:pPr>
      <w:r>
        <w:rPr>
          <w:rFonts w:ascii="Arial" w:cs="Arial" w:eastAsia="Arial" w:hAnsi="Arial"/>
          <w:sz w:val="22"/>
          <w:szCs w:val="22"/>
          <w:color w:val="auto"/>
        </w:rPr>
        <w:t>expense or relocation report reflecting such expenses that is approved by the Chairman.) The Company will provide tax assistance (gross-up) to Executive on all such expenses for travel to, from, or through Los Angeles, California that are personal to Executive or will appear as income on Executive's Form W-2.</w:t>
      </w:r>
    </w:p>
    <w:p>
      <w:pPr>
        <w:spacing w:after="0" w:line="212" w:lineRule="exact"/>
        <w:rPr>
          <w:sz w:val="20"/>
          <w:szCs w:val="20"/>
          <w:color w:val="auto"/>
        </w:rPr>
      </w:pPr>
    </w:p>
    <w:p>
      <w:pPr>
        <w:ind w:left="660" w:right="800" w:hanging="4"/>
        <w:spacing w:after="0"/>
        <w:tabs>
          <w:tab w:leader="none" w:pos="12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Except as expressly amended, modified and supplemented hereby, or as in Amendment No. 1 or Amendment No. 2, the terms, provisions and conditions of the Agreement are unchanged and in full force and effect and are hereby ratified and confirmed in all respects.</w:t>
      </w:r>
    </w:p>
    <w:p>
      <w:pPr>
        <w:spacing w:after="0" w:line="213" w:lineRule="exact"/>
        <w:rPr>
          <w:rFonts w:ascii="Arial" w:cs="Arial" w:eastAsia="Arial" w:hAnsi="Arial"/>
          <w:sz w:val="22"/>
          <w:szCs w:val="22"/>
          <w:color w:val="auto"/>
        </w:rPr>
      </w:pPr>
    </w:p>
    <w:p>
      <w:pPr>
        <w:ind w:left="660" w:right="700" w:hanging="4"/>
        <w:spacing w:after="0" w:line="328" w:lineRule="auto"/>
        <w:tabs>
          <w:tab w:leader="none" w:pos="1142"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This Amendment may be executed in counterparts, and each counterpart will have the same force and effect as an original and will constitute an effective, binding agreement on the part of each of the undersigned.</w:t>
      </w:r>
    </w:p>
    <w:p>
      <w:pPr>
        <w:spacing w:after="0" w:line="375" w:lineRule="exact"/>
        <w:rPr>
          <w:sz w:val="20"/>
          <w:szCs w:val="20"/>
          <w:color w:val="auto"/>
        </w:rPr>
      </w:pPr>
    </w:p>
    <w:p>
      <w:pPr>
        <w:ind w:left="660" w:right="580" w:firstLine="324"/>
        <w:spacing w:after="0" w:line="251" w:lineRule="auto"/>
        <w:rPr>
          <w:sz w:val="20"/>
          <w:szCs w:val="20"/>
          <w:color w:val="auto"/>
        </w:rPr>
      </w:pPr>
      <w:r>
        <w:rPr>
          <w:rFonts w:ascii="Arial" w:cs="Arial" w:eastAsia="Arial" w:hAnsi="Arial"/>
          <w:sz w:val="22"/>
          <w:szCs w:val="22"/>
          <w:color w:val="auto"/>
        </w:rPr>
        <w:t>IN WITNESS WHEREOF, each of the parties has executed this Agreement, in the case of the Company by a duly authorized officer, as of the day and year written below.</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ALBANY INTERNATIONAL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660" w:type="dxa"/>
        <w:tblCellMar>
          <w:top w:w="0" w:type="dxa"/>
          <w:left w:w="0" w:type="dxa"/>
          <w:bottom w:w="0" w:type="dxa"/>
          <w:right w:w="0" w:type="dxa"/>
        </w:tblCellMar>
      </w:tblPr>
      <w:tr>
        <w:trPr>
          <w:trHeight w:val="273"/>
        </w:trPr>
        <w:tc>
          <w:tcPr>
            <w:tcW w:w="5200" w:type="dxa"/>
            <w:vAlign w:val="bottom"/>
            <w:gridSpan w:val="3"/>
          </w:tcPr>
          <w:p>
            <w:pPr>
              <w:spacing w:after="0"/>
              <w:rPr>
                <w:sz w:val="20"/>
                <w:szCs w:val="20"/>
                <w:color w:val="auto"/>
              </w:rPr>
            </w:pPr>
            <w:r>
              <w:rPr>
                <w:rFonts w:ascii="Arial" w:cs="Arial" w:eastAsia="Arial" w:hAnsi="Arial"/>
                <w:sz w:val="22"/>
                <w:szCs w:val="22"/>
                <w:color w:val="auto"/>
              </w:rPr>
              <w:t>By:  /s/ Alice McCarvill</w:t>
            </w:r>
          </w:p>
        </w:tc>
        <w:tc>
          <w:tcPr>
            <w:tcW w:w="3020" w:type="dxa"/>
            <w:vAlign w:val="bottom"/>
          </w:tcPr>
          <w:p>
            <w:pPr>
              <w:ind w:left="880"/>
              <w:spacing w:after="0"/>
              <w:rPr>
                <w:sz w:val="20"/>
                <w:szCs w:val="20"/>
                <w:color w:val="auto"/>
              </w:rPr>
            </w:pPr>
            <w:r>
              <w:rPr>
                <w:rFonts w:ascii="Arial" w:cs="Arial" w:eastAsia="Arial" w:hAnsi="Arial"/>
                <w:sz w:val="22"/>
                <w:szCs w:val="22"/>
                <w:color w:val="auto"/>
                <w:w w:val="88"/>
              </w:rPr>
              <w:t>Date: November 7, 2019</w:t>
            </w:r>
          </w:p>
        </w:tc>
      </w:tr>
      <w:tr>
        <w:trPr>
          <w:trHeight w:val="20"/>
        </w:trPr>
        <w:tc>
          <w:tcPr>
            <w:tcW w:w="36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56"/>
        </w:trPr>
        <w:tc>
          <w:tcPr>
            <w:tcW w:w="5200" w:type="dxa"/>
            <w:vAlign w:val="bottom"/>
            <w:gridSpan w:val="3"/>
          </w:tcPr>
          <w:p>
            <w:pPr>
              <w:spacing w:after="0"/>
              <w:rPr>
                <w:sz w:val="20"/>
                <w:szCs w:val="20"/>
                <w:color w:val="auto"/>
              </w:rPr>
            </w:pPr>
            <w:r>
              <w:rPr>
                <w:rFonts w:ascii="Arial" w:cs="Arial" w:eastAsia="Arial" w:hAnsi="Arial"/>
                <w:sz w:val="22"/>
                <w:szCs w:val="22"/>
                <w:color w:val="auto"/>
              </w:rPr>
              <w:t>Name: Alice McCarvill</w:t>
            </w:r>
          </w:p>
        </w:tc>
        <w:tc>
          <w:tcPr>
            <w:tcW w:w="3020" w:type="dxa"/>
            <w:vAlign w:val="bottom"/>
          </w:tcPr>
          <w:p>
            <w:pPr>
              <w:spacing w:after="0"/>
              <w:rPr>
                <w:sz w:val="22"/>
                <w:szCs w:val="22"/>
                <w:color w:val="auto"/>
              </w:rPr>
            </w:pPr>
          </w:p>
        </w:tc>
      </w:tr>
      <w:tr>
        <w:trPr>
          <w:trHeight w:val="243"/>
        </w:trPr>
        <w:tc>
          <w:tcPr>
            <w:tcW w:w="5200" w:type="dxa"/>
            <w:vAlign w:val="bottom"/>
            <w:gridSpan w:val="3"/>
          </w:tcPr>
          <w:p>
            <w:pPr>
              <w:spacing w:after="0" w:line="243" w:lineRule="exact"/>
              <w:rPr>
                <w:sz w:val="20"/>
                <w:szCs w:val="20"/>
                <w:color w:val="auto"/>
              </w:rPr>
            </w:pPr>
            <w:r>
              <w:rPr>
                <w:rFonts w:ascii="Arial" w:cs="Arial" w:eastAsia="Arial" w:hAnsi="Arial"/>
                <w:sz w:val="22"/>
                <w:szCs w:val="22"/>
                <w:color w:val="auto"/>
              </w:rPr>
              <w:t>Title: Executive Vice President Human Resources</w:t>
            </w:r>
          </w:p>
        </w:tc>
        <w:tc>
          <w:tcPr>
            <w:tcW w:w="3020" w:type="dxa"/>
            <w:vAlign w:val="bottom"/>
          </w:tcPr>
          <w:p>
            <w:pPr>
              <w:spacing w:after="0"/>
              <w:rPr>
                <w:sz w:val="21"/>
                <w:szCs w:val="21"/>
                <w:color w:val="auto"/>
              </w:rPr>
            </w:pPr>
          </w:p>
        </w:tc>
      </w:tr>
      <w:tr>
        <w:trPr>
          <w:trHeight w:val="275"/>
        </w:trPr>
        <w:tc>
          <w:tcPr>
            <w:tcW w:w="5200" w:type="dxa"/>
            <w:vAlign w:val="bottom"/>
            <w:gridSpan w:val="3"/>
          </w:tcPr>
          <w:p>
            <w:pPr>
              <w:spacing w:after="0"/>
              <w:rPr>
                <w:sz w:val="20"/>
                <w:szCs w:val="20"/>
                <w:color w:val="auto"/>
              </w:rPr>
            </w:pPr>
            <w:r>
              <w:rPr>
                <w:rFonts w:ascii="Arial" w:cs="Arial" w:eastAsia="Arial" w:hAnsi="Arial"/>
                <w:sz w:val="22"/>
                <w:szCs w:val="22"/>
                <w:color w:val="auto"/>
              </w:rPr>
              <w:t>and Chief Human Resources Officer</w:t>
            </w:r>
          </w:p>
        </w:tc>
        <w:tc>
          <w:tcPr>
            <w:tcW w:w="30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22"/>
                <w:szCs w:val="22"/>
                <w:color w:val="auto"/>
              </w:rPr>
              <w:t>EXECUTIVE</w:t>
            </w:r>
          </w:p>
        </w:tc>
        <w:tc>
          <w:tcPr>
            <w:tcW w:w="6740" w:type="dxa"/>
            <w:vAlign w:val="bottom"/>
          </w:tcPr>
          <w:p>
            <w:pPr>
              <w:spacing w:after="0"/>
              <w:rPr>
                <w:sz w:val="23"/>
                <w:szCs w:val="23"/>
                <w:color w:val="auto"/>
              </w:rPr>
            </w:pPr>
          </w:p>
        </w:tc>
      </w:tr>
      <w:tr>
        <w:trPr>
          <w:trHeight w:val="436"/>
        </w:trPr>
        <w:tc>
          <w:tcPr>
            <w:tcW w:w="66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Olivier M. Jarrault</w:t>
            </w:r>
          </w:p>
        </w:tc>
        <w:tc>
          <w:tcPr>
            <w:tcW w:w="6740" w:type="dxa"/>
            <w:vAlign w:val="bottom"/>
          </w:tcPr>
          <w:p>
            <w:pPr>
              <w:ind w:left="2060"/>
              <w:spacing w:after="0"/>
              <w:rPr>
                <w:sz w:val="20"/>
                <w:szCs w:val="20"/>
                <w:color w:val="auto"/>
              </w:rPr>
            </w:pPr>
            <w:r>
              <w:rPr>
                <w:rFonts w:ascii="Arial" w:cs="Arial" w:eastAsia="Arial" w:hAnsi="Arial"/>
                <w:sz w:val="22"/>
                <w:szCs w:val="22"/>
                <w:color w:val="auto"/>
              </w:rPr>
              <w:t>Date: November 5, 2019</w:t>
            </w:r>
          </w:p>
        </w:tc>
      </w:tr>
      <w:tr>
        <w:trPr>
          <w:trHeight w:val="287"/>
        </w:trPr>
        <w:tc>
          <w:tcPr>
            <w:tcW w:w="66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2"/>
                <w:szCs w:val="22"/>
                <w:color w:val="auto"/>
              </w:rPr>
              <w:t>Olivier Jarrault</w:t>
            </w:r>
          </w:p>
        </w:tc>
        <w:tc>
          <w:tcPr>
            <w:tcW w:w="674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740" w:type="dxa"/>
            <w:vAlign w:val="bottom"/>
          </w:tcPr>
          <w:p>
            <w:pPr>
              <w:ind w:left="540"/>
              <w:spacing w:after="0"/>
              <w:rPr>
                <w:sz w:val="20"/>
                <w:szCs w:val="20"/>
                <w:color w:val="auto"/>
              </w:rPr>
            </w:pPr>
            <w:r>
              <w:rPr>
                <w:rFonts w:ascii="Arial" w:cs="Arial" w:eastAsia="Arial" w:hAnsi="Arial"/>
                <w:sz w:val="22"/>
                <w:szCs w:val="22"/>
                <w:color w:val="auto"/>
              </w:rPr>
              <w:t>Page 2 of 2</w:t>
            </w:r>
          </w:p>
        </w:tc>
      </w:tr>
      <w:tr>
        <w:trPr>
          <w:trHeight w:val="71"/>
        </w:trPr>
        <w:tc>
          <w:tcPr>
            <w:tcW w:w="6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6740" w:type="dxa"/>
            <w:vAlign w:val="bottom"/>
          </w:tcPr>
          <w:p>
            <w:pPr>
              <w:spacing w:after="0"/>
              <w:rPr>
                <w:sz w:val="6"/>
                <w:szCs w:val="6"/>
                <w:color w:val="auto"/>
              </w:rPr>
            </w:pPr>
          </w:p>
        </w:tc>
      </w:tr>
      <w:tr>
        <w:trPr>
          <w:trHeight w:val="68"/>
        </w:trPr>
        <w:tc>
          <w:tcPr>
            <w:tcW w:w="660" w:type="dxa"/>
            <w:vAlign w:val="bottom"/>
            <w:shd w:val="clear" w:color="auto" w:fill="000000"/>
          </w:tcPr>
          <w:p>
            <w:pPr>
              <w:spacing w:after="0"/>
              <w:rPr>
                <w:sz w:val="5"/>
                <w:szCs w:val="5"/>
                <w:color w:val="auto"/>
              </w:rPr>
            </w:pPr>
          </w:p>
        </w:tc>
        <w:tc>
          <w:tcPr>
            <w:tcW w:w="4020" w:type="dxa"/>
            <w:vAlign w:val="bottom"/>
            <w:shd w:val="clear" w:color="auto" w:fill="000000"/>
          </w:tcPr>
          <w:p>
            <w:pPr>
              <w:spacing w:after="0"/>
              <w:rPr>
                <w:sz w:val="5"/>
                <w:szCs w:val="5"/>
                <w:color w:val="auto"/>
              </w:rPr>
            </w:pPr>
          </w:p>
        </w:tc>
        <w:tc>
          <w:tcPr>
            <w:tcW w:w="67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7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5"/>
          <w:szCs w:val="25"/>
          <w:b w:val="1"/>
          <w:bCs w:val="1"/>
          <w:color w:val="auto"/>
        </w:rPr>
        <w:t>Exhibit 10(u)(iv)</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EXECUTIVE SEPARATION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GENERAL RELEASE</w:t>
      </w:r>
    </w:p>
    <w:p>
      <w:pPr>
        <w:spacing w:after="0" w:line="242" w:lineRule="exact"/>
        <w:rPr>
          <w:sz w:val="20"/>
          <w:szCs w:val="20"/>
          <w:color w:val="auto"/>
        </w:rPr>
      </w:pPr>
    </w:p>
    <w:p>
      <w:pPr>
        <w:ind w:right="760" w:firstLine="648"/>
        <w:spacing w:after="0" w:line="243" w:lineRule="auto"/>
        <w:rPr>
          <w:sz w:val="20"/>
          <w:szCs w:val="20"/>
          <w:color w:val="auto"/>
        </w:rPr>
      </w:pPr>
      <w:r>
        <w:rPr>
          <w:rFonts w:ascii="Arial" w:cs="Arial" w:eastAsia="Arial" w:hAnsi="Arial"/>
          <w:sz w:val="22"/>
          <w:szCs w:val="22"/>
          <w:color w:val="auto"/>
        </w:rPr>
        <w:t xml:space="preserve">THIS EXECUTIVE SEPARATION AGREEMENT is dated as of </w:t>
      </w:r>
      <w:r>
        <w:rPr>
          <w:rFonts w:ascii="Arial" w:cs="Arial" w:eastAsia="Arial" w:hAnsi="Arial"/>
          <w:sz w:val="22"/>
          <w:szCs w:val="22"/>
          <w:b w:val="1"/>
          <w:bCs w:val="1"/>
          <w:color w:val="auto"/>
        </w:rPr>
        <w:t>December 12, 2019</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Albany</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International Corp., </w:t>
      </w:r>
      <w:r>
        <w:rPr>
          <w:rFonts w:ascii="Arial" w:cs="Arial" w:eastAsia="Arial" w:hAnsi="Arial"/>
          <w:sz w:val="22"/>
          <w:szCs w:val="22"/>
          <w:color w:val="auto"/>
        </w:rPr>
        <w:t>its subsidiaries and affiliates (hereinafter collectively referred to as “Albany” or “the Company”) and</w:t>
      </w:r>
      <w:r>
        <w:rPr>
          <w:rFonts w:ascii="Arial" w:cs="Arial" w:eastAsia="Arial" w:hAnsi="Arial"/>
          <w:sz w:val="22"/>
          <w:szCs w:val="22"/>
          <w:b w:val="1"/>
          <w:bCs w:val="1"/>
          <w:color w:val="auto"/>
        </w:rPr>
        <w:t xml:space="preserve"> Charles J. Silva, Jr. </w:t>
      </w:r>
      <w:r>
        <w:rPr>
          <w:rFonts w:ascii="Arial" w:cs="Arial" w:eastAsia="Arial" w:hAnsi="Arial"/>
          <w:sz w:val="22"/>
          <w:szCs w:val="22"/>
          <w:color w:val="auto"/>
        </w:rPr>
        <w:t>(hereinafter referred to as “Executive”).</w:t>
      </w:r>
    </w:p>
    <w:p>
      <w:pPr>
        <w:spacing w:after="0" w:line="21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is currently employed by Albany in a key senior management role; and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has notified Albany of his desire to retire; and</w:t>
      </w:r>
    </w:p>
    <w:p>
      <w:pPr>
        <w:spacing w:after="0" w:line="206"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WHEREAS, Albany wishes for Executive to remain in its employment through, at most, June 30, 2020 in order to assist in an orderly transition of his duties; and</w:t>
      </w:r>
    </w:p>
    <w:p>
      <w:pPr>
        <w:spacing w:after="0" w:line="173" w:lineRule="exact"/>
        <w:rPr>
          <w:sz w:val="20"/>
          <w:szCs w:val="20"/>
          <w:color w:val="auto"/>
        </w:rPr>
      </w:pPr>
    </w:p>
    <w:p>
      <w:pPr>
        <w:ind w:left="660" w:right="240"/>
        <w:spacing w:after="0" w:line="395" w:lineRule="auto"/>
        <w:rPr>
          <w:sz w:val="20"/>
          <w:szCs w:val="20"/>
          <w:color w:val="auto"/>
        </w:rPr>
      </w:pPr>
      <w:r>
        <w:rPr>
          <w:rFonts w:ascii="Arial" w:cs="Arial" w:eastAsia="Arial" w:hAnsi="Arial"/>
          <w:sz w:val="19"/>
          <w:szCs w:val="19"/>
          <w:color w:val="auto"/>
        </w:rPr>
        <w:t>WHEREAS, Executive and Albany each believe that it is in their best interests to set forth their agreement in writing; and WHEREAS, the parties now seek to enter into this Executive Separation Agreement and General Release (the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“Agreement”) with the intent to establish a mutually acceptable date upon which Executive’s employment shall terminate, to provide Executive with the certain protections as stated herein and to settle and compromise any and all potential disputes that may exist between the parties; and</w:t>
      </w:r>
    </w:p>
    <w:p>
      <w:pPr>
        <w:spacing w:after="0" w:line="187"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WHEREAS, each party is entering into this Agreement on a voluntary basis, and with the intent that is shall supersede all prior agreements between the parties involving the matters addressed herein.</w:t>
      </w:r>
    </w:p>
    <w:p>
      <w:pPr>
        <w:spacing w:after="0" w:line="173" w:lineRule="exact"/>
        <w:rPr>
          <w:sz w:val="20"/>
          <w:szCs w:val="20"/>
          <w:color w:val="auto"/>
        </w:rPr>
      </w:pPr>
    </w:p>
    <w:p>
      <w:pPr>
        <w:ind w:right="100" w:firstLine="648"/>
        <w:spacing w:after="0" w:line="328" w:lineRule="auto"/>
        <w:rPr>
          <w:sz w:val="20"/>
          <w:szCs w:val="20"/>
          <w:color w:val="auto"/>
        </w:rPr>
      </w:pPr>
      <w:r>
        <w:rPr>
          <w:rFonts w:ascii="Arial" w:cs="Arial" w:eastAsia="Arial" w:hAnsi="Arial"/>
          <w:sz w:val="19"/>
          <w:szCs w:val="19"/>
          <w:color w:val="auto"/>
        </w:rPr>
        <w:t>Now, therefore, in consideration of the premises, covenants and conditions set forth herein and other good and valuable consideration, the receipt and sufficiency of which is hereby acknowledged, Albany and Executive hereby agree as follows:</w:t>
      </w:r>
    </w:p>
    <w:p>
      <w:pPr>
        <w:spacing w:after="0" w:line="126" w:lineRule="exact"/>
        <w:rPr>
          <w:sz w:val="20"/>
          <w:szCs w:val="20"/>
          <w:color w:val="auto"/>
        </w:rPr>
      </w:pPr>
    </w:p>
    <w:p>
      <w:pPr>
        <w:ind w:left="1380" w:hanging="724"/>
        <w:spacing w:after="0"/>
        <w:tabs>
          <w:tab w:leader="none" w:pos="13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Executive acknowledges that on </w:t>
      </w:r>
      <w:r>
        <w:rPr>
          <w:rFonts w:ascii="Arial" w:cs="Arial" w:eastAsia="Arial" w:hAnsi="Arial"/>
          <w:sz w:val="19"/>
          <w:szCs w:val="19"/>
          <w:b w:val="1"/>
          <w:bCs w:val="1"/>
          <w:color w:val="auto"/>
        </w:rPr>
        <w:t>January 3, 2020</w:t>
      </w:r>
      <w:r>
        <w:rPr>
          <w:rFonts w:ascii="Arial" w:cs="Arial" w:eastAsia="Arial" w:hAnsi="Arial"/>
          <w:sz w:val="19"/>
          <w:szCs w:val="19"/>
          <w:color w:val="auto"/>
        </w:rPr>
        <w:t xml:space="preserve"> he was given this Agreement and was afforded 21 days to</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consider same.</w:t>
      </w:r>
    </w:p>
    <w:p>
      <w:pPr>
        <w:spacing w:after="0" w:line="215" w:lineRule="exact"/>
        <w:rPr>
          <w:rFonts w:ascii="Arial" w:cs="Arial" w:eastAsia="Arial" w:hAnsi="Arial"/>
          <w:sz w:val="19"/>
          <w:szCs w:val="19"/>
          <w:color w:val="auto"/>
        </w:rPr>
      </w:pPr>
    </w:p>
    <w:p>
      <w:pPr>
        <w:ind w:right="300" w:firstLine="656"/>
        <w:spacing w:after="0" w:line="251" w:lineRule="auto"/>
        <w:tabs>
          <w:tab w:leader="none" w:pos="1377" w:val="left"/>
        </w:tabs>
        <w:numPr>
          <w:ilvl w:val="0"/>
          <w:numId w:val="87"/>
        </w:numPr>
        <w:rPr>
          <w:rFonts w:ascii="Arial" w:cs="Arial" w:eastAsia="Arial" w:hAnsi="Arial"/>
          <w:sz w:val="22"/>
          <w:szCs w:val="22"/>
          <w:color w:val="auto"/>
        </w:rPr>
      </w:pPr>
      <w:r>
        <w:rPr>
          <w:rFonts w:ascii="Arial" w:cs="Arial" w:eastAsia="Arial" w:hAnsi="Arial"/>
          <w:sz w:val="22"/>
          <w:szCs w:val="22"/>
          <w:color w:val="auto"/>
        </w:rPr>
        <w:t>Executive was, and hereby is, advised to consult a lawyer before signing this Agreement and did in fact have the opportunity to obtain the advice of counsel.</w:t>
      </w:r>
    </w:p>
    <w:p>
      <w:pPr>
        <w:spacing w:after="0" w:line="200" w:lineRule="exact"/>
        <w:rPr>
          <w:rFonts w:ascii="Arial" w:cs="Arial" w:eastAsia="Arial" w:hAnsi="Arial"/>
          <w:sz w:val="22"/>
          <w:szCs w:val="22"/>
          <w:color w:val="auto"/>
        </w:rPr>
      </w:pPr>
    </w:p>
    <w:p>
      <w:pPr>
        <w:ind w:right="580" w:firstLine="656"/>
        <w:spacing w:after="0" w:line="251" w:lineRule="auto"/>
        <w:tabs>
          <w:tab w:leader="none" w:pos="1377" w:val="left"/>
        </w:tabs>
        <w:numPr>
          <w:ilvl w:val="0"/>
          <w:numId w:val="87"/>
        </w:numPr>
        <w:rPr>
          <w:rFonts w:ascii="Arial" w:cs="Arial" w:eastAsia="Arial" w:hAnsi="Arial"/>
          <w:sz w:val="22"/>
          <w:szCs w:val="22"/>
          <w:color w:val="auto"/>
        </w:rPr>
      </w:pPr>
      <w:r>
        <w:rPr>
          <w:rFonts w:ascii="Arial" w:cs="Arial" w:eastAsia="Arial" w:hAnsi="Arial"/>
          <w:sz w:val="22"/>
          <w:szCs w:val="22"/>
          <w:color w:val="auto"/>
        </w:rPr>
        <w:t>Executive may accept this Agreement only by signing, dating and delivering the Agreement to Albany (in the manner set forth in Paragraph 25) on or before Albany’s normal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 xml:space="preserve">close of business on </w:t>
      </w:r>
      <w:r>
        <w:rPr>
          <w:rFonts w:ascii="Arial" w:cs="Arial" w:eastAsia="Arial" w:hAnsi="Arial"/>
          <w:sz w:val="20"/>
          <w:szCs w:val="20"/>
          <w:b w:val="1"/>
          <w:bCs w:val="1"/>
          <w:color w:val="auto"/>
        </w:rPr>
        <w:t>January 3, 2020</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Time is of the essence with regard to this Paragraph 3.</w:t>
      </w:r>
    </w:p>
    <w:p>
      <w:pPr>
        <w:spacing w:after="0" w:line="19" w:lineRule="exact"/>
        <w:rPr>
          <w:sz w:val="20"/>
          <w:szCs w:val="20"/>
          <w:color w:val="auto"/>
        </w:rPr>
      </w:pPr>
    </w:p>
    <w:p>
      <w:pPr>
        <w:jc w:val="both"/>
        <w:ind w:firstLine="656"/>
        <w:spacing w:after="0" w:line="234" w:lineRule="auto"/>
        <w:tabs>
          <w:tab w:leader="none" w:pos="1218"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Executive may revoke this Agreement at any time within seven (7) days after signing and delivering it to Albany by notifying Albany in writing (in the manner set forth in Paragraph 25) of Executive’s decision to revoke. </w:t>
      </w:r>
      <w:r>
        <w:rPr>
          <w:rFonts w:ascii="Arial" w:cs="Arial" w:eastAsia="Arial" w:hAnsi="Arial"/>
          <w:sz w:val="22"/>
          <w:szCs w:val="22"/>
          <w:b w:val="1"/>
          <w:bCs w:val="1"/>
          <w:u w:val="single" w:color="auto"/>
          <w:color w:val="auto"/>
        </w:rPr>
        <w:t>Time is of the essence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with regard to this Paragraph 4.</w:t>
      </w:r>
    </w:p>
    <w:p>
      <w:pPr>
        <w:spacing w:after="0" w:line="208" w:lineRule="exact"/>
        <w:rPr>
          <w:rFonts w:ascii="Arial" w:cs="Arial" w:eastAsia="Arial" w:hAnsi="Arial"/>
          <w:sz w:val="22"/>
          <w:szCs w:val="22"/>
          <w:color w:val="auto"/>
        </w:rPr>
      </w:pPr>
    </w:p>
    <w:p>
      <w:pPr>
        <w:ind w:right="20" w:firstLine="656"/>
        <w:spacing w:after="0" w:line="256" w:lineRule="auto"/>
        <w:tabs>
          <w:tab w:leader="none" w:pos="1263"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Executive’s employment with Albany shall terminate on </w:t>
      </w:r>
      <w:r>
        <w:rPr>
          <w:rFonts w:ascii="Arial" w:cs="Arial" w:eastAsia="Arial" w:hAnsi="Arial"/>
          <w:sz w:val="22"/>
          <w:szCs w:val="22"/>
          <w:b w:val="1"/>
          <w:bCs w:val="1"/>
          <w:color w:val="auto"/>
        </w:rPr>
        <w:t>June 30, 2020</w:t>
      </w:r>
      <w:r>
        <w:rPr>
          <w:rFonts w:ascii="Arial" w:cs="Arial" w:eastAsia="Arial" w:hAnsi="Arial"/>
          <w:sz w:val="22"/>
          <w:szCs w:val="22"/>
          <w:color w:val="auto"/>
        </w:rPr>
        <w:t xml:space="preserve"> (the “Separation Date”), unless terminated earlier in accordance with Paragraph 8 hereof.</w:t>
      </w:r>
    </w:p>
    <w:p>
      <w:pPr>
        <w:spacing w:after="0" w:line="182" w:lineRule="exact"/>
        <w:rPr>
          <w:rFonts w:ascii="Arial" w:cs="Arial" w:eastAsia="Arial" w:hAnsi="Arial"/>
          <w:sz w:val="22"/>
          <w:szCs w:val="22"/>
          <w:color w:val="auto"/>
        </w:rPr>
      </w:pPr>
    </w:p>
    <w:p>
      <w:pPr>
        <w:ind w:right="120" w:firstLine="656"/>
        <w:spacing w:after="0" w:line="248" w:lineRule="auto"/>
        <w:tabs>
          <w:tab w:leader="none" w:pos="1189" w:val="left"/>
        </w:tabs>
        <w:numPr>
          <w:ilvl w:val="0"/>
          <w:numId w:val="88"/>
        </w:numPr>
        <w:rPr>
          <w:rFonts w:ascii="Arial" w:cs="Arial" w:eastAsia="Arial" w:hAnsi="Arial"/>
          <w:sz w:val="21"/>
          <w:szCs w:val="21"/>
          <w:color w:val="auto"/>
        </w:rPr>
      </w:pPr>
      <w:r>
        <w:rPr>
          <w:rFonts w:ascii="Arial" w:cs="Arial" w:eastAsia="Arial" w:hAnsi="Arial"/>
          <w:sz w:val="21"/>
          <w:szCs w:val="21"/>
          <w:color w:val="auto"/>
        </w:rPr>
        <w:t>From the date hereof until the date Executive’s employment with Albany terminates, Executive shall, in addition to his current duties, assist in identifying his successor, and assist in the transition of his duties and responsibilities as directed by his supervisor. During the remainder of Executive’s employment with Albany, Albany shall continue to pay Executive at his current rate of compensation less (i) applicable withholdings for taxes, (ii) deductions for premiums due from Executive for any health care or life insurance coverage provided by or through Albany, (iii) 401(k), profit-sharing or other Albany benefit plan contributions and (iv) any other applicable or agreed upon withholdings.</w:t>
      </w:r>
    </w:p>
    <w:p>
      <w:pPr>
        <w:spacing w:after="0" w:line="204" w:lineRule="exact"/>
        <w:rPr>
          <w:rFonts w:ascii="Arial" w:cs="Arial" w:eastAsia="Arial" w:hAnsi="Arial"/>
          <w:sz w:val="21"/>
          <w:szCs w:val="21"/>
          <w:color w:val="auto"/>
        </w:rPr>
      </w:pPr>
    </w:p>
    <w:p>
      <w:pPr>
        <w:ind w:right="240" w:firstLine="656"/>
        <w:spacing w:after="0" w:line="282" w:lineRule="auto"/>
        <w:tabs>
          <w:tab w:leader="none" w:pos="1189" w:val="left"/>
        </w:tabs>
        <w:numPr>
          <w:ilvl w:val="0"/>
          <w:numId w:val="88"/>
        </w:numPr>
        <w:rPr>
          <w:rFonts w:ascii="Arial" w:cs="Arial" w:eastAsia="Arial" w:hAnsi="Arial"/>
          <w:sz w:val="19"/>
          <w:szCs w:val="19"/>
          <w:color w:val="auto"/>
        </w:rPr>
      </w:pPr>
      <w:r>
        <w:rPr>
          <w:rFonts w:ascii="Arial" w:cs="Arial" w:eastAsia="Arial" w:hAnsi="Arial"/>
          <w:sz w:val="19"/>
          <w:szCs w:val="19"/>
          <w:color w:val="auto"/>
        </w:rPr>
        <w:t>Executive agrees that on or after the Separation Date he shall execute an additional release in the form annexed hereto (the “Supplemental Release”) covering the period from the date of Executive’s execution of this Agreement through the Separation Date. Executive acknowledges and agrees that the obligations to be performed by Albany under this Agreement after the Separation Date shall be contingent upon the execution of the Supplemental Release. Failure to execute the Supplemental Release, however, will not affect the validity of the release contained in Paragraph 12 of this Agreement.</w:t>
      </w:r>
    </w:p>
    <w:p>
      <w:pPr>
        <w:spacing w:after="0" w:line="174" w:lineRule="exact"/>
        <w:rPr>
          <w:rFonts w:ascii="Arial" w:cs="Arial" w:eastAsia="Arial" w:hAnsi="Arial"/>
          <w:sz w:val="19"/>
          <w:szCs w:val="19"/>
          <w:color w:val="auto"/>
        </w:rPr>
      </w:pPr>
    </w:p>
    <w:p>
      <w:pPr>
        <w:ind w:right="140" w:firstLine="656"/>
        <w:spacing w:after="0" w:line="251" w:lineRule="auto"/>
        <w:tabs>
          <w:tab w:leader="none" w:pos="1231" w:val="left"/>
        </w:tabs>
        <w:numPr>
          <w:ilvl w:val="0"/>
          <w:numId w:val="88"/>
        </w:numPr>
        <w:rPr>
          <w:rFonts w:ascii="Arial" w:cs="Arial" w:eastAsia="Arial" w:hAnsi="Arial"/>
          <w:sz w:val="22"/>
          <w:szCs w:val="22"/>
          <w:color w:val="auto"/>
        </w:rPr>
      </w:pPr>
      <w:r>
        <w:rPr>
          <w:rFonts w:ascii="Arial" w:cs="Arial" w:eastAsia="Arial" w:hAnsi="Arial"/>
          <w:sz w:val="22"/>
          <w:szCs w:val="22"/>
          <w:color w:val="auto"/>
        </w:rPr>
        <w:t>Albany reserves the right to terminate Executive prior to the Separation Date with or without Cause. Cause shall be deemed to exist if Albany determines that Executive has:</w:t>
      </w:r>
    </w:p>
    <w:p>
      <w:pPr>
        <w:spacing w:after="0" w:line="200" w:lineRule="exact"/>
        <w:rPr>
          <w:rFonts w:ascii="Arial" w:cs="Arial" w:eastAsia="Arial" w:hAnsi="Arial"/>
          <w:sz w:val="22"/>
          <w:szCs w:val="22"/>
          <w:color w:val="auto"/>
        </w:rPr>
      </w:pPr>
    </w:p>
    <w:p>
      <w:pPr>
        <w:ind w:left="1560" w:hanging="255"/>
        <w:spacing w:after="0"/>
        <w:tabs>
          <w:tab w:leader="none" w:pos="1560" w:val="left"/>
        </w:tabs>
        <w:numPr>
          <w:ilvl w:val="1"/>
          <w:numId w:val="88"/>
        </w:numPr>
        <w:rPr>
          <w:rFonts w:ascii="Arial" w:cs="Arial" w:eastAsia="Arial" w:hAnsi="Arial"/>
          <w:sz w:val="22"/>
          <w:szCs w:val="22"/>
          <w:color w:val="auto"/>
        </w:rPr>
      </w:pPr>
      <w:r>
        <w:rPr>
          <w:rFonts w:ascii="Arial" w:cs="Arial" w:eastAsia="Arial" w:hAnsi="Arial"/>
          <w:sz w:val="22"/>
          <w:szCs w:val="22"/>
          <w:color w:val="auto"/>
        </w:rPr>
        <w:t>undertaken a position in competition with Albany;</w:t>
      </w:r>
    </w:p>
    <w:p>
      <w:pPr>
        <w:spacing w:after="0" w:line="8" w:lineRule="exact"/>
        <w:rPr>
          <w:rFonts w:ascii="Arial" w:cs="Arial" w:eastAsia="Arial" w:hAnsi="Arial"/>
          <w:sz w:val="22"/>
          <w:szCs w:val="22"/>
          <w:color w:val="auto"/>
        </w:rPr>
      </w:pPr>
    </w:p>
    <w:p>
      <w:pPr>
        <w:ind w:left="1300" w:right="220" w:firstLine="5"/>
        <w:spacing w:after="0" w:line="230" w:lineRule="auto"/>
        <w:tabs>
          <w:tab w:leader="none" w:pos="1618" w:val="left"/>
        </w:tabs>
        <w:numPr>
          <w:ilvl w:val="1"/>
          <w:numId w:val="88"/>
        </w:numPr>
        <w:rPr>
          <w:rFonts w:ascii="Arial" w:cs="Arial" w:eastAsia="Arial" w:hAnsi="Arial"/>
          <w:sz w:val="22"/>
          <w:szCs w:val="22"/>
          <w:color w:val="auto"/>
        </w:rPr>
      </w:pPr>
      <w:r>
        <w:rPr>
          <w:rFonts w:ascii="Arial" w:cs="Arial" w:eastAsia="Arial" w:hAnsi="Arial"/>
          <w:sz w:val="22"/>
          <w:szCs w:val="22"/>
          <w:color w:val="auto"/>
        </w:rPr>
        <w:t>caused substantial harm to Albany with intent to do so or as a result of gross negligence in the performance of his duties; or</w:t>
      </w:r>
    </w:p>
    <w:p>
      <w:pPr>
        <w:spacing w:after="0" w:line="1" w:lineRule="exact"/>
        <w:rPr>
          <w:rFonts w:ascii="Arial" w:cs="Arial" w:eastAsia="Arial" w:hAnsi="Arial"/>
          <w:sz w:val="22"/>
          <w:szCs w:val="22"/>
          <w:color w:val="auto"/>
        </w:rPr>
      </w:pPr>
    </w:p>
    <w:p>
      <w:pPr>
        <w:ind w:left="1680" w:hanging="375"/>
        <w:spacing w:after="0"/>
        <w:tabs>
          <w:tab w:leader="none" w:pos="1680" w:val="left"/>
        </w:tabs>
        <w:numPr>
          <w:ilvl w:val="1"/>
          <w:numId w:val="88"/>
        </w:numPr>
        <w:rPr>
          <w:rFonts w:ascii="Arial" w:cs="Arial" w:eastAsia="Arial" w:hAnsi="Arial"/>
          <w:sz w:val="22"/>
          <w:szCs w:val="22"/>
          <w:color w:val="auto"/>
        </w:rPr>
      </w:pPr>
      <w:r>
        <w:rPr>
          <w:rFonts w:ascii="Arial" w:cs="Arial" w:eastAsia="Arial" w:hAnsi="Arial"/>
          <w:sz w:val="22"/>
          <w:szCs w:val="22"/>
          <w:color w:val="auto"/>
        </w:rPr>
        <w:t>wrongfully and substantially enriched herself at the expense of Albany.</w:t>
      </w:r>
    </w:p>
    <w:p>
      <w:pPr>
        <w:spacing w:after="0" w:line="215" w:lineRule="exact"/>
        <w:rPr>
          <w:rFonts w:ascii="Arial" w:cs="Arial" w:eastAsia="Arial" w:hAnsi="Arial"/>
          <w:sz w:val="22"/>
          <w:szCs w:val="22"/>
          <w:color w:val="auto"/>
        </w:rPr>
      </w:pPr>
    </w:p>
    <w:p>
      <w:pPr>
        <w:ind w:right="40" w:firstLine="656"/>
        <w:spacing w:after="0" w:line="282" w:lineRule="auto"/>
        <w:tabs>
          <w:tab w:leader="none" w:pos="1177" w:val="left"/>
        </w:tabs>
        <w:numPr>
          <w:ilvl w:val="0"/>
          <w:numId w:val="88"/>
        </w:numPr>
        <w:rPr>
          <w:rFonts w:ascii="Arial" w:cs="Arial" w:eastAsia="Arial" w:hAnsi="Arial"/>
          <w:sz w:val="19"/>
          <w:szCs w:val="19"/>
          <w:color w:val="auto"/>
        </w:rPr>
      </w:pPr>
      <w:r>
        <w:rPr>
          <w:rFonts w:ascii="Arial" w:cs="Arial" w:eastAsia="Arial" w:hAnsi="Arial"/>
          <w:sz w:val="19"/>
          <w:szCs w:val="19"/>
          <w:color w:val="auto"/>
        </w:rPr>
        <w:t>At the termination of Executive’s employment by Albany, either on the Separation Agreement or earlier for any reason except Cause, and after the irrevocability of this Agreement, Albany agrees to provide Executive the following severance benefits. Executive acknowledges and agrees that these severance benefits constitute adequate legal consideration for the promises and representations made by him in this Agreement, including the covenants set forth in paragraphs 12, 14, 15, and 16, and are in lieu of any benefits payable under any severance plan or agreement now in existence or adopted prior to the Separation Date:</w:t>
      </w:r>
    </w:p>
    <w:p>
      <w:pPr>
        <w:spacing w:after="0" w:line="175" w:lineRule="exact"/>
        <w:rPr>
          <w:sz w:val="20"/>
          <w:szCs w:val="20"/>
          <w:color w:val="auto"/>
        </w:rPr>
      </w:pPr>
    </w:p>
    <w:p>
      <w:pPr>
        <w:ind w:left="660" w:hanging="4"/>
        <w:spacing w:after="0" w:line="251" w:lineRule="auto"/>
        <w:tabs>
          <w:tab w:leader="none" w:pos="1912"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Albany will pay Executive his gross monthly salary in effect as of the Separation Date, less applicable withholdings and deductions required by law or</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576" w:right="319" w:bottom="1440" w:gutter="0" w:footer="0" w:header="0"/>
        </w:sectPr>
      </w:pPr>
    </w:p>
    <w:bookmarkStart w:id="137" w:name="page138"/>
    <w:bookmarkEnd w:id="137"/>
    <w:p>
      <w:pPr>
        <w:jc w:val="both"/>
        <w:ind w:left="4"/>
        <w:spacing w:after="0" w:line="242" w:lineRule="auto"/>
        <w:rPr>
          <w:sz w:val="20"/>
          <w:szCs w:val="20"/>
          <w:color w:val="auto"/>
        </w:rPr>
      </w:pPr>
      <w:r>
        <w:rPr>
          <w:rFonts w:ascii="Arial" w:cs="Arial" w:eastAsia="Arial" w:hAnsi="Arial"/>
          <w:sz w:val="20"/>
          <w:szCs w:val="20"/>
          <w:color w:val="auto"/>
        </w:rPr>
        <w:t>otherwise agreed to by the parties, for a period of twelve (12) months (the “Severance Period”). Payment will be made in regular monthly installments by check, or direct deposit beginning on the first regular payday following the Separation Date and irrevocability of this Agreement (and may contain a pro rata payment to account for any prepaid, but unearned salary). In the event Executive dies before the last payment is made hereunder, the balance of such payments shall be paid to his spouse or, if he shall have no such spouse at that time, to his estate.</w:t>
      </w:r>
    </w:p>
    <w:p>
      <w:pPr>
        <w:spacing w:after="0" w:line="2" w:lineRule="exact"/>
        <w:rPr>
          <w:sz w:val="20"/>
          <w:szCs w:val="20"/>
          <w:color w:val="auto"/>
        </w:rPr>
      </w:pPr>
    </w:p>
    <w:p>
      <w:pPr>
        <w:jc w:val="both"/>
        <w:ind w:left="4" w:hanging="4"/>
        <w:spacing w:after="0" w:line="267" w:lineRule="auto"/>
        <w:tabs>
          <w:tab w:leader="none" w:pos="80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Should Executive elect, pursuant to the protections afforded by the Consolidated Omnibus Budget Reconciliation Act (“COBRA”), to continue group health care coverage as is from time to time provided by or through Albany to all similarly situated eligible employees, Albany shall pay the then applicable COBRA premium for each month of Executive’s eligibility through the Severance Period, or until Executive terminates such coverage, whichever shall occur first. </w:t>
      </w:r>
      <w:r>
        <w:rPr>
          <w:rFonts w:ascii="Arial" w:cs="Arial" w:eastAsia="Arial" w:hAnsi="Arial"/>
          <w:sz w:val="19"/>
          <w:szCs w:val="19"/>
          <w:b w:val="1"/>
          <w:bCs w:val="1"/>
          <w:color w:val="auto"/>
        </w:rPr>
        <w:t>Notwithstanding the foregoing, the parties acknowledge that Executive’s COBRA election could result in the</w:t>
      </w:r>
    </w:p>
    <w:p>
      <w:pPr>
        <w:jc w:val="both"/>
        <w:ind w:left="4"/>
        <w:spacing w:after="0" w:line="267" w:lineRule="auto"/>
        <w:rPr>
          <w:rFonts w:ascii="Arial" w:cs="Arial" w:eastAsia="Arial" w:hAnsi="Arial"/>
          <w:sz w:val="19"/>
          <w:szCs w:val="19"/>
          <w:color w:val="auto"/>
        </w:rPr>
      </w:pPr>
      <w:r>
        <w:rPr>
          <w:rFonts w:ascii="Arial" w:cs="Arial" w:eastAsia="Arial" w:hAnsi="Arial"/>
          <w:sz w:val="19"/>
          <w:szCs w:val="19"/>
          <w:b w:val="1"/>
          <w:bCs w:val="1"/>
          <w:color w:val="auto"/>
        </w:rPr>
        <w:t>Executive’s irrevocable forfeiture of any retiree health care benefits he might otherwise be entitled to receive under the applicable company-sponsored health care plan, and that it may be more advantageous for Executive to elect retiree health care benefits under such plan as of his Separation Date. This election must be made on or before the last day of employment. In the event Executive elects retiree health care as of the Separation Date, Albany shall pay Employee an additional monthly sum of $1,300 per month for a period of 12 months. This payment will be paid directly to Executive (subject to tax withholdings) as an additional severance payment</w:t>
      </w:r>
      <w:r>
        <w:rPr>
          <w:rFonts w:ascii="Arial" w:cs="Arial" w:eastAsia="Arial" w:hAnsi="Arial"/>
          <w:sz w:val="19"/>
          <w:szCs w:val="19"/>
          <w:color w:val="auto"/>
        </w:rPr>
        <w:t>.</w:t>
      </w:r>
    </w:p>
    <w:p>
      <w:pPr>
        <w:jc w:val="both"/>
        <w:ind w:left="4" w:hanging="4"/>
        <w:spacing w:after="0" w:line="230" w:lineRule="auto"/>
        <w:tabs>
          <w:tab w:leader="none" w:pos="77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Albany reserves the right to modify, supplement, amend or eliminate the coverages described in clauses (b) above for all similarly situated employees, including, without limitation, the eligibility requirements and/or premiums, deductibles, co-payments or other charges relating thereto.</w:t>
      </w:r>
    </w:p>
    <w:p>
      <w:pPr>
        <w:spacing w:after="0" w:line="2" w:lineRule="exact"/>
        <w:rPr>
          <w:rFonts w:ascii="Arial" w:cs="Arial" w:eastAsia="Arial" w:hAnsi="Arial"/>
          <w:sz w:val="22"/>
          <w:szCs w:val="22"/>
          <w:color w:val="auto"/>
        </w:rPr>
      </w:pPr>
    </w:p>
    <w:p>
      <w:pPr>
        <w:jc w:val="both"/>
        <w:ind w:left="4" w:hanging="4"/>
        <w:spacing w:after="0" w:line="230" w:lineRule="auto"/>
        <w:tabs>
          <w:tab w:leader="none" w:pos="998"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Executive shall remain eligible for a bonuses relating to the services he performed in 2019 and those he will perform in 2020. Any bonuses awarded shall be determined and paid in accordance with Albany’s annual performance incentive plan and, with respect to the bonus for services to be performed in 2020, shall be prorated for the actual time worked.</w:t>
      </w:r>
    </w:p>
    <w:p>
      <w:pPr>
        <w:spacing w:after="0" w:line="2" w:lineRule="exact"/>
        <w:rPr>
          <w:rFonts w:ascii="Arial" w:cs="Arial" w:eastAsia="Arial" w:hAnsi="Arial"/>
          <w:sz w:val="22"/>
          <w:szCs w:val="22"/>
          <w:color w:val="auto"/>
        </w:rPr>
      </w:pPr>
    </w:p>
    <w:p>
      <w:pPr>
        <w:jc w:val="both"/>
        <w:ind w:left="4" w:hanging="4"/>
        <w:spacing w:after="0" w:line="230" w:lineRule="auto"/>
        <w:tabs>
          <w:tab w:leader="none" w:pos="85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compensate Executive for the loss of any unvested phantom stock units previously granted, Albany shall pay Executive an additional lump sum payment equal to one-half of the unvested restricted stock units forfeited as a result of his retirement on the Separation Date. Such payment may be delayed until the first regularly-scheduled payroll date following the sixth month anniversary of Executive’s Separation Date if required by law. The amount of such payment shall be calculated in accordance with formula applicable for calculating the payment of the restricted stock units which vest as a result of his termination.</w:t>
      </w:r>
    </w:p>
    <w:p>
      <w:pPr>
        <w:spacing w:after="0" w:line="4" w:lineRule="exact"/>
        <w:rPr>
          <w:rFonts w:ascii="Arial" w:cs="Arial" w:eastAsia="Arial" w:hAnsi="Arial"/>
          <w:sz w:val="22"/>
          <w:szCs w:val="22"/>
          <w:color w:val="auto"/>
        </w:rPr>
      </w:pPr>
    </w:p>
    <w:p>
      <w:pPr>
        <w:ind w:left="4" w:right="20" w:hanging="4"/>
        <w:spacing w:after="0" w:line="230" w:lineRule="auto"/>
        <w:tabs>
          <w:tab w:leader="none" w:pos="913" w:val="left"/>
        </w:tabs>
        <w:numPr>
          <w:ilvl w:val="0"/>
          <w:numId w:val="90"/>
        </w:numPr>
        <w:rPr>
          <w:rFonts w:ascii="Arial" w:cs="Arial" w:eastAsia="Arial" w:hAnsi="Arial"/>
          <w:sz w:val="22"/>
          <w:szCs w:val="22"/>
          <w:color w:val="auto"/>
        </w:rPr>
      </w:pPr>
      <w:r>
        <w:rPr>
          <w:rFonts w:ascii="Arial" w:cs="Arial" w:eastAsia="Arial" w:hAnsi="Arial"/>
          <w:sz w:val="22"/>
          <w:szCs w:val="22"/>
          <w:color w:val="auto"/>
        </w:rPr>
        <w:t>Effective on the Separation Date, Executive will no longer be an employee of Albany, and will cease to accrue benefits under any pension, 401(k), profit-sharing or other Albany employee welfare benefit plan.</w:t>
      </w:r>
    </w:p>
    <w:p>
      <w:pPr>
        <w:spacing w:after="0" w:line="1" w:lineRule="exact"/>
        <w:rPr>
          <w:rFonts w:ascii="Arial" w:cs="Arial" w:eastAsia="Arial" w:hAnsi="Arial"/>
          <w:sz w:val="22"/>
          <w:szCs w:val="22"/>
          <w:color w:val="auto"/>
        </w:rPr>
      </w:pPr>
    </w:p>
    <w:p>
      <w:pPr>
        <w:ind w:left="4" w:hanging="4"/>
        <w:spacing w:after="0" w:line="237" w:lineRule="auto"/>
        <w:tabs>
          <w:tab w:leader="none" w:pos="985"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unpaid severance or other benefits hereunder shall be suspended if Executive remains employed, or is re-employed, by the Company in any capacity during the Severance Period.</w:t>
      </w:r>
    </w:p>
    <w:p>
      <w:pPr>
        <w:spacing w:after="0" w:line="158"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684"/>
          </w:cols>
          <w:pgMar w:left="896" w:top="582" w:right="319" w:bottom="1440" w:gutter="0" w:footer="0" w:header="0"/>
        </w:sectPr>
      </w:pPr>
    </w:p>
    <w:bookmarkStart w:id="138" w:name="page139"/>
    <w:bookmarkEnd w:id="138"/>
    <w:p>
      <w:pPr>
        <w:ind w:left="-20" w:firstLine="656"/>
        <w:spacing w:after="0" w:line="275" w:lineRule="auto"/>
        <w:tabs>
          <w:tab w:leader="none" w:pos="1277"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Executive acknowledges and agrees that, except for this Agreement, Executive would have no right to receive the benefits described in Paragraph 9. Executive further acknowledges and agrees that in the event Executive voluntarily terminates his employment with Albany prior to the Separation Date, or if Albany terminates Executive’s employment for Cause, he shall then not be entitled to any of the severance benefits described in Paragraph 9. In addition, Albany may, in its sole discretion, release Executive from his duties prior to June 30, 2020 without terminating Executive’s employment, in which event the commencement of severance benefits would be delayed until the Separation Date and Executive would remain an employee of Albany until the Separation Date entitled to receive, through the Separation Date, his salary and all other employee benefits </w:t>
      </w:r>
      <w:r>
        <w:rPr>
          <w:rFonts w:ascii="Arial" w:cs="Arial" w:eastAsia="Arial" w:hAnsi="Arial"/>
          <w:sz w:val="19"/>
          <w:szCs w:val="19"/>
          <w:b w:val="1"/>
          <w:bCs w:val="1"/>
          <w:u w:val="single" w:color="auto"/>
          <w:color w:val="auto"/>
        </w:rPr>
        <w:t>except</w:t>
      </w:r>
      <w:r>
        <w:rPr>
          <w:rFonts w:ascii="Arial" w:cs="Arial" w:eastAsia="Arial" w:hAnsi="Arial"/>
          <w:sz w:val="19"/>
          <w:szCs w:val="19"/>
          <w:color w:val="auto"/>
        </w:rPr>
        <w:t xml:space="preserve"> group life and disability insurance, which would terminate upon a release from duties.</w:t>
      </w:r>
    </w:p>
    <w:p>
      <w:pPr>
        <w:spacing w:after="0" w:line="171" w:lineRule="exact"/>
        <w:rPr>
          <w:rFonts w:ascii="Arial" w:cs="Arial" w:eastAsia="Arial" w:hAnsi="Arial"/>
          <w:sz w:val="19"/>
          <w:szCs w:val="19"/>
          <w:color w:val="auto"/>
        </w:rPr>
      </w:pPr>
    </w:p>
    <w:p>
      <w:pPr>
        <w:ind w:left="-20" w:right="80" w:firstLine="656"/>
        <w:spacing w:after="0" w:line="238" w:lineRule="auto"/>
        <w:tabs>
          <w:tab w:leader="none" w:pos="1257" w:val="left"/>
        </w:tabs>
        <w:numPr>
          <w:ilvl w:val="0"/>
          <w:numId w:val="91"/>
        </w:numPr>
        <w:rPr>
          <w:rFonts w:ascii="Arial" w:cs="Arial" w:eastAsia="Arial" w:hAnsi="Arial"/>
          <w:sz w:val="22"/>
          <w:szCs w:val="22"/>
          <w:color w:val="auto"/>
        </w:rPr>
      </w:pPr>
      <w:r>
        <w:rPr>
          <w:rFonts w:ascii="Arial" w:cs="Arial" w:eastAsia="Arial" w:hAnsi="Arial"/>
          <w:sz w:val="22"/>
          <w:szCs w:val="22"/>
          <w:color w:val="auto"/>
        </w:rPr>
        <w:t>As used in this Agreement, the term “Albany” means, individually and collectively, Albany International Corp., and each of its subsidiaries and affiliates Albany, as well as their respective employee welfare benefit plans, employee pension benefit plans, successors and assigns, as well as all present and former shareholders, directors, officers, fiduciaries, agents, representatives and employees of those companies and other entities.</w:t>
      </w:r>
    </w:p>
    <w:p>
      <w:pPr>
        <w:spacing w:after="0" w:line="212" w:lineRule="exact"/>
        <w:rPr>
          <w:rFonts w:ascii="Arial" w:cs="Arial" w:eastAsia="Arial" w:hAnsi="Arial"/>
          <w:sz w:val="22"/>
          <w:szCs w:val="22"/>
          <w:color w:val="auto"/>
        </w:rPr>
      </w:pPr>
    </w:p>
    <w:p>
      <w:pPr>
        <w:ind w:left="-20" w:right="120" w:firstLine="656"/>
        <w:spacing w:after="0"/>
        <w:tabs>
          <w:tab w:leader="none" w:pos="1277" w:val="left"/>
        </w:tabs>
        <w:numPr>
          <w:ilvl w:val="0"/>
          <w:numId w:val="91"/>
        </w:numPr>
        <w:rPr>
          <w:rFonts w:ascii="Arial" w:cs="Arial" w:eastAsia="Arial" w:hAnsi="Arial"/>
          <w:sz w:val="22"/>
          <w:szCs w:val="22"/>
          <w:color w:val="auto"/>
        </w:rPr>
      </w:pPr>
      <w:r>
        <w:rPr>
          <w:rFonts w:ascii="Arial" w:cs="Arial" w:eastAsia="Arial" w:hAnsi="Arial"/>
          <w:sz w:val="22"/>
          <w:szCs w:val="22"/>
          <w:color w:val="auto"/>
        </w:rPr>
        <w:t>By signing this Agreement Executive immediately gives up and releases Albany from, and respect to, any and all rights and claims that Executive may have against Albany, whether or not Executive presently is aware of such rights or claims. In addition, and without limiting the foregoing:</w:t>
      </w:r>
    </w:p>
    <w:p>
      <w:pPr>
        <w:spacing w:after="0" w:line="213" w:lineRule="exact"/>
        <w:rPr>
          <w:sz w:val="20"/>
          <w:szCs w:val="20"/>
          <w:color w:val="auto"/>
        </w:rPr>
      </w:pPr>
    </w:p>
    <w:p>
      <w:pPr>
        <w:jc w:val="both"/>
        <w:ind w:left="640" w:right="60" w:hanging="4"/>
        <w:spacing w:after="0" w:line="271" w:lineRule="auto"/>
        <w:tabs>
          <w:tab w:leader="none" w:pos="1690" w:val="left"/>
        </w:tabs>
        <w:numPr>
          <w:ilvl w:val="0"/>
          <w:numId w:val="92"/>
        </w:numPr>
        <w:rPr>
          <w:rFonts w:ascii="Arial" w:cs="Arial" w:eastAsia="Arial" w:hAnsi="Arial"/>
          <w:sz w:val="19"/>
          <w:szCs w:val="19"/>
          <w:color w:val="auto"/>
        </w:rPr>
      </w:pPr>
      <w:r>
        <w:rPr>
          <w:rFonts w:ascii="Arial" w:cs="Arial" w:eastAsia="Arial" w:hAnsi="Arial"/>
          <w:sz w:val="19"/>
          <w:szCs w:val="19"/>
          <w:color w:val="auto"/>
        </w:rPr>
        <w:t>Executive on behalf of herself, his agents, spouse, representatives, assignees, attorneys, heirs, executors and administrators, fully releases Albany and Albany’s past and present successors, assigns, parents, divisions, subsidiaries, affiliates, officers, directors, shareholders, employees, agents and representatives from any and all liability, claims, demands, actions, causes of action, suits, grievances, debts, sums of moneys, controversies, agreements, promises, damages, back and front pay, costs, expenses, attorneys fees, and remedies of any type, which Executive now has or hereafter may have, by reason of any matter, cause, act or omission arising out of or in connection with Executive’s employment or the termination of his employment with Albany, including, without limiting the generality of the foregoing, any claims, demands or actions arising under the Age Discrimination in Employment Act of 1967, the Older Worker’s Benefit Protection Act, the Employee Retirement Income Security Act of 1974, Title VII of the Civil Rights Act of 1964, the Civil Rights act of 1991, the Civil Rights Act of 1866, the Rehabilitation Act of 1973, the Americans with Disabilities Act of 1990, and any other federal, state or local statute, ordinance or common law of any state regarding employment, discrimination in employment, or the termination of employment. Nothing herein, however, shall be deemed a waiver of any vested rights or entitlements Executive may have under any retirement or other employee benefit plans administered by Albany. Notwithstanding the foregoing, Executive is not waiving any right that cannot, as a matter of law, be voluntarily waived, including the right to file a claim, or participate in the adjudication of claim of discrimination filed with any state or federal administrative agency, though Executive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4662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60" w:top="807" w:right="259" w:bottom="1440" w:gutter="0" w:footer="0" w:header="0"/>
        </w:sectPr>
      </w:pPr>
    </w:p>
    <w:bookmarkStart w:id="139" w:name="page140"/>
    <w:bookmarkEnd w:id="139"/>
    <w:p>
      <w:pPr>
        <w:jc w:val="both"/>
        <w:ind w:left="640" w:right="80"/>
        <w:spacing w:after="0" w:line="268" w:lineRule="auto"/>
        <w:rPr>
          <w:sz w:val="20"/>
          <w:szCs w:val="20"/>
          <w:color w:val="auto"/>
        </w:rPr>
      </w:pPr>
      <w:r>
        <w:rPr>
          <w:rFonts w:ascii="Arial" w:cs="Arial" w:eastAsia="Arial" w:hAnsi="Arial"/>
          <w:sz w:val="19"/>
          <w:szCs w:val="19"/>
          <w:color w:val="auto"/>
        </w:rPr>
        <w:t xml:space="preserve">expressly waives any right to recover any monetary damages as a result of any claim being filed with any state or federal administrative agency, except to the extent such waiver is improper or invalid, including as described in the immediately following sentence. Notwithstanding anything herein or in any other agreement with or policy (including without limitation any code of conduct or employee manual) of the Company, nothing herein or therein is intended to or shall: (i) prohibit Executive from making reports of possible violations of federal law or regulation (even if Executive participated in such violations) to, and cooperating with,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(ii) require notification to or prior approval by the Company of any such reporting or cooperation; or (iii) result in a waiver or other limitation of Executive’s rights and remedies as a whistleblower, including to a monetary award; </w:t>
      </w:r>
      <w:r>
        <w:rPr>
          <w:rFonts w:ascii="Arial" w:cs="Arial" w:eastAsia="Arial" w:hAnsi="Arial"/>
          <w:sz w:val="19"/>
          <w:szCs w:val="19"/>
          <w:u w:val="single" w:color="auto"/>
          <w:color w:val="auto"/>
        </w:rPr>
        <w:t>provided, however, that</w:t>
      </w:r>
      <w:r>
        <w:rPr>
          <w:rFonts w:ascii="Arial" w:cs="Arial" w:eastAsia="Arial" w:hAnsi="Arial"/>
          <w:sz w:val="19"/>
          <w:szCs w:val="19"/>
          <w:color w:val="auto"/>
        </w:rPr>
        <w:t xml:space="preserve"> Executive is not authorized (and the above should not be read as permitting Executive) to disclose communications that were made for the purpose of receiving legal advice or that contain legal advice or that are protected by the attorney work product or similar privilege. Furthermore, Executive will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4" w:lineRule="exact"/>
        <w:rPr>
          <w:sz w:val="20"/>
          <w:szCs w:val="20"/>
          <w:color w:val="auto"/>
        </w:rPr>
      </w:pPr>
    </w:p>
    <w:p>
      <w:pPr>
        <w:jc w:val="both"/>
        <w:ind w:left="640" w:right="80" w:hanging="4"/>
        <w:spacing w:after="0" w:line="234" w:lineRule="auto"/>
        <w:tabs>
          <w:tab w:leader="none" w:pos="1364"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Executive breaches any obligation under this Agreement, including without limitation the obligations set forth in Paragraphs 14, 15, or 16, Executive agrees that Albany shall not be obligated to continue to make payments under Paragraph 9, and to reimburse Albany for all payments made pursuant to Paragraph 9.</w:t>
      </w:r>
    </w:p>
    <w:p>
      <w:pPr>
        <w:spacing w:after="0" w:line="214" w:lineRule="exact"/>
        <w:rPr>
          <w:sz w:val="20"/>
          <w:szCs w:val="20"/>
          <w:color w:val="auto"/>
        </w:rPr>
      </w:pPr>
    </w:p>
    <w:p>
      <w:pPr>
        <w:ind w:left="-20" w:right="100" w:firstLine="656"/>
        <w:spacing w:after="0" w:line="251" w:lineRule="auto"/>
        <w:tabs>
          <w:tab w:leader="none" w:pos="16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This Agreement does not constitute an admission by Albany of any liability to Executive, and Executive understands and agrees that Albany denies any such liability to Executive.</w:t>
      </w:r>
    </w:p>
    <w:p>
      <w:pPr>
        <w:spacing w:after="0" w:line="200" w:lineRule="exact"/>
        <w:rPr>
          <w:rFonts w:ascii="Arial" w:cs="Arial" w:eastAsia="Arial" w:hAnsi="Arial"/>
          <w:sz w:val="22"/>
          <w:szCs w:val="22"/>
          <w:color w:val="auto"/>
        </w:rPr>
      </w:pPr>
    </w:p>
    <w:p>
      <w:pPr>
        <w:jc w:val="both"/>
        <w:ind w:left="-20" w:right="80" w:firstLine="656"/>
        <w:spacing w:after="0" w:line="235" w:lineRule="auto"/>
        <w:tabs>
          <w:tab w:leader="none" w:pos="1407" w:val="left"/>
        </w:tabs>
        <w:numPr>
          <w:ilvl w:val="0"/>
          <w:numId w:val="94"/>
        </w:numPr>
        <w:rPr>
          <w:rFonts w:ascii="Arial" w:cs="Arial" w:eastAsia="Arial" w:hAnsi="Arial"/>
          <w:sz w:val="22"/>
          <w:szCs w:val="22"/>
          <w:color w:val="auto"/>
        </w:rPr>
      </w:pPr>
      <w:r>
        <w:rPr>
          <w:rFonts w:ascii="Arial" w:cs="Arial" w:eastAsia="Arial" w:hAnsi="Arial"/>
          <w:sz w:val="22"/>
          <w:szCs w:val="22"/>
          <w:color w:val="auto"/>
        </w:rPr>
        <w:t>Executive specifically agrees and promises that he will not directly or indirectly disparage Albany, (as defined in Paragraph 11) or any of Albany’s officers, directors, employees, attorneys or representatives, or any of Albany’s products or services in any manner, at any time, to any person or entity. Albany specifically agrees and promises that it will not directly or indirectly disparage Executive in any manner, at any time, to any person or entity. “Disparage” is defined as, but not limited to, any utterance whatsoever either verbal, in writing, by gesture or any behavior of any kind that might tend to or actually harm or injure the other party, whether intended or not.</w:t>
      </w:r>
    </w:p>
    <w:p>
      <w:pPr>
        <w:spacing w:after="0" w:line="215" w:lineRule="exact"/>
        <w:rPr>
          <w:rFonts w:ascii="Arial" w:cs="Arial" w:eastAsia="Arial" w:hAnsi="Arial"/>
          <w:sz w:val="22"/>
          <w:szCs w:val="22"/>
          <w:color w:val="auto"/>
        </w:rPr>
      </w:pPr>
    </w:p>
    <w:p>
      <w:pPr>
        <w:jc w:val="both"/>
        <w:ind w:left="-20" w:firstLine="656"/>
        <w:spacing w:after="0" w:line="252" w:lineRule="auto"/>
        <w:tabs>
          <w:tab w:leader="none" w:pos="1593" w:val="left"/>
        </w:tabs>
        <w:numPr>
          <w:ilvl w:val="0"/>
          <w:numId w:val="94"/>
        </w:numPr>
        <w:rPr>
          <w:rFonts w:ascii="Arial" w:cs="Arial" w:eastAsia="Arial" w:hAnsi="Arial"/>
          <w:sz w:val="21"/>
          <w:szCs w:val="21"/>
          <w:color w:val="auto"/>
        </w:rPr>
      </w:pPr>
      <w:r>
        <w:rPr>
          <w:rFonts w:ascii="Arial" w:cs="Arial" w:eastAsia="Arial" w:hAnsi="Arial"/>
          <w:sz w:val="21"/>
          <w:szCs w:val="21"/>
          <w:color w:val="auto"/>
        </w:rPr>
        <w:t>Executive acknowledges that as a consequence of his employment by Albany, proprietary and confidential information relating to the business of Albany may be or have been disclosed to or developed or acquired by Executive which is not generally known to the trade or the general public and which is of considerable value to Albany. Such information includes, without limitation, information about trade secrets, inventions, patents, licenses, research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4662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60" w:top="577" w:right="239" w:bottom="1440" w:gutter="0" w:footer="0" w:header="0"/>
        </w:sectPr>
      </w:pPr>
    </w:p>
    <w:bookmarkStart w:id="140" w:name="page141"/>
    <w:bookmarkEnd w:id="140"/>
    <w:p>
      <w:pPr>
        <w:jc w:val="both"/>
        <w:spacing w:after="0" w:line="245" w:lineRule="auto"/>
        <w:rPr>
          <w:sz w:val="20"/>
          <w:szCs w:val="20"/>
          <w:color w:val="auto"/>
        </w:rPr>
      </w:pPr>
      <w:r>
        <w:rPr>
          <w:rFonts w:ascii="Arial" w:cs="Arial" w:eastAsia="Arial" w:hAnsi="Arial"/>
          <w:sz w:val="21"/>
          <w:szCs w:val="21"/>
          <w:color w:val="auto"/>
        </w:rPr>
        <w:t>projects, costs, profits, markets, sales, customer lists, computer programs, records, and software; plans for future development, and any other information not available to the trade or the general public, including information obtained from or developed in conjunction with a third party that is subject to a confidentiality or similar agreement between Albany and such third party. Executive acknowledges and agrees that his relationship with Albany with respect to such information is and shall be fiduciary in nature. During the remainder of, and after, his employment by Albany, Executive shall not use such information for his own benefit, or for the benefit of any other employer or for any other purpose whatsoever other than the performance of his work for Albany, and Executive shall maintain all such information in confidence and shall not disclose any thereof to any person other than employees of Albany authorized to receive such information. This obligation is in addition to any similar obligations of Executive pursuant to the other agreements. Executive further agrees to return any property belonging to Albany at the end of his employment.</w:t>
      </w:r>
    </w:p>
    <w:p>
      <w:pPr>
        <w:spacing w:after="0" w:line="209" w:lineRule="exact"/>
        <w:rPr>
          <w:sz w:val="20"/>
          <w:szCs w:val="20"/>
          <w:color w:val="auto"/>
        </w:rPr>
      </w:pPr>
    </w:p>
    <w:p>
      <w:pPr>
        <w:ind w:firstLine="656"/>
        <w:spacing w:after="0" w:line="251" w:lineRule="auto"/>
        <w:tabs>
          <w:tab w:leader="none" w:pos="1366" w:val="left"/>
        </w:tabs>
        <w:numPr>
          <w:ilvl w:val="0"/>
          <w:numId w:val="95"/>
        </w:numPr>
        <w:rPr>
          <w:rFonts w:ascii="Arial" w:cs="Arial" w:eastAsia="Arial" w:hAnsi="Arial"/>
          <w:sz w:val="22"/>
          <w:szCs w:val="22"/>
          <w:color w:val="auto"/>
        </w:rPr>
      </w:pPr>
      <w:r>
        <w:rPr>
          <w:rFonts w:ascii="Arial" w:cs="Arial" w:eastAsia="Arial" w:hAnsi="Arial"/>
          <w:sz w:val="22"/>
          <w:szCs w:val="22"/>
          <w:color w:val="auto"/>
        </w:rPr>
        <w:t>Executive further acknowledges and recognizes the highly competitive nature of Albany’s business and accordingly agrees as follows:</w:t>
      </w:r>
    </w:p>
    <w:p>
      <w:pPr>
        <w:spacing w:after="0" w:line="200" w:lineRule="exact"/>
        <w:rPr>
          <w:sz w:val="20"/>
          <w:szCs w:val="20"/>
          <w:color w:val="auto"/>
        </w:rPr>
      </w:pPr>
    </w:p>
    <w:p>
      <w:pPr>
        <w:jc w:val="both"/>
        <w:ind w:left="660" w:hanging="4"/>
        <w:spacing w:after="0" w:line="236" w:lineRule="auto"/>
        <w:tabs>
          <w:tab w:leader="none" w:pos="1297" w:val="left"/>
        </w:tabs>
        <w:numPr>
          <w:ilvl w:val="0"/>
          <w:numId w:val="96"/>
        </w:numPr>
        <w:rPr>
          <w:rFonts w:ascii="Arial" w:cs="Arial" w:eastAsia="Arial" w:hAnsi="Arial"/>
          <w:sz w:val="22"/>
          <w:szCs w:val="22"/>
          <w:color w:val="auto"/>
        </w:rPr>
      </w:pPr>
      <w:r>
        <w:rPr>
          <w:rFonts w:ascii="Arial" w:cs="Arial" w:eastAsia="Arial" w:hAnsi="Arial"/>
          <w:sz w:val="22"/>
          <w:szCs w:val="22"/>
          <w:color w:val="auto"/>
        </w:rPr>
        <w:t>During the Severance Period, whether on Executive’s own behalf or on behalf of or in conjunction with any person, firm, partnership, joint venture, association, corporation or other business, organization, entity or enterprise whatsoever (“Person”), Executive shall not directly or indirectly:</w:t>
      </w:r>
    </w:p>
    <w:p>
      <w:pPr>
        <w:spacing w:after="0" w:line="1" w:lineRule="exact"/>
        <w:rPr>
          <w:sz w:val="20"/>
          <w:szCs w:val="20"/>
          <w:color w:val="auto"/>
        </w:rPr>
      </w:pPr>
    </w:p>
    <w:p>
      <w:pPr>
        <w:jc w:val="both"/>
        <w:ind w:left="660" w:hanging="4"/>
        <w:spacing w:after="0" w:line="230" w:lineRule="auto"/>
        <w:tabs>
          <w:tab w:leader="none" w:pos="1182" w:val="left"/>
        </w:tabs>
        <w:numPr>
          <w:ilvl w:val="0"/>
          <w:numId w:val="97"/>
        </w:numPr>
        <w:rPr>
          <w:rFonts w:ascii="Arial" w:cs="Arial" w:eastAsia="Arial" w:hAnsi="Arial"/>
          <w:sz w:val="22"/>
          <w:szCs w:val="22"/>
          <w:color w:val="auto"/>
        </w:rPr>
      </w:pPr>
      <w:r>
        <w:rPr>
          <w:rFonts w:ascii="Arial" w:cs="Arial" w:eastAsia="Arial" w:hAnsi="Arial"/>
          <w:sz w:val="22"/>
          <w:szCs w:val="22"/>
          <w:color w:val="auto"/>
        </w:rPr>
        <w:t>engage in any business which is in competition with the Company or any of its subsidiaries or affiliates in the same geographical areas as the Company or any of its subsidiaries or affiliates are engaged in their business (a “Competitive Business”);</w:t>
      </w:r>
    </w:p>
    <w:p>
      <w:pPr>
        <w:spacing w:after="0" w:line="2"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enter into the employ of, or render any services to, any Person in respect of any Competitive Business;</w:t>
      </w:r>
    </w:p>
    <w:p>
      <w:pPr>
        <w:jc w:val="both"/>
        <w:ind w:left="660" w:hanging="4"/>
        <w:spacing w:after="0" w:line="230" w:lineRule="auto"/>
        <w:tabs>
          <w:tab w:leader="none" w:pos="1076" w:val="left"/>
        </w:tabs>
        <w:numPr>
          <w:ilvl w:val="0"/>
          <w:numId w:val="99"/>
        </w:numPr>
        <w:rPr>
          <w:rFonts w:ascii="Arial" w:cs="Arial" w:eastAsia="Arial" w:hAnsi="Arial"/>
          <w:sz w:val="22"/>
          <w:szCs w:val="22"/>
          <w:color w:val="auto"/>
        </w:rPr>
      </w:pPr>
      <w:r>
        <w:rPr>
          <w:rFonts w:ascii="Arial" w:cs="Arial" w:eastAsia="Arial" w:hAnsi="Arial"/>
          <w:sz w:val="22"/>
          <w:szCs w:val="22"/>
          <w:color w:val="auto"/>
        </w:rPr>
        <w:t>acquire a financial interest in, or otherwise become actively involved with, any Competitive Business, directly or indirectly, as an individual, partner, shareholder, officer, director, principal, agent, trustee or consultant; provided, however, that in no event shall ownership of less than 2% of the outstanding capital stock of any corporation, in and of itself, be deemed a violation of this covenant if such capital stock is listed on a national securities exchange or regularly traded in an over-the-counter market; or</w:t>
      </w:r>
    </w:p>
    <w:p>
      <w:pPr>
        <w:spacing w:after="0" w:line="3" w:lineRule="exact"/>
        <w:rPr>
          <w:rFonts w:ascii="Arial" w:cs="Arial" w:eastAsia="Arial" w:hAnsi="Arial"/>
          <w:sz w:val="22"/>
          <w:szCs w:val="22"/>
          <w:color w:val="auto"/>
        </w:rPr>
      </w:pPr>
    </w:p>
    <w:p>
      <w:pPr>
        <w:ind w:left="660"/>
        <w:spacing w:after="0" w:line="308" w:lineRule="auto"/>
        <w:rPr>
          <w:rFonts w:ascii="Arial" w:cs="Arial" w:eastAsia="Arial" w:hAnsi="Arial"/>
          <w:sz w:val="22"/>
          <w:szCs w:val="22"/>
          <w:color w:val="auto"/>
        </w:rPr>
      </w:pPr>
      <w:r>
        <w:rPr>
          <w:rFonts w:ascii="Arial" w:cs="Arial" w:eastAsia="Arial" w:hAnsi="Arial"/>
          <w:sz w:val="19"/>
          <w:szCs w:val="19"/>
          <w:color w:val="auto"/>
        </w:rPr>
        <w:t>(iv) interfere with, or attempt to interfere with, any business relationships (whether formed before or after the Separation Date) between the Company or any of its subsidiaries or affiliates and their customers, clients, suppliers or investors.</w:t>
      </w:r>
    </w:p>
    <w:p>
      <w:pPr>
        <w:spacing w:after="0" w:line="150" w:lineRule="exact"/>
        <w:rPr>
          <w:sz w:val="20"/>
          <w:szCs w:val="20"/>
          <w:color w:val="auto"/>
        </w:rPr>
      </w:pPr>
    </w:p>
    <w:p>
      <w:pPr>
        <w:ind w:left="660" w:hanging="4"/>
        <w:spacing w:after="0" w:line="239" w:lineRule="auto"/>
        <w:tabs>
          <w:tab w:leader="none" w:pos="128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During the Severance Period, whether on Executive’s own behalf or on behalf of or in conjunction with any Person, Executive shall not directly or indirectly:</w:t>
      </w:r>
    </w:p>
    <w:p>
      <w:pPr>
        <w:ind w:left="660"/>
        <w:spacing w:after="0" w:line="230" w:lineRule="auto"/>
        <w:rPr>
          <w:rFonts w:ascii="Arial" w:cs="Arial" w:eastAsia="Arial" w:hAnsi="Arial"/>
          <w:sz w:val="22"/>
          <w:szCs w:val="22"/>
          <w:color w:val="auto"/>
        </w:rPr>
      </w:pPr>
      <w:r>
        <w:rPr>
          <w:rFonts w:ascii="Arial" w:cs="Arial" w:eastAsia="Arial" w:hAnsi="Arial"/>
          <w:sz w:val="22"/>
          <w:szCs w:val="22"/>
          <w:color w:val="auto"/>
        </w:rPr>
        <w:t>(i) solicit or encourage any employee of the Company or any of its subsidiaries or affiliates to leave the employment of the Company or any of its subsidiaries or affiliates; or</w:t>
      </w:r>
    </w:p>
    <w:p>
      <w:pPr>
        <w:spacing w:after="0" w:line="1" w:lineRule="exact"/>
        <w:rPr>
          <w:rFonts w:ascii="Arial" w:cs="Arial" w:eastAsia="Arial" w:hAnsi="Arial"/>
          <w:sz w:val="22"/>
          <w:szCs w:val="22"/>
          <w:color w:val="auto"/>
        </w:rPr>
      </w:pPr>
    </w:p>
    <w:p>
      <w:pPr>
        <w:ind w:left="660"/>
        <w:spacing w:after="0" w:line="237" w:lineRule="auto"/>
        <w:rPr>
          <w:rFonts w:ascii="Arial" w:cs="Arial" w:eastAsia="Arial" w:hAnsi="Arial"/>
          <w:sz w:val="22"/>
          <w:szCs w:val="22"/>
          <w:color w:val="auto"/>
        </w:rPr>
      </w:pPr>
      <w:r>
        <w:rPr>
          <w:rFonts w:ascii="Arial" w:cs="Arial" w:eastAsia="Arial" w:hAnsi="Arial"/>
          <w:sz w:val="22"/>
          <w:szCs w:val="22"/>
          <w:color w:val="auto"/>
        </w:rPr>
        <w:t>(ii) hire any such employee who was employed by the Company or any of its subsidiaries or affiliates as of the Separation Date or, if later, within the six-month period prior to such date of hire.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41" w:name="page142"/>
    <w:bookmarkEnd w:id="141"/>
    <w:p>
      <w:pPr>
        <w:jc w:val="both"/>
        <w:ind w:firstLine="648"/>
        <w:spacing w:after="0" w:line="275" w:lineRule="auto"/>
        <w:rPr>
          <w:sz w:val="20"/>
          <w:szCs w:val="20"/>
          <w:color w:val="auto"/>
        </w:rPr>
      </w:pPr>
      <w:r>
        <w:rPr>
          <w:rFonts w:ascii="Arial" w:cs="Arial" w:eastAsia="Arial" w:hAnsi="Arial"/>
          <w:sz w:val="19"/>
          <w:szCs w:val="19"/>
          <w:b w:val="1"/>
          <w:bCs w:val="1"/>
          <w:color w:val="auto"/>
        </w:rPr>
        <w:t>It is expressly understood and agreed by Executive that although Executive considers the restrictions in this Paragraph 16 to be reasonable, if a final determination is made by a court of competent jurisdiction or an arbitrator that the time or territory or any other restriction contained in this Paragraph 16 is an unenforceable restriction against Executive, the provisions of this Paragraph shall not be rendered void but shall be deemed amended to apply as to such maximum time and territory and to such maximum extent as such court or arbitrator may determine or indicate to be enforceable. It is also expressly agreed and acknowledged that Albany’s payment of the severance benefits under this Agreement shall be sufficient consideration for the covenants in this Paragraph. Thus, Executive acknowledges that if he breaches any obligation under this Paragraph, Albany shall be relieved from making any further payments under paragraph 10 hereof, and further agrees to reimburse Albany for all payments previously made pursuant to paragraph 9.</w:t>
      </w:r>
    </w:p>
    <w:p>
      <w:pPr>
        <w:spacing w:after="0" w:line="184" w:lineRule="exact"/>
        <w:rPr>
          <w:sz w:val="20"/>
          <w:szCs w:val="20"/>
          <w:color w:val="auto"/>
        </w:rPr>
      </w:pPr>
    </w:p>
    <w:p>
      <w:pPr>
        <w:jc w:val="both"/>
        <w:ind w:firstLine="656"/>
        <w:spacing w:after="0" w:line="282" w:lineRule="auto"/>
        <w:tabs>
          <w:tab w:leader="none" w:pos="142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This Agreement supersedes all prior oral or written understandings among the parties with respect to the subject matter herein and constitutes the entire agreement between Albany and Executive relating to the subject matter thereof, including, without limitation that certain Severance Agreement between the parties dated January 1, 2016. Neither this Agreement nor any provision thereof may be changed, waived, modified or amended orally, but only by a written instrument signed by the party against whom the enforcement of such change, waiver, modification or amendment is sought.</w:t>
      </w:r>
    </w:p>
    <w:p>
      <w:pPr>
        <w:spacing w:after="0" w:line="168" w:lineRule="exact"/>
        <w:rPr>
          <w:rFonts w:ascii="Arial" w:cs="Arial" w:eastAsia="Arial" w:hAnsi="Arial"/>
          <w:sz w:val="19"/>
          <w:szCs w:val="19"/>
          <w:color w:val="auto"/>
        </w:rPr>
      </w:pPr>
    </w:p>
    <w:p>
      <w:pPr>
        <w:ind w:right="360" w:firstLine="656"/>
        <w:spacing w:after="0" w:line="256" w:lineRule="auto"/>
        <w:tabs>
          <w:tab w:leader="none" w:pos="1297"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Executive acknowledges that he has read this entire Agreement, that he fully understands its meaning and effect, and that he has voluntarily signed this Agreement</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right="180" w:firstLine="656"/>
        <w:spacing w:after="0" w:line="284" w:lineRule="auto"/>
        <w:tabs>
          <w:tab w:leader="none" w:pos="1297"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Executive understands that the release contained in paragraph 12 hereof is a general release, and represents that he has been advised to seek counsel on the legal and practical effect of a general release, and recognizes that he is executing and delivering this release, intending thereby to be legally bound by the terms and provisions thereof, of his own free will, without promises or threats or the exertion of duress. He also acknowledges that he has had adequate time to review it, have it explained to her, and understands its provisions</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ind w:right="220" w:firstLine="656"/>
        <w:spacing w:after="0" w:line="238" w:lineRule="auto"/>
        <w:tabs>
          <w:tab w:leader="none" w:pos="129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Executive and Albany intend for every provision of this Agreement to be fully enforceable. But, if a court with jurisdiction over this Agreement determines that all or part of any provision of this Agreement is unenforceable for any reason, Albany and Executive intend for each remaining provision and part to be fully enforceable as though the unenforceable provision or part had not been included in this Agreement.</w:t>
      </w:r>
    </w:p>
    <w:p>
      <w:pPr>
        <w:spacing w:after="0" w:line="212" w:lineRule="exact"/>
        <w:rPr>
          <w:rFonts w:ascii="Arial" w:cs="Arial" w:eastAsia="Arial" w:hAnsi="Arial"/>
          <w:sz w:val="22"/>
          <w:szCs w:val="22"/>
          <w:color w:val="auto"/>
        </w:rPr>
      </w:pPr>
    </w:p>
    <w:p>
      <w:pPr>
        <w:ind w:right="220" w:firstLine="656"/>
        <w:spacing w:after="0" w:line="236" w:lineRule="auto"/>
        <w:tabs>
          <w:tab w:leader="none" w:pos="129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payments and the payment schedules set forth herein are intended to be exempt from, or comply with, Section 409A of the Internal Revenue Code (“Section 409A”). Accordingly, the Agreement shall be interpreted and performed so as to be exempt from Section 409A, but if that is not possible, the Agreement shall be interpreted and performed so as to comply with Section 409A. In the event any payments or benefits are deemed by the IRS to be non-compliant, this Agreement, at Executive’s option, shall be modified, to the extent practical,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2" w:name="page143"/>
    <w:bookmarkEnd w:id="142"/>
    <w:p>
      <w:pPr>
        <w:ind w:right="40"/>
        <w:spacing w:after="0" w:line="273" w:lineRule="auto"/>
        <w:rPr>
          <w:sz w:val="20"/>
          <w:szCs w:val="20"/>
          <w:color w:val="auto"/>
        </w:rPr>
      </w:pPr>
      <w:r>
        <w:rPr>
          <w:rFonts w:ascii="Arial" w:cs="Arial" w:eastAsia="Arial" w:hAnsi="Arial"/>
          <w:sz w:val="19"/>
          <w:szCs w:val="19"/>
          <w:color w:val="auto"/>
        </w:rPr>
        <w:t>so as to make it compliant by altering the payments or the timing of their receipt. The methodology to effect or address any necessary modifications shall be subject to reasonable and mutual agreement between the parties. It is the intent of the parties that this Agreement provides payments and benefits that are either exempt from the distribution requirements of Section 409A of Code, or satisfy those requirements. Any distribution that is subject to the requirements of Section 409A may only be made based on the Executive's "separation from service" (as that term is defined under the final regulations under Section 409A). Notwithstanding anything to the contrary in this Agreement, in the event that (i) a distribution of benefits is subject to Section 409A, (ii) at the time the distribution would otherwise be made to the Executive, the Executive is a "specified Executive" (as that term is defined in the final regulations under Section 409A), and (iii) the distribution would otherwise be made during the 6-month period commencing on the date of the Executive's separation from service, then such distribution will instead be paid to the Executive in a lump sum at the end of the 6-month period. The foregoing delay in the distribution of benefits shall be made in conformance with the final regulations under Section 409A.</w:t>
      </w:r>
    </w:p>
    <w:p>
      <w:pPr>
        <w:spacing w:after="0" w:line="183" w:lineRule="exact"/>
        <w:rPr>
          <w:sz w:val="20"/>
          <w:szCs w:val="20"/>
          <w:color w:val="auto"/>
        </w:rPr>
      </w:pPr>
    </w:p>
    <w:p>
      <w:pPr>
        <w:ind w:right="40" w:firstLine="656"/>
        <w:spacing w:after="0" w:line="251" w:lineRule="auto"/>
        <w:tabs>
          <w:tab w:leader="none" w:pos="129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Executive shall forfeit any unpaid severance benefits due pursuant to this Agreement and shall, upon demand, repay any severance benefits already paid hereunder if, after the Separation Date:</w:t>
      </w:r>
    </w:p>
    <w:p>
      <w:pPr>
        <w:spacing w:after="0" w:line="214" w:lineRule="exact"/>
        <w:rPr>
          <w:sz w:val="20"/>
          <w:szCs w:val="20"/>
          <w:color w:val="auto"/>
        </w:rPr>
      </w:pPr>
    </w:p>
    <w:p>
      <w:pPr>
        <w:ind w:left="660" w:right="560" w:hanging="4"/>
        <w:spacing w:after="0" w:line="239" w:lineRule="auto"/>
        <w:tabs>
          <w:tab w:leader="none" w:pos="95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there is a significant restatement of the Company’s financial results, caused or substantially caused by the fraud or intentional misconduct of the Executive;</w:t>
      </w:r>
    </w:p>
    <w:p>
      <w:pPr>
        <w:ind w:left="660" w:right="200" w:hanging="4"/>
        <w:spacing w:after="0" w:line="230" w:lineRule="auto"/>
        <w:tabs>
          <w:tab w:leader="none" w:pos="96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Executive breaches any provision of this Agreement, including, without limitation, the covenants set for in paragraphs 12, 14, 15 and 16 or</w:t>
      </w:r>
    </w:p>
    <w:p>
      <w:pPr>
        <w:spacing w:after="0" w:line="1" w:lineRule="exact"/>
        <w:rPr>
          <w:rFonts w:ascii="Arial" w:cs="Arial" w:eastAsia="Arial" w:hAnsi="Arial"/>
          <w:sz w:val="22"/>
          <w:szCs w:val="22"/>
          <w:color w:val="auto"/>
        </w:rPr>
      </w:pPr>
    </w:p>
    <w:p>
      <w:pPr>
        <w:ind w:left="660" w:right="520" w:hanging="4"/>
        <w:spacing w:after="0" w:line="237" w:lineRule="auto"/>
        <w:tabs>
          <w:tab w:leader="none" w:pos="95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Company discovers conduct by Executive that would have permitted termination for Cause, provided that such conduct occurred prior to the Separation Date.</w:t>
      </w:r>
    </w:p>
    <w:p>
      <w:pPr>
        <w:spacing w:after="0" w:line="50" w:lineRule="exact"/>
        <w:rPr>
          <w:sz w:val="20"/>
          <w:szCs w:val="20"/>
          <w:color w:val="auto"/>
        </w:rPr>
      </w:pPr>
    </w:p>
    <w:p>
      <w:pPr>
        <w:ind w:firstLine="656"/>
        <w:spacing w:after="0" w:line="246" w:lineRule="auto"/>
        <w:tabs>
          <w:tab w:leader="none" w:pos="128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Albany and Executive agree that a breach by Executive of the provisions of this Agreement may cause irreparable harm to the Company which will be difficult to quantify and for which money damages will not be adequate. Accordingly, the Executive agrees that Albany shall have the right to obtain an injunction against the Executive, without any requirement for posting any bond or other security, enjoining any such breach or threatened breach in addition to any other rights or remedies available to the Company on account of any breach or threatened breach of this Agreement. Executive and Albany each further agree that if an action is commenced by any party alleging breach of this Agreement, the non-prevailing party shall be liable to the prevailing party for any and all available legal and equitable relief, as well as reasonable attorneys' fees and costs associated with pursuing or defending such legal action.</w:t>
      </w:r>
    </w:p>
    <w:p>
      <w:pPr>
        <w:spacing w:after="0" w:line="207" w:lineRule="exact"/>
        <w:rPr>
          <w:rFonts w:ascii="Arial" w:cs="Arial" w:eastAsia="Arial" w:hAnsi="Arial"/>
          <w:sz w:val="21"/>
          <w:szCs w:val="21"/>
          <w:color w:val="auto"/>
        </w:rPr>
      </w:pPr>
    </w:p>
    <w:p>
      <w:pPr>
        <w:ind w:right="180" w:firstLine="656"/>
        <w:spacing w:after="0" w:line="251" w:lineRule="auto"/>
        <w:tabs>
          <w:tab w:leader="none" w:pos="129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terms of this agreement are binding upon and shall be for the benefit of Executive and Albany, as well as their respective heirs, executors, administrators, successors and assigns.</w:t>
      </w:r>
    </w:p>
    <w:p>
      <w:pPr>
        <w:spacing w:after="0" w:line="200" w:lineRule="exact"/>
        <w:rPr>
          <w:rFonts w:ascii="Arial" w:cs="Arial" w:eastAsia="Arial" w:hAnsi="Arial"/>
          <w:sz w:val="22"/>
          <w:szCs w:val="22"/>
          <w:color w:val="auto"/>
        </w:rPr>
      </w:pPr>
    </w:p>
    <w:p>
      <w:pPr>
        <w:ind w:right="100" w:firstLine="656"/>
        <w:spacing w:after="0" w:line="238" w:lineRule="auto"/>
        <w:tabs>
          <w:tab w:leader="none" w:pos="129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Notices or other deliveries required or permitted to be given or made under this Agreement by Executive to Albany shall, except to the extent otherwise required by law, be deemed given or made if delivered by hand or by express mail or overnight courier service to Albany International Corp., 455 Patroon Creek Blvd. Suite 206, Albany, New York 12206, Attention: Joseph M. Gaug.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77" w:right="279" w:bottom="1440" w:gutter="0" w:footer="0" w:header="0"/>
        </w:sectPr>
      </w:pPr>
    </w:p>
    <w:bookmarkStart w:id="143" w:name="page144"/>
    <w:bookmarkEnd w:id="143"/>
    <w:p>
      <w:pPr>
        <w:ind w:left="1300" w:hanging="644"/>
        <w:spacing w:after="0"/>
        <w:tabs>
          <w:tab w:leader="none" w:pos="13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State of New Hampshire.</w:t>
      </w:r>
    </w:p>
    <w:p>
      <w:pPr>
        <w:spacing w:after="0" w:line="200" w:lineRule="exact"/>
        <w:rPr>
          <w:sz w:val="20"/>
          <w:szCs w:val="20"/>
          <w:color w:val="auto"/>
        </w:rPr>
      </w:pPr>
    </w:p>
    <w:p>
      <w:pPr>
        <w:spacing w:after="0" w:line="311" w:lineRule="exact"/>
        <w:rPr>
          <w:sz w:val="20"/>
          <w:szCs w:val="20"/>
          <w:color w:val="auto"/>
        </w:rPr>
      </w:pPr>
    </w:p>
    <w:p>
      <w:pPr>
        <w:ind w:right="360" w:firstLine="648"/>
        <w:spacing w:after="0" w:line="251" w:lineRule="auto"/>
        <w:rPr>
          <w:sz w:val="20"/>
          <w:szCs w:val="20"/>
          <w:color w:val="auto"/>
        </w:rPr>
      </w:pPr>
      <w:r>
        <w:rPr>
          <w:rFonts w:ascii="Arial" w:cs="Arial" w:eastAsia="Arial" w:hAnsi="Arial"/>
          <w:sz w:val="22"/>
          <w:szCs w:val="22"/>
          <w:color w:val="auto"/>
        </w:rPr>
        <w:t>IN WITNESS WHEREOF, a duly authorized representative of Albany and Executive have signed this Agreement to be effective as of the day and year first set forth above.</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Albany International Corp.</w:t>
      </w:r>
    </w:p>
    <w:p>
      <w:pPr>
        <w:spacing w:after="0" w:line="200" w:lineRule="exact"/>
        <w:rPr>
          <w:sz w:val="20"/>
          <w:szCs w:val="20"/>
          <w:color w:val="auto"/>
        </w:rPr>
      </w:pPr>
    </w:p>
    <w:p>
      <w:pPr>
        <w:spacing w:after="0" w:line="290" w:lineRule="exact"/>
        <w:rPr>
          <w:sz w:val="20"/>
          <w:szCs w:val="20"/>
          <w:color w:val="auto"/>
        </w:rPr>
      </w:pPr>
    </w:p>
    <w:p>
      <w:pPr>
        <w:ind w:left="2600"/>
        <w:spacing w:after="0"/>
        <w:tabs>
          <w:tab w:leader="none" w:pos="736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M. Gaug</w:t>
      </w:r>
      <w:r>
        <w:rPr>
          <w:sz w:val="20"/>
          <w:szCs w:val="20"/>
          <w:color w:val="auto"/>
        </w:rPr>
        <w:tab/>
      </w:r>
      <w:r>
        <w:rPr>
          <w:rFonts w:ascii="Arial" w:cs="Arial" w:eastAsia="Arial" w:hAnsi="Arial"/>
          <w:sz w:val="19"/>
          <w:szCs w:val="19"/>
          <w:color w:val="auto"/>
        </w:rPr>
        <w:t>Date  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-17780</wp:posOffset>
            </wp:positionV>
            <wp:extent cx="12769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THE UNDERSIGNED FURTHER STATES THAT HE HAS CAREFULLY READ THE FOREGOING AGREEMENT AND KNOWS THE CONTENTS THEREOF AND SIGNS THE SAME AS HIS OWN FREE ACT. THIS AGREEMENT INCLUDES A RELEASE OF ALL KNOWN AND UNKNOWN CLAIMS.</w:t>
      </w:r>
    </w:p>
    <w:p>
      <w:pPr>
        <w:spacing w:after="0" w:line="391" w:lineRule="exact"/>
        <w:rPr>
          <w:sz w:val="20"/>
          <w:szCs w:val="20"/>
          <w:color w:val="auto"/>
        </w:rPr>
      </w:pPr>
    </w:p>
    <w:tbl>
      <w:tblPr>
        <w:tblLayout w:type="fixed"/>
        <w:tblInd w:w="2600" w:type="dxa"/>
        <w:tblCellMar>
          <w:top w:w="0" w:type="dxa"/>
          <w:left w:w="0" w:type="dxa"/>
          <w:bottom w:w="0" w:type="dxa"/>
          <w:right w:w="0" w:type="dxa"/>
        </w:tblCellMar>
      </w:tblPr>
      <w:tr>
        <w:trPr>
          <w:trHeight w:val="280"/>
        </w:trPr>
        <w:tc>
          <w:tcPr>
            <w:tcW w:w="1920" w:type="dxa"/>
            <w:vAlign w:val="bottom"/>
          </w:tcPr>
          <w:p>
            <w:pPr>
              <w:spacing w:after="0"/>
              <w:rPr>
                <w:sz w:val="20"/>
                <w:szCs w:val="20"/>
                <w:color w:val="auto"/>
              </w:rPr>
            </w:pPr>
            <w:r>
              <w:rPr>
                <w:rFonts w:ascii="Arial" w:cs="Arial" w:eastAsia="Arial" w:hAnsi="Arial"/>
                <w:sz w:val="22"/>
                <w:szCs w:val="22"/>
                <w:color w:val="auto"/>
                <w:w w:val="86"/>
              </w:rPr>
              <w:t>/s/ Charles J. Silva, Jr.</w:t>
            </w:r>
          </w:p>
        </w:tc>
        <w:tc>
          <w:tcPr>
            <w:tcW w:w="5100" w:type="dxa"/>
            <w:vAlign w:val="bottom"/>
            <w:gridSpan w:val="2"/>
          </w:tcPr>
          <w:p>
            <w:pPr>
              <w:ind w:left="2300"/>
              <w:spacing w:after="0"/>
              <w:rPr>
                <w:sz w:val="20"/>
                <w:szCs w:val="20"/>
                <w:color w:val="auto"/>
              </w:rPr>
            </w:pPr>
            <w:r>
              <w:rPr>
                <w:rFonts w:ascii="Arial" w:cs="Arial" w:eastAsia="Arial" w:hAnsi="Arial"/>
                <w:sz w:val="22"/>
                <w:szCs w:val="22"/>
                <w:color w:val="auto"/>
              </w:rPr>
              <w:t>Date Dec. 12, 2019</w:t>
            </w:r>
          </w:p>
        </w:tc>
      </w:tr>
      <w:tr>
        <w:trPr>
          <w:trHeight w:val="280"/>
        </w:trPr>
        <w:tc>
          <w:tcPr>
            <w:tcW w:w="19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Charles J. Silva, Jr.</w:t>
            </w:r>
          </w:p>
        </w:tc>
        <w:tc>
          <w:tcPr>
            <w:tcW w:w="230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COMPANY USE ONLY</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The foregoing Mutual Separation Agreement and General Release, signed and dated by Executive, was received by me on behalf of Albany International Corp. this </w:t>
      </w:r>
      <w:r>
        <w:rPr>
          <w:rFonts w:ascii="Arial" w:cs="Arial" w:eastAsia="Arial" w:hAnsi="Arial"/>
          <w:sz w:val="22"/>
          <w:szCs w:val="22"/>
          <w:u w:val="single" w:color="auto"/>
          <w:color w:val="auto"/>
        </w:rPr>
        <w:t>_20th</w:t>
      </w:r>
      <w:r>
        <w:rPr>
          <w:rFonts w:ascii="Arial" w:cs="Arial" w:eastAsia="Arial" w:hAnsi="Arial"/>
          <w:sz w:val="22"/>
          <w:szCs w:val="22"/>
          <w:color w:val="auto"/>
        </w:rPr>
        <w:t>__ day of January, 2020.</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Joseph M. Gaug</w:t>
      </w:r>
      <w:r>
        <w:rPr>
          <w:rFonts w:ascii="Arial" w:cs="Arial" w:eastAsia="Arial" w:hAnsi="Arial"/>
          <w:sz w:val="22"/>
          <w:szCs w:val="22"/>
          <w:color w:val="auto"/>
        </w:rPr>
        <w:t>________________________</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Joseph M. Gaug</w:t>
      </w:r>
    </w:p>
    <w:p>
      <w:pPr>
        <w:spacing w:after="0" w:line="161"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807" w:right="3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2"/>
          <w:szCs w:val="22"/>
          <w:u w:val="single" w:color="auto"/>
          <w:color w:val="auto"/>
        </w:rPr>
        <w:t>SUPPLEMENTAL RELEASE</w:t>
      </w:r>
    </w:p>
    <w:p>
      <w:pPr>
        <w:spacing w:after="0" w:line="233"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This supplemental release given to Albany International Corp. ("Albany") by Charles J. Silva, Jr. "Executive") is executed in consideration for the covenants made by Albany in a Release and Separation Agreement dated as of December 12, 2019.</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The Executive and his heirs, assigns, and agents release, waive, and discharge Albany, its directors, officers, employees, subsidiaries, affiliates, and agents from each and every claim, action or right of any sort, known or unknown, arising on or before the date of this Supplemental Release.</w:t>
      </w:r>
    </w:p>
    <w:p>
      <w:pPr>
        <w:spacing w:after="0" w:line="213" w:lineRule="exact"/>
        <w:rPr>
          <w:sz w:val="20"/>
          <w:szCs w:val="20"/>
          <w:color w:val="auto"/>
        </w:rPr>
      </w:pPr>
    </w:p>
    <w:p>
      <w:pPr>
        <w:ind w:right="140" w:firstLine="646"/>
        <w:spacing w:after="0" w:line="249" w:lineRule="auto"/>
        <w:tabs>
          <w:tab w:leader="none" w:pos="1112"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foregoing release includes, but is not limited to, any claim of discrimination on the basis of race, sex, religion, marital status, sexual orientation, national origin, handicap or disability, age, veteran status, special disabled veteran status, citizenship status; any other claim based on a statutory prohibition; any claim arising out of or related to an express or implied employment contract, any other contract affecting terms and conditions of employment, or a covenant of good faith and fair dealing; all tort claims; and all claims for attorney’s fees or expenses.</w:t>
      </w:r>
    </w:p>
    <w:p>
      <w:pPr>
        <w:spacing w:after="0" w:line="205" w:lineRule="exact"/>
        <w:rPr>
          <w:rFonts w:ascii="Arial" w:cs="Arial" w:eastAsia="Arial" w:hAnsi="Arial"/>
          <w:sz w:val="21"/>
          <w:szCs w:val="21"/>
          <w:color w:val="auto"/>
        </w:rPr>
      </w:pPr>
    </w:p>
    <w:p>
      <w:pPr>
        <w:ind w:right="340" w:firstLine="646"/>
        <w:spacing w:after="0" w:line="297" w:lineRule="auto"/>
        <w:tabs>
          <w:tab w:leader="none" w:pos="111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Executive represents that he understands the foregoing release, that rights and claims under the Age Discrimination in Employment Act of 1967, as amended, are among the rights and claims against Albany he is releasing, and that he understands that he is not releasing any rights or claims arising after the date of this Supplemental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spacing w:after="0"/>
        <w:tabs>
          <w:tab w:leader="none" w:pos="3700" w:val="left"/>
        </w:tabs>
        <w:rPr>
          <w:sz w:val="20"/>
          <w:szCs w:val="20"/>
          <w:color w:val="auto"/>
        </w:rPr>
      </w:pPr>
      <w:r>
        <w:rPr>
          <w:rFonts w:ascii="Arial" w:cs="Arial" w:eastAsia="Arial" w:hAnsi="Arial"/>
          <w:sz w:val="22"/>
          <w:szCs w:val="22"/>
          <w:color w:val="auto"/>
        </w:rPr>
        <w:t>____________________</w:t>
      </w:r>
      <w:r>
        <w:rPr>
          <w:sz w:val="20"/>
          <w:szCs w:val="20"/>
          <w:color w:val="auto"/>
        </w:rPr>
        <w:tab/>
      </w:r>
      <w:r>
        <w:rPr>
          <w:rFonts w:ascii="Arial" w:cs="Arial" w:eastAsia="Arial" w:hAnsi="Arial"/>
          <w:sz w:val="22"/>
          <w:szCs w:val="22"/>
          <w:color w:val="auto"/>
        </w:rPr>
        <w:t>DATE:_________________</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Charles J. Silva,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WITNESS:_____________________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59055</wp:posOffset>
            </wp:positionV>
            <wp:extent cx="7246620" cy="43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60"/>
          </w:cols>
          <w:pgMar w:left="380" w:top="807" w:right="35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i w:val="1"/>
          <w:iCs w:val="1"/>
          <w:u w:val="single" w:color="auto"/>
          <w:color w:val="auto"/>
        </w:rPr>
        <w:t>Exhibit 10(u)(v)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General Release and Separation Agreement</w:t>
      </w:r>
    </w:p>
    <w:p>
      <w:pPr>
        <w:spacing w:after="0" w:line="215" w:lineRule="exact"/>
        <w:rPr>
          <w:sz w:val="20"/>
          <w:szCs w:val="20"/>
          <w:color w:val="auto"/>
        </w:rPr>
      </w:pPr>
    </w:p>
    <w:p>
      <w:pPr>
        <w:ind w:right="660" w:firstLine="648"/>
        <w:spacing w:after="0" w:line="328" w:lineRule="auto"/>
        <w:rPr>
          <w:sz w:val="20"/>
          <w:szCs w:val="20"/>
          <w:color w:val="auto"/>
        </w:rPr>
      </w:pPr>
      <w:r>
        <w:rPr>
          <w:rFonts w:ascii="Arial" w:cs="Arial" w:eastAsia="Arial" w:hAnsi="Arial"/>
          <w:sz w:val="19"/>
          <w:szCs w:val="19"/>
          <w:color w:val="auto"/>
        </w:rPr>
        <w:t>This General Release and Separation Agreement (the, or this “Agreement”) is made and entered into this 29th day of March, 2019 by and between Albany International Corp. (the "Company") and John Cozzolino ("Employee").</w:t>
      </w:r>
    </w:p>
    <w:p>
      <w:pPr>
        <w:spacing w:after="0" w:line="132" w:lineRule="exact"/>
        <w:rPr>
          <w:sz w:val="20"/>
          <w:szCs w:val="20"/>
          <w:color w:val="auto"/>
        </w:rPr>
      </w:pPr>
    </w:p>
    <w:p>
      <w:pPr>
        <w:ind w:right="1200"/>
        <w:spacing w:after="0" w:line="328" w:lineRule="auto"/>
        <w:rPr>
          <w:sz w:val="20"/>
          <w:szCs w:val="20"/>
          <w:color w:val="auto"/>
        </w:rPr>
      </w:pPr>
      <w:r>
        <w:rPr>
          <w:rFonts w:ascii="Arial" w:cs="Arial" w:eastAsia="Arial" w:hAnsi="Arial"/>
          <w:sz w:val="19"/>
          <w:szCs w:val="19"/>
          <w:color w:val="auto"/>
        </w:rPr>
        <w:t>In consideration of the acknowledgements and mutual covenants hereinafter set forth, and for other good and valuable consideration, the receipt and sufficiency of which are hereby acknowledged, the parties hereto agree as follows:</w:t>
      </w:r>
    </w:p>
    <w:p>
      <w:pPr>
        <w:spacing w:after="0" w:line="132" w:lineRule="exact"/>
        <w:rPr>
          <w:sz w:val="20"/>
          <w:szCs w:val="20"/>
          <w:color w:val="auto"/>
        </w:rPr>
      </w:pPr>
    </w:p>
    <w:p>
      <w:pPr>
        <w:ind w:right="140" w:firstLine="656"/>
        <w:spacing w:after="0" w:line="251" w:lineRule="auto"/>
        <w:tabs>
          <w:tab w:leader="none" w:pos="129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Presentation of Agreement</w:t>
      </w:r>
      <w:r>
        <w:rPr>
          <w:rFonts w:ascii="Arial" w:cs="Arial" w:eastAsia="Arial" w:hAnsi="Arial"/>
          <w:sz w:val="22"/>
          <w:szCs w:val="22"/>
          <w:color w:val="auto"/>
        </w:rPr>
        <w:t>. Employee acknowledges that on March 29, 2019 he was given this Agreement and was afforded 21 days to consider same.</w:t>
      </w:r>
    </w:p>
    <w:p>
      <w:pPr>
        <w:spacing w:after="0" w:line="200" w:lineRule="exact"/>
        <w:rPr>
          <w:rFonts w:ascii="Arial" w:cs="Arial" w:eastAsia="Arial" w:hAnsi="Arial"/>
          <w:sz w:val="22"/>
          <w:szCs w:val="22"/>
          <w:color w:val="auto"/>
        </w:rPr>
      </w:pPr>
    </w:p>
    <w:p>
      <w:pPr>
        <w:ind w:left="1300" w:hanging="644"/>
        <w:spacing w:after="0"/>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Legal Advice</w:t>
      </w:r>
      <w:r>
        <w:rPr>
          <w:rFonts w:ascii="Arial" w:cs="Arial" w:eastAsia="Arial" w:hAnsi="Arial"/>
          <w:sz w:val="22"/>
          <w:szCs w:val="22"/>
          <w:color w:val="auto"/>
        </w:rPr>
        <w:t>. Employee was, and hereby is, advised to consult a lawyer before signing this Agreement.</w:t>
      </w:r>
    </w:p>
    <w:p>
      <w:pPr>
        <w:spacing w:after="0" w:line="233" w:lineRule="exact"/>
        <w:rPr>
          <w:rFonts w:ascii="Arial" w:cs="Arial" w:eastAsia="Arial" w:hAnsi="Arial"/>
          <w:sz w:val="22"/>
          <w:szCs w:val="22"/>
          <w:color w:val="auto"/>
        </w:rPr>
      </w:pPr>
    </w:p>
    <w:p>
      <w:pPr>
        <w:ind w:right="240" w:firstLine="656"/>
        <w:spacing w:after="0"/>
        <w:tabs>
          <w:tab w:leader="none" w:pos="1351"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Acceptance of Agreement</w:t>
      </w:r>
      <w:r>
        <w:rPr>
          <w:rFonts w:ascii="Arial" w:cs="Arial" w:eastAsia="Arial" w:hAnsi="Arial"/>
          <w:sz w:val="22"/>
          <w:szCs w:val="22"/>
          <w:color w:val="auto"/>
        </w:rPr>
        <w:t>. Employee may accept this Agreement only by signing, dating and delivering the Agreement to the Company (in the manner set forth in Section 13) on or before the Company’s normal close of business on April 24, 2019. Time is of the essence with regard to this Section 3.</w:t>
      </w:r>
    </w:p>
    <w:p>
      <w:pPr>
        <w:spacing w:after="0" w:line="213" w:lineRule="exact"/>
        <w:rPr>
          <w:rFonts w:ascii="Arial" w:cs="Arial" w:eastAsia="Arial" w:hAnsi="Arial"/>
          <w:sz w:val="22"/>
          <w:szCs w:val="22"/>
          <w:color w:val="auto"/>
        </w:rPr>
      </w:pPr>
    </w:p>
    <w:p>
      <w:pPr>
        <w:ind w:right="160" w:firstLine="656"/>
        <w:spacing w:after="0"/>
        <w:tabs>
          <w:tab w:leader="none" w:pos="129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Revocation</w:t>
      </w:r>
      <w:r>
        <w:rPr>
          <w:rFonts w:ascii="Arial" w:cs="Arial" w:eastAsia="Arial" w:hAnsi="Arial"/>
          <w:sz w:val="22"/>
          <w:szCs w:val="22"/>
          <w:color w:val="auto"/>
        </w:rPr>
        <w:t>. Employee may revoke this Agreement at any time within seven (7) days after signing and delivering it to the Company by notifying the Company in writing (in the manner set forth in Section 13) of Employee’s decision to revoke. Time is of the essence with regard to this Section 4.</w:t>
      </w:r>
    </w:p>
    <w:p>
      <w:pPr>
        <w:spacing w:after="0" w:line="213" w:lineRule="exact"/>
        <w:rPr>
          <w:rFonts w:ascii="Arial" w:cs="Arial" w:eastAsia="Arial" w:hAnsi="Arial"/>
          <w:sz w:val="22"/>
          <w:szCs w:val="22"/>
          <w:color w:val="auto"/>
        </w:rPr>
      </w:pPr>
    </w:p>
    <w:p>
      <w:pPr>
        <w:ind w:right="140" w:firstLine="656"/>
        <w:spacing w:after="0" w:line="236" w:lineRule="auto"/>
        <w:tabs>
          <w:tab w:leader="none" w:pos="129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of this Agreement shall be the eighth (8th) day after Employee signs and delivers it to the Company in accordance with Section 3 above, unless Employee revokes the Agreement before then in accordance with Section 4 above. If Employee fails to accept this Agreement in accordance with Section 3 above, or timely revokes the Agreement in accordance with Section 4 above, the Agreement will not become effective and will not be binding on Employee or the Company.</w:t>
      </w:r>
    </w:p>
    <w:p>
      <w:pPr>
        <w:spacing w:after="0" w:line="214" w:lineRule="exact"/>
        <w:rPr>
          <w:rFonts w:ascii="Arial" w:cs="Arial" w:eastAsia="Arial" w:hAnsi="Arial"/>
          <w:sz w:val="22"/>
          <w:szCs w:val="22"/>
          <w:color w:val="auto"/>
        </w:rPr>
      </w:pPr>
    </w:p>
    <w:p>
      <w:pPr>
        <w:jc w:val="both"/>
        <w:ind w:right="320" w:firstLine="656"/>
        <w:spacing w:after="0" w:line="238" w:lineRule="auto"/>
        <w:tabs>
          <w:tab w:leader="none" w:pos="129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xml:space="preserve"> Employee’s employment by the Company has been terminated effective March 29, 2019. The parties agree that said termination of employment was a termination by the Company other than for Cause within the meaning of Section 2 of that certain Severance Agreement (the “Severance Agreement”) entered into by and between the parties with an effective date of January 1, 2016.</w:t>
      </w:r>
    </w:p>
    <w:p>
      <w:pPr>
        <w:spacing w:after="0" w:line="212" w:lineRule="exact"/>
        <w:rPr>
          <w:rFonts w:ascii="Arial" w:cs="Arial" w:eastAsia="Arial" w:hAnsi="Arial"/>
          <w:sz w:val="22"/>
          <w:szCs w:val="22"/>
          <w:color w:val="auto"/>
        </w:rPr>
      </w:pPr>
    </w:p>
    <w:p>
      <w:pPr>
        <w:ind w:right="120" w:firstLine="656"/>
        <w:spacing w:after="0" w:line="251" w:lineRule="auto"/>
        <w:tabs>
          <w:tab w:leader="none" w:pos="129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Severance Payments</w:t>
      </w:r>
      <w:r>
        <w:rPr>
          <w:rFonts w:ascii="Arial" w:cs="Arial" w:eastAsia="Arial" w:hAnsi="Arial"/>
          <w:sz w:val="22"/>
          <w:szCs w:val="22"/>
          <w:color w:val="auto"/>
        </w:rPr>
        <w:t>. In accordance with, and subject to, the terms of the Severance Agreement, the Company shall pay to Employee the Severance Amount as specified in the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43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ind w:left="-656" w:right="100" w:firstLine="656"/>
        <w:spacing w:after="0" w:line="234" w:lineRule="auto"/>
        <w:tabs>
          <w:tab w:leader="none" w:pos="64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Additional Severance</w:t>
      </w:r>
      <w:r>
        <w:rPr>
          <w:rFonts w:ascii="Arial" w:cs="Arial" w:eastAsia="Arial" w:hAnsi="Arial"/>
          <w:sz w:val="22"/>
          <w:szCs w:val="22"/>
          <w:color w:val="auto"/>
        </w:rPr>
        <w:t>. In addition to the Severance Amount as specified in the Severance Agreement, the Company agrees to pay Employee an additional severance amount (the, “Additional Severance”) conditioned upon Employee’s telephonic availability post-separation to assist with any unresolved transitional items, as needed, and if called upon. The Additional Severance shall be equal to Employee’s gross monthly salary in effect as of the Effective Date, less applicable withholdings and deductions required by law or otherwise agreed to by the parties. The Additional Severance shall be paid provided Employee is responsive to any inquiries from his successor or any other Company employee, if any, in the first six (6) weeks following the date of termination. Said Additional Severance shall be paid on the first customary pay date following the conclusion of the six-week period.</w:t>
      </w:r>
    </w:p>
    <w:p>
      <w:pPr>
        <w:spacing w:after="0" w:line="214" w:lineRule="exact"/>
        <w:rPr>
          <w:rFonts w:ascii="Arial" w:cs="Arial" w:eastAsia="Arial" w:hAnsi="Arial"/>
          <w:sz w:val="22"/>
          <w:szCs w:val="22"/>
          <w:color w:val="auto"/>
        </w:rPr>
      </w:pPr>
    </w:p>
    <w:p>
      <w:pPr>
        <w:ind w:left="-656" w:right="440" w:firstLine="656"/>
        <w:spacing w:after="0" w:line="251" w:lineRule="auto"/>
        <w:tabs>
          <w:tab w:leader="none" w:pos="64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Employee’s Acknowledgement</w:t>
      </w:r>
      <w:r>
        <w:rPr>
          <w:rFonts w:ascii="Arial" w:cs="Arial" w:eastAsia="Arial" w:hAnsi="Arial"/>
          <w:sz w:val="22"/>
          <w:szCs w:val="22"/>
          <w:color w:val="auto"/>
        </w:rPr>
        <w:t>. Employee acknowledges and agrees that, except for this Agreement, Employee would have no right to receive the benefits described in Section 7 or 8.</w:t>
      </w:r>
    </w:p>
    <w:p>
      <w:pPr>
        <w:spacing w:after="0" w:line="200" w:lineRule="exact"/>
        <w:rPr>
          <w:rFonts w:ascii="Arial" w:cs="Arial" w:eastAsia="Arial" w:hAnsi="Arial"/>
          <w:sz w:val="22"/>
          <w:szCs w:val="22"/>
          <w:color w:val="auto"/>
        </w:rPr>
      </w:pPr>
    </w:p>
    <w:p>
      <w:pPr>
        <w:ind w:left="-656" w:right="60" w:firstLine="656"/>
        <w:spacing w:after="0" w:line="238" w:lineRule="auto"/>
        <w:tabs>
          <w:tab w:leader="none" w:pos="64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Defined Term</w:t>
      </w:r>
      <w:r>
        <w:rPr>
          <w:rFonts w:ascii="Arial" w:cs="Arial" w:eastAsia="Arial" w:hAnsi="Arial"/>
          <w:sz w:val="22"/>
          <w:szCs w:val="22"/>
          <w:color w:val="auto"/>
        </w:rPr>
        <w:t>. As used in this Agreement, the term “Albany” means, individually and collectively, Albany, each subsidiary and affiliate of Albany, and their respective employee welfare benefit plans, employee pension benefit plans, successors and assigns, as well as all present and former shareholders, directors, officers, fiduciaries, agents, representatives and employees of those companies and other entities.</w:t>
      </w:r>
    </w:p>
    <w:p>
      <w:pPr>
        <w:spacing w:after="0" w:line="212" w:lineRule="exact"/>
        <w:rPr>
          <w:rFonts w:ascii="Arial" w:cs="Arial" w:eastAsia="Arial" w:hAnsi="Arial"/>
          <w:sz w:val="22"/>
          <w:szCs w:val="22"/>
          <w:color w:val="auto"/>
        </w:rPr>
      </w:pPr>
    </w:p>
    <w:p>
      <w:pPr>
        <w:ind w:left="-656" w:right="300" w:firstLine="656"/>
        <w:spacing w:after="0" w:line="238" w:lineRule="auto"/>
        <w:tabs>
          <w:tab w:leader="none" w:pos="632"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General Release</w:t>
      </w:r>
      <w:r>
        <w:rPr>
          <w:rFonts w:ascii="Arial" w:cs="Arial" w:eastAsia="Arial" w:hAnsi="Arial"/>
          <w:sz w:val="22"/>
          <w:szCs w:val="22"/>
          <w:color w:val="auto"/>
        </w:rPr>
        <w:t>. By signing this Agreement Employee immediately gives up and releases Albany from, and with respect to, any and all rights and claims that Employee may have against Albany (except as expressly state in subsection 11(c) below), whether or not Employee presently is aware of such rights or claims or suspects them to exist. In addition, and without limiting the foregoing:</w:t>
      </w:r>
    </w:p>
    <w:p>
      <w:pPr>
        <w:spacing w:after="0" w:line="307" w:lineRule="exact"/>
        <w:rPr>
          <w:sz w:val="20"/>
          <w:szCs w:val="20"/>
          <w:color w:val="auto"/>
        </w:rPr>
      </w:pPr>
    </w:p>
    <w:p>
      <w:pPr>
        <w:ind w:left="644" w:hanging="644"/>
        <w:spacing w:after="0" w:line="272" w:lineRule="auto"/>
        <w:tabs>
          <w:tab w:leader="none" w:pos="64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Employee on behalf of himself, his agents, spouse, representatives, assignees, attorneys, heirs, executors and administrators, fully releases Albany and Albany’s past and present successors, assigns, parents, divisions, subsidiaries, affiliates, officers, directors, shareholders, employees, agents and representatives from any and all liability, claims, demands, actions, causes of action, suits, grievances, debts, sums of moneys, controversies, agreements, promises, damages, back and front pay, costs, expenses, attorneys fees, and remedies of any type, which Employee now has or hereafter may have, by reason of any matter, cause, act or omission arising out of or in connection with Employee’s employment or the termination of his employment with Albany prior to Employee signing this Agreement, including, without limiting the generality of the foregoing, any claims, demands or actions arising under the Age Discrimination in Employment Act of 1967, the Older Workers Benefit Protection Act, the Employee Retirement Income Security Act of 1974, Title VII of the Civil Rights Act of 1964, the Civil Rights act of 1991, the Civil Rights Act of 1866, the Rehabilitation Act of 1973, the Americans with Disabilities Act of 1990, and any other federal, state or</w:t>
      </w:r>
    </w:p>
    <w:p>
      <w:pPr>
        <w:spacing w:after="0" w:line="389" w:lineRule="exact"/>
        <w:rPr>
          <w:rFonts w:ascii="Arial" w:cs="Arial" w:eastAsia="Arial" w:hAnsi="Arial"/>
          <w:sz w:val="19"/>
          <w:szCs w:val="19"/>
          <w:color w:val="auto"/>
        </w:rPr>
      </w:pPr>
    </w:p>
    <w:p>
      <w:pPr>
        <w:ind w:left="5004" w:hanging="96"/>
        <w:spacing w:after="0"/>
        <w:tabs>
          <w:tab w:leader="none" w:pos="500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66040</wp:posOffset>
            </wp:positionV>
            <wp:extent cx="7246620" cy="431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44"/>
          </w:cols>
          <w:pgMar w:left="896" w:top="577" w:right="259" w:bottom="1440" w:gutter="0" w:footer="0" w:header="0"/>
        </w:sectPr>
      </w:pPr>
    </w:p>
    <w:bookmarkStart w:id="147" w:name="page148"/>
    <w:bookmarkEnd w:id="147"/>
    <w:p>
      <w:pPr>
        <w:ind w:left="644"/>
        <w:spacing w:after="0" w:line="279" w:lineRule="auto"/>
        <w:rPr>
          <w:sz w:val="20"/>
          <w:szCs w:val="20"/>
          <w:color w:val="auto"/>
        </w:rPr>
      </w:pPr>
      <w:r>
        <w:rPr>
          <w:rFonts w:ascii="Arial" w:cs="Arial" w:eastAsia="Arial" w:hAnsi="Arial"/>
          <w:sz w:val="19"/>
          <w:szCs w:val="19"/>
          <w:color w:val="auto"/>
        </w:rPr>
        <w:t>local statute, ordinance or common law regarding employment, discrimination in employment, or the termination of employment. Notwithstanding the foregoing, Employee is not waiving any right that cannot, as a matter of law, be voluntarily waived, including the right to file a charge or complaint with, or participate in the adjudication of charge or complaint of discrimination filed with, any federal, state or local administrative agency, though Employee expressly waives any right to recover any money or obtain any other relief or benefit as a result of any complaint or charge being filed with any federal, state or local administrative agency.</w:t>
      </w:r>
    </w:p>
    <w:p>
      <w:pPr>
        <w:spacing w:after="0" w:line="178" w:lineRule="exact"/>
        <w:rPr>
          <w:sz w:val="20"/>
          <w:szCs w:val="20"/>
          <w:color w:val="auto"/>
        </w:rPr>
      </w:pPr>
    </w:p>
    <w:p>
      <w:pPr>
        <w:ind w:left="644" w:right="20"/>
        <w:spacing w:after="0" w:line="282" w:lineRule="auto"/>
        <w:rPr>
          <w:sz w:val="20"/>
          <w:szCs w:val="20"/>
          <w:color w:val="auto"/>
        </w:rPr>
      </w:pPr>
      <w:r>
        <w:rPr>
          <w:rFonts w:ascii="Arial" w:cs="Arial" w:eastAsia="Arial" w:hAnsi="Arial"/>
          <w:sz w:val="19"/>
          <w:szCs w:val="19"/>
          <w:color w:val="auto"/>
        </w:rPr>
        <w:t>The foregoing release includes, but is not limited to, any claim of discrimination on the basis of race, sex, religion, marital status, sexual orientation, national origin, handicap or disability, age, veteran status, special disabled veteran status, citizenship status; any other claim based on a statutory prohibition; any claim arising out of or related to an express or implied employment contract, any other contract affecting terms and conditions of employment, or any covenant of good faith and fair dealing; all tort claims; and all claims for attorney’s fees or expenses.</w:t>
      </w:r>
    </w:p>
    <w:p>
      <w:pPr>
        <w:spacing w:after="0" w:line="175" w:lineRule="exact"/>
        <w:rPr>
          <w:sz w:val="20"/>
          <w:szCs w:val="20"/>
          <w:color w:val="auto"/>
        </w:rPr>
      </w:pPr>
    </w:p>
    <w:p>
      <w:pPr>
        <w:ind w:left="644" w:right="100"/>
        <w:spacing w:after="0" w:line="238" w:lineRule="auto"/>
        <w:rPr>
          <w:sz w:val="20"/>
          <w:szCs w:val="20"/>
          <w:color w:val="auto"/>
        </w:rPr>
      </w:pPr>
      <w:r>
        <w:rPr>
          <w:rFonts w:ascii="Arial" w:cs="Arial" w:eastAsia="Arial" w:hAnsi="Arial"/>
          <w:sz w:val="22"/>
          <w:szCs w:val="22"/>
          <w:color w:val="auto"/>
        </w:rPr>
        <w:t>The Employee represents that he understands the foregoing release, that rights and claims under the Age Discrimination in Employment Act of 1967, as amended, are among the rights and claims against Albany he is releasing, and that he understands that he is not releasing any rights or claims arising after the date Employee signs this Agreement.</w:t>
      </w:r>
    </w:p>
    <w:p>
      <w:pPr>
        <w:spacing w:after="0" w:line="212" w:lineRule="exact"/>
        <w:rPr>
          <w:sz w:val="20"/>
          <w:szCs w:val="20"/>
          <w:color w:val="auto"/>
        </w:rPr>
      </w:pPr>
    </w:p>
    <w:p>
      <w:pPr>
        <w:ind w:left="644" w:hanging="644"/>
        <w:spacing w:after="0"/>
        <w:tabs>
          <w:tab w:leader="none" w:pos="6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If Employee breaches any obligation under this Agreement, Employee agrees that Albany shall not be obligated to continue to make payments under Sections 7 or 8, and that Employee shall reimburse Albany for all payments made pursuant to Sections 7 or 8.</w:t>
      </w:r>
    </w:p>
    <w:p>
      <w:pPr>
        <w:spacing w:after="0" w:line="213" w:lineRule="exact"/>
        <w:rPr>
          <w:rFonts w:ascii="Arial" w:cs="Arial" w:eastAsia="Arial" w:hAnsi="Arial"/>
          <w:sz w:val="22"/>
          <w:szCs w:val="22"/>
          <w:color w:val="auto"/>
        </w:rPr>
      </w:pPr>
    </w:p>
    <w:p>
      <w:pPr>
        <w:ind w:left="644" w:right="140" w:hanging="644"/>
        <w:spacing w:after="0" w:line="258" w:lineRule="auto"/>
        <w:tabs>
          <w:tab w:leader="none" w:pos="64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Nothing in this Agreement, however, shall be deemed a waiver of any vested rights or entitlements Employee may have under any retirement or other employee benefit plans administered by Albany. Nor shall anything in this Agreement operate to release Albany from its obligations under this Agreement.</w:t>
      </w:r>
    </w:p>
    <w:p>
      <w:pPr>
        <w:spacing w:after="0" w:line="194" w:lineRule="exact"/>
        <w:rPr>
          <w:sz w:val="20"/>
          <w:szCs w:val="20"/>
          <w:color w:val="auto"/>
        </w:rPr>
      </w:pPr>
    </w:p>
    <w:p>
      <w:pPr>
        <w:ind w:left="-656" w:right="860" w:firstLine="656"/>
        <w:spacing w:after="0" w:line="274" w:lineRule="auto"/>
        <w:tabs>
          <w:tab w:leader="none" w:pos="586"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Non-admission of Liability</w:t>
      </w:r>
      <w:r>
        <w:rPr>
          <w:rFonts w:ascii="Arial" w:cs="Arial" w:eastAsia="Arial" w:hAnsi="Arial"/>
          <w:sz w:val="21"/>
          <w:szCs w:val="21"/>
          <w:color w:val="auto"/>
        </w:rPr>
        <w:t>. This Agreement does not constitute an admission by Albany of any liability to Employee, and Employee understands and agrees that Albany denies any such liability to Employee.</w:t>
      </w:r>
    </w:p>
    <w:p>
      <w:pPr>
        <w:spacing w:after="0" w:line="177" w:lineRule="exact"/>
        <w:rPr>
          <w:rFonts w:ascii="Arial" w:cs="Arial" w:eastAsia="Arial" w:hAnsi="Arial"/>
          <w:sz w:val="21"/>
          <w:szCs w:val="21"/>
          <w:color w:val="auto"/>
        </w:rPr>
      </w:pPr>
    </w:p>
    <w:p>
      <w:pPr>
        <w:ind w:left="-656" w:right="20" w:firstLine="656"/>
        <w:spacing w:after="0" w:line="238" w:lineRule="auto"/>
        <w:tabs>
          <w:tab w:leader="none" w:pos="58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or other deliveries required or permitted to be given or made under this Agreement by Employee to Albany shall, except to the extent otherwise required by law, be deemed given or made if delivered by hand or by express mail or overnight courier service to Albany International Corp., 216 Airport Drive, Rochester, New Hampshire 03867, Attention: General Counsel.</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5004" w:hanging="96"/>
        <w:spacing w:after="0"/>
        <w:tabs>
          <w:tab w:leader="none" w:pos="500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66040</wp:posOffset>
            </wp:positionV>
            <wp:extent cx="7246620" cy="43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684"/>
          </w:cols>
          <w:pgMar w:left="896" w:top="577" w:right="319" w:bottom="1440" w:gutter="0" w:footer="0" w:header="0"/>
        </w:sectPr>
      </w:pPr>
    </w:p>
    <w:bookmarkStart w:id="148" w:name="page149"/>
    <w:bookmarkEnd w:id="148"/>
    <w:p>
      <w:pPr>
        <w:ind w:right="640" w:firstLine="656"/>
        <w:spacing w:after="0" w:line="297" w:lineRule="auto"/>
        <w:tabs>
          <w:tab w:leader="none" w:pos="1243"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Ratification of Prior Agreement.</w:t>
      </w:r>
      <w:r>
        <w:rPr>
          <w:rFonts w:ascii="Arial" w:cs="Arial" w:eastAsia="Arial" w:hAnsi="Arial"/>
          <w:sz w:val="19"/>
          <w:szCs w:val="19"/>
          <w:color w:val="auto"/>
        </w:rPr>
        <w:t xml:space="preserve"> The terms, provisions and conditions of the Severance Agreement are unchanged and in full force and effect and are hereby ratified and confirmed in all respects. Unless otherwise defined herein, any defined term used in this Agreement, shall have the definition ascribed to it in the Severance Agreement.</w:t>
      </w:r>
    </w:p>
    <w:p>
      <w:pPr>
        <w:spacing w:after="0" w:line="161" w:lineRule="exact"/>
        <w:rPr>
          <w:rFonts w:ascii="Arial" w:cs="Arial" w:eastAsia="Arial" w:hAnsi="Arial"/>
          <w:sz w:val="19"/>
          <w:szCs w:val="19"/>
          <w:color w:val="auto"/>
        </w:rPr>
      </w:pPr>
    </w:p>
    <w:p>
      <w:pPr>
        <w:ind w:right="360" w:firstLine="656"/>
        <w:spacing w:after="0" w:line="251" w:lineRule="auto"/>
        <w:tabs>
          <w:tab w:leader="none" w:pos="1243"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200"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IN WITNESS WHEREOF, Employee and a duly authorized representative of the Company have signed this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20" w:type="dxa"/>
            <w:vAlign w:val="bottom"/>
          </w:tcPr>
          <w:p>
            <w:pPr>
              <w:spacing w:after="0"/>
              <w:rPr>
                <w:sz w:val="20"/>
                <w:szCs w:val="20"/>
                <w:color w:val="auto"/>
              </w:rPr>
            </w:pPr>
            <w:r>
              <w:rPr>
                <w:rFonts w:ascii="Arial" w:cs="Arial" w:eastAsia="Arial" w:hAnsi="Arial"/>
                <w:sz w:val="22"/>
                <w:szCs w:val="22"/>
                <w:color w:val="auto"/>
              </w:rPr>
              <w:t>Employee</w:t>
            </w:r>
          </w:p>
        </w:tc>
        <w:tc>
          <w:tcPr>
            <w:tcW w:w="7400" w:type="dxa"/>
            <w:vAlign w:val="bottom"/>
            <w:gridSpan w:val="3"/>
          </w:tcPr>
          <w:p>
            <w:pPr>
              <w:ind w:left="2480"/>
              <w:spacing w:after="0"/>
              <w:rPr>
                <w:sz w:val="20"/>
                <w:szCs w:val="20"/>
                <w:color w:val="auto"/>
              </w:rPr>
            </w:pPr>
            <w:r>
              <w:rPr>
                <w:rFonts w:ascii="Arial" w:cs="Arial" w:eastAsia="Arial" w:hAnsi="Arial"/>
                <w:sz w:val="22"/>
                <w:szCs w:val="22"/>
                <w:color w:val="auto"/>
              </w:rPr>
              <w:t>Albany International Corp.</w:t>
            </w:r>
          </w:p>
        </w:tc>
      </w:tr>
      <w:tr>
        <w:trPr>
          <w:trHeight w:val="922"/>
        </w:trPr>
        <w:tc>
          <w:tcPr>
            <w:tcW w:w="4020" w:type="dxa"/>
            <w:vAlign w:val="bottom"/>
          </w:tcPr>
          <w:p>
            <w:pPr>
              <w:spacing w:after="0"/>
              <w:rPr>
                <w:sz w:val="20"/>
                <w:szCs w:val="20"/>
                <w:color w:val="auto"/>
              </w:rPr>
            </w:pPr>
            <w:r>
              <w:rPr>
                <w:rFonts w:ascii="Arial" w:cs="Arial" w:eastAsia="Arial" w:hAnsi="Arial"/>
                <w:sz w:val="22"/>
                <w:szCs w:val="22"/>
                <w:color w:val="auto"/>
              </w:rPr>
              <w:t>___________________</w:t>
            </w:r>
          </w:p>
        </w:tc>
        <w:tc>
          <w:tcPr>
            <w:tcW w:w="2860" w:type="dxa"/>
            <w:vAlign w:val="bottom"/>
          </w:tcPr>
          <w:p>
            <w:pPr>
              <w:ind w:left="2480"/>
              <w:spacing w:after="0"/>
              <w:rPr>
                <w:sz w:val="20"/>
                <w:szCs w:val="20"/>
                <w:color w:val="auto"/>
              </w:rPr>
            </w:pPr>
            <w:r>
              <w:rPr>
                <w:rFonts w:ascii="Arial" w:cs="Arial" w:eastAsia="Arial" w:hAnsi="Arial"/>
                <w:sz w:val="22"/>
                <w:szCs w:val="22"/>
                <w:color w:val="auto"/>
              </w:rPr>
              <w:t>By:</w:t>
            </w:r>
          </w:p>
        </w:tc>
        <w:tc>
          <w:tcPr>
            <w:tcW w:w="27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499"/>
        </w:trPr>
        <w:tc>
          <w:tcPr>
            <w:tcW w:w="4020" w:type="dxa"/>
            <w:vAlign w:val="bottom"/>
          </w:tcPr>
          <w:p>
            <w:pPr>
              <w:spacing w:after="0"/>
              <w:rPr>
                <w:sz w:val="20"/>
                <w:szCs w:val="20"/>
                <w:color w:val="auto"/>
              </w:rPr>
            </w:pPr>
            <w:r>
              <w:rPr>
                <w:rFonts w:ascii="Arial" w:cs="Arial" w:eastAsia="Arial" w:hAnsi="Arial"/>
                <w:sz w:val="22"/>
                <w:szCs w:val="22"/>
                <w:color w:val="auto"/>
              </w:rPr>
              <w:t>John Cozzolino</w:t>
            </w:r>
          </w:p>
        </w:tc>
        <w:tc>
          <w:tcPr>
            <w:tcW w:w="2860" w:type="dxa"/>
            <w:vAlign w:val="bottom"/>
          </w:tcPr>
          <w:p>
            <w:pPr>
              <w:spacing w:after="0"/>
              <w:rPr>
                <w:sz w:val="24"/>
                <w:szCs w:val="24"/>
                <w:color w:val="auto"/>
              </w:rPr>
            </w:pPr>
          </w:p>
        </w:tc>
        <w:tc>
          <w:tcPr>
            <w:tcW w:w="4540" w:type="dxa"/>
            <w:vAlign w:val="bottom"/>
            <w:gridSpan w:val="2"/>
          </w:tcPr>
          <w:p>
            <w:pPr>
              <w:ind w:left="220"/>
              <w:spacing w:after="0"/>
              <w:rPr>
                <w:sz w:val="20"/>
                <w:szCs w:val="20"/>
                <w:color w:val="auto"/>
              </w:rPr>
            </w:pPr>
            <w:r>
              <w:rPr>
                <w:rFonts w:ascii="Arial" w:cs="Arial" w:eastAsia="Arial" w:hAnsi="Arial"/>
                <w:sz w:val="22"/>
                <w:szCs w:val="22"/>
                <w:color w:val="auto"/>
              </w:rPr>
              <w:t>Name:</w:t>
            </w:r>
          </w:p>
        </w:tc>
      </w:tr>
      <w:tr>
        <w:trPr>
          <w:trHeight w:val="275"/>
        </w:trPr>
        <w:tc>
          <w:tcPr>
            <w:tcW w:w="40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40" w:type="dxa"/>
            <w:vAlign w:val="bottom"/>
            <w:gridSpan w:val="2"/>
          </w:tcPr>
          <w:p>
            <w:pPr>
              <w:ind w:left="220"/>
              <w:spacing w:after="0"/>
              <w:rPr>
                <w:sz w:val="20"/>
                <w:szCs w:val="20"/>
                <w:color w:val="auto"/>
              </w:rPr>
            </w:pPr>
            <w:r>
              <w:rPr>
                <w:rFonts w:ascii="Arial" w:cs="Arial" w:eastAsia="Arial" w:hAnsi="Arial"/>
                <w:sz w:val="22"/>
                <w:szCs w:val="22"/>
                <w:color w:val="auto"/>
              </w:rPr>
              <w:t>Title:</w:t>
            </w:r>
          </w:p>
        </w:tc>
      </w:tr>
      <w:tr>
        <w:trPr>
          <w:trHeight w:val="486"/>
        </w:trPr>
        <w:tc>
          <w:tcPr>
            <w:tcW w:w="4020" w:type="dxa"/>
            <w:vAlign w:val="bottom"/>
          </w:tcPr>
          <w:p>
            <w:pPr>
              <w:spacing w:after="0"/>
              <w:rPr>
                <w:sz w:val="20"/>
                <w:szCs w:val="20"/>
                <w:color w:val="auto"/>
              </w:rPr>
            </w:pPr>
            <w:r>
              <w:rPr>
                <w:rFonts w:ascii="Arial" w:cs="Arial" w:eastAsia="Arial" w:hAnsi="Arial"/>
                <w:sz w:val="22"/>
                <w:szCs w:val="22"/>
                <w:color w:val="auto"/>
              </w:rPr>
              <w:t>Dated: ____________, 2019</w:t>
            </w:r>
          </w:p>
        </w:tc>
        <w:tc>
          <w:tcPr>
            <w:tcW w:w="7400" w:type="dxa"/>
            <w:vAlign w:val="bottom"/>
            <w:gridSpan w:val="3"/>
          </w:tcPr>
          <w:p>
            <w:pPr>
              <w:ind w:left="2480"/>
              <w:spacing w:after="0"/>
              <w:rPr>
                <w:sz w:val="20"/>
                <w:szCs w:val="20"/>
                <w:color w:val="auto"/>
              </w:rPr>
            </w:pPr>
            <w:r>
              <w:rPr>
                <w:rFonts w:ascii="Arial" w:cs="Arial" w:eastAsia="Arial" w:hAnsi="Arial"/>
                <w:sz w:val="22"/>
                <w:szCs w:val="22"/>
                <w:color w:val="auto"/>
              </w:rPr>
              <w:t>Dated: _____________, 2019</w:t>
            </w:r>
          </w:p>
        </w:tc>
      </w:tr>
      <w:tr>
        <w:trPr>
          <w:trHeight w:val="746"/>
        </w:trPr>
        <w:tc>
          <w:tcPr>
            <w:tcW w:w="4020" w:type="dxa"/>
            <w:vAlign w:val="bottom"/>
          </w:tcPr>
          <w:p>
            <w:pPr>
              <w:spacing w:after="0"/>
              <w:rPr>
                <w:sz w:val="24"/>
                <w:szCs w:val="24"/>
                <w:color w:val="auto"/>
              </w:rPr>
            </w:pPr>
          </w:p>
        </w:tc>
        <w:tc>
          <w:tcPr>
            <w:tcW w:w="2860" w:type="dxa"/>
            <w:vAlign w:val="bottom"/>
          </w:tcPr>
          <w:p>
            <w:pPr>
              <w:jc w:val="right"/>
              <w:ind w:right="916"/>
              <w:spacing w:after="0"/>
              <w:rPr>
                <w:sz w:val="20"/>
                <w:szCs w:val="20"/>
                <w:color w:val="auto"/>
              </w:rPr>
            </w:pPr>
            <w:r>
              <w:rPr>
                <w:rFonts w:ascii="Arial" w:cs="Arial" w:eastAsia="Arial" w:hAnsi="Arial"/>
                <w:sz w:val="18"/>
                <w:szCs w:val="18"/>
                <w:color w:val="auto"/>
              </w:rPr>
              <w:t>- 4 -</w:t>
            </w:r>
          </w:p>
        </w:tc>
        <w:tc>
          <w:tcPr>
            <w:tcW w:w="27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81"/>
        </w:trPr>
        <w:tc>
          <w:tcPr>
            <w:tcW w:w="40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68"/>
        </w:trPr>
        <w:tc>
          <w:tcPr>
            <w:tcW w:w="402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77"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i w:val="1"/>
          <w:iCs w:val="1"/>
          <w:color w:val="auto"/>
        </w:rPr>
        <w:t>Exhibit 10(u)(vi)</w:t>
      </w:r>
    </w:p>
    <w:p>
      <w:pPr>
        <w:spacing w:after="0" w:line="5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General Release and Separation Agreement</w:t>
      </w:r>
    </w:p>
    <w:p>
      <w:pPr>
        <w:spacing w:after="0" w:line="200" w:lineRule="exact"/>
        <w:rPr>
          <w:sz w:val="20"/>
          <w:szCs w:val="20"/>
          <w:color w:val="auto"/>
        </w:rPr>
      </w:pPr>
    </w:p>
    <w:p>
      <w:pPr>
        <w:spacing w:after="0" w:line="309" w:lineRule="exact"/>
        <w:rPr>
          <w:sz w:val="20"/>
          <w:szCs w:val="20"/>
          <w:color w:val="auto"/>
        </w:rPr>
      </w:pPr>
    </w:p>
    <w:p>
      <w:pPr>
        <w:ind w:right="480" w:firstLine="648"/>
        <w:spacing w:after="0" w:line="274" w:lineRule="auto"/>
        <w:rPr>
          <w:sz w:val="20"/>
          <w:szCs w:val="20"/>
          <w:color w:val="auto"/>
        </w:rPr>
      </w:pPr>
      <w:r>
        <w:rPr>
          <w:rFonts w:ascii="Arial" w:cs="Arial" w:eastAsia="Arial" w:hAnsi="Arial"/>
          <w:sz w:val="21"/>
          <w:szCs w:val="21"/>
          <w:color w:val="auto"/>
        </w:rPr>
        <w:t>This General Release and Separation Agreement (this “Agreement”) is made and entered into this 20</w:t>
      </w:r>
      <w:r>
        <w:rPr>
          <w:rFonts w:ascii="Arial" w:cs="Arial" w:eastAsia="Arial" w:hAnsi="Arial"/>
          <w:sz w:val="13"/>
          <w:szCs w:val="13"/>
          <w:color w:val="auto"/>
        </w:rPr>
        <w:t>th</w:t>
      </w:r>
      <w:r>
        <w:rPr>
          <w:rFonts w:ascii="Arial" w:cs="Arial" w:eastAsia="Arial" w:hAnsi="Arial"/>
          <w:sz w:val="21"/>
          <w:szCs w:val="21"/>
          <w:color w:val="auto"/>
        </w:rPr>
        <w:t xml:space="preserve"> day of January, 2020 by and between Albany International Corp. (the "Company") and Olivier Jarrault ("Employee").</w:t>
      </w:r>
    </w:p>
    <w:p>
      <w:pPr>
        <w:spacing w:after="0" w:line="191" w:lineRule="exact"/>
        <w:rPr>
          <w:sz w:val="20"/>
          <w:szCs w:val="20"/>
          <w:color w:val="auto"/>
        </w:rPr>
      </w:pPr>
    </w:p>
    <w:p>
      <w:pPr>
        <w:ind w:right="440" w:firstLine="648"/>
        <w:spacing w:after="0" w:line="328" w:lineRule="auto"/>
        <w:rPr>
          <w:sz w:val="20"/>
          <w:szCs w:val="20"/>
          <w:color w:val="auto"/>
        </w:rPr>
      </w:pPr>
      <w:r>
        <w:rPr>
          <w:rFonts w:ascii="Arial" w:cs="Arial" w:eastAsia="Arial" w:hAnsi="Arial"/>
          <w:sz w:val="19"/>
          <w:szCs w:val="19"/>
          <w:color w:val="auto"/>
        </w:rPr>
        <w:t>In consideration of the acknowledgements and mutual covenants hereinafter set forth, and for other good and valuable consideration, the receipt and sufficiency of which are hereby acknowledged, the parties hereto agree as follows:</w:t>
      </w:r>
    </w:p>
    <w:p>
      <w:pPr>
        <w:spacing w:after="0" w:line="132" w:lineRule="exact"/>
        <w:rPr>
          <w:sz w:val="20"/>
          <w:szCs w:val="20"/>
          <w:color w:val="auto"/>
        </w:rPr>
      </w:pPr>
    </w:p>
    <w:p>
      <w:pPr>
        <w:ind w:right="240" w:firstLine="644"/>
        <w:spacing w:after="0" w:line="251" w:lineRule="auto"/>
        <w:tabs>
          <w:tab w:leader="none" w:pos="1377"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Presentation of Agreement</w:t>
      </w:r>
      <w:r>
        <w:rPr>
          <w:rFonts w:ascii="Arial" w:cs="Arial" w:eastAsia="Arial" w:hAnsi="Arial"/>
          <w:sz w:val="22"/>
          <w:szCs w:val="22"/>
          <w:color w:val="auto"/>
        </w:rPr>
        <w:t>. Employee acknowledges that on January 17, 2020 he was given this Agreement and was afforded 21 days to consider same.</w:t>
      </w:r>
    </w:p>
    <w:p>
      <w:pPr>
        <w:spacing w:after="0" w:line="200" w:lineRule="exact"/>
        <w:rPr>
          <w:rFonts w:ascii="Arial" w:cs="Arial" w:eastAsia="Arial" w:hAnsi="Arial"/>
          <w:sz w:val="22"/>
          <w:szCs w:val="22"/>
          <w:color w:val="auto"/>
        </w:rPr>
      </w:pPr>
    </w:p>
    <w:p>
      <w:pPr>
        <w:ind w:left="1380" w:hanging="736"/>
        <w:spacing w:after="0"/>
        <w:tabs>
          <w:tab w:leader="none" w:pos="138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Legal Advice</w:t>
      </w:r>
      <w:r>
        <w:rPr>
          <w:rFonts w:ascii="Arial" w:cs="Arial" w:eastAsia="Arial" w:hAnsi="Arial"/>
          <w:sz w:val="21"/>
          <w:szCs w:val="21"/>
          <w:color w:val="auto"/>
        </w:rPr>
        <w:t>. Employee was, and hereby is, advised to consult a lawyer before signing this Agreement.</w:t>
      </w:r>
    </w:p>
    <w:p>
      <w:pPr>
        <w:spacing w:after="0" w:line="258" w:lineRule="exact"/>
        <w:rPr>
          <w:rFonts w:ascii="Arial" w:cs="Arial" w:eastAsia="Arial" w:hAnsi="Arial"/>
          <w:sz w:val="21"/>
          <w:szCs w:val="21"/>
          <w:color w:val="auto"/>
        </w:rPr>
      </w:pPr>
    </w:p>
    <w:p>
      <w:pPr>
        <w:jc w:val="both"/>
        <w:ind w:right="620" w:firstLine="644"/>
        <w:spacing w:after="0"/>
        <w:tabs>
          <w:tab w:leader="none" w:pos="1377"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Acceptance of Agreement</w:t>
      </w:r>
      <w:r>
        <w:rPr>
          <w:rFonts w:ascii="Arial" w:cs="Arial" w:eastAsia="Arial" w:hAnsi="Arial"/>
          <w:sz w:val="22"/>
          <w:szCs w:val="22"/>
          <w:color w:val="auto"/>
        </w:rPr>
        <w:t>. Employee may accept this Agreement only by signing, dating and delivering the Agreement to the Company (in the manner set forth in Section 14) on or before the Company’s normal close of business on February 7, 2020. Time is of the essence with regard to this Section 3.</w:t>
      </w:r>
    </w:p>
    <w:p>
      <w:pPr>
        <w:spacing w:after="0" w:line="226" w:lineRule="exact"/>
        <w:rPr>
          <w:rFonts w:ascii="Arial" w:cs="Arial" w:eastAsia="Arial" w:hAnsi="Arial"/>
          <w:sz w:val="22"/>
          <w:szCs w:val="22"/>
          <w:color w:val="auto"/>
        </w:rPr>
      </w:pPr>
    </w:p>
    <w:p>
      <w:pPr>
        <w:jc w:val="both"/>
        <w:ind w:right="160" w:firstLine="644"/>
        <w:spacing w:after="0"/>
        <w:tabs>
          <w:tab w:leader="none" w:pos="1377"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Revocation</w:t>
      </w:r>
      <w:r>
        <w:rPr>
          <w:rFonts w:ascii="Arial" w:cs="Arial" w:eastAsia="Arial" w:hAnsi="Arial"/>
          <w:sz w:val="22"/>
          <w:szCs w:val="22"/>
          <w:color w:val="auto"/>
        </w:rPr>
        <w:t>. Employee may revoke this Agreement at any time within seven (7) days after signing and delivering it to the Company by notifying the Company in writing (in the manner set forth in Section 14) of Employee’s decision to revoke. Time is of the essence with regard to this Section 4.</w:t>
      </w:r>
    </w:p>
    <w:p>
      <w:pPr>
        <w:spacing w:after="0" w:line="226" w:lineRule="exact"/>
        <w:rPr>
          <w:rFonts w:ascii="Arial" w:cs="Arial" w:eastAsia="Arial" w:hAnsi="Arial"/>
          <w:sz w:val="22"/>
          <w:szCs w:val="22"/>
          <w:color w:val="auto"/>
        </w:rPr>
      </w:pPr>
    </w:p>
    <w:p>
      <w:pPr>
        <w:ind w:right="220" w:firstLine="644"/>
        <w:spacing w:after="0" w:line="236" w:lineRule="auto"/>
        <w:tabs>
          <w:tab w:leader="none" w:pos="1377"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of this Agreement shall be the eighth (8th) day after Employee signs and delivers it to the Company in accordance with Section 3 above, unless Employee revokes the Agreement before then in accordance with Section 4 above. If Employee fails to accept this Agreement in accordance with Section 3 above, or timely revokes the Agreement in accordance with Section 4 above, the Agreement will not become effective and will not be binding on Employee or the Company.</w:t>
      </w:r>
    </w:p>
    <w:p>
      <w:pPr>
        <w:spacing w:after="0" w:line="214" w:lineRule="exact"/>
        <w:rPr>
          <w:rFonts w:ascii="Arial" w:cs="Arial" w:eastAsia="Arial" w:hAnsi="Arial"/>
          <w:sz w:val="22"/>
          <w:szCs w:val="22"/>
          <w:color w:val="auto"/>
        </w:rPr>
      </w:pPr>
    </w:p>
    <w:p>
      <w:pPr>
        <w:ind w:right="180" w:firstLine="644"/>
        <w:spacing w:after="0" w:line="252" w:lineRule="auto"/>
        <w:tabs>
          <w:tab w:leader="none" w:pos="1377"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Employee’s employment by the Company is terminated effective January 20, 2020 (the “Separation Date”). The parties agree that said termination of employment is a Qualifying Termination within the meaning of Paragraph 6 of that certain Employment Agreement entered into by and between the parties with an effective date of March 1, 2018 (the “Employment Agreement”) attached as Appendix A to this Agreement.</w:t>
      </w:r>
    </w:p>
    <w:p>
      <w:pPr>
        <w:spacing w:after="0" w:line="201" w:lineRule="exact"/>
        <w:rPr>
          <w:rFonts w:ascii="Arial" w:cs="Arial" w:eastAsia="Arial" w:hAnsi="Arial"/>
          <w:sz w:val="21"/>
          <w:szCs w:val="21"/>
          <w:color w:val="auto"/>
        </w:rPr>
      </w:pPr>
    </w:p>
    <w:p>
      <w:pPr>
        <w:ind w:right="180" w:firstLine="644"/>
        <w:spacing w:after="0" w:line="247" w:lineRule="auto"/>
        <w:tabs>
          <w:tab w:leader="none" w:pos="1377"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Severance Payments</w:t>
      </w:r>
      <w:r>
        <w:rPr>
          <w:rFonts w:ascii="Arial" w:cs="Arial" w:eastAsia="Arial" w:hAnsi="Arial"/>
          <w:sz w:val="21"/>
          <w:szCs w:val="21"/>
          <w:color w:val="auto"/>
        </w:rPr>
        <w:t>. In accordance with, and subject to, the terms of the Employment Agreement, the Company shall pay to Employee the Severance Amount, as defined in the Employment Agreement, payable over twenty-four (24) months (the “Severance Period”), as more fully described in the Employment Agreement. In addition, should Employee elect, pursuant to the protections afforded by the Consolidated Omnibus Budget Reconciliation Act (“COBRA”), to continue group health care coverage as is from time to time provided by or through the Company to all similarly situated eligible employees, the Company shall pay the then applicable COBRA contribution for each month of Employee’s eligibility under COBRA, or until Employee terminates such coverage, whichever shall occur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169545</wp:posOffset>
            </wp:positionV>
            <wp:extent cx="7246620"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360" w:top="118" w:right="239" w:bottom="1440" w:gutter="0" w:footer="0" w:header="0"/>
        </w:sectPr>
      </w:pPr>
    </w:p>
    <w:bookmarkStart w:id="150" w:name="page151"/>
    <w:bookmarkEnd w:id="150"/>
    <w:p>
      <w:pPr>
        <w:ind w:left="1304" w:hanging="656"/>
        <w:spacing w:after="0"/>
        <w:tabs>
          <w:tab w:leader="none" w:pos="1304" w:val="left"/>
        </w:tabs>
        <w:numPr>
          <w:ilvl w:val="2"/>
          <w:numId w:val="114"/>
        </w:numPr>
        <w:rPr>
          <w:rFonts w:ascii="Arial" w:cs="Arial" w:eastAsia="Arial" w:hAnsi="Arial"/>
          <w:sz w:val="22"/>
          <w:szCs w:val="22"/>
          <w:color w:val="auto"/>
        </w:rPr>
      </w:pPr>
      <w:r>
        <w:rPr>
          <w:rFonts w:ascii="Arial" w:cs="Arial" w:eastAsia="Arial" w:hAnsi="Arial"/>
          <w:sz w:val="22"/>
          <w:szCs w:val="22"/>
          <w:u w:val="single" w:color="auto"/>
          <w:color w:val="auto"/>
        </w:rPr>
        <w:t>Internal Revenue Code Section 409A.</w:t>
      </w:r>
    </w:p>
    <w:p>
      <w:pPr>
        <w:spacing w:after="0" w:line="219" w:lineRule="exact"/>
        <w:rPr>
          <w:rFonts w:ascii="Arial" w:cs="Arial" w:eastAsia="Arial" w:hAnsi="Arial"/>
          <w:sz w:val="22"/>
          <w:szCs w:val="22"/>
          <w:color w:val="auto"/>
        </w:rPr>
      </w:pPr>
    </w:p>
    <w:p>
      <w:pPr>
        <w:ind w:left="4" w:right="120" w:hanging="4"/>
        <w:spacing w:after="0"/>
        <w:tabs>
          <w:tab w:leader="none" w:pos="71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payments and the payment schedule set forth herein are intended to comply with Section 409A of the Internal Revenue Code (“Section 409A”). Accordingly, the Agreement shall be interpreted and performed so as to comply with Section 409A.</w:t>
      </w:r>
    </w:p>
    <w:p>
      <w:pPr>
        <w:spacing w:after="0" w:line="226" w:lineRule="exact"/>
        <w:rPr>
          <w:rFonts w:ascii="Arial" w:cs="Arial" w:eastAsia="Arial" w:hAnsi="Arial"/>
          <w:sz w:val="22"/>
          <w:szCs w:val="22"/>
          <w:color w:val="auto"/>
        </w:rPr>
      </w:pPr>
    </w:p>
    <w:p>
      <w:pPr>
        <w:ind w:left="4" w:right="60" w:firstLine="50"/>
        <w:spacing w:after="0" w:line="287" w:lineRule="auto"/>
        <w:tabs>
          <w:tab w:leader="none" w:pos="72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As the Employee is a "specified employee" (as that term is defined in the final regulations under Section 409A), the payments of the Severance Amount that would otherwise be made during the 6-month period commencing on January 20, 2020 will instead be paid to the Employee in a lump sum (with no interest) on July 22, 2020. The foregoing delay in the payments of the Severance Amount shall be made in conformance with the final regulations under Section 409A.</w:t>
      </w:r>
    </w:p>
    <w:p>
      <w:pPr>
        <w:spacing w:after="0" w:line="183" w:lineRule="exact"/>
        <w:rPr>
          <w:rFonts w:ascii="Arial" w:cs="Arial" w:eastAsia="Arial" w:hAnsi="Arial"/>
          <w:sz w:val="19"/>
          <w:szCs w:val="19"/>
          <w:color w:val="auto"/>
        </w:rPr>
      </w:pPr>
    </w:p>
    <w:p>
      <w:pPr>
        <w:jc w:val="both"/>
        <w:ind w:left="4" w:right="460" w:firstLine="644"/>
        <w:spacing w:after="0" w:line="252" w:lineRule="auto"/>
        <w:tabs>
          <w:tab w:leader="none" w:pos="1381" w:val="left"/>
        </w:tabs>
        <w:numPr>
          <w:ilvl w:val="2"/>
          <w:numId w:val="115"/>
        </w:numPr>
        <w:rPr>
          <w:rFonts w:ascii="Arial" w:cs="Arial" w:eastAsia="Arial" w:hAnsi="Arial"/>
          <w:sz w:val="21"/>
          <w:szCs w:val="21"/>
          <w:color w:val="auto"/>
        </w:rPr>
      </w:pPr>
      <w:r>
        <w:rPr>
          <w:rFonts w:ascii="Arial" w:cs="Arial" w:eastAsia="Arial" w:hAnsi="Arial"/>
          <w:sz w:val="21"/>
          <w:szCs w:val="21"/>
          <w:u w:val="single" w:color="auto"/>
          <w:color w:val="auto"/>
        </w:rPr>
        <w:t>Defined Term</w:t>
      </w:r>
      <w:r>
        <w:rPr>
          <w:rFonts w:ascii="Arial" w:cs="Arial" w:eastAsia="Arial" w:hAnsi="Arial"/>
          <w:sz w:val="21"/>
          <w:szCs w:val="21"/>
          <w:color w:val="auto"/>
        </w:rPr>
        <w:t>. As used in this Agreement, the term “Albany” means, individually and collectively, Albany International Corp., and each of their subsidiaries and affiliates, their respective employee welfare benefit plans, employee pension benefit plans, successors and assigns, as well as all present and former shareholders, directors, officers, fiduciaries, agents, representatives and employees of those companies and other entities.</w:t>
      </w:r>
    </w:p>
    <w:p>
      <w:pPr>
        <w:spacing w:after="0" w:line="201" w:lineRule="exact"/>
        <w:rPr>
          <w:rFonts w:ascii="Arial" w:cs="Arial" w:eastAsia="Arial" w:hAnsi="Arial"/>
          <w:sz w:val="21"/>
          <w:szCs w:val="21"/>
          <w:color w:val="auto"/>
        </w:rPr>
      </w:pPr>
    </w:p>
    <w:p>
      <w:pPr>
        <w:ind w:left="4" w:right="160" w:firstLine="644"/>
        <w:spacing w:after="0" w:line="238" w:lineRule="auto"/>
        <w:tabs>
          <w:tab w:leader="none" w:pos="1395" w:val="left"/>
        </w:tabs>
        <w:numPr>
          <w:ilvl w:val="2"/>
          <w:numId w:val="115"/>
        </w:numPr>
        <w:rPr>
          <w:rFonts w:ascii="Arial" w:cs="Arial" w:eastAsia="Arial" w:hAnsi="Arial"/>
          <w:sz w:val="22"/>
          <w:szCs w:val="22"/>
          <w:color w:val="auto"/>
        </w:rPr>
      </w:pPr>
      <w:r>
        <w:rPr>
          <w:rFonts w:ascii="Arial" w:cs="Arial" w:eastAsia="Arial" w:hAnsi="Arial"/>
          <w:sz w:val="22"/>
          <w:szCs w:val="22"/>
          <w:u w:val="single" w:color="auto"/>
          <w:color w:val="auto"/>
        </w:rPr>
        <w:t>General Release</w:t>
      </w:r>
      <w:r>
        <w:rPr>
          <w:rFonts w:ascii="Arial" w:cs="Arial" w:eastAsia="Arial" w:hAnsi="Arial"/>
          <w:sz w:val="22"/>
          <w:szCs w:val="22"/>
          <w:color w:val="auto"/>
        </w:rPr>
        <w:t>. By signing this Agreement, Employee immediately gives up and releases Albany from, and with respect to, any and all rights and claims that Employee may have against Albany (except as expressly stated in subsection 10(c) below), whether or not Employee presently is aware of such rights or claims or suspects them to exist. In addition, and without limiting the foregoing:</w:t>
      </w:r>
    </w:p>
    <w:p>
      <w:pPr>
        <w:spacing w:after="0" w:line="320" w:lineRule="exact"/>
        <w:rPr>
          <w:sz w:val="20"/>
          <w:szCs w:val="20"/>
          <w:color w:val="auto"/>
        </w:rPr>
      </w:pPr>
    </w:p>
    <w:p>
      <w:pPr>
        <w:ind w:left="1304" w:hanging="656"/>
        <w:spacing w:after="0" w:line="272" w:lineRule="auto"/>
        <w:tabs>
          <w:tab w:leader="none" w:pos="130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Employee on behalf of himself, his agents, spouse, representatives, assignees, attorneys, heirs, executors and administrators, fully releases Albany and Albany’s past and present successors, assigns, parents, divisions, subsidiaries, affiliates, officers, directors, shareholders, employees, agents and representatives from any and all liability, claims, demands, actions, causes of action, suits, grievances, debts, sums of moneys, controversies, agreements, promises, damages, back and front pay, costs, expenses, attorneys fees, and remedies of any type, which Employee now has or hereafter may have, by reason of any matter, cause, act or omission arising out of or in connection with Employee’s employment or the termination of his employment with Albany prior to Employee signing this Agreement, including, without limiting the generality of the foregoing, any claims, demands or actions arising under the Age Discrimination in Employment Act of 1967, the Older Workers Benefit Protection Act, the Employee Retirement Income Security Act of 1974, Title VII of the Civil Rights Act of 1964, the Civil Rights act of 1991, the Civil Rights Act of 1866, the Rehabilitation Act of 1973, the Americans with Disabilities Act of 1990, and any other federal, state or local statute, ordinance or common law regarding employment, discrimination in employment, or the termination of employment.</w:t>
      </w:r>
    </w:p>
    <w:p>
      <w:pPr>
        <w:spacing w:after="0" w:line="32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189230</wp:posOffset>
            </wp:positionV>
            <wp:extent cx="7246620" cy="43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04"/>
          </w:cols>
          <w:pgMar w:left="356" w:top="577" w:right="439" w:bottom="1440" w:gutter="0" w:footer="0" w:header="0"/>
        </w:sectPr>
      </w:pPr>
    </w:p>
    <w:bookmarkStart w:id="151" w:name="page152"/>
    <w:bookmarkEnd w:id="151"/>
    <w:p>
      <w:pPr>
        <w:ind w:left="1260" w:right="140"/>
        <w:spacing w:after="0" w:line="249" w:lineRule="auto"/>
        <w:rPr>
          <w:sz w:val="20"/>
          <w:szCs w:val="20"/>
          <w:color w:val="auto"/>
        </w:rPr>
      </w:pPr>
      <w:r>
        <w:rPr>
          <w:rFonts w:ascii="Arial" w:cs="Arial" w:eastAsia="Arial" w:hAnsi="Arial"/>
          <w:sz w:val="21"/>
          <w:szCs w:val="21"/>
          <w:color w:val="auto"/>
        </w:rPr>
        <w:t>Notwithstanding the foregoing, Employee is not waiving any right that cannot, as a matter of law, be voluntarily waived, including the right to file a charge or complaint with, or participate in the adjudication of charge or complaint of discrimination filed with, any federal, state or local administrative agency, though Employee expressly waives any right to recover any money or obtain any other relief or benefit as a result of any complaint or charge being filed with any federal, state or local administrative agency.</w:t>
      </w:r>
    </w:p>
    <w:p>
      <w:pPr>
        <w:spacing w:after="0" w:line="44" w:lineRule="exact"/>
        <w:rPr>
          <w:sz w:val="20"/>
          <w:szCs w:val="20"/>
          <w:color w:val="auto"/>
        </w:rPr>
      </w:pPr>
    </w:p>
    <w:p>
      <w:pPr>
        <w:ind w:left="1260"/>
        <w:spacing w:after="0" w:line="235" w:lineRule="auto"/>
        <w:rPr>
          <w:sz w:val="20"/>
          <w:szCs w:val="20"/>
          <w:color w:val="auto"/>
        </w:rPr>
      </w:pPr>
      <w:r>
        <w:rPr>
          <w:rFonts w:ascii="Arial" w:cs="Arial" w:eastAsia="Arial" w:hAnsi="Arial"/>
          <w:sz w:val="22"/>
          <w:szCs w:val="22"/>
          <w:color w:val="auto"/>
        </w:rPr>
        <w:t>The foregoing release includes, but is not limited to, any claim of discrimination on the basis of race, sex, religion, marital status, sexual orientation, national origin, handicap or disability, age, veteran status, special disabled veteran status, citizenship status; any other claim based on a statutory prohibition; any claim arising out of or related to an express or implied employment contract, any other contract affecting terms and conditions of employment, or any covenant of good faith and fair dealing; all tort claims; and all claims for attorney’s fees or expenses.</w:t>
      </w:r>
    </w:p>
    <w:p>
      <w:pPr>
        <w:spacing w:after="0" w:line="229" w:lineRule="exact"/>
        <w:rPr>
          <w:sz w:val="20"/>
          <w:szCs w:val="20"/>
          <w:color w:val="auto"/>
        </w:rPr>
      </w:pPr>
    </w:p>
    <w:p>
      <w:pPr>
        <w:ind w:left="1260" w:right="340"/>
        <w:spacing w:after="0" w:line="238" w:lineRule="auto"/>
        <w:rPr>
          <w:sz w:val="20"/>
          <w:szCs w:val="20"/>
          <w:color w:val="auto"/>
        </w:rPr>
      </w:pPr>
      <w:r>
        <w:rPr>
          <w:rFonts w:ascii="Arial" w:cs="Arial" w:eastAsia="Arial" w:hAnsi="Arial"/>
          <w:sz w:val="22"/>
          <w:szCs w:val="22"/>
          <w:color w:val="auto"/>
        </w:rPr>
        <w:t>The Employee represents that he understands the foregoing release, that rights and claims under the Age Discrimination in Employment Act of 1967, as amended, are among the rights and claims against Albany he is releasing, and that he understands that he is not releasing any rights or claims arising after the date Employee signs this Agreement.</w:t>
      </w:r>
    </w:p>
    <w:p>
      <w:pPr>
        <w:spacing w:after="0" w:line="212" w:lineRule="exact"/>
        <w:rPr>
          <w:sz w:val="20"/>
          <w:szCs w:val="20"/>
          <w:color w:val="auto"/>
        </w:rPr>
      </w:pPr>
    </w:p>
    <w:p>
      <w:pPr>
        <w:ind w:left="1240" w:right="600" w:hanging="643"/>
        <w:spacing w:after="0" w:line="258" w:lineRule="auto"/>
        <w:tabs>
          <w:tab w:leader="none" w:pos="124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If Employee breaches any obligation under this Agreement or the Employment Agreement, Employee agrees that Albany shall not be obligated to continue to make payments under Section 7, and that Employee shall reimburse Albany for all payments made pursuant to Section 7.</w:t>
      </w:r>
    </w:p>
    <w:p>
      <w:pPr>
        <w:spacing w:after="0" w:line="207" w:lineRule="exact"/>
        <w:rPr>
          <w:rFonts w:ascii="Arial" w:cs="Arial" w:eastAsia="Arial" w:hAnsi="Arial"/>
          <w:sz w:val="21"/>
          <w:szCs w:val="21"/>
          <w:color w:val="auto"/>
        </w:rPr>
      </w:pPr>
    </w:p>
    <w:p>
      <w:pPr>
        <w:ind w:left="1240" w:right="20" w:hanging="643"/>
        <w:spacing w:after="0" w:line="279" w:lineRule="auto"/>
        <w:tabs>
          <w:tab w:leader="none" w:pos="12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Nothing in this Agreement, however, shall be deemed a waiver of any vested rights or entitlements Employee may have under any retirement or other employee benefit plans administered by Albany. Nor shall anything in this Agreement operate to release Albany from its obligations under this Agreement or Section 5 of the Employment Agreement, including the acceleration of 50% of Employee’s unvested restricted stock units in accordance with Employee’s Restricted Stock Unit Agreement, subject to Employee’s continued compliance with his obligations under this Agreement and the Employment Agreement.</w:t>
      </w:r>
    </w:p>
    <w:p>
      <w:pPr>
        <w:spacing w:after="0" w:line="191" w:lineRule="exact"/>
        <w:rPr>
          <w:rFonts w:ascii="Arial" w:cs="Arial" w:eastAsia="Arial" w:hAnsi="Arial"/>
          <w:sz w:val="19"/>
          <w:szCs w:val="19"/>
          <w:color w:val="auto"/>
        </w:rPr>
      </w:pPr>
    </w:p>
    <w:p>
      <w:pPr>
        <w:ind w:left="-40" w:right="580" w:firstLine="646"/>
        <w:spacing w:after="0" w:line="274" w:lineRule="auto"/>
        <w:tabs>
          <w:tab w:leader="none" w:pos="1343"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Non-admission of Liability</w:t>
      </w:r>
      <w:r>
        <w:rPr>
          <w:rFonts w:ascii="Arial" w:cs="Arial" w:eastAsia="Arial" w:hAnsi="Arial"/>
          <w:sz w:val="21"/>
          <w:szCs w:val="21"/>
          <w:color w:val="auto"/>
        </w:rPr>
        <w:t>. This Agreement does not constitute an admission by Albany of any liability to Employee, and Employee understands and agrees that Albany denies any such liability to Employee.</w:t>
      </w:r>
    </w:p>
    <w:p>
      <w:pPr>
        <w:spacing w:after="0" w:line="177" w:lineRule="exact"/>
        <w:rPr>
          <w:rFonts w:ascii="Arial" w:cs="Arial" w:eastAsia="Arial" w:hAnsi="Arial"/>
          <w:sz w:val="21"/>
          <w:szCs w:val="21"/>
          <w:color w:val="auto"/>
        </w:rPr>
      </w:pPr>
    </w:p>
    <w:p>
      <w:pPr>
        <w:ind w:left="-40" w:right="180" w:firstLine="646"/>
        <w:spacing w:after="0"/>
        <w:tabs>
          <w:tab w:leader="none" w:pos="1351"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Employee agrees that all aspects of Albany's business, products, prospects, plans and strategies that have not been publicly disclosed, including, but not limited to, the identities, needs and preferences of its customers,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24662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60"/>
          </w:cols>
          <w:pgMar w:left="380" w:top="577" w:right="359" w:bottom="1440" w:gutter="0" w:footer="0" w:header="0"/>
        </w:sectPr>
      </w:pPr>
    </w:p>
    <w:bookmarkStart w:id="152" w:name="page153"/>
    <w:bookmarkEnd w:id="152"/>
    <w:p>
      <w:pPr>
        <w:ind w:left="4" w:right="40"/>
        <w:spacing w:after="0" w:line="273" w:lineRule="auto"/>
        <w:rPr>
          <w:sz w:val="20"/>
          <w:szCs w:val="20"/>
          <w:color w:val="auto"/>
        </w:rPr>
      </w:pPr>
      <w:r>
        <w:rPr>
          <w:rFonts w:ascii="Arial" w:cs="Arial" w:eastAsia="Arial" w:hAnsi="Arial"/>
          <w:sz w:val="19"/>
          <w:szCs w:val="19"/>
          <w:color w:val="auto"/>
        </w:rPr>
        <w:t>internal business operations and pricing information, manufacturing know-how, technical attributes of products, annual or strategic business plans or analyses, and any and all other trade secrets (collectively, "Confidential Information"), are confidential and secret, shall be maintained in confidence and not disclosed to any third party, and shall remain the exclusive property of the Company. Any Confidential Information may be used or disclosed by the Employee solely to discharge his obligations hereunder, and shall not be used or disclosed for any other purpose, including, without limitation, for any purpose whatsoever following termination of Employee’s employment. All Confidential Information in tangible form that is provided to the Employee shall be returned by the Employee to the Company within 30 days of any termination of employment, together with a statement certifying: (1) that Employee has returned all Confidential Information in his possession, (2) that Employee has at all times maintained the confidential nature of the Confidential Information, and (3) that Employee confirms his continuing obligations of confidentiality under this Agreement following such termination.</w:t>
      </w:r>
    </w:p>
    <w:p>
      <w:pPr>
        <w:spacing w:after="0" w:line="189" w:lineRule="exact"/>
        <w:rPr>
          <w:sz w:val="20"/>
          <w:szCs w:val="20"/>
          <w:color w:val="auto"/>
        </w:rPr>
      </w:pPr>
    </w:p>
    <w:p>
      <w:pPr>
        <w:ind w:left="4" w:right="240" w:firstLine="644"/>
        <w:spacing w:after="0" w:line="287" w:lineRule="auto"/>
        <w:tabs>
          <w:tab w:leader="none" w:pos="1395"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The Employee will not knowingly disparage, criticize or otherwise make any derogatory statements regarding the Company, including its shareholders, directors and officers, and the Company will not knowingly disparage, criticize or otherwise make any derogatory statements regarding the Employee. The foregoing restriction will not apply to any truthful statements made in response to a valid subpoena or other compulsory legal process.</w:t>
      </w:r>
    </w:p>
    <w:p>
      <w:pPr>
        <w:spacing w:after="0" w:line="116" w:lineRule="exact"/>
        <w:rPr>
          <w:rFonts w:ascii="Arial" w:cs="Arial" w:eastAsia="Arial" w:hAnsi="Arial"/>
          <w:sz w:val="19"/>
          <w:szCs w:val="19"/>
          <w:color w:val="auto"/>
        </w:rPr>
      </w:pPr>
    </w:p>
    <w:p>
      <w:pPr>
        <w:ind w:left="584" w:right="520" w:firstLine="119"/>
        <w:spacing w:after="0" w:line="251" w:lineRule="auto"/>
        <w:tabs>
          <w:tab w:leader="none" w:pos="1455" w:val="left"/>
        </w:tabs>
        <w:numPr>
          <w:ilvl w:val="2"/>
          <w:numId w:val="118"/>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Employee acknowledges and recognizes the highly competitive nature of Albany’s business. Accordingly, Employee agrees as follows:</w:t>
      </w: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ind w:left="4" w:right="80" w:hanging="4"/>
        <w:spacing w:after="0"/>
        <w:tabs>
          <w:tab w:leader="none" w:pos="26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During the Severance Period, whether on his own behalf or on behalf of or in conjunction with any person, firm, partnership, joint venture, association, corporation or other business, organization, entity or enterprise whatsoever (“Person”), Employee shall not directly or indirectly:</w:t>
      </w:r>
    </w:p>
    <w:p>
      <w:pPr>
        <w:spacing w:after="0" w:line="213" w:lineRule="exact"/>
        <w:rPr>
          <w:sz w:val="20"/>
          <w:szCs w:val="20"/>
          <w:color w:val="auto"/>
        </w:rPr>
      </w:pPr>
    </w:p>
    <w:p>
      <w:pPr>
        <w:ind w:left="984" w:hanging="336"/>
        <w:spacing w:after="0"/>
        <w:tabs>
          <w:tab w:leader="none" w:pos="98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operate a Competitive Business;</w:t>
      </w:r>
    </w:p>
    <w:p>
      <w:pPr>
        <w:spacing w:after="0" w:line="44" w:lineRule="exact"/>
        <w:rPr>
          <w:rFonts w:ascii="Arial" w:cs="Arial" w:eastAsia="Arial" w:hAnsi="Arial"/>
          <w:sz w:val="22"/>
          <w:szCs w:val="22"/>
          <w:color w:val="auto"/>
        </w:rPr>
      </w:pPr>
    </w:p>
    <w:p>
      <w:pPr>
        <w:ind w:left="984" w:hanging="336"/>
        <w:spacing w:after="0"/>
        <w:tabs>
          <w:tab w:leader="none" w:pos="98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enter into the employ of, or render any services to, any Person in respect of any Competitive Business;</w:t>
      </w:r>
    </w:p>
    <w:p>
      <w:pPr>
        <w:spacing w:after="0" w:line="8" w:lineRule="exact"/>
        <w:rPr>
          <w:rFonts w:ascii="Arial" w:cs="Arial" w:eastAsia="Arial" w:hAnsi="Arial"/>
          <w:sz w:val="22"/>
          <w:szCs w:val="22"/>
          <w:color w:val="auto"/>
        </w:rPr>
      </w:pPr>
    </w:p>
    <w:p>
      <w:pPr>
        <w:jc w:val="both"/>
        <w:ind w:left="4" w:firstLine="644"/>
        <w:spacing w:after="0" w:line="230" w:lineRule="auto"/>
        <w:tabs>
          <w:tab w:leader="none" w:pos="1219"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acquire a financial interest in, or otherwise become actively involved with, any Competitive Business, directly or indirectly, as an individual, partner, shareholder, officer, director, principal, agent, trustee or consultant; provided, however, that in no event shall ownership of less than 2% of the outstanding capital stock of any corporation, in and of itself, be deemed a violation of this covenant if such capital stock is listed on a national securities exchange or regularly traded in an over-the-counter market; or</w:t>
      </w:r>
    </w:p>
    <w:p>
      <w:pPr>
        <w:spacing w:after="0" w:line="3" w:lineRule="exact"/>
        <w:rPr>
          <w:rFonts w:ascii="Arial" w:cs="Arial" w:eastAsia="Arial" w:hAnsi="Arial"/>
          <w:sz w:val="22"/>
          <w:szCs w:val="22"/>
          <w:color w:val="auto"/>
        </w:rPr>
      </w:pPr>
    </w:p>
    <w:p>
      <w:pPr>
        <w:ind w:left="4" w:firstLine="644"/>
        <w:spacing w:after="0" w:line="237" w:lineRule="auto"/>
        <w:tabs>
          <w:tab w:leader="none" w:pos="1545"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interfere with, or attempt to interfere with, any business relationships between the Company or any of its subsidiaries or affiliates and their customers, clients, suppliers or investors; and</w:t>
      </w:r>
    </w:p>
    <w:p>
      <w:pPr>
        <w:spacing w:after="0" w:line="225" w:lineRule="exact"/>
        <w:rPr>
          <w:rFonts w:ascii="Arial" w:cs="Arial" w:eastAsia="Arial" w:hAnsi="Arial"/>
          <w:sz w:val="22"/>
          <w:szCs w:val="22"/>
          <w:color w:val="auto"/>
        </w:rPr>
      </w:pPr>
    </w:p>
    <w:p>
      <w:pPr>
        <w:ind w:left="4" w:right="380" w:hanging="4"/>
        <w:spacing w:after="0" w:line="251" w:lineRule="auto"/>
        <w:tabs>
          <w:tab w:leader="none" w:pos="73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During the Severance Period, whether on Employee’s own behalf or on behalf of or in conjunction with any Person, Employee shall not directly or indirectly:</w:t>
      </w:r>
    </w:p>
    <w:p>
      <w:pPr>
        <w:spacing w:after="0" w:line="3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189230</wp:posOffset>
            </wp:positionV>
            <wp:extent cx="7246620" cy="43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44"/>
          </w:cols>
          <w:pgMar w:left="356" w:top="577" w:right="399" w:bottom="1440" w:gutter="0" w:footer="0" w:header="0"/>
        </w:sectPr>
      </w:pPr>
    </w:p>
    <w:bookmarkStart w:id="153" w:name="page154"/>
    <w:bookmarkEnd w:id="153"/>
    <w:p>
      <w:pPr>
        <w:ind w:firstLine="644"/>
        <w:spacing w:after="0" w:line="239" w:lineRule="auto"/>
        <w:tabs>
          <w:tab w:leader="none" w:pos="100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solicit or encourage any employee of the Company or any of its subsidiaries or affiliates to leave the employment of the Company or any of its subsidiaries or affiliates; or</w:t>
      </w:r>
    </w:p>
    <w:p>
      <w:pPr>
        <w:ind w:firstLine="644"/>
        <w:spacing w:after="0" w:line="237" w:lineRule="auto"/>
        <w:tabs>
          <w:tab w:leader="none" w:pos="134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hire any such employee who was employed by the Company or any of its subsidiaries or affiliates as of the Termination Date or, if later, within the six-months before the date the person was hired by Employee.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Employee understands that the Company will have the right to seek injunctive relief in the event that Employee violates this paragraph 14 because the harm caused by such violation will be irreparable and difficult to calculate in terms of monetary damages.</w:t>
      </w:r>
    </w:p>
    <w:p>
      <w:pPr>
        <w:spacing w:after="0" w:line="227" w:lineRule="exact"/>
        <w:rPr>
          <w:sz w:val="20"/>
          <w:szCs w:val="20"/>
          <w:color w:val="auto"/>
        </w:rPr>
      </w:pPr>
    </w:p>
    <w:p>
      <w:pPr>
        <w:ind w:right="760"/>
        <w:spacing w:after="0" w:line="297" w:lineRule="auto"/>
        <w:rPr>
          <w:sz w:val="20"/>
          <w:szCs w:val="20"/>
          <w:color w:val="auto"/>
        </w:rPr>
      </w:pPr>
      <w:r>
        <w:rPr>
          <w:rFonts w:ascii="Arial" w:cs="Arial" w:eastAsia="Arial" w:hAnsi="Arial"/>
          <w:sz w:val="19"/>
          <w:szCs w:val="19"/>
          <w:color w:val="auto"/>
        </w:rPr>
        <w:t>For the purposes of this paragraph 14, a Competitive Business is any person or entity that manufactures or sells (a) papermachine clothing or belts used in the manufacture or paper, nonwovens or fiber cement, or (b) advanced composite materials, structures or components for use in defense, aerospace or automotive applications.</w:t>
      </w:r>
    </w:p>
    <w:p>
      <w:pPr>
        <w:spacing w:after="0" w:line="161"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It is expressly understood and agreed that although the parties consider the restrictions in this Paragraph 14 to be reasonable, if a final determination is made by a court of competent jurisdiction that the time or territory or any other restriction contained in this paragraph is an unenforceable restriction against the Employee, the provisions of this paragraph shall not be rendered void but shall be deemed amended to apply as to such maximum time and territory and to such maximum extent as such court may determine to be enforceable.</w:t>
      </w:r>
    </w:p>
    <w:p>
      <w:pPr>
        <w:spacing w:after="0" w:line="228" w:lineRule="exact"/>
        <w:rPr>
          <w:sz w:val="20"/>
          <w:szCs w:val="20"/>
          <w:color w:val="auto"/>
        </w:rPr>
      </w:pPr>
    </w:p>
    <w:p>
      <w:pPr>
        <w:ind w:right="180" w:firstLine="644"/>
        <w:spacing w:after="0" w:line="238" w:lineRule="auto"/>
        <w:tabs>
          <w:tab w:leader="none" w:pos="1391"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or other deliveries required or permitted to be given or made under this Agreement by Employee to Albany shall, except to the extent otherwise required by law, be deemed given or made if delivered by hand or by express mail or overnight courier service to Albany International Corp., 455 Patroon Creek Blvd, Suite 206, Albany, New York 12206, Attention: Joseph M. Gaug.</w:t>
      </w:r>
    </w:p>
    <w:p>
      <w:pPr>
        <w:spacing w:after="0" w:line="225" w:lineRule="exact"/>
        <w:rPr>
          <w:rFonts w:ascii="Arial" w:cs="Arial" w:eastAsia="Arial" w:hAnsi="Arial"/>
          <w:sz w:val="22"/>
          <w:szCs w:val="22"/>
          <w:color w:val="auto"/>
        </w:rPr>
      </w:pPr>
    </w:p>
    <w:p>
      <w:pPr>
        <w:ind w:left="1380" w:hanging="736"/>
        <w:spacing w:after="0"/>
        <w:tabs>
          <w:tab w:leader="none" w:pos="138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Ratification of Prior Agreement</w:t>
      </w:r>
      <w:r>
        <w:rPr>
          <w:rFonts w:ascii="Arial" w:cs="Arial" w:eastAsia="Arial" w:hAnsi="Arial"/>
          <w:sz w:val="22"/>
          <w:szCs w:val="22"/>
          <w:color w:val="auto"/>
        </w:rPr>
        <w:t>. The terms, provisions and conditions of the Employment Agreement</w:t>
      </w:r>
    </w:p>
    <w:p>
      <w:pPr>
        <w:spacing w:after="0" w:line="8" w:lineRule="exact"/>
        <w:rPr>
          <w:sz w:val="20"/>
          <w:szCs w:val="20"/>
          <w:color w:val="auto"/>
        </w:rPr>
      </w:pPr>
    </w:p>
    <w:p>
      <w:pPr>
        <w:ind w:right="740"/>
        <w:spacing w:after="0" w:line="308" w:lineRule="auto"/>
        <w:rPr>
          <w:sz w:val="20"/>
          <w:szCs w:val="20"/>
          <w:color w:val="auto"/>
        </w:rPr>
      </w:pPr>
      <w:r>
        <w:rPr>
          <w:rFonts w:ascii="Arial" w:cs="Arial" w:eastAsia="Arial" w:hAnsi="Arial"/>
          <w:sz w:val="19"/>
          <w:szCs w:val="19"/>
          <w:color w:val="auto"/>
        </w:rPr>
        <w:t>are unchanged and in full force and effect and are hereby ratified and confirmed in all respects. Unless otherwise defined herein, any defined term used in this Agreement, shall have the definition ascribed to it in the Employment Agreement.</w:t>
      </w:r>
    </w:p>
    <w:p>
      <w:pPr>
        <w:spacing w:after="0" w:line="150" w:lineRule="exact"/>
        <w:rPr>
          <w:sz w:val="20"/>
          <w:szCs w:val="20"/>
          <w:color w:val="auto"/>
        </w:rPr>
      </w:pPr>
    </w:p>
    <w:p>
      <w:pPr>
        <w:ind w:right="320" w:firstLine="644"/>
        <w:spacing w:after="0" w:line="251" w:lineRule="auto"/>
        <w:tabs>
          <w:tab w:leader="none" w:pos="1391"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213" w:lineRule="exact"/>
        <w:rPr>
          <w:rFonts w:ascii="Arial" w:cs="Arial" w:eastAsia="Arial" w:hAnsi="Arial"/>
          <w:sz w:val="22"/>
          <w:szCs w:val="22"/>
          <w:color w:val="auto"/>
        </w:rPr>
      </w:pPr>
    </w:p>
    <w:p>
      <w:pPr>
        <w:ind w:right="440" w:firstLine="644"/>
        <w:spacing w:after="0" w:line="282" w:lineRule="auto"/>
        <w:tabs>
          <w:tab w:leader="none" w:pos="1391"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Certain Disclosures to Governmental Agencies and Others</w:t>
      </w:r>
      <w:r>
        <w:rPr>
          <w:rFonts w:ascii="Arial" w:cs="Arial" w:eastAsia="Arial" w:hAnsi="Arial"/>
          <w:sz w:val="19"/>
          <w:szCs w:val="19"/>
          <w:color w:val="auto"/>
        </w:rPr>
        <w:t>. Notwithstanding anything herein or in any other agreement with or policy (including without limitation any code of conduct or employee manual) of the Company, nothing herein or therein is intended to or shall: (i) prohibit Employee from making reports of possible violations of federal law or regulation (even if Employee participated in such violations) to, and cooperating with, any governmental agency or entity in accordance with the provisions of and rules promulgated under Section 21F of the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189230</wp:posOffset>
            </wp:positionV>
            <wp:extent cx="7246620" cy="43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360" w:top="578" w:right="359" w:bottom="1440" w:gutter="0" w:footer="0" w:header="0"/>
        </w:sectPr>
      </w:pPr>
    </w:p>
    <w:bookmarkStart w:id="154" w:name="page155"/>
    <w:bookmarkEnd w:id="154"/>
    <w:p>
      <w:pPr>
        <w:spacing w:after="0" w:line="274" w:lineRule="auto"/>
        <w:rPr>
          <w:sz w:val="20"/>
          <w:szCs w:val="20"/>
          <w:color w:val="auto"/>
        </w:rPr>
      </w:pPr>
      <w:r>
        <w:rPr>
          <w:rFonts w:ascii="Arial" w:cs="Arial" w:eastAsia="Arial" w:hAnsi="Arial"/>
          <w:sz w:val="19"/>
          <w:szCs w:val="19"/>
          <w:color w:val="auto"/>
        </w:rPr>
        <w:t>Exchange Act of 1934 or Section 806 of the Sarbanes-Oxley Act of 2002 or of any other whistleblower protection provisions of state or federal law or regulation; (ii) require notification to or prior approval by the Company of any such reporting or cooperation; or (iii) result in a waiver or other limitation of Employee’s rights and remedies as a whistleblower, including to a monetary award. Notwithstanding the foregoing, Employee is not authorized (and the above should not be read as permitting Employee) to disclose communications with counsel that were made for the purpose of receiving legal advice or that contain legal advice or that are protected by the attorney work product or similar privilege. Furthermore, Employee will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IN WITNESS WHEREOF, Employee and a duly authorized representative of the Company have signed this Agreement as of the dates set forth below.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80" w:type="dxa"/>
            <w:vAlign w:val="bottom"/>
            <w:gridSpan w:val="2"/>
          </w:tcPr>
          <w:p>
            <w:pPr>
              <w:spacing w:after="0"/>
              <w:rPr>
                <w:sz w:val="20"/>
                <w:szCs w:val="20"/>
                <w:color w:val="auto"/>
              </w:rPr>
            </w:pPr>
            <w:r>
              <w:rPr>
                <w:rFonts w:ascii="Arial" w:cs="Arial" w:eastAsia="Arial" w:hAnsi="Arial"/>
                <w:sz w:val="22"/>
                <w:szCs w:val="22"/>
                <w:color w:val="auto"/>
              </w:rPr>
              <w:t>Employee</w:t>
            </w:r>
          </w:p>
        </w:tc>
        <w:tc>
          <w:tcPr>
            <w:tcW w:w="4760" w:type="dxa"/>
            <w:vAlign w:val="bottom"/>
          </w:tcPr>
          <w:p>
            <w:pPr>
              <w:ind w:left="1580"/>
              <w:spacing w:after="0"/>
              <w:rPr>
                <w:sz w:val="20"/>
                <w:szCs w:val="20"/>
                <w:color w:val="auto"/>
              </w:rPr>
            </w:pPr>
            <w:r>
              <w:rPr>
                <w:rFonts w:ascii="Arial" w:cs="Arial" w:eastAsia="Arial" w:hAnsi="Arial"/>
                <w:sz w:val="22"/>
                <w:szCs w:val="22"/>
                <w:color w:val="auto"/>
              </w:rPr>
              <w:t>Albany International Corp.</w:t>
            </w:r>
          </w:p>
        </w:tc>
      </w:tr>
      <w:tr>
        <w:trPr>
          <w:trHeight w:val="972"/>
        </w:trPr>
        <w:tc>
          <w:tcPr>
            <w:tcW w:w="2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760" w:type="dxa"/>
            <w:vAlign w:val="bottom"/>
          </w:tcPr>
          <w:p>
            <w:pPr>
              <w:ind w:left="1580"/>
              <w:spacing w:after="0"/>
              <w:rPr>
                <w:sz w:val="20"/>
                <w:szCs w:val="20"/>
                <w:color w:val="auto"/>
              </w:rPr>
            </w:pPr>
            <w:r>
              <w:rPr>
                <w:rFonts w:ascii="Arial" w:cs="Arial" w:eastAsia="Arial" w:hAnsi="Arial"/>
                <w:sz w:val="22"/>
                <w:szCs w:val="22"/>
                <w:color w:val="auto"/>
                <w:w w:val="88"/>
              </w:rPr>
              <w:t>By: __________________________</w:t>
            </w:r>
          </w:p>
        </w:tc>
      </w:tr>
      <w:tr>
        <w:trPr>
          <w:trHeight w:val="206"/>
        </w:trPr>
        <w:tc>
          <w:tcPr>
            <w:tcW w:w="2700" w:type="dxa"/>
            <w:vAlign w:val="bottom"/>
            <w:tcBorders>
              <w:bottom w:val="single" w:sz="8" w:color="auto"/>
            </w:tcBorders>
          </w:tcPr>
          <w:p>
            <w:pPr>
              <w:spacing w:after="0"/>
              <w:rPr>
                <w:sz w:val="17"/>
                <w:szCs w:val="17"/>
                <w:color w:val="auto"/>
              </w:rPr>
            </w:pPr>
          </w:p>
        </w:tc>
        <w:tc>
          <w:tcPr>
            <w:tcW w:w="188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485"/>
        </w:trPr>
        <w:tc>
          <w:tcPr>
            <w:tcW w:w="4580" w:type="dxa"/>
            <w:vAlign w:val="bottom"/>
            <w:gridSpan w:val="2"/>
          </w:tcPr>
          <w:p>
            <w:pPr>
              <w:spacing w:after="0"/>
              <w:rPr>
                <w:sz w:val="20"/>
                <w:szCs w:val="20"/>
                <w:color w:val="auto"/>
              </w:rPr>
            </w:pPr>
            <w:r>
              <w:rPr>
                <w:rFonts w:ascii="Arial" w:cs="Arial" w:eastAsia="Arial" w:hAnsi="Arial"/>
                <w:sz w:val="22"/>
                <w:szCs w:val="22"/>
                <w:color w:val="auto"/>
              </w:rPr>
              <w:t>Olivier Jarrault</w:t>
            </w:r>
          </w:p>
        </w:tc>
        <w:tc>
          <w:tcPr>
            <w:tcW w:w="4760" w:type="dxa"/>
            <w:vAlign w:val="bottom"/>
          </w:tcPr>
          <w:p>
            <w:pPr>
              <w:ind w:left="1580"/>
              <w:spacing w:after="0"/>
              <w:rPr>
                <w:sz w:val="20"/>
                <w:szCs w:val="20"/>
                <w:color w:val="auto"/>
              </w:rPr>
            </w:pPr>
            <w:r>
              <w:rPr>
                <w:rFonts w:ascii="Arial" w:cs="Arial" w:eastAsia="Arial" w:hAnsi="Arial"/>
                <w:sz w:val="22"/>
                <w:szCs w:val="22"/>
                <w:color w:val="auto"/>
              </w:rPr>
              <w:t>Name:</w:t>
            </w:r>
          </w:p>
        </w:tc>
      </w:tr>
      <w:tr>
        <w:trPr>
          <w:trHeight w:val="275"/>
        </w:trPr>
        <w:tc>
          <w:tcPr>
            <w:tcW w:w="27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760" w:type="dxa"/>
            <w:vAlign w:val="bottom"/>
          </w:tcPr>
          <w:p>
            <w:pPr>
              <w:ind w:left="1580"/>
              <w:spacing w:after="0"/>
              <w:rPr>
                <w:sz w:val="20"/>
                <w:szCs w:val="20"/>
                <w:color w:val="auto"/>
              </w:rPr>
            </w:pPr>
            <w:r>
              <w:rPr>
                <w:rFonts w:ascii="Arial" w:cs="Arial" w:eastAsia="Arial" w:hAnsi="Arial"/>
                <w:sz w:val="22"/>
                <w:szCs w:val="22"/>
                <w:color w:val="auto"/>
              </w:rPr>
              <w:t>Title:</w:t>
            </w:r>
          </w:p>
        </w:tc>
      </w:tr>
      <w:tr>
        <w:trPr>
          <w:trHeight w:val="783"/>
        </w:trPr>
        <w:tc>
          <w:tcPr>
            <w:tcW w:w="4580" w:type="dxa"/>
            <w:vAlign w:val="bottom"/>
            <w:gridSpan w:val="2"/>
          </w:tcPr>
          <w:p>
            <w:pPr>
              <w:spacing w:after="0"/>
              <w:rPr>
                <w:sz w:val="20"/>
                <w:szCs w:val="20"/>
                <w:color w:val="auto"/>
              </w:rPr>
            </w:pPr>
            <w:r>
              <w:rPr>
                <w:rFonts w:ascii="Arial" w:cs="Arial" w:eastAsia="Arial" w:hAnsi="Arial"/>
                <w:sz w:val="22"/>
                <w:szCs w:val="22"/>
                <w:color w:val="auto"/>
              </w:rPr>
              <w:t>Dated: _________________, 2020</w:t>
            </w:r>
          </w:p>
        </w:tc>
        <w:tc>
          <w:tcPr>
            <w:tcW w:w="4760" w:type="dxa"/>
            <w:vAlign w:val="bottom"/>
          </w:tcPr>
          <w:p>
            <w:pPr>
              <w:ind w:left="1580"/>
              <w:spacing w:after="0"/>
              <w:rPr>
                <w:sz w:val="20"/>
                <w:szCs w:val="20"/>
                <w:color w:val="auto"/>
              </w:rPr>
            </w:pPr>
            <w:r>
              <w:rPr>
                <w:rFonts w:ascii="Arial" w:cs="Arial" w:eastAsia="Arial" w:hAnsi="Arial"/>
                <w:sz w:val="22"/>
                <w:szCs w:val="22"/>
                <w:color w:val="auto"/>
                <w:w w:val="92"/>
              </w:rPr>
              <w:t>Dated: _________________,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189230</wp:posOffset>
            </wp:positionV>
            <wp:extent cx="7246620" cy="43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60"/>
          </w:cols>
          <w:pgMar w:left="360" w:top="577" w:right="37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204470</wp:posOffset>
            </wp:positionV>
            <wp:extent cx="7246620" cy="43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10 (u)</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EMPLOYMENT AGREEMENT</w:t>
      </w:r>
    </w:p>
    <w:p>
      <w:pPr>
        <w:spacing w:after="0" w:line="224" w:lineRule="exact"/>
        <w:rPr>
          <w:sz w:val="20"/>
          <w:szCs w:val="20"/>
          <w:color w:val="auto"/>
        </w:rPr>
      </w:pPr>
    </w:p>
    <w:p>
      <w:pPr>
        <w:ind w:right="1240" w:firstLine="548"/>
        <w:spacing w:after="0" w:line="277" w:lineRule="auto"/>
        <w:rPr>
          <w:sz w:val="20"/>
          <w:szCs w:val="20"/>
          <w:color w:val="auto"/>
        </w:rPr>
      </w:pPr>
      <w:r>
        <w:rPr>
          <w:rFonts w:ascii="Arial" w:cs="Arial" w:eastAsia="Arial" w:hAnsi="Arial"/>
          <w:sz w:val="18"/>
          <w:szCs w:val="18"/>
          <w:color w:val="auto"/>
        </w:rPr>
        <w:t>This Agreement is entered into as of March 2, 2018 (the “Effective Date”) by and between Albany International Corp. (the "Company") and Olivier Jarrault ("Executive").</w:t>
      </w:r>
    </w:p>
    <w:p>
      <w:pPr>
        <w:spacing w:after="0" w:line="184" w:lineRule="exact"/>
        <w:rPr>
          <w:sz w:val="20"/>
          <w:szCs w:val="20"/>
          <w:color w:val="auto"/>
        </w:rPr>
      </w:pPr>
    </w:p>
    <w:p>
      <w:pPr>
        <w:ind w:left="200" w:hanging="198"/>
        <w:spacing w:after="0"/>
        <w:tabs>
          <w:tab w:leader="none" w:pos="2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239" w:lineRule="exact"/>
        <w:rPr>
          <w:sz w:val="20"/>
          <w:szCs w:val="20"/>
          <w:color w:val="auto"/>
        </w:rPr>
      </w:pPr>
    </w:p>
    <w:p>
      <w:pPr>
        <w:ind w:right="640" w:firstLine="2"/>
        <w:spacing w:after="0" w:line="255" w:lineRule="auto"/>
        <w:tabs>
          <w:tab w:leader="none" w:pos="26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Positions and Duties. Commencing on the Effective Date, Executive will serve as President and Chief Executive Officer of the Company, reporting to the Company's Board of Directors (the "Board"). The period during which Executive is employed by the Company under this Agreement is referred to herein as the "Employment Term." During the Employment Term, Executive will render such business and professional services in the performance of his duties, consistent with Executive's position within the Company, as may be assigned to him by the Board. Executive shall be based at the Company's headquarters in Rochester, New Hampshire, or such other place, as may be reasonably requested by the Company.</w:t>
      </w:r>
    </w:p>
    <w:p>
      <w:pPr>
        <w:spacing w:after="0" w:line="2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Executive shall be nominated for election to the Board such that his nomination shall be voted on by the shareholders of the Company at the first annual shareholder’s meeting following the Effective Date.</w:t>
      </w:r>
    </w:p>
    <w:p>
      <w:pPr>
        <w:spacing w:after="0" w:line="170" w:lineRule="exact"/>
        <w:rPr>
          <w:sz w:val="20"/>
          <w:szCs w:val="20"/>
          <w:color w:val="auto"/>
        </w:rPr>
      </w:pPr>
    </w:p>
    <w:p>
      <w:pPr>
        <w:ind w:right="720" w:firstLine="2"/>
        <w:spacing w:after="0" w:line="293" w:lineRule="auto"/>
        <w:tabs>
          <w:tab w:leader="none" w:pos="27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Obligations. During the Employment Term, Executive will devote Executive's full business efforts to the Company and will use good faith efforts to discharge Executive's obligations under this Agreement to the best of Executive's ability. For the duration of the Employment Term, Executive agrees not to serve as a director for any for-profit entity or organization or actively engage in any employment, occupation, or consulting activity, without the prior approval of the Board, in its sole discretion; provided, however, that Executive may, without the approval of the Board, (i) serve in any capacity with any civic, educational, or charitable organization and (ii) manage his personal investments; in each case, provided such services do not interfere with Executive's obligations to the Company.</w:t>
      </w:r>
    </w:p>
    <w:p>
      <w:pPr>
        <w:spacing w:after="0" w:line="178" w:lineRule="exact"/>
        <w:rPr>
          <w:sz w:val="20"/>
          <w:szCs w:val="20"/>
          <w:color w:val="auto"/>
        </w:rPr>
      </w:pPr>
    </w:p>
    <w:p>
      <w:pPr>
        <w:ind w:right="660" w:firstLine="2"/>
        <w:spacing w:after="0" w:line="259" w:lineRule="auto"/>
        <w:tabs>
          <w:tab w:leader="none" w:pos="19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Term of Agreement; At-Will Employment</w:t>
      </w:r>
      <w:r>
        <w:rPr>
          <w:rFonts w:ascii="Arial" w:cs="Arial" w:eastAsia="Arial" w:hAnsi="Arial"/>
          <w:sz w:val="18"/>
          <w:szCs w:val="18"/>
          <w:color w:val="auto"/>
        </w:rPr>
        <w:t>. Executive and the Company agree that Executive's employment with the Company constitutes "at-will" employment. Executive and the Company acknowledge that, subject to the provisions of Sections 5 and 6 of this Agreement, Executive's employment relationship with the Company may be terminated at any time, upon written notice to the other party, with or without good cause, at the option either of the Company or Executive.</w:t>
      </w:r>
    </w:p>
    <w:p>
      <w:pPr>
        <w:spacing w:after="0" w:line="213" w:lineRule="exact"/>
        <w:rPr>
          <w:rFonts w:ascii="Arial" w:cs="Arial" w:eastAsia="Arial" w:hAnsi="Arial"/>
          <w:sz w:val="18"/>
          <w:szCs w:val="18"/>
          <w:color w:val="auto"/>
        </w:rPr>
      </w:pPr>
    </w:p>
    <w:p>
      <w:pPr>
        <w:ind w:left="180" w:hanging="178"/>
        <w:spacing w:after="0"/>
        <w:tabs>
          <w:tab w:leader="none" w:pos="1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640" w:firstLine="2"/>
        <w:spacing w:after="0" w:line="286" w:lineRule="auto"/>
        <w:tabs>
          <w:tab w:leader="none" w:pos="26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 Salary. Commencing on the Effective Date, the Company will pay Executive an annual salary of $775,000 as compensation for his services (such annual salary, as is then effective, to be referred to herein as "Base Salary"). The Base Salary will be paid periodically in accordance with the Company's normal payroll practices and be subject to standard and customary withholdings.</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334645</wp:posOffset>
            </wp:positionV>
            <wp:extent cx="7246620" cy="43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620"/>
          </w:cols>
          <w:pgMar w:left="920" w:top="584" w:right="359" w:bottom="1440" w:gutter="0" w:footer="0" w:header="0"/>
        </w:sectPr>
      </w:pPr>
    </w:p>
    <w:bookmarkStart w:id="157" w:name="page158"/>
    <w:bookmarkEnd w:id="157"/>
    <w:p>
      <w:pPr>
        <w:ind w:right="240"/>
        <w:spacing w:after="0" w:line="277" w:lineRule="auto"/>
        <w:rPr>
          <w:sz w:val="20"/>
          <w:szCs w:val="20"/>
          <w:color w:val="auto"/>
        </w:rPr>
      </w:pPr>
      <w:r>
        <w:rPr>
          <w:rFonts w:ascii="Arial" w:cs="Arial" w:eastAsia="Arial" w:hAnsi="Arial"/>
          <w:sz w:val="18"/>
          <w:szCs w:val="18"/>
          <w:color w:val="auto"/>
        </w:rPr>
        <w:t>Executive's salary will be subject to review by the Compensation Committee of the Board, or any successor thereto (the "Committee"), at least annually, and adjustments will be made in the discretion of the Committee.</w:t>
      </w:r>
    </w:p>
    <w:p>
      <w:pPr>
        <w:spacing w:after="0" w:line="184" w:lineRule="exact"/>
        <w:rPr>
          <w:sz w:val="20"/>
          <w:szCs w:val="20"/>
          <w:color w:val="auto"/>
        </w:rPr>
      </w:pPr>
    </w:p>
    <w:p>
      <w:pPr>
        <w:ind w:firstLine="2"/>
        <w:spacing w:after="0" w:line="268" w:lineRule="auto"/>
        <w:tabs>
          <w:tab w:leader="none" w:pos="27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Annual Bonus. Executive will be granted an Annual Performance Period (“APP”) award for service performed in 2018 under the Company's 2017 Incentive Plan, to be determined and paid in cash during early 2019. Under this award, Executive will be entitled to receive between 0% and 200% of his target award, based on performance goal attainment during 2018. Executive’s 2018 APP target award amount will be equal to 100% of his actual 2018 Base Salary, pro- rated for the portion of the year during which he is actually employed. (For example, as the Effective Date is March 1, 2018, the target amount would be $775,000 x 10/12, or $645,833.33). The Compensation Committee of the Company's Board of Directors has determined that the 2018 APP award goal for senior management, including Executive, will be a specified level of Company Adjusted EBITDA (as defined in the award agreements). The Committee retains the right to exercise its discretion, after the end of 2018, as in prior years, to determine to what extent the APP awards Executive and the other executive officers have been earned, and reserves the right to take individual performance factors into account, and to employ subjective and objective criteria. (The other terms of this award shall be as specified in the 2018 Annual Performance Award Agreement). Executive will be eligible in 2019 and thereafter to participate in the 2019 APP award or any other annual executive bonus program, as the same may be adopted, amended, modified or terminated by the Company, in accordance with its terms. Target bonuses in future periods will be at the discretion of the Compensation Committee.</w:t>
      </w:r>
    </w:p>
    <w:p>
      <w:pPr>
        <w:spacing w:after="0" w:line="187" w:lineRule="exact"/>
        <w:rPr>
          <w:rFonts w:ascii="Arial" w:cs="Arial" w:eastAsia="Arial" w:hAnsi="Arial"/>
          <w:sz w:val="17"/>
          <w:szCs w:val="17"/>
          <w:color w:val="auto"/>
        </w:rPr>
      </w:pPr>
    </w:p>
    <w:p>
      <w:pPr>
        <w:ind w:right="200" w:firstLine="2"/>
        <w:spacing w:after="0" w:line="268" w:lineRule="auto"/>
        <w:tabs>
          <w:tab w:leader="none" w:pos="26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Long Term Incentive. Executive will be granted a Multi-year Performance Period (“MPP”) award for service performed in 2018, 2019 and 2020 under the Company's 2017 Incentive Plan, to be determined and paid in equity during early 2021. Under this award, Executive will be entitled to receive between 0% and 200% of his target award, based on performance goal attainment during the three year performance period. Executive’s 2018 MPP target award will be a share amount with a grant date value equal to 200% of his actual 2018 Base Salary, pro-rated for the portion of the performance period during which he is actually employed. The Compensation Committee of the Company's Board of Directors has determined that the 2018 MPP award goal for senior management, including Executive, will be a specified level of Company Adjusted EBITDA (as defined in the award agreements). The Committee retains the right to exercise its discretion, after the end of 2020, as in prior years, to determine to what extent the MPP awards Executive and the other executive officers have been earned, and reserves the right to take individual performance factors into account, and to employ subjective and objective criteria. (The other terms of this award shall be as specified in the 2018 Multi-year Performance Award Agreement). Executive will be eligible in 2019 thereafter to participate in the 2019 MPP award or any other long term executive bonus program, as the same may be adopted, amended, modified or terminated by the Company, in accordance with its terms. Target bonuses in future periods will be at the discretion of the Compensation Committee.</w:t>
      </w:r>
    </w:p>
    <w:p>
      <w:pPr>
        <w:spacing w:after="0" w:line="201" w:lineRule="exact"/>
        <w:rPr>
          <w:rFonts w:ascii="Arial" w:cs="Arial" w:eastAsia="Arial" w:hAnsi="Arial"/>
          <w:sz w:val="17"/>
          <w:szCs w:val="17"/>
          <w:color w:val="auto"/>
        </w:rPr>
      </w:pPr>
    </w:p>
    <w:p>
      <w:pPr>
        <w:ind w:right="360" w:firstLine="2"/>
        <w:spacing w:after="0" w:line="277" w:lineRule="auto"/>
        <w:tabs>
          <w:tab w:leader="none" w:pos="2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Restricted Stock Units. Executive will receive, as of the Effective Date, a grant of stock units under the Company's Restricted Stock Unit Plan having a grant date value of $1,500,000,</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334645</wp:posOffset>
            </wp:positionV>
            <wp:extent cx="7246620" cy="431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40"/>
          </w:cols>
          <w:pgMar w:left="920" w:top="584" w:right="8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pursuant to the form of Restricted Stock Unit Award attached to this Agreement as Exhibit A.</w:t>
      </w:r>
    </w:p>
    <w:p>
      <w:pPr>
        <w:spacing w:after="0" w:line="239" w:lineRule="exact"/>
        <w:rPr>
          <w:sz w:val="20"/>
          <w:szCs w:val="20"/>
          <w:color w:val="auto"/>
        </w:rPr>
      </w:pPr>
    </w:p>
    <w:p>
      <w:pPr>
        <w:ind w:firstLine="2"/>
        <w:spacing w:after="0" w:line="270" w:lineRule="auto"/>
        <w:tabs>
          <w:tab w:leader="none" w:pos="26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Relocation. Executive shall relocate to Rochester, New Hampshire area no later than March 1, 2019. In the interim, Executive shall be reimbursed for temporary housing expenses and shall be entitled to such other relocation benefits as provided for pursuant to the Company's Executive Relocation Policy, a copy of which has been provided to the Executive, with the caveat that neither the one-year policy expiration nor 90-day temporary housing limit shall apply to Executive. Provided such expenses are incurred in compliance with the Company’s travel and expense policy, the Company will pay or reimburse Executive for all flight expenses incurred prior to March 1, 2019 for travel from any Company work location to Los Angeles, California, travel from Los Angeles, California to any Company work location, and travel from any Company work location to any other Company work location through Los Angeles, California. The Company will provide tax assistance (gross-up) to Executive on all such expenses for travel to, from, or through Los Angeles, California that are personal to Executive or will appear as income on Executive's Form W-2.</w:t>
      </w:r>
    </w:p>
    <w:p>
      <w:pPr>
        <w:spacing w:after="0" w:line="181" w:lineRule="exact"/>
        <w:rPr>
          <w:rFonts w:ascii="Arial" w:cs="Arial" w:eastAsia="Arial" w:hAnsi="Arial"/>
          <w:sz w:val="17"/>
          <w:szCs w:val="17"/>
          <w:color w:val="auto"/>
        </w:rPr>
      </w:pPr>
    </w:p>
    <w:p>
      <w:pPr>
        <w:ind w:right="80" w:firstLine="2"/>
        <w:spacing w:after="0" w:line="255" w:lineRule="auto"/>
        <w:tabs>
          <w:tab w:leader="none" w:pos="2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Reimbursement of Legal Fee. In the event that stock incentive awards or options are canceled or revoked by Executive’s former employer or litigation is commenced during the Employment Term between Executive and his former employer regarding the non-payment of stock incentive awards or options previously granted to Executive by his former employer as a result of his employment with the Company, the Company agrees to reimburse Executive for his reasonable legal fees actually incurred and paid, up to a maximum of $300,000. In the event that such litigation has not been commenced by December 31, 2019, the Company will be relieved of this reimbursement obligation.</w:t>
      </w:r>
    </w:p>
    <w:p>
      <w:pPr>
        <w:spacing w:after="0" w:line="207" w:lineRule="exact"/>
        <w:rPr>
          <w:sz w:val="20"/>
          <w:szCs w:val="20"/>
          <w:color w:val="auto"/>
        </w:rPr>
      </w:pPr>
    </w:p>
    <w:p>
      <w:pPr>
        <w:ind w:right="480" w:firstLine="2"/>
        <w:spacing w:after="0" w:line="273" w:lineRule="auto"/>
        <w:tabs>
          <w:tab w:leader="none" w:pos="198"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Employee Benefits and Policies</w:t>
      </w:r>
      <w:r>
        <w:rPr>
          <w:rFonts w:ascii="Arial" w:cs="Arial" w:eastAsia="Arial" w:hAnsi="Arial"/>
          <w:sz w:val="17"/>
          <w:szCs w:val="17"/>
          <w:color w:val="auto"/>
        </w:rPr>
        <w:t>. Executive will be entitled to four weeks of vacation with pay during the remainder of 2018, and thereafter will be entitled to four weeks of vacation per calendar year, unless the Company's then-current vacation policy applicable to executive officers provides for a greater period. In addition, Executive will be eligible to participate in all of the Company's employee benefit plans, policies, and arrangements that are applicable to other executive officers of the Company (including, without limitation, 401(k), health care, vision, dental, life insurance and disability), subject to eligibility and otherwise on such terms and as such plans, policies, and arrangements may exist from time to time.</w:t>
      </w:r>
    </w:p>
    <w:p>
      <w:pPr>
        <w:spacing w:after="0" w:line="191" w:lineRule="exact"/>
        <w:rPr>
          <w:rFonts w:ascii="Arial" w:cs="Arial" w:eastAsia="Arial" w:hAnsi="Arial"/>
          <w:sz w:val="17"/>
          <w:szCs w:val="17"/>
          <w:color w:val="auto"/>
        </w:rPr>
      </w:pPr>
    </w:p>
    <w:p>
      <w:pPr>
        <w:ind w:right="120" w:firstLine="2"/>
        <w:spacing w:after="0" w:line="291" w:lineRule="auto"/>
        <w:tabs>
          <w:tab w:leader="none" w:pos="198"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In the event Executive's employment with the Company terminates for any reason, Executive will be entitled to any (a) all unpaid Base Salary accrued to the effective date of termination, (b) unpaid but earned short-term or long-term cash bonuses, all unpaid but vested performance stock awards, all unpaid but vested portions of restricted stock units grants, subject to the terms of the applicable bonus plan, agreement or arrangement, (c) all benefits or compensation required to be provided after termination pursuant to, and in accordance with the terms of, any employee benefit plans, policies or arrangements applicable to Executive, (d) all unreimbursed business expenses incurred prior to termination and required to be reimbursed to Executive pursuant to the Company's policy, and (e) all rights to indemnification to which Executive may be entitled under the Company's Articles of Incorporation, Bylaws, or</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326390</wp:posOffset>
            </wp:positionV>
            <wp:extent cx="7246620"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40"/>
          </w:cols>
          <w:pgMar w:left="920" w:top="585" w:right="839" w:bottom="1440" w:gutter="0" w:footer="0" w:header="0"/>
        </w:sectPr>
      </w:pPr>
    </w:p>
    <w:bookmarkStart w:id="159" w:name="page160"/>
    <w:bookmarkEnd w:id="159"/>
    <w:p>
      <w:pPr>
        <w:ind w:right="700"/>
        <w:spacing w:after="0" w:line="277" w:lineRule="auto"/>
        <w:rPr>
          <w:sz w:val="20"/>
          <w:szCs w:val="20"/>
          <w:color w:val="auto"/>
        </w:rPr>
      </w:pPr>
      <w:r>
        <w:rPr>
          <w:rFonts w:ascii="Arial" w:cs="Arial" w:eastAsia="Arial" w:hAnsi="Arial"/>
          <w:sz w:val="18"/>
          <w:szCs w:val="18"/>
          <w:color w:val="auto"/>
        </w:rPr>
        <w:t>separate indemnification agreement, as applicable. In addition, if the termination is a “Qualifying Termination” (as defined in Section 6), Executive will be entitled to the amounts and benefits specified in Section 6.</w:t>
      </w:r>
    </w:p>
    <w:p>
      <w:pPr>
        <w:spacing w:after="0" w:line="184" w:lineRule="exact"/>
        <w:rPr>
          <w:sz w:val="20"/>
          <w:szCs w:val="20"/>
          <w:color w:val="auto"/>
        </w:rPr>
      </w:pPr>
    </w:p>
    <w:p>
      <w:pPr>
        <w:ind w:right="500" w:firstLine="2"/>
        <w:spacing w:after="0" w:line="272" w:lineRule="auto"/>
        <w:tabs>
          <w:tab w:leader="none" w:pos="198"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If Executive's employment is terminated pursuant to a Qualifying Termination, Executive will receive an amount equal to twice the Base Salary plus twice the APP award target or other annual cash incentive target of Executive at the time of termination, payable in 24 substantially equal monthly installments (the “Severance Amount”). Executive's right to receive the Severance Amount is contingent upon Executive's continuing compliance with the provisions of Sections 8, 9 and 10 of this Agreement and subject to the Executive having executed and delivered to the Company an effective release of any and all claims in such form as is reasonably acceptable to the Company. Executive will not be required to mitigate the amount of payments under this Section 6, nor will any earnings that Executive may receive from any other source reduce any the Severance Amount. For purposes of this Agreement,</w:t>
      </w:r>
    </w:p>
    <w:p>
      <w:pPr>
        <w:spacing w:after="0" w:line="178" w:lineRule="exact"/>
        <w:rPr>
          <w:sz w:val="20"/>
          <w:szCs w:val="20"/>
          <w:color w:val="auto"/>
        </w:rPr>
      </w:pPr>
    </w:p>
    <w:p>
      <w:pPr>
        <w:ind w:right="460" w:firstLine="2"/>
        <w:spacing w:after="0" w:line="277" w:lineRule="auto"/>
        <w:tabs>
          <w:tab w:leader="none" w:pos="26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“Qualifying Termination” shall mean (i) an involuntary termination of Executive’s employment by the Company without Cause, or (ii) a termination of Executive’s employment by Executive for Good Cause.</w:t>
      </w:r>
    </w:p>
    <w:p>
      <w:pPr>
        <w:spacing w:after="0" w:line="183" w:lineRule="exact"/>
        <w:rPr>
          <w:rFonts w:ascii="Arial" w:cs="Arial" w:eastAsia="Arial" w:hAnsi="Arial"/>
          <w:sz w:val="18"/>
          <w:szCs w:val="18"/>
          <w:color w:val="auto"/>
        </w:rPr>
      </w:pPr>
    </w:p>
    <w:p>
      <w:pPr>
        <w:ind w:right="480" w:firstLine="2"/>
        <w:spacing w:after="0" w:line="277" w:lineRule="auto"/>
        <w:tabs>
          <w:tab w:leader="none" w:pos="27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“involuntary termination of Executive’s employment by the Company without cause" shall not include termination as the result of death or Disability.</w:t>
      </w:r>
    </w:p>
    <w:p>
      <w:pPr>
        <w:spacing w:after="0" w:line="183" w:lineRule="exact"/>
        <w:rPr>
          <w:rFonts w:ascii="Arial" w:cs="Arial" w:eastAsia="Arial" w:hAnsi="Arial"/>
          <w:sz w:val="18"/>
          <w:szCs w:val="18"/>
          <w:color w:val="auto"/>
        </w:rPr>
      </w:pPr>
    </w:p>
    <w:p>
      <w:pPr>
        <w:ind w:right="540" w:firstLine="2"/>
        <w:spacing w:after="0" w:line="266" w:lineRule="auto"/>
        <w:tabs>
          <w:tab w:leader="none" w:pos="26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"Cause" shall be deemed to exist upon any of the following, determined by a majority of the members of the Board in its sole discretion: (i) the indictment of Executive for, or the entry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by Executive to, a felony charge or any crime involving moral turpitude; (ii) Unlawful conduct on the part of Executive that may reasonably be considered to reflect negatively on the Company or compromise the effective performance of Executive’s duties as determined by the Board in its sole discretion; (iii) Executive’s willful misconduct in connection with his duties or willful failure to use reasonable effort to perform substantially his responsibilities in the best interest of the Company (including, without limitation, breach by the Executive of this Agreement), except in cases involving Executive’s mental or physical incapacity or disability; (iv) Executive’s willful violation of the Company’s Business Ethics Policy, Code of Ethics or any other Company policy that may reasonably be considered to reflect negatively on the Company or compromise the effective performance of Executive’s duties as determined by the Board in its sole discretion; (v) fraud, material dishonesty, or gross misconduct in connection with the Company perpetrated by Executive; (vi) Executive undertaking a position or any activity in or in furtherance of competition with Company during the Employment Term;</w:t>
      </w:r>
    </w:p>
    <w:p>
      <w:pPr>
        <w:spacing w:after="0" w:line="8" w:lineRule="exact"/>
        <w:rPr>
          <w:rFonts w:ascii="Arial" w:cs="Arial" w:eastAsia="Arial" w:hAnsi="Arial"/>
          <w:sz w:val="17"/>
          <w:szCs w:val="17"/>
          <w:color w:val="auto"/>
        </w:rPr>
      </w:pPr>
    </w:p>
    <w:p>
      <w:pPr>
        <w:ind w:right="500"/>
        <w:spacing w:after="0" w:line="290" w:lineRule="auto"/>
        <w:rPr>
          <w:rFonts w:ascii="Arial" w:cs="Arial" w:eastAsia="Arial" w:hAnsi="Arial"/>
          <w:sz w:val="17"/>
          <w:szCs w:val="17"/>
          <w:color w:val="auto"/>
        </w:rPr>
      </w:pPr>
      <w:r>
        <w:rPr>
          <w:rFonts w:ascii="Arial" w:cs="Arial" w:eastAsia="Arial" w:hAnsi="Arial"/>
          <w:sz w:val="17"/>
          <w:szCs w:val="17"/>
          <w:color w:val="auto"/>
        </w:rPr>
        <w:t>(vii) Executive having caused substantial harm to the Company with intent to do so or as a result of gross negligence in the performance of his duties; or (viii) Executive having wrongfully and substantially enriched himself at the expense of the Company.</w:t>
      </w:r>
    </w:p>
    <w:p>
      <w:pPr>
        <w:spacing w:after="0" w:line="175" w:lineRule="exact"/>
        <w:rPr>
          <w:rFonts w:ascii="Arial" w:cs="Arial" w:eastAsia="Arial" w:hAnsi="Arial"/>
          <w:sz w:val="17"/>
          <w:szCs w:val="17"/>
          <w:color w:val="auto"/>
        </w:rPr>
      </w:pPr>
    </w:p>
    <w:p>
      <w:pPr>
        <w:ind w:firstLine="2"/>
        <w:spacing w:after="0" w:line="277" w:lineRule="auto"/>
        <w:tabs>
          <w:tab w:leader="none" w:pos="27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"Disability" shall be deemed to exist if (i) by reason of mental or physical illness the Executive has not performed his or her duties for a period of six consecutive months; and (ii) the Executive does not</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334645</wp:posOffset>
            </wp:positionV>
            <wp:extent cx="7246620" cy="431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560"/>
          </w:cols>
          <w:pgMar w:left="920" w:top="584" w:right="419" w:bottom="1440" w:gutter="0" w:footer="0" w:header="0"/>
        </w:sectPr>
      </w:pPr>
    </w:p>
    <w:bookmarkStart w:id="160" w:name="page161"/>
    <w:bookmarkEnd w:id="160"/>
    <w:p>
      <w:pPr>
        <w:ind w:right="180"/>
        <w:spacing w:after="0" w:line="277" w:lineRule="auto"/>
        <w:rPr>
          <w:sz w:val="20"/>
          <w:szCs w:val="20"/>
          <w:color w:val="auto"/>
        </w:rPr>
      </w:pPr>
      <w:r>
        <w:rPr>
          <w:rFonts w:ascii="Arial" w:cs="Arial" w:eastAsia="Arial" w:hAnsi="Arial"/>
          <w:sz w:val="18"/>
          <w:szCs w:val="18"/>
          <w:color w:val="auto"/>
        </w:rPr>
        <w:t>return to the performance of his duties within thirty days after written notice is given by Company that the Executive has been determined by the Board of Directors to be "Disabled" under the Company's long term disability policy.</w:t>
      </w:r>
    </w:p>
    <w:p>
      <w:pPr>
        <w:spacing w:after="0" w:line="184" w:lineRule="exact"/>
        <w:rPr>
          <w:sz w:val="20"/>
          <w:szCs w:val="20"/>
          <w:color w:val="auto"/>
        </w:rPr>
      </w:pPr>
    </w:p>
    <w:p>
      <w:pPr>
        <w:ind w:right="40" w:firstLine="2"/>
        <w:spacing w:after="0" w:line="254" w:lineRule="auto"/>
        <w:tabs>
          <w:tab w:leader="none" w:pos="26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“Good Cause” shall mean a termination of Executive’s employment by Executive, as a consequence of , and following: (i) a material adverse change in Executive’s authority and responsibilities without Executive’s consent, (ii) a material reduction in Executive’s compensation, not proportionally and similarly affecting other senior executives, without Executive’s consent, (iii) the failure of the Company or any successor to fully honor the terms of any contractual agreements with Executive, or (iv) a Change in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the case (i), (ii) or (iii) , Executive shall have delivered written notice to the Company of his intention to terminate his employment for Good Cause within 90 days of the event or events constituting Good Cause, which notice specifies in reasonable detail the circumstances claimed to give rise to the Executive’s right to terminate employment for Good Cause, and the Company shall not have cured such circumstances within 30 days following receipt of such notice.</w:t>
      </w:r>
    </w:p>
    <w:p>
      <w:pPr>
        <w:spacing w:after="0" w:line="192" w:lineRule="exact"/>
        <w:rPr>
          <w:rFonts w:ascii="Arial" w:cs="Arial" w:eastAsia="Arial" w:hAnsi="Arial"/>
          <w:sz w:val="18"/>
          <w:szCs w:val="18"/>
          <w:color w:val="auto"/>
        </w:rPr>
      </w:pPr>
    </w:p>
    <w:p>
      <w:pPr>
        <w:ind w:right="20" w:firstLine="2"/>
        <w:spacing w:after="0" w:line="285" w:lineRule="auto"/>
        <w:tabs>
          <w:tab w:leader="none" w:pos="22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"Change in Control" shall be deemed to have occurred if (i) there is a change of ownership of the Company as a result of one person, or more than one person acting as a group, acquiring ownership of stock of the Company that, together with stock held by such person or group, constitutes more than 50% of the total fair market value or total voting power of the stock of the Company, provided, however, that the acquisition of additional stock by a person or group who already owns 50% of the total fair market value or total voting power of the stock of the Company shall not be considered a Change in Control; (ii) notwithstanding that the Company has not undergone a change in ownership as described in subsection</w:t>
      </w:r>
    </w:p>
    <w:p>
      <w:pPr>
        <w:spacing w:after="0" w:line="2" w:lineRule="exact"/>
        <w:rPr>
          <w:rFonts w:ascii="Arial" w:cs="Arial" w:eastAsia="Arial" w:hAnsi="Arial"/>
          <w:sz w:val="16"/>
          <w:szCs w:val="16"/>
          <w:color w:val="auto"/>
        </w:rPr>
      </w:pPr>
    </w:p>
    <w:p>
      <w:pPr>
        <w:ind w:firstLine="2"/>
        <w:spacing w:after="0" w:line="267" w:lineRule="auto"/>
        <w:tabs>
          <w:tab w:leader="none" w:pos="21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above, there is a change in the effective control of the Company as a result of either (a) one person, or more than one person, acting as a group, acquiring (or having acquired during the 12 month period ending on the date of the most recent acquisition) ownership of stock of the Company possessing 30% or more of the total voting power of the stock of the Common, or (b) a majority of the members of the Board is replaced during any 12 month period by directors whose appointment or election is not endorsed by a majority of the members of the Board before the date of appointment or election, provided, however, that in either case the acquisition of additional control by a person or group who already is considered to effectively control the Company shall not be considered to a Change in Control; (iii) there is a change in ownership of a substantial portion of the Company's assets as a result of one person, or more than one person acting as a group, acquiring (or having acquired during the 12 month period ending on the date of the most recent acquisition) assets from the Company (A) constituting substantially all the assets of either of the Company’s two business units, or (B) that have a total gross fair market value equal to or more than 40% of the total gross fair market value of all the assets of the Company immediately before such acquisition or acquisitions; or (iv) the sale, spinoff, or other disposition of either of the Company’s two business units, provided, however, that there is no Change in Control if the transfer of assets is to the shareholders of the Company or an entity controlled by the shareholders of the Company.</w:t>
      </w:r>
    </w:p>
    <w:p>
      <w:pPr>
        <w:spacing w:after="0" w:line="199" w:lineRule="exact"/>
        <w:rPr>
          <w:sz w:val="20"/>
          <w:szCs w:val="20"/>
          <w:color w:val="auto"/>
        </w:rPr>
      </w:pPr>
    </w:p>
    <w:p>
      <w:pPr>
        <w:ind w:right="900" w:firstLine="2"/>
        <w:spacing w:after="0" w:line="286" w:lineRule="auto"/>
        <w:tabs>
          <w:tab w:leader="none" w:pos="19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Internal Revenue Code Section 280G</w:t>
      </w:r>
      <w:r>
        <w:rPr>
          <w:rFonts w:ascii="Arial" w:cs="Arial" w:eastAsia="Arial" w:hAnsi="Arial"/>
          <w:sz w:val="17"/>
          <w:szCs w:val="17"/>
          <w:color w:val="auto"/>
        </w:rPr>
        <w:t>. In the event that the benefits provided for in this Agreement, when aggregated with any other payments or benefits or to be received by Executive (the “Aggregate Benefits”), would (i) constitute “parachute payments” within the meaning of Section 280G of the Internal Revenue Code (the “Code”), and (ii) would be subject to the excise</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334645</wp:posOffset>
            </wp:positionV>
            <wp:extent cx="7246620" cy="431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600"/>
          </w:cols>
          <w:pgMar w:left="920" w:top="585" w:right="3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tax imposed by Section 4999 of the Code (the “Excise Tax”), then Executive’s Aggregate Benefits will be either:</w:t>
      </w:r>
    </w:p>
    <w:p>
      <w:pPr>
        <w:spacing w:after="0" w:line="23" w:lineRule="exact"/>
        <w:rPr>
          <w:sz w:val="20"/>
          <w:szCs w:val="20"/>
          <w:color w:val="auto"/>
        </w:rPr>
      </w:pPr>
    </w:p>
    <w:p>
      <w:pPr>
        <w:ind w:left="240" w:hanging="238"/>
        <w:spacing w:after="0"/>
        <w:tabs>
          <w:tab w:leader="none" w:pos="2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delivered in full, or (b) delivered as to such lesser extent as would result in no portion of such Aggregate Benefits being subject to the</w:t>
      </w:r>
    </w:p>
    <w:p>
      <w:pPr>
        <w:spacing w:after="0" w:line="45"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Excise Tax, whichever of the foregoing amounts, taking into account the applicable federal, state and local income taxes and the Excise Tax, results in the receipt by Executive on an after-tax basis of the greatest amount of Aggregate Benefits, notwithstanding that all or some portion of such Aggregate Benefits may be taxable under Section 4999 of the Code. Unless the Company and Executive otherwise agree in writing, any determination required under this paragraph will be made in writing by an independent certified public accounting firm engaged by the Company (the “Accounting Firm”) whose determination will be conclusive and binding upon Executive and the Company for all purposes. For purposes of making the calculations required by this paragraph, the Accounting Firm may make reasonable assumptions and approximations concerning applicable taxes and may rely on reasonable, good faith interpretations concerning the application of Sections 280G and 4999 of the Code. The Company and Executive will furnish to the Accounting Firm such information and documents as the Accounting Firm may reasonably request in order to make a determination under this paragraph. To the extent any reduction in Aggregate Benefits is required by this paragraph, the Company and Executive shall cooperate so that the reduction results in Executive retaining the maximum amount of the Aggregate Benefits.</w:t>
      </w:r>
    </w:p>
    <w:p>
      <w:pPr>
        <w:spacing w:after="0" w:line="187" w:lineRule="exact"/>
        <w:rPr>
          <w:sz w:val="20"/>
          <w:szCs w:val="20"/>
          <w:color w:val="auto"/>
        </w:rPr>
      </w:pPr>
    </w:p>
    <w:p>
      <w:pPr>
        <w:ind w:right="280" w:firstLine="2"/>
        <w:spacing w:after="0" w:line="287" w:lineRule="auto"/>
        <w:tabs>
          <w:tab w:leader="none" w:pos="198"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agrees that all aspects of the Company's business, products, prospects, plans and strategies that have not been publicly disclosed, including, but not limited to, the identities, needs and preferences of its customers, internal business operations and pricing information, manufacturing know-how, technical attributes of products, annual or strategic business plans or analyses, and any and all other trade secrets (collectively, "Confidential Information"), are confidential and secret, shall be maintained in confidence and not disclosed to any third party, and shall remain the exclusive property of the Company. Any Confidential Information may be used or disclosed by the Executive solely to discharge his obligations hereunder, and shall not be used or disclosed for any other purpose, including, without limitation, for any purpose whatsoever following termination of Executive's employment. All Confidential Information in tangible form that is provided to the Executive shall be returned by the Executive to the Company within 30 days of any termination of employment, together with a statement certifying: (1) that Executive has returned all Confidential Information in his possession, (2) that Executive has at all times maintained the confidential nature of the Confidential Information, and (3) that Executive confirms his continuing obligations of confidentiality under this Agreement following such termination.</w:t>
      </w:r>
    </w:p>
    <w:p>
      <w:pPr>
        <w:spacing w:after="0" w:line="186" w:lineRule="exact"/>
        <w:rPr>
          <w:rFonts w:ascii="Arial" w:cs="Arial" w:eastAsia="Arial" w:hAnsi="Arial"/>
          <w:sz w:val="16"/>
          <w:szCs w:val="16"/>
          <w:color w:val="auto"/>
        </w:rPr>
      </w:pPr>
    </w:p>
    <w:p>
      <w:pPr>
        <w:jc w:val="both"/>
        <w:ind w:right="140" w:firstLine="2"/>
        <w:spacing w:after="0" w:line="264" w:lineRule="auto"/>
        <w:tabs>
          <w:tab w:leader="none" w:pos="19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During the Employment Term, and thereafter, Executive will not knowingly disparage, criticize or otherwise make any derogatory statements regarding the Company, its shareholders, directors or its officers. The foregoing restriction will not apply to any truthful statements made in response to a valid subpoena or other compulsory legal process.</w:t>
      </w:r>
    </w:p>
    <w:p>
      <w:pPr>
        <w:spacing w:after="0" w:line="194" w:lineRule="exact"/>
        <w:rPr>
          <w:rFonts w:ascii="Arial" w:cs="Arial" w:eastAsia="Arial" w:hAnsi="Arial"/>
          <w:sz w:val="18"/>
          <w:szCs w:val="18"/>
          <w:color w:val="auto"/>
        </w:rPr>
      </w:pPr>
    </w:p>
    <w:p>
      <w:pPr>
        <w:ind w:right="60" w:firstLine="2"/>
        <w:spacing w:after="0" w:line="277" w:lineRule="auto"/>
        <w:tabs>
          <w:tab w:leader="none" w:pos="319"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Executive acknowledges and recognizes the highly competitive nature of the Company’s business. Accordingly, Executive agrees as follows: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326390</wp:posOffset>
            </wp:positionV>
            <wp:extent cx="7246620" cy="431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20"/>
          </w:cols>
          <w:pgMar w:left="920" w:top="584" w:right="859" w:bottom="1440" w:gutter="0" w:footer="0" w:header="0"/>
        </w:sectPr>
      </w:pPr>
    </w:p>
    <w:bookmarkStart w:id="162" w:name="page163"/>
    <w:bookmarkEnd w:id="162"/>
    <w:p>
      <w:pPr>
        <w:jc w:val="both"/>
        <w:ind w:right="300" w:firstLine="207"/>
        <w:spacing w:after="0" w:line="264" w:lineRule="auto"/>
        <w:tabs>
          <w:tab w:leader="none" w:pos="7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That for a period of twenty-four (24) months following the termination of his employment with the Company for any reason, whether on his own behalf or on behalf of or in conjunction with any person, firm, partnership, joint venture, association, corporation or other business, organization, entity or enterprise whatsoever (“Person”), Executive shall not directly or indirectly:</w:t>
      </w:r>
    </w:p>
    <w:p>
      <w:pPr>
        <w:spacing w:after="0" w:line="194" w:lineRule="exact"/>
        <w:rPr>
          <w:rFonts w:ascii="Arial" w:cs="Arial" w:eastAsia="Arial" w:hAnsi="Arial"/>
          <w:sz w:val="18"/>
          <w:szCs w:val="18"/>
          <w:color w:val="auto"/>
        </w:rPr>
      </w:pPr>
    </w:p>
    <w:p>
      <w:pPr>
        <w:ind w:left="780" w:hanging="229"/>
        <w:spacing w:after="0"/>
        <w:tabs>
          <w:tab w:leader="none" w:pos="7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operate a Competitive Business;</w:t>
      </w:r>
    </w:p>
    <w:p>
      <w:pPr>
        <w:spacing w:after="0" w:line="23" w:lineRule="exact"/>
        <w:rPr>
          <w:rFonts w:ascii="Arial" w:cs="Arial" w:eastAsia="Arial" w:hAnsi="Arial"/>
          <w:sz w:val="18"/>
          <w:szCs w:val="18"/>
          <w:color w:val="auto"/>
        </w:rPr>
      </w:pPr>
    </w:p>
    <w:p>
      <w:pPr>
        <w:ind w:left="780" w:hanging="236"/>
        <w:spacing w:after="0"/>
        <w:tabs>
          <w:tab w:leader="none" w:pos="7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enter into the employ of, or render any services to, any Person in respect of any Competitive Business;</w:t>
      </w:r>
    </w:p>
    <w:p>
      <w:pPr>
        <w:spacing w:after="0" w:line="9" w:lineRule="exact"/>
        <w:rPr>
          <w:rFonts w:ascii="Arial" w:cs="Arial" w:eastAsia="Arial" w:hAnsi="Arial"/>
          <w:sz w:val="18"/>
          <w:szCs w:val="18"/>
          <w:color w:val="auto"/>
        </w:rPr>
      </w:pPr>
    </w:p>
    <w:p>
      <w:pPr>
        <w:ind w:left="560" w:right="320" w:hanging="9"/>
        <w:spacing w:after="0" w:line="269" w:lineRule="auto"/>
        <w:tabs>
          <w:tab w:leader="none" w:pos="893" w:val="left"/>
        </w:tabs>
        <w:numPr>
          <w:ilvl w:val="2"/>
          <w:numId w:val="140"/>
        </w:numPr>
        <w:rPr>
          <w:rFonts w:ascii="Arial" w:cs="Arial" w:eastAsia="Arial" w:hAnsi="Arial"/>
          <w:sz w:val="17"/>
          <w:szCs w:val="17"/>
          <w:color w:val="auto"/>
        </w:rPr>
      </w:pPr>
      <w:r>
        <w:rPr>
          <w:rFonts w:ascii="Arial" w:cs="Arial" w:eastAsia="Arial" w:hAnsi="Arial"/>
          <w:sz w:val="17"/>
          <w:szCs w:val="17"/>
          <w:color w:val="auto"/>
        </w:rPr>
        <w:t>acquire a financial interest in, or otherwise become actively involved with, any Competitive Business, directly or indirectly, as an individual, partner, shareholder, officer, director, principal, agent, trustee or consultant; provided, however, that in no event shall ownership of less than 2% of the outstanding capital stock of any corporation, in and of itself, be deemed a violation of this Release if such capital stock is listed on a national securities exchange or regularly traded in an over-the-counter market; or</w:t>
      </w:r>
    </w:p>
    <w:p>
      <w:pPr>
        <w:spacing w:after="0" w:line="1" w:lineRule="exact"/>
        <w:rPr>
          <w:rFonts w:ascii="Arial" w:cs="Arial" w:eastAsia="Arial" w:hAnsi="Arial"/>
          <w:sz w:val="17"/>
          <w:szCs w:val="17"/>
          <w:color w:val="auto"/>
        </w:rPr>
      </w:pPr>
    </w:p>
    <w:p>
      <w:pPr>
        <w:ind w:left="560" w:right="500" w:hanging="9"/>
        <w:spacing w:after="0" w:line="261" w:lineRule="auto"/>
        <w:tabs>
          <w:tab w:leader="none" w:pos="865"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interfere with, or attempt to interfere with, any business relationships between Albany or any of its subsidiaries or affiliates and their customers, clients, suppliers or investors; and</w:t>
      </w:r>
    </w:p>
    <w:p>
      <w:pPr>
        <w:spacing w:after="0" w:line="183" w:lineRule="exact"/>
        <w:rPr>
          <w:rFonts w:ascii="Arial" w:cs="Arial" w:eastAsia="Arial" w:hAnsi="Arial"/>
          <w:sz w:val="18"/>
          <w:szCs w:val="18"/>
          <w:color w:val="auto"/>
        </w:rPr>
      </w:pPr>
    </w:p>
    <w:p>
      <w:pPr>
        <w:jc w:val="both"/>
        <w:ind w:right="900" w:firstLine="275"/>
        <w:spacing w:after="0" w:line="312" w:lineRule="auto"/>
        <w:rPr>
          <w:rFonts w:ascii="Arial" w:cs="Arial" w:eastAsia="Arial" w:hAnsi="Arial"/>
          <w:sz w:val="18"/>
          <w:szCs w:val="18"/>
          <w:color w:val="auto"/>
        </w:rPr>
      </w:pPr>
      <w:r>
        <w:rPr>
          <w:rFonts w:ascii="Arial" w:cs="Arial" w:eastAsia="Arial" w:hAnsi="Arial"/>
          <w:sz w:val="16"/>
          <w:szCs w:val="16"/>
          <w:color w:val="auto"/>
        </w:rPr>
        <w:t>B. That for a period of twenty-four (24) months following the termination of his employment with the Company for any reason, whether on the Executive’s own behalf or on behalf of or in conjunction with any person, firm, partnership, joint venture, association, corporation or other business, organization, entity or enterprise whatsoever, Executive shall not directly or indirectly:</w:t>
      </w:r>
    </w:p>
    <w:p>
      <w:pPr>
        <w:spacing w:after="0" w:line="160" w:lineRule="exact"/>
        <w:rPr>
          <w:rFonts w:ascii="Arial" w:cs="Arial" w:eastAsia="Arial" w:hAnsi="Arial"/>
          <w:sz w:val="18"/>
          <w:szCs w:val="18"/>
          <w:color w:val="auto"/>
        </w:rPr>
      </w:pPr>
    </w:p>
    <w:p>
      <w:pPr>
        <w:ind w:left="780" w:hanging="229"/>
        <w:spacing w:after="0"/>
        <w:tabs>
          <w:tab w:leader="none" w:pos="7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solicit or encourage any employee of the Company or any of its subsidiaries or affiliates to leave the employment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or any of its subsidiaries or affiliates; or</w:t>
      </w:r>
    </w:p>
    <w:p>
      <w:pPr>
        <w:spacing w:after="0" w:line="9" w:lineRule="exact"/>
        <w:rPr>
          <w:sz w:val="20"/>
          <w:szCs w:val="20"/>
          <w:color w:val="auto"/>
        </w:rPr>
      </w:pPr>
    </w:p>
    <w:p>
      <w:pPr>
        <w:ind w:left="560" w:right="1080" w:hanging="9"/>
        <w:spacing w:after="0" w:line="261" w:lineRule="auto"/>
        <w:tabs>
          <w:tab w:leader="none" w:pos="84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hire any such employee who was employed by the Company or any of its subsidiaries or affiliates as of the date of such termination or, if later, within the six-months before the date the person was hired by Executive.</w:t>
      </w:r>
    </w:p>
    <w:p>
      <w:pPr>
        <w:spacing w:after="0" w:line="18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Executive understands that the Company will have the right to seek injunctive relief in the event that Executive violates this paragraph 10 because the harm caused by such violation will be irreparable and difficult to calculate in terms of monetary damages.</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purposes of this paragraph 10, a Competitive Business is any person or entity that manufactures or sells (a) papermachine clothing or belts used in the manufacture or paper, nonwovens or fiber cement, or (b) advanced composite materials, structures or components for use in defense, aerospace or automotive applications.</w:t>
      </w:r>
    </w:p>
    <w:p>
      <w:pPr>
        <w:spacing w:after="0" w:line="195" w:lineRule="exact"/>
        <w:rPr>
          <w:sz w:val="20"/>
          <w:szCs w:val="20"/>
          <w:color w:val="auto"/>
        </w:rPr>
      </w:pPr>
    </w:p>
    <w:p>
      <w:pPr>
        <w:jc w:val="both"/>
        <w:ind w:right="300" w:firstLine="2"/>
        <w:spacing w:after="0" w:line="257" w:lineRule="auto"/>
        <w:tabs>
          <w:tab w:leader="none" w:pos="3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Blue Pencil Doctrine</w:t>
      </w:r>
      <w:r>
        <w:rPr>
          <w:rFonts w:ascii="Arial" w:cs="Arial" w:eastAsia="Arial" w:hAnsi="Arial"/>
          <w:sz w:val="18"/>
          <w:szCs w:val="18"/>
          <w:color w:val="auto"/>
        </w:rPr>
        <w:t>. It is expressly understood and agreed by Executive that although Executive considers the restrictions in this Agreement to be reasonable, if a final determination is made by a court of competent jurisdiction or an arbitrator that the time or territory or any other restriction contained in the Agreement is an unenforceable restriction against Executive, the provisions of this Agreement shall not be rendered void but shall be deemed amended to apply as to such maximum time and territory and to such maximum extent as such court or arbitrator may determine or indicate to be enforceable.</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326390</wp:posOffset>
            </wp:positionV>
            <wp:extent cx="724662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520"/>
          </w:cols>
          <w:pgMar w:left="920" w:top="585" w:right="459" w:bottom="1440" w:gutter="0" w:footer="0" w:header="0"/>
        </w:sectPr>
      </w:pPr>
    </w:p>
    <w:bookmarkStart w:id="163" w:name="page164"/>
    <w:bookmarkEnd w:id="163"/>
    <w:p>
      <w:pPr>
        <w:ind w:left="10" w:right="60" w:firstLine="2"/>
        <w:spacing w:after="0" w:line="259" w:lineRule="auto"/>
        <w:tabs>
          <w:tab w:leader="none" w:pos="29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Board Membership</w:t>
      </w:r>
      <w:r>
        <w:rPr>
          <w:rFonts w:ascii="Arial" w:cs="Arial" w:eastAsia="Arial" w:hAnsi="Arial"/>
          <w:sz w:val="18"/>
          <w:szCs w:val="18"/>
          <w:color w:val="auto"/>
        </w:rPr>
        <w:t>. Upon the termination of Executive's employment for any reason, Executive will be deemed to have resigned from any seat on the Board (and from any seats on the boards, and from any offices, of subsidiaries) held at such time, voluntarily, without any further required action by the Executive, as of the end of the Employment Term. Executive, at the Board's request, will execute any documents necessary to reflect his resignation.</w:t>
      </w:r>
    </w:p>
    <w:p>
      <w:pPr>
        <w:spacing w:after="0" w:line="200" w:lineRule="exact"/>
        <w:rPr>
          <w:rFonts w:ascii="Arial" w:cs="Arial" w:eastAsia="Arial" w:hAnsi="Arial"/>
          <w:sz w:val="18"/>
          <w:szCs w:val="18"/>
          <w:color w:val="auto"/>
        </w:rPr>
      </w:pPr>
    </w:p>
    <w:p>
      <w:pPr>
        <w:ind w:left="10" w:firstLine="2"/>
        <w:spacing w:after="0" w:line="252" w:lineRule="auto"/>
        <w:tabs>
          <w:tab w:leader="none" w:pos="29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w:t>
      </w:r>
    </w:p>
    <w:p>
      <w:pPr>
        <w:spacing w:after="0" w:line="5"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Executive's right to compensation or other benefits will be null and void.</w:t>
      </w:r>
    </w:p>
    <w:p>
      <w:pPr>
        <w:spacing w:after="0" w:line="210" w:lineRule="exact"/>
        <w:rPr>
          <w:rFonts w:ascii="Arial" w:cs="Arial" w:eastAsia="Arial" w:hAnsi="Arial"/>
          <w:sz w:val="18"/>
          <w:szCs w:val="18"/>
          <w:color w:val="auto"/>
        </w:rPr>
      </w:pPr>
    </w:p>
    <w:p>
      <w:pPr>
        <w:ind w:left="310" w:hanging="298"/>
        <w:spacing w:after="0"/>
        <w:tabs>
          <w:tab w:leader="none" w:pos="31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called for hereunder will be in writing and will be deemed given</w:t>
      </w:r>
    </w:p>
    <w:p>
      <w:pPr>
        <w:spacing w:after="0" w:line="46" w:lineRule="exact"/>
        <w:rPr>
          <w:rFonts w:ascii="Arial" w:cs="Arial" w:eastAsia="Arial" w:hAnsi="Arial"/>
          <w:sz w:val="16"/>
          <w:szCs w:val="16"/>
          <w:color w:val="auto"/>
        </w:rPr>
      </w:pPr>
    </w:p>
    <w:p>
      <w:pPr>
        <w:ind w:left="10" w:right="60"/>
        <w:spacing w:after="0" w:line="302" w:lineRule="auto"/>
        <w:rPr>
          <w:rFonts w:ascii="Arial" w:cs="Arial" w:eastAsia="Arial" w:hAnsi="Arial"/>
          <w:sz w:val="16"/>
          <w:szCs w:val="16"/>
          <w:color w:val="auto"/>
        </w:rPr>
      </w:pPr>
      <w:r>
        <w:rPr>
          <w:rFonts w:ascii="Arial" w:cs="Arial" w:eastAsia="Arial" w:hAnsi="Arial"/>
          <w:sz w:val="16"/>
          <w:szCs w:val="16"/>
          <w:color w:val="auto"/>
        </w:rPr>
        <w:t>(a) on the date of delivery if delivered personally, (b) one (1) day after being sent overnight by a well- established commercial overnight service, or (c)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8"/>
          <w:szCs w:val="18"/>
          <w:color w:val="auto"/>
        </w:rPr>
        <w:t>If to the Company:</w:t>
      </w:r>
    </w:p>
    <w:p>
      <w:pPr>
        <w:spacing w:after="0" w:line="239" w:lineRule="exact"/>
        <w:rPr>
          <w:sz w:val="20"/>
          <w:szCs w:val="20"/>
          <w:color w:val="auto"/>
        </w:rPr>
      </w:pPr>
    </w:p>
    <w:p>
      <w:pPr>
        <w:ind w:left="10"/>
        <w:spacing w:after="0"/>
        <w:rPr>
          <w:sz w:val="20"/>
          <w:szCs w:val="20"/>
          <w:color w:val="auto"/>
        </w:rPr>
      </w:pPr>
      <w:r>
        <w:rPr>
          <w:rFonts w:ascii="Arial" w:cs="Arial" w:eastAsia="Arial" w:hAnsi="Arial"/>
          <w:sz w:val="18"/>
          <w:szCs w:val="18"/>
          <w:color w:val="auto"/>
        </w:rPr>
        <w:t>Attn: Chairman of the Board</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8"/>
          <w:szCs w:val="18"/>
          <w:color w:val="auto"/>
        </w:rPr>
        <w:t>Albany International Corp.</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218 Airport Drive</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Rochester, NH 03867</w:t>
      </w:r>
    </w:p>
    <w:p>
      <w:pPr>
        <w:spacing w:after="0" w:line="21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If to the Executive:</w:t>
      </w:r>
    </w:p>
    <w:p>
      <w:pPr>
        <w:spacing w:after="0" w:line="239" w:lineRule="exact"/>
        <w:rPr>
          <w:sz w:val="20"/>
          <w:szCs w:val="20"/>
          <w:color w:val="auto"/>
        </w:rPr>
      </w:pPr>
    </w:p>
    <w:p>
      <w:pPr>
        <w:jc w:val="both"/>
        <w:ind w:left="10"/>
        <w:spacing w:after="0" w:line="264" w:lineRule="auto"/>
        <w:rPr>
          <w:sz w:val="20"/>
          <w:szCs w:val="20"/>
          <w:color w:val="auto"/>
        </w:rPr>
      </w:pPr>
      <w:r>
        <w:rPr>
          <w:rFonts w:ascii="Arial" w:cs="Arial" w:eastAsia="Arial" w:hAnsi="Arial"/>
          <w:sz w:val="18"/>
          <w:szCs w:val="18"/>
          <w:color w:val="auto"/>
        </w:rPr>
        <w:t>at the last residential address known by the Company. In addition, the Company shall make a reasonable effort to fax or e-mail such notice to Executive at his most recent personal fax number or e-mail address, with a copy to Executive's lawyer by the same method, to the extent known to the Company.</w:t>
      </w:r>
    </w:p>
    <w:p>
      <w:pPr>
        <w:spacing w:after="0" w:line="357" w:lineRule="exact"/>
        <w:rPr>
          <w:sz w:val="20"/>
          <w:szCs w:val="20"/>
          <w:color w:val="auto"/>
        </w:rPr>
      </w:pPr>
    </w:p>
    <w:p>
      <w:pPr>
        <w:ind w:left="10" w:right="560" w:firstLine="2"/>
        <w:spacing w:after="0" w:line="277" w:lineRule="auto"/>
        <w:tabs>
          <w:tab w:leader="none" w:pos="298"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becomes or is declared by a court of competent jurisdiction to be illegal, unenforceable, or void, this Agreement will continue in full force and effect without said provision.</w:t>
      </w:r>
    </w:p>
    <w:p>
      <w:pPr>
        <w:spacing w:after="0" w:line="170" w:lineRule="exact"/>
        <w:rPr>
          <w:rFonts w:ascii="Arial" w:cs="Arial" w:eastAsia="Arial" w:hAnsi="Arial"/>
          <w:sz w:val="18"/>
          <w:szCs w:val="18"/>
          <w:color w:val="auto"/>
        </w:rPr>
      </w:pPr>
    </w:p>
    <w:p>
      <w:pPr>
        <w:ind w:left="270" w:hanging="270"/>
        <w:spacing w:after="0"/>
        <w:tabs>
          <w:tab w:leader="none" w:pos="27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The Parties agree that any and all disputes arising out of the terms of this</w:t>
      </w:r>
    </w:p>
    <w:p>
      <w:pPr>
        <w:spacing w:after="0" w:line="200" w:lineRule="exact"/>
        <w:rPr>
          <w:sz w:val="20"/>
          <w:szCs w:val="20"/>
          <w:color w:val="auto"/>
        </w:rPr>
      </w:pPr>
    </w:p>
    <w:p>
      <w:pPr>
        <w:spacing w:after="0" w:line="210"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334645</wp:posOffset>
            </wp:positionV>
            <wp:extent cx="7246620" cy="431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030"/>
          </w:cols>
          <w:pgMar w:left="910" w:top="585" w:right="959" w:bottom="1440" w:gutter="0" w:footer="0" w:header="0"/>
        </w:sectPr>
      </w:pPr>
    </w:p>
    <w:bookmarkStart w:id="164" w:name="page165"/>
    <w:bookmarkEnd w:id="164"/>
    <w:p>
      <w:pPr>
        <w:ind w:left="20" w:right="120"/>
        <w:spacing w:after="0" w:line="291" w:lineRule="auto"/>
        <w:rPr>
          <w:sz w:val="20"/>
          <w:szCs w:val="20"/>
          <w:color w:val="auto"/>
        </w:rPr>
      </w:pPr>
      <w:r>
        <w:rPr>
          <w:rFonts w:ascii="Arial" w:cs="Arial" w:eastAsia="Arial" w:hAnsi="Arial"/>
          <w:sz w:val="16"/>
          <w:szCs w:val="16"/>
          <w:color w:val="auto"/>
        </w:rPr>
        <w:t>Agreement, Executive's employment by the Company, Executive's service as an officer or director of the Company, or Executive's compensation and benefits, their interpretation, and any of the matters herein released, will be subject to binding arbitration in New York, New York under the American Arbitration Association's National Rules for the Resolution of Employment Disputes. The Parties agree that the prevailing party in any arbitration will be entitled to injunctive relief in any court of competent jurisdiction to enforce the arbitration award. The Parties hereto agree to waive their right to have any dispute between them resolved in a court of law by a judge or jury. This paragraph will not prevent either party from seeking injunctive relief (or any other provisional remedy) from any court having jurisdiction over the Parties and the subject matter of their dispute relating to Executive's obligations under this Agreement.</w:t>
      </w:r>
    </w:p>
    <w:p>
      <w:pPr>
        <w:spacing w:after="0" w:line="181" w:lineRule="exact"/>
        <w:rPr>
          <w:sz w:val="20"/>
          <w:szCs w:val="20"/>
          <w:color w:val="auto"/>
        </w:rPr>
      </w:pPr>
    </w:p>
    <w:p>
      <w:pPr>
        <w:ind w:left="20" w:right="80" w:firstLine="2"/>
        <w:spacing w:after="0" w:line="252" w:lineRule="auto"/>
        <w:tabs>
          <w:tab w:leader="none" w:pos="308"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together with the Exhibit,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a writing that is signed by duly authorized representatives of the parties hereto, provided that any benefits or compensation provided to Executive pursuant to the terms of any plan, program, policy, or arrangement may be amended or terminated by the Company at any time, in accordance with the terms of such plan, program, policy or arrangement. In entering into this Agreement, no party has relied on or made any representation, warranty, inducement, promise or understanding that is not in this Agreement.</w:t>
      </w:r>
    </w:p>
    <w:p>
      <w:pPr>
        <w:spacing w:after="0" w:line="5" w:lineRule="exact"/>
        <w:rPr>
          <w:rFonts w:ascii="Arial" w:cs="Arial" w:eastAsia="Arial" w:hAnsi="Arial"/>
          <w:sz w:val="18"/>
          <w:szCs w:val="18"/>
          <w:color w:val="auto"/>
        </w:rPr>
      </w:pPr>
    </w:p>
    <w:p>
      <w:pPr>
        <w:ind w:left="20"/>
        <w:spacing w:after="0" w:line="261" w:lineRule="auto"/>
        <w:rPr>
          <w:rFonts w:ascii="Arial" w:cs="Arial" w:eastAsia="Arial" w:hAnsi="Arial"/>
          <w:sz w:val="18"/>
          <w:szCs w:val="18"/>
          <w:color w:val="auto"/>
        </w:rPr>
      </w:pPr>
      <w:r>
        <w:rPr>
          <w:rFonts w:ascii="Arial" w:cs="Arial" w:eastAsia="Arial" w:hAnsi="Arial"/>
          <w:sz w:val="18"/>
          <w:szCs w:val="18"/>
          <w:color w:val="auto"/>
        </w:rPr>
        <w:t>Executive acknowledges that Executive is not subject to any contract, obligation or understanding (whether written or not) that would in any way restrict the performance of Executive's duties as set forth in this Agreement.</w:t>
      </w:r>
    </w:p>
    <w:p>
      <w:pPr>
        <w:spacing w:after="0" w:line="183" w:lineRule="exact"/>
        <w:rPr>
          <w:rFonts w:ascii="Arial" w:cs="Arial" w:eastAsia="Arial" w:hAnsi="Arial"/>
          <w:sz w:val="18"/>
          <w:szCs w:val="18"/>
          <w:color w:val="auto"/>
        </w:rPr>
      </w:pPr>
    </w:p>
    <w:p>
      <w:pPr>
        <w:ind w:left="20" w:right="180" w:firstLine="2"/>
        <w:spacing w:after="0" w:line="277" w:lineRule="auto"/>
        <w:tabs>
          <w:tab w:leader="none" w:pos="308"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of a breach of any term or provision of this Agreement, which must be in writing, will not operate as or be construed to be a waiver of any other previous or subsequent breach of this Agreement.</w:t>
      </w:r>
    </w:p>
    <w:p>
      <w:pPr>
        <w:spacing w:after="0" w:line="183" w:lineRule="exact"/>
        <w:rPr>
          <w:rFonts w:ascii="Arial" w:cs="Arial" w:eastAsia="Arial" w:hAnsi="Arial"/>
          <w:sz w:val="18"/>
          <w:szCs w:val="18"/>
          <w:color w:val="auto"/>
        </w:rPr>
      </w:pPr>
    </w:p>
    <w:p>
      <w:pPr>
        <w:ind w:left="20" w:right="760" w:firstLine="2"/>
        <w:spacing w:after="0" w:line="277" w:lineRule="auto"/>
        <w:tabs>
          <w:tab w:leader="none" w:pos="308"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Company's and Executive's obligations under Section 6 and, to the extent provided in Section 6, the Executive's obligations under Sections 9 and 10, will survive the termination of this Agreement.</w:t>
      </w:r>
    </w:p>
    <w:p>
      <w:pPr>
        <w:spacing w:after="0" w:line="183" w:lineRule="exact"/>
        <w:rPr>
          <w:rFonts w:ascii="Arial" w:cs="Arial" w:eastAsia="Arial" w:hAnsi="Arial"/>
          <w:sz w:val="18"/>
          <w:szCs w:val="18"/>
          <w:color w:val="auto"/>
        </w:rPr>
      </w:pPr>
    </w:p>
    <w:p>
      <w:pPr>
        <w:ind w:left="20" w:right="320" w:firstLine="2"/>
        <w:spacing w:after="0" w:line="277" w:lineRule="auto"/>
        <w:tabs>
          <w:tab w:leader="none" w:pos="308"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All captions and Section headings used in this Agreement are for convenient reference only and do not form a part of this Agreement.</w:t>
      </w:r>
    </w:p>
    <w:p>
      <w:pPr>
        <w:spacing w:after="0" w:line="183" w:lineRule="exact"/>
        <w:rPr>
          <w:rFonts w:ascii="Arial" w:cs="Arial" w:eastAsia="Arial" w:hAnsi="Arial"/>
          <w:sz w:val="18"/>
          <w:szCs w:val="18"/>
          <w:color w:val="auto"/>
        </w:rPr>
      </w:pPr>
    </w:p>
    <w:p>
      <w:pPr>
        <w:ind w:left="280" w:hanging="270"/>
        <w:spacing w:after="0"/>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payments made pursuant to this Agreement will be subject to withholding of applicable taxes.</w:t>
      </w:r>
    </w:p>
    <w:p>
      <w:pPr>
        <w:spacing w:after="0" w:line="225" w:lineRule="exact"/>
        <w:rPr>
          <w:rFonts w:ascii="Arial" w:cs="Arial" w:eastAsia="Arial" w:hAnsi="Arial"/>
          <w:sz w:val="18"/>
          <w:szCs w:val="18"/>
          <w:color w:val="auto"/>
        </w:rPr>
      </w:pPr>
    </w:p>
    <w:p>
      <w:pPr>
        <w:ind w:left="20" w:right="380" w:firstLine="2"/>
        <w:spacing w:after="0" w:line="277" w:lineRule="auto"/>
        <w:tabs>
          <w:tab w:leader="none" w:pos="30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any provisions thereof relating to conflict of laws.</w:t>
      </w:r>
    </w:p>
    <w:p>
      <w:pPr>
        <w:spacing w:after="0" w:line="183" w:lineRule="exact"/>
        <w:rPr>
          <w:rFonts w:ascii="Arial" w:cs="Arial" w:eastAsia="Arial" w:hAnsi="Arial"/>
          <w:sz w:val="18"/>
          <w:szCs w:val="18"/>
          <w:color w:val="auto"/>
        </w:rPr>
      </w:pPr>
    </w:p>
    <w:p>
      <w:pPr>
        <w:ind w:left="20" w:right="840" w:firstLine="2"/>
        <w:spacing w:after="0" w:line="277" w:lineRule="auto"/>
        <w:tabs>
          <w:tab w:leader="none" w:pos="30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Certain Acknowledgment</w:t>
      </w:r>
      <w:r>
        <w:rPr>
          <w:rFonts w:ascii="Arial" w:cs="Arial" w:eastAsia="Arial" w:hAnsi="Arial"/>
          <w:sz w:val="18"/>
          <w:szCs w:val="18"/>
          <w:color w:val="auto"/>
        </w:rPr>
        <w:t>. Executive acknowledges that he has had the opportunity to obtain legal advice with respect to this Agreement, has had sufficient time to read, and has</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326390</wp:posOffset>
            </wp:positionV>
            <wp:extent cx="7246620" cy="431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40"/>
          </w:cols>
          <w:pgMar w:left="900" w:top="584" w:right="859" w:bottom="1440" w:gutter="0" w:footer="0" w:header="0"/>
        </w:sectPr>
      </w:pPr>
    </w:p>
    <w:bookmarkStart w:id="165" w:name="page166"/>
    <w:bookmarkEnd w:id="165"/>
    <w:p>
      <w:pPr>
        <w:ind w:right="200"/>
        <w:spacing w:after="0" w:line="257" w:lineRule="auto"/>
        <w:rPr>
          <w:sz w:val="20"/>
          <w:szCs w:val="20"/>
          <w:color w:val="auto"/>
        </w:rPr>
      </w:pPr>
      <w:r>
        <w:rPr>
          <w:rFonts w:ascii="Arial" w:cs="Arial" w:eastAsia="Arial" w:hAnsi="Arial"/>
          <w:sz w:val="18"/>
          <w:szCs w:val="18"/>
          <w:color w:val="auto"/>
        </w:rPr>
        <w:t>carefully read and fully understands all the provisions of this Agreement, and is knowingly and voluntarily entering into this Agreement. Executive represents that he has no other employment or other agreement, arrangements or undertakings that might restrict or impair his performance of this Agreement or to serve as an employee of the Company. Executive will not in connection with his employment by the Company, use or disclose any confidential, trade secret, or other proprietary information of any previous employer or other Person that Executive is not lawfully entitled to disclose.</w:t>
      </w:r>
    </w:p>
    <w:p>
      <w:pPr>
        <w:spacing w:after="0" w:line="202" w:lineRule="exact"/>
        <w:rPr>
          <w:sz w:val="20"/>
          <w:szCs w:val="20"/>
          <w:color w:val="auto"/>
        </w:rPr>
      </w:pPr>
    </w:p>
    <w:p>
      <w:pPr>
        <w:ind w:right="700" w:firstLine="2"/>
        <w:spacing w:after="0" w:line="277" w:lineRule="auto"/>
        <w:tabs>
          <w:tab w:leader="none" w:pos="28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will have the same force and effect as an original and will constitute an effective, binding agreement on the part of each of the undersigned.</w:t>
      </w:r>
    </w:p>
    <w:p>
      <w:pPr>
        <w:spacing w:after="0" w:line="170" w:lineRule="exact"/>
        <w:rPr>
          <w:rFonts w:ascii="Arial" w:cs="Arial" w:eastAsia="Arial" w:hAnsi="Arial"/>
          <w:sz w:val="18"/>
          <w:szCs w:val="18"/>
          <w:color w:val="auto"/>
        </w:rPr>
      </w:pPr>
    </w:p>
    <w:p>
      <w:pPr>
        <w:ind w:firstLine="2"/>
        <w:spacing w:after="0" w:line="286" w:lineRule="auto"/>
        <w:tabs>
          <w:tab w:leader="none" w:pos="288"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Certain Disclosures to Governmental Agencies and Others</w:t>
      </w:r>
      <w:r>
        <w:rPr>
          <w:rFonts w:ascii="Arial" w:cs="Arial" w:eastAsia="Arial" w:hAnsi="Arial"/>
          <w:sz w:val="16"/>
          <w:szCs w:val="16"/>
          <w:color w:val="auto"/>
        </w:rPr>
        <w:t>. Notwithstanding anything herein or in any other agreement with or policy (including without limitation any code of conduct or employee manual) of the Company, nothing herein or therein is intended to or shall: (i) prohibit Executive from making reports of possible violations of federal law or regulation (even if Executive participated in such violations) to, and cooperating with,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(ii) require notification to or prior approval by the Company of any such reporting or cooperation; or (iii) result in a waiver or other limitation of Executive’s rights and remedies as a whistleblower, including to a monetary award. Notwithstanding the foregoing, Executive is not authorized (and the above should not be read as permitting Executive) to disclose communications with counsel that were made for the purpose of receiving legal advice or that contain legal advice or that are protected by the attorney work product or similar privilege. Furthermore, Executive will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334645</wp:posOffset>
            </wp:positionV>
            <wp:extent cx="7246620" cy="43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00"/>
          </w:cols>
          <w:pgMar w:left="920" w:top="584" w:right="879" w:bottom="1440" w:gutter="0" w:footer="0" w:header="0"/>
        </w:sectPr>
      </w:pPr>
    </w:p>
    <w:bookmarkStart w:id="166" w:name="page167"/>
    <w:bookmarkEnd w:id="166"/>
    <w:p>
      <w:pPr>
        <w:ind w:left="680" w:right="620" w:firstLine="5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a duly authorized officer, as of the day and year written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ind w:left="680"/>
              <w:spacing w:after="0"/>
              <w:rPr>
                <w:sz w:val="20"/>
                <w:szCs w:val="20"/>
                <w:color w:val="auto"/>
              </w:rPr>
            </w:pPr>
            <w:r>
              <w:rPr>
                <w:rFonts w:ascii="Arial" w:cs="Arial" w:eastAsia="Arial" w:hAnsi="Arial"/>
                <w:sz w:val="18"/>
                <w:szCs w:val="18"/>
                <w:color w:val="auto"/>
              </w:rPr>
              <w:t>COMPANY:</w:t>
            </w:r>
          </w:p>
        </w:tc>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432"/>
        </w:trPr>
        <w:tc>
          <w:tcPr>
            <w:tcW w:w="4320" w:type="dxa"/>
            <w:vAlign w:val="bottom"/>
            <w:gridSpan w:val="3"/>
          </w:tcPr>
          <w:p>
            <w:pPr>
              <w:ind w:left="680"/>
              <w:spacing w:after="0"/>
              <w:rPr>
                <w:sz w:val="20"/>
                <w:szCs w:val="20"/>
                <w:color w:val="auto"/>
              </w:rPr>
            </w:pPr>
            <w:r>
              <w:rPr>
                <w:rFonts w:ascii="Arial" w:cs="Arial" w:eastAsia="Arial" w:hAnsi="Arial"/>
                <w:sz w:val="18"/>
                <w:szCs w:val="18"/>
                <w:color w:val="auto"/>
              </w:rPr>
              <w:t>ALBANY INTERNATIONAL CORP.</w:t>
            </w:r>
          </w:p>
        </w:tc>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338"/>
        </w:trPr>
        <w:tc>
          <w:tcPr>
            <w:tcW w:w="4320" w:type="dxa"/>
            <w:vAlign w:val="bottom"/>
            <w:gridSpan w:val="3"/>
          </w:tcPr>
          <w:p>
            <w:pPr>
              <w:ind w:left="680"/>
              <w:spacing w:after="0"/>
              <w:rPr>
                <w:sz w:val="20"/>
                <w:szCs w:val="20"/>
                <w:color w:val="auto"/>
              </w:rPr>
            </w:pPr>
            <w:r>
              <w:rPr>
                <w:rFonts w:ascii="Arial" w:cs="Arial" w:eastAsia="Arial" w:hAnsi="Arial"/>
                <w:sz w:val="18"/>
                <w:szCs w:val="18"/>
                <w:color w:val="auto"/>
              </w:rPr>
              <w:t>By: /s/ Joseph G. Morone</w:t>
            </w:r>
          </w:p>
        </w:tc>
        <w:tc>
          <w:tcPr>
            <w:tcW w:w="20" w:type="dxa"/>
            <w:vAlign w:val="bottom"/>
          </w:tcPr>
          <w:p>
            <w:pPr>
              <w:spacing w:after="0"/>
              <w:rPr>
                <w:sz w:val="24"/>
                <w:szCs w:val="24"/>
                <w:color w:val="auto"/>
              </w:rPr>
            </w:pPr>
          </w:p>
        </w:tc>
        <w:tc>
          <w:tcPr>
            <w:tcW w:w="7080" w:type="dxa"/>
            <w:vAlign w:val="bottom"/>
          </w:tcPr>
          <w:p>
            <w:pPr>
              <w:ind w:left="2860"/>
              <w:spacing w:after="0"/>
              <w:rPr>
                <w:sz w:val="20"/>
                <w:szCs w:val="20"/>
                <w:color w:val="auto"/>
              </w:rPr>
            </w:pPr>
            <w:r>
              <w:rPr>
                <w:rFonts w:ascii="Arial" w:cs="Arial" w:eastAsia="Arial" w:hAnsi="Arial"/>
                <w:sz w:val="18"/>
                <w:szCs w:val="18"/>
                <w:color w:val="auto"/>
              </w:rPr>
              <w:t>Date: March 2, 2018</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6"/>
        </w:trPr>
        <w:tc>
          <w:tcPr>
            <w:tcW w:w="4320" w:type="dxa"/>
            <w:vAlign w:val="bottom"/>
            <w:gridSpan w:val="3"/>
          </w:tcPr>
          <w:p>
            <w:pPr>
              <w:ind w:left="680"/>
              <w:spacing w:after="0"/>
              <w:rPr>
                <w:sz w:val="20"/>
                <w:szCs w:val="20"/>
                <w:color w:val="auto"/>
              </w:rPr>
            </w:pPr>
            <w:r>
              <w:rPr>
                <w:rFonts w:ascii="Arial" w:cs="Arial" w:eastAsia="Arial" w:hAnsi="Arial"/>
                <w:sz w:val="18"/>
                <w:szCs w:val="18"/>
                <w:color w:val="auto"/>
              </w:rPr>
              <w:t>Name: Joseph G. Morone</w:t>
            </w:r>
          </w:p>
        </w:tc>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30"/>
        </w:trPr>
        <w:tc>
          <w:tcPr>
            <w:tcW w:w="4320" w:type="dxa"/>
            <w:vAlign w:val="bottom"/>
            <w:gridSpan w:val="3"/>
          </w:tcPr>
          <w:p>
            <w:pPr>
              <w:ind w:left="680"/>
              <w:spacing w:after="0"/>
              <w:rPr>
                <w:sz w:val="20"/>
                <w:szCs w:val="20"/>
                <w:color w:val="auto"/>
              </w:rPr>
            </w:pPr>
            <w:r>
              <w:rPr>
                <w:rFonts w:ascii="Arial" w:cs="Arial" w:eastAsia="Arial" w:hAnsi="Arial"/>
                <w:sz w:val="18"/>
                <w:szCs w:val="18"/>
                <w:color w:val="auto"/>
              </w:rPr>
              <w:t>Title: President and Chief Executive Officer</w:t>
            </w:r>
          </w:p>
        </w:tc>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662"/>
        </w:trPr>
        <w:tc>
          <w:tcPr>
            <w:tcW w:w="4320" w:type="dxa"/>
            <w:vAlign w:val="bottom"/>
            <w:gridSpan w:val="3"/>
          </w:tcPr>
          <w:p>
            <w:pPr>
              <w:ind w:left="680"/>
              <w:spacing w:after="0"/>
              <w:rPr>
                <w:sz w:val="20"/>
                <w:szCs w:val="20"/>
                <w:color w:val="auto"/>
              </w:rPr>
            </w:pPr>
            <w:r>
              <w:rPr>
                <w:rFonts w:ascii="Arial" w:cs="Arial" w:eastAsia="Arial" w:hAnsi="Arial"/>
                <w:sz w:val="18"/>
                <w:szCs w:val="18"/>
                <w:color w:val="auto"/>
              </w:rPr>
              <w:t>EXECUTIVE</w:t>
            </w:r>
          </w:p>
        </w:tc>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621"/>
        </w:trPr>
        <w:tc>
          <w:tcPr>
            <w:tcW w:w="4320" w:type="dxa"/>
            <w:vAlign w:val="bottom"/>
            <w:gridSpan w:val="3"/>
          </w:tcPr>
          <w:p>
            <w:pPr>
              <w:ind w:left="680"/>
              <w:spacing w:after="0"/>
              <w:rPr>
                <w:sz w:val="20"/>
                <w:szCs w:val="20"/>
                <w:color w:val="auto"/>
              </w:rPr>
            </w:pPr>
            <w:r>
              <w:rPr>
                <w:rFonts w:ascii="Arial" w:cs="Arial" w:eastAsia="Arial" w:hAnsi="Arial"/>
                <w:sz w:val="18"/>
                <w:szCs w:val="18"/>
                <w:color w:val="auto"/>
              </w:rPr>
              <w:t>/s/ Olivier Jarrault</w:t>
            </w:r>
          </w:p>
        </w:tc>
        <w:tc>
          <w:tcPr>
            <w:tcW w:w="20" w:type="dxa"/>
            <w:vAlign w:val="bottom"/>
          </w:tcPr>
          <w:p>
            <w:pPr>
              <w:spacing w:after="0"/>
              <w:rPr>
                <w:sz w:val="24"/>
                <w:szCs w:val="24"/>
                <w:color w:val="auto"/>
              </w:rPr>
            </w:pPr>
          </w:p>
        </w:tc>
        <w:tc>
          <w:tcPr>
            <w:tcW w:w="7080" w:type="dxa"/>
            <w:vAlign w:val="bottom"/>
          </w:tcPr>
          <w:p>
            <w:pPr>
              <w:ind w:left="2860"/>
              <w:spacing w:after="0"/>
              <w:rPr>
                <w:sz w:val="20"/>
                <w:szCs w:val="20"/>
                <w:color w:val="auto"/>
              </w:rPr>
            </w:pPr>
            <w:r>
              <w:rPr>
                <w:rFonts w:ascii="Arial" w:cs="Arial" w:eastAsia="Arial" w:hAnsi="Arial"/>
                <w:sz w:val="18"/>
                <w:szCs w:val="18"/>
                <w:color w:val="auto"/>
              </w:rPr>
              <w:t>Date: March 2, 2018</w:t>
            </w:r>
          </w:p>
        </w:tc>
      </w:tr>
      <w:tr>
        <w:trPr>
          <w:trHeight w:val="628"/>
        </w:trPr>
        <w:tc>
          <w:tcPr>
            <w:tcW w:w="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80" w:type="dxa"/>
            <w:vAlign w:val="bottom"/>
          </w:tcPr>
          <w:p>
            <w:pPr>
              <w:ind w:left="8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tc>
      </w:tr>
      <w:tr>
        <w:trPr>
          <w:trHeight w:val="270"/>
        </w:trPr>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80" w:type="dxa"/>
            <w:vAlign w:val="bottom"/>
          </w:tcPr>
          <w:p>
            <w:pPr>
              <w:spacing w:after="0"/>
              <w:rPr>
                <w:sz w:val="23"/>
                <w:szCs w:val="23"/>
                <w:color w:val="auto"/>
              </w:rPr>
            </w:pPr>
          </w:p>
        </w:tc>
      </w:tr>
      <w:tr>
        <w:trPr>
          <w:trHeight w:val="68"/>
        </w:trPr>
        <w:tc>
          <w:tcPr>
            <w:tcW w:w="6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33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0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84" w:right="239" w:bottom="1440" w:gutter="0" w:footer="0" w:header="0"/>
        </w:sectPr>
      </w:pPr>
    </w:p>
    <w:bookmarkStart w:id="167" w:name="page168"/>
    <w:bookmarkEnd w:id="167"/>
    <w:p>
      <w:pPr>
        <w:jc w:val="center"/>
        <w:ind w:right="-119"/>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RESTRICTED UNIT AWARD AGREEMENT</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Pursuant to the</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ALBANY INTERNATIONAL CORP. 2003</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RESTRICTED STOCK UNIT PLAN</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300"/>
          </w:cols>
          <w:pgMar w:left="240" w:top="585"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Olivier Jarrault</w:t>
      </w:r>
    </w:p>
    <w:p>
      <w:pPr>
        <w:spacing w:after="0" w:line="200" w:lineRule="exact"/>
        <w:rPr>
          <w:sz w:val="20"/>
          <w:szCs w:val="20"/>
          <w:color w:val="auto"/>
        </w:rPr>
      </w:pPr>
    </w:p>
    <w:p>
      <w:pPr>
        <w:sectPr>
          <w:pgSz w:w="11900" w:h="16838" w:orient="portrait"/>
          <w:cols w:equalWidth="0" w:num="2">
            <w:col w:w="1020" w:space="720"/>
            <w:col w:w="9560"/>
          </w:cols>
          <w:pgMar w:left="240" w:top="585" w:right="35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Award Date: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March 2, 2018</w:t>
      </w:r>
    </w:p>
    <w:p>
      <w:pPr>
        <w:spacing w:after="0" w:line="200" w:lineRule="exact"/>
        <w:rPr>
          <w:sz w:val="20"/>
          <w:szCs w:val="20"/>
          <w:color w:val="auto"/>
        </w:rPr>
      </w:pPr>
    </w:p>
    <w:p>
      <w:pPr>
        <w:sectPr>
          <w:pgSz w:w="11900" w:h="16838" w:orient="portrait"/>
          <w:cols w:equalWidth="0" w:num="2">
            <w:col w:w="1000" w:space="720"/>
            <w:col w:w="9580"/>
          </w:cols>
          <w:pgMar w:left="240" w:top="585"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Units Awarded: 23,567</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THIS AWARD AGREEMENT, dated as of the Award Date specified above, is entered into by and between Albany International Corp. (the</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the Participant specified above, pursuant to the Amended and Restated Albany International Corp. 2003 Restricted Stock Unit Plan, as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effect and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224" w:lineRule="exact"/>
        <w:rPr>
          <w:sz w:val="20"/>
          <w:szCs w:val="20"/>
          <w:color w:val="auto"/>
        </w:rPr>
      </w:pPr>
    </w:p>
    <w:p>
      <w:pPr>
        <w:jc w:val="both"/>
        <w:ind w:left="140" w:firstLine="548"/>
        <w:spacing w:after="0" w:line="342" w:lineRule="auto"/>
        <w:rPr>
          <w:sz w:val="20"/>
          <w:szCs w:val="20"/>
          <w:color w:val="auto"/>
        </w:rPr>
      </w:pPr>
      <w:r>
        <w:rPr>
          <w:rFonts w:ascii="Arial" w:cs="Arial" w:eastAsia="Arial" w:hAnsi="Arial"/>
          <w:sz w:val="16"/>
          <w:szCs w:val="16"/>
          <w:color w:val="auto"/>
        </w:rPr>
        <w:t>WHEREAS, as an incentive to encourage the Participant to remain in the employ of the Company and its subsidiaries by affording the Participant a greater interest in the success of the Company and its subsidiaries, the Company desires to grant the Participant the Restricted Units provided herein;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WHEREAS, the Participant desires to obtain such Restricted Units on the terms and conditions provided for herein;</w:t>
      </w:r>
    </w:p>
    <w:p>
      <w:pPr>
        <w:spacing w:after="0" w:line="225" w:lineRule="exact"/>
        <w:rPr>
          <w:sz w:val="20"/>
          <w:szCs w:val="20"/>
          <w:color w:val="auto"/>
        </w:rPr>
      </w:pPr>
    </w:p>
    <w:p>
      <w:pPr>
        <w:ind w:left="140" w:right="40" w:firstLine="548"/>
        <w:spacing w:after="0" w:line="277" w:lineRule="auto"/>
        <w:rPr>
          <w:sz w:val="20"/>
          <w:szCs w:val="20"/>
          <w:color w:val="auto"/>
        </w:rPr>
      </w:pPr>
      <w:r>
        <w:rPr>
          <w:rFonts w:ascii="Arial" w:cs="Arial" w:eastAsia="Arial" w:hAnsi="Arial"/>
          <w:sz w:val="18"/>
          <w:szCs w:val="18"/>
          <w:color w:val="auto"/>
        </w:rPr>
        <w:t>NOW, THEREFORE, in consideration of the premises, the mutual covenants herein set forth and other good and valuable considerations receipt of which is hereby acknowledged, the Company and the Participant agree as follows:</w:t>
      </w:r>
    </w:p>
    <w:p>
      <w:pPr>
        <w:spacing w:after="0" w:line="184" w:lineRule="exact"/>
        <w:rPr>
          <w:sz w:val="20"/>
          <w:szCs w:val="20"/>
          <w:color w:val="auto"/>
        </w:rPr>
      </w:pPr>
    </w:p>
    <w:p>
      <w:pPr>
        <w:jc w:val="both"/>
        <w:ind w:left="140" w:firstLine="1096"/>
        <w:spacing w:after="0" w:line="255" w:lineRule="auto"/>
        <w:rPr>
          <w:sz w:val="20"/>
          <w:szCs w:val="20"/>
          <w:color w:val="auto"/>
        </w:rPr>
      </w:pPr>
      <w:r>
        <w:rPr>
          <w:rFonts w:ascii="Arial" w:cs="Arial" w:eastAsia="Arial" w:hAnsi="Arial"/>
          <w:sz w:val="18"/>
          <w:szCs w:val="18"/>
          <w:color w:val="auto"/>
        </w:rPr>
        <w:t xml:space="preserve">1 . </w:t>
      </w:r>
      <w:r>
        <w:rPr>
          <w:rFonts w:ascii="Arial" w:cs="Arial" w:eastAsia="Arial" w:hAnsi="Arial"/>
          <w:sz w:val="18"/>
          <w:szCs w:val="18"/>
          <w:u w:val="single" w:color="auto"/>
          <w:color w:val="auto"/>
        </w:rPr>
        <w:t>Incorporation by Reference; Plan Document Receipt</w:t>
      </w:r>
      <w:r>
        <w:rPr>
          <w:rFonts w:ascii="Arial" w:cs="Arial" w:eastAsia="Arial" w:hAnsi="Arial"/>
          <w:sz w:val="18"/>
          <w:szCs w:val="18"/>
          <w:color w:val="auto"/>
        </w:rPr>
        <w:t>. Except as otherwise provided herein, this Award Agreement is subject in all respects to the terms and provisions of the Plan (including, without limitation, any amendments thereto adopted at any time and from time to time and which are expressly intended to apply to the grant of the Restricted Units provided for herein), all of which terms and provisions are made a part of and incorporated in this Award Agreement as if they were expressly set forth herein. Any capitalized term not defined in this Award Agreement shall have the same meaning as is ascribed thereto in the Plan. The Participant hereby acknowledges receipt of a true copy of the Plan and that the Participant has read the Plan</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43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585" w:right="359" w:bottom="1440" w:gutter="0" w:footer="0" w:header="0"/>
          <w:type w:val="continuous"/>
        </w:sectPr>
      </w:pPr>
    </w:p>
    <w:bookmarkStart w:id="168" w:name="page169"/>
    <w:bookmarkEnd w:id="168"/>
    <w:p>
      <w:pPr>
        <w:ind w:right="20"/>
        <w:spacing w:after="0" w:line="277" w:lineRule="auto"/>
        <w:rPr>
          <w:sz w:val="20"/>
          <w:szCs w:val="20"/>
          <w:color w:val="auto"/>
        </w:rPr>
      </w:pPr>
      <w:r>
        <w:rPr>
          <w:rFonts w:ascii="Arial" w:cs="Arial" w:eastAsia="Arial" w:hAnsi="Arial"/>
          <w:sz w:val="18"/>
          <w:szCs w:val="18"/>
          <w:color w:val="auto"/>
        </w:rPr>
        <w:t>carefully and fully understands its content. In the event of a conflict between the terms of this Award Agreement and the terms of the Plan, the terms of the Plan shall control.</w:t>
      </w:r>
    </w:p>
    <w:p>
      <w:pPr>
        <w:spacing w:after="0" w:line="130" w:lineRule="exact"/>
        <w:rPr>
          <w:sz w:val="20"/>
          <w:szCs w:val="20"/>
          <w:color w:val="auto"/>
        </w:rPr>
      </w:pPr>
    </w:p>
    <w:p>
      <w:pPr>
        <w:jc w:val="both"/>
        <w:ind w:firstLine="1090"/>
        <w:spacing w:after="0" w:line="264" w:lineRule="auto"/>
        <w:tabs>
          <w:tab w:leader="none" w:pos="2028"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Award of Restricted Units; Credit to Restricted Unit Account</w:t>
      </w:r>
      <w:r>
        <w:rPr>
          <w:rFonts w:ascii="Arial" w:cs="Arial" w:eastAsia="Arial" w:hAnsi="Arial"/>
          <w:sz w:val="18"/>
          <w:szCs w:val="18"/>
          <w:color w:val="auto"/>
        </w:rPr>
        <w:t xml:space="preserve"> . Subject to the terms hereof and the Plan, the Company hereby grants to the Participant, as of the Award Date specified above, the number of Restricted Units specified above. The Company shall record such Restricted Units in the Participant’s Restricted Unit Account.</w:t>
      </w:r>
    </w:p>
    <w:p>
      <w:pPr>
        <w:spacing w:after="0" w:line="127" w:lineRule="exact"/>
        <w:rPr>
          <w:rFonts w:ascii="Arial" w:cs="Arial" w:eastAsia="Arial" w:hAnsi="Arial"/>
          <w:sz w:val="18"/>
          <w:szCs w:val="18"/>
          <w:color w:val="auto"/>
        </w:rPr>
      </w:pPr>
    </w:p>
    <w:p>
      <w:pPr>
        <w:jc w:val="both"/>
        <w:ind w:firstLine="1090"/>
        <w:spacing w:after="0" w:line="264" w:lineRule="auto"/>
        <w:tabs>
          <w:tab w:leader="none" w:pos="2037"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As permitted in Section 5.1 of the Plan, the following Vesting Dates shall apply with respect to the Restricted Units (including any additional Restricted Units credited as Cash Dividend Equivalents with respect to such Restricted Units) awarded hereunder and shall supersede any contrary provision in Section 5.1:</w:t>
      </w:r>
    </w:p>
    <w:p>
      <w:pPr>
        <w:spacing w:after="0" w:line="140" w:lineRule="exact"/>
        <w:rPr>
          <w:rFonts w:ascii="Arial" w:cs="Arial" w:eastAsia="Arial" w:hAnsi="Arial"/>
          <w:sz w:val="18"/>
          <w:szCs w:val="18"/>
          <w:color w:val="auto"/>
        </w:rPr>
      </w:pPr>
    </w:p>
    <w:p>
      <w:pPr>
        <w:jc w:val="both"/>
        <w:ind w:left="1360" w:right="420" w:hanging="276"/>
        <w:spacing w:after="0" w:line="256" w:lineRule="auto"/>
        <w:tabs>
          <w:tab w:leader="none" w:pos="13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One-third (33.3%) of such Restricted Units (including any additional Restricted Units credited as Cash Dividend Equivalents with respect to such Restricted Units) shall vest on March 1, 2019, subject to the Participant being employed with the Albany Group on such Vesting Date;</w:t>
      </w:r>
    </w:p>
    <w:p>
      <w:pPr>
        <w:jc w:val="both"/>
        <w:ind w:left="1360" w:right="420" w:hanging="276"/>
        <w:spacing w:after="0" w:line="250" w:lineRule="auto"/>
        <w:tabs>
          <w:tab w:leader="none" w:pos="13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One-third (33.3%) of such Restricted Units (including any additional Restricted Units credited as Cash Dividend Equivalents with respect to such Restricted Units) shall vest on March 1, 2020, subject to the Participant being employed with the Albany Group on such Vesting Date; and</w:t>
      </w:r>
    </w:p>
    <w:p>
      <w:pPr>
        <w:spacing w:after="0" w:line="1" w:lineRule="exact"/>
        <w:rPr>
          <w:rFonts w:ascii="Arial" w:cs="Arial" w:eastAsia="Arial" w:hAnsi="Arial"/>
          <w:sz w:val="18"/>
          <w:szCs w:val="18"/>
          <w:color w:val="auto"/>
        </w:rPr>
      </w:pPr>
    </w:p>
    <w:p>
      <w:pPr>
        <w:jc w:val="both"/>
        <w:ind w:left="1360" w:right="420" w:hanging="276"/>
        <w:spacing w:after="0" w:line="255" w:lineRule="auto"/>
        <w:tabs>
          <w:tab w:leader="none" w:pos="13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One-third (33.3%) of such Restricted Units (including any additional Restricted Units credited as Cash Dividend Equivalents with respect to such Restricted Units) shall vest on March 1, 2021, subject to the Participant being employed with the Albany Group on such Vesting Date.</w:t>
      </w:r>
    </w:p>
    <w:p>
      <w:pPr>
        <w:spacing w:after="0" w:line="190" w:lineRule="exact"/>
        <w:rPr>
          <w:rFonts w:ascii="Arial" w:cs="Arial" w:eastAsia="Arial" w:hAnsi="Arial"/>
          <w:sz w:val="18"/>
          <w:szCs w:val="18"/>
          <w:color w:val="auto"/>
        </w:rPr>
      </w:pPr>
    </w:p>
    <w:p>
      <w:pPr>
        <w:ind w:firstLine="1090"/>
        <w:spacing w:after="0" w:line="308" w:lineRule="auto"/>
        <w:tabs>
          <w:tab w:leader="none" w:pos="1830"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Additional Special Vesting</w:t>
      </w:r>
      <w:r>
        <w:rPr>
          <w:rFonts w:ascii="Arial" w:cs="Arial" w:eastAsia="Arial" w:hAnsi="Arial"/>
          <w:sz w:val="17"/>
          <w:szCs w:val="17"/>
          <w:color w:val="auto"/>
        </w:rPr>
        <w:t>. The special vesting provisions set forth in Section 5.2 of the Plan shall apply to the Restricted Units (including any additional Restricted Units credited as Cash Dividend Equivalents with respect to such Restricted Units) awarded hereunder.</w:t>
      </w:r>
    </w:p>
    <w:p>
      <w:pPr>
        <w:spacing w:after="0" w:line="106" w:lineRule="exact"/>
        <w:rPr>
          <w:rFonts w:ascii="Arial" w:cs="Arial" w:eastAsia="Arial" w:hAnsi="Arial"/>
          <w:sz w:val="17"/>
          <w:szCs w:val="17"/>
          <w:color w:val="auto"/>
        </w:rPr>
      </w:pPr>
    </w:p>
    <w:p>
      <w:pPr>
        <w:jc w:val="both"/>
        <w:ind w:firstLine="1090"/>
        <w:spacing w:after="0" w:line="289" w:lineRule="auto"/>
        <w:tabs>
          <w:tab w:leader="none" w:pos="1704"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Settlement; Payment Delay</w:t>
      </w:r>
      <w:r>
        <w:rPr>
          <w:rFonts w:ascii="Arial" w:cs="Arial" w:eastAsia="Arial" w:hAnsi="Arial"/>
          <w:sz w:val="16"/>
          <w:szCs w:val="16"/>
          <w:color w:val="auto"/>
        </w:rPr>
        <w:t>. The Restricted Units (including any additional Restricted Units credited as Cash Dividend Equivalents with respect to such Restricted Units) credited to Participant’s Restricted Unit Account pursuant to this Award Agreement shall be settled in accordance with the provisions of the Plan, including without limitation Section 6.1. Notwithstanding any provision to the contrary, if, pursuant to the provisions of Section 409A of the Internal Revenue Code of 1986, as amended, and the regulations promulgated thereunder (the “Code”), any payment is required to be delayed as a result of the Participant being deemed to be a “specified employee” within the meaning of that term under Section 409A(a)(2)(B) of the Code, then any such payments under the Plan shall not be made prior to the earlier of (A) the expiration of the six month period measured from the date of the “separation from service” (as such term is defined in Treasury Regulations issued under Section 409A of the Code) or (B) the date of the Participant’s death. Upon the expiration of such period, all payments under the Plan delayed pursuant to this paragraph 6 shall be paid to the Participant in a lump sum, and any remaining payments due under the Plan shall be paid or provided in accordance with the normal payment dates specified for them herein.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334645</wp:posOffset>
            </wp:positionV>
            <wp:extent cx="7246620" cy="43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60"/>
          </w:cols>
          <w:pgMar w:left="380" w:top="585" w:right="359" w:bottom="1440" w:gutter="0" w:footer="0" w:header="0"/>
        </w:sectPr>
      </w:pPr>
    </w:p>
    <w:bookmarkStart w:id="169" w:name="page170"/>
    <w:bookmarkEnd w:id="169"/>
    <w:p>
      <w:pPr>
        <w:jc w:val="both"/>
        <w:ind w:firstLine="1090"/>
        <w:spacing w:after="0" w:line="291" w:lineRule="auto"/>
        <w:tabs>
          <w:tab w:leader="none" w:pos="2185"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Neither this Award Agreement nor any provision hereof may be amended, modified, changed, discharged, terminated or waived orally, by any course of dealing or purported course of dealing or by any other means except (a) in the case of an amendment, modification, change or waiver that does not impair the rights of the Participant with respect to outstanding Restricted Units or that is deemed by the Committee to be advisable to avoid the imposition of any tax under Section 409A of the Code, by written notice to the Participant or (b) an agreement in writing signed by the Company and the Participant. No such written notice of agreement shall extend to or affect any provision of this Award Agreement not expressly amended, modified, changed, discharged, terminated or waived or impair any right consequent on such a provision. The waiver of or failure to enforce any breach of this Award Agreement shall not be deemed to be a waiver of or acquiescence in any other breach hereof.</w:t>
      </w:r>
    </w:p>
    <w:p>
      <w:pPr>
        <w:spacing w:after="0" w:line="126" w:lineRule="exact"/>
        <w:rPr>
          <w:rFonts w:ascii="Arial" w:cs="Arial" w:eastAsia="Arial" w:hAnsi="Arial"/>
          <w:sz w:val="16"/>
          <w:szCs w:val="16"/>
          <w:color w:val="auto"/>
        </w:rPr>
      </w:pPr>
    </w:p>
    <w:p>
      <w:pPr>
        <w:ind w:left="1800" w:hanging="710"/>
        <w:spacing w:after="0"/>
        <w:tabs>
          <w:tab w:leader="none" w:pos="180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under this Award Agreement shall be in writing and shall be deemed properly given:</w:t>
      </w:r>
    </w:p>
    <w:p>
      <w:pPr>
        <w:spacing w:after="0" w:line="194" w:lineRule="exact"/>
        <w:rPr>
          <w:sz w:val="20"/>
          <w:szCs w:val="20"/>
          <w:color w:val="auto"/>
        </w:rPr>
      </w:pPr>
    </w:p>
    <w:p>
      <w:pPr>
        <w:jc w:val="both"/>
        <w:ind w:firstLine="1096"/>
        <w:spacing w:after="0" w:line="264" w:lineRule="auto"/>
        <w:rPr>
          <w:sz w:val="20"/>
          <w:szCs w:val="20"/>
          <w:color w:val="auto"/>
        </w:rPr>
      </w:pPr>
      <w:r>
        <w:rPr>
          <w:rFonts w:ascii="Arial" w:cs="Arial" w:eastAsia="Arial" w:hAnsi="Arial"/>
          <w:sz w:val="18"/>
          <w:szCs w:val="18"/>
          <w:color w:val="auto"/>
        </w:rPr>
        <w:t>7.1 in the case of notice to the Company, if delivered in person to the Secretary of the Company, or mailed to the Company to the attention of the Secretary by registered mail (return receipt requested) at 216 Airport Drive, Rochester, New Hampshire, 03867, or at such other address as the Company may from time to time hereafter designate by written notice to the Participant; and</w:t>
      </w:r>
    </w:p>
    <w:p>
      <w:pPr>
        <w:spacing w:after="0" w:line="141" w:lineRule="exact"/>
        <w:rPr>
          <w:sz w:val="20"/>
          <w:szCs w:val="20"/>
          <w:color w:val="auto"/>
        </w:rPr>
      </w:pPr>
    </w:p>
    <w:p>
      <w:pPr>
        <w:jc w:val="both"/>
        <w:ind w:firstLine="1096"/>
        <w:spacing w:after="0" w:line="264" w:lineRule="auto"/>
        <w:rPr>
          <w:sz w:val="20"/>
          <w:szCs w:val="20"/>
          <w:color w:val="auto"/>
        </w:rPr>
      </w:pPr>
      <w:r>
        <w:rPr>
          <w:rFonts w:ascii="Arial" w:cs="Arial" w:eastAsia="Arial" w:hAnsi="Arial"/>
          <w:sz w:val="18"/>
          <w:szCs w:val="18"/>
          <w:color w:val="auto"/>
        </w:rPr>
        <w:t>7.2 in the case of notice to the Participant, if delivered to him or her in person, or mailed to him or her by registered mail (return receipt requested) at the last known residence address provided by Participant to the Company or at such other address as the Participant may from time to time hereafter designate by written notice to the Company.</w:t>
      </w:r>
    </w:p>
    <w:p>
      <w:pPr>
        <w:spacing w:after="0" w:line="127" w:lineRule="exact"/>
        <w:rPr>
          <w:sz w:val="20"/>
          <w:szCs w:val="20"/>
          <w:color w:val="auto"/>
        </w:rPr>
      </w:pPr>
    </w:p>
    <w:p>
      <w:pPr>
        <w:ind w:left="1100"/>
        <w:spacing w:after="0"/>
        <w:tabs>
          <w:tab w:leader="none" w:pos="188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Award Agreement shall be governed by and construed in accordance with the laws of the State of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70" w:lineRule="exact"/>
        <w:rPr>
          <w:sz w:val="20"/>
          <w:szCs w:val="20"/>
          <w:color w:val="auto"/>
        </w:rPr>
      </w:pPr>
    </w:p>
    <w:p>
      <w:pPr>
        <w:jc w:val="both"/>
        <w:ind w:right="20" w:firstLine="1090"/>
        <w:spacing w:after="0" w:line="264" w:lineRule="auto"/>
        <w:tabs>
          <w:tab w:leader="none" w:pos="176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Binding Agreement; Assignment</w:t>
      </w:r>
      <w:r>
        <w:rPr>
          <w:rFonts w:ascii="Arial" w:cs="Arial" w:eastAsia="Arial" w:hAnsi="Arial"/>
          <w:sz w:val="18"/>
          <w:szCs w:val="18"/>
          <w:color w:val="auto"/>
        </w:rPr>
        <w:t>. This Award Agreement shall inure to the benefit of, be binding upon, and be enforceable by the Company and its successors and assigns. The Participant shall not assign any part of this Award Agreement without the prior express written consent of the Company.</w:t>
      </w:r>
    </w:p>
    <w:p>
      <w:pPr>
        <w:spacing w:after="0" w:line="127" w:lineRule="exact"/>
        <w:rPr>
          <w:rFonts w:ascii="Arial" w:cs="Arial" w:eastAsia="Arial" w:hAnsi="Arial"/>
          <w:sz w:val="18"/>
          <w:szCs w:val="18"/>
          <w:color w:val="auto"/>
        </w:rPr>
      </w:pPr>
    </w:p>
    <w:p>
      <w:pPr>
        <w:ind w:right="40" w:firstLine="1090"/>
        <w:spacing w:after="0" w:line="277" w:lineRule="auto"/>
        <w:tabs>
          <w:tab w:leader="none" w:pos="19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Award Agreement may be executed in one or more counterparts, each of which shall be deemed to be an original, but all of which shall constitute one and the same instrument.</w:t>
      </w:r>
    </w:p>
    <w:p>
      <w:pPr>
        <w:spacing w:after="0" w:line="129" w:lineRule="exact"/>
        <w:rPr>
          <w:rFonts w:ascii="Arial" w:cs="Arial" w:eastAsia="Arial" w:hAnsi="Arial"/>
          <w:sz w:val="18"/>
          <w:szCs w:val="18"/>
          <w:color w:val="auto"/>
        </w:rPr>
      </w:pPr>
    </w:p>
    <w:p>
      <w:pPr>
        <w:ind w:right="40" w:firstLine="1090"/>
        <w:spacing w:after="0" w:line="277" w:lineRule="auto"/>
        <w:tabs>
          <w:tab w:leader="none" w:pos="200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titles and headings of the various sections of this Award Agreement have been inserted for convenience of reference only and shall not be deemed to be a part of this Award Agreement.</w:t>
      </w:r>
    </w:p>
    <w:p>
      <w:pPr>
        <w:spacing w:after="0" w:line="116" w:lineRule="exact"/>
        <w:rPr>
          <w:rFonts w:ascii="Arial" w:cs="Arial" w:eastAsia="Arial" w:hAnsi="Arial"/>
          <w:sz w:val="18"/>
          <w:szCs w:val="18"/>
          <w:color w:val="auto"/>
        </w:rPr>
      </w:pPr>
    </w:p>
    <w:p>
      <w:pPr>
        <w:jc w:val="both"/>
        <w:ind w:firstLine="1090"/>
        <w:spacing w:after="0" w:line="259" w:lineRule="auto"/>
        <w:tabs>
          <w:tab w:leader="none" w:pos="181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shall do and perform (or shall cause to be done and performed) all such further acts and shall execute and deliver all such other agreements, certificates, instruments and documents as any other party hereto reasonably may request in order to carry out the intent and accomplish the purposes of this Award Agreement and the Plan and the consummation of the transactions contemplated thereunder.</w:t>
      </w:r>
    </w:p>
    <w:p>
      <w:pPr>
        <w:spacing w:after="0" w:line="146" w:lineRule="exact"/>
        <w:rPr>
          <w:rFonts w:ascii="Arial" w:cs="Arial" w:eastAsia="Arial" w:hAnsi="Arial"/>
          <w:sz w:val="18"/>
          <w:szCs w:val="18"/>
          <w:color w:val="auto"/>
        </w:rPr>
      </w:pPr>
    </w:p>
    <w:p>
      <w:pPr>
        <w:jc w:val="both"/>
        <w:ind w:right="40" w:firstLine="1090"/>
        <w:spacing w:after="0" w:line="264" w:lineRule="auto"/>
        <w:tabs>
          <w:tab w:leader="none" w:pos="1771"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provisions of this Award Agreement in any jurisdiction shall not affect the validity, legality or enforceability of the remainder of this Award Agreement in such jurisdiction or the validity, legality or enforceability of any provision of this Award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334645</wp:posOffset>
            </wp:positionV>
            <wp:extent cx="7246620" cy="431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60"/>
          </w:cols>
          <w:pgMar w:left="380" w:top="584" w:right="359" w:bottom="1440" w:gutter="0" w:footer="0" w:header="0"/>
        </w:sectPr>
      </w:pPr>
    </w:p>
    <w:bookmarkStart w:id="170" w:name="page171"/>
    <w:bookmarkEnd w:id="170"/>
    <w:p>
      <w:pPr>
        <w:ind w:right="340"/>
        <w:spacing w:after="0" w:line="277" w:lineRule="auto"/>
        <w:rPr>
          <w:sz w:val="20"/>
          <w:szCs w:val="20"/>
          <w:color w:val="auto"/>
        </w:rPr>
      </w:pPr>
      <w:r>
        <w:rPr>
          <w:rFonts w:ascii="Arial" w:cs="Arial" w:eastAsia="Arial" w:hAnsi="Arial"/>
          <w:sz w:val="18"/>
          <w:szCs w:val="18"/>
          <w:color w:val="auto"/>
        </w:rPr>
        <w:t>in any other jurisdiction, it being intended that all rights and obligations of the parties hereunder shall be enforceable to the fullest extent permitted by law.</w:t>
      </w:r>
    </w:p>
    <w:p>
      <w:pPr>
        <w:spacing w:after="0" w:line="130" w:lineRule="exact"/>
        <w:rPr>
          <w:sz w:val="20"/>
          <w:szCs w:val="20"/>
          <w:color w:val="auto"/>
        </w:rPr>
      </w:pPr>
    </w:p>
    <w:p>
      <w:pPr>
        <w:jc w:val="both"/>
        <w:ind w:firstLine="1090"/>
        <w:spacing w:after="0" w:line="264" w:lineRule="auto"/>
        <w:tabs>
          <w:tab w:leader="none" w:pos="179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Acceptance of Restricted Units</w:t>
      </w:r>
      <w:r>
        <w:rPr>
          <w:rFonts w:ascii="Arial" w:cs="Arial" w:eastAsia="Arial" w:hAnsi="Arial"/>
          <w:sz w:val="18"/>
          <w:szCs w:val="18"/>
          <w:color w:val="auto"/>
        </w:rPr>
        <w:t>. Unless, within 45 days following the date of this Award Agreement, the Company has received written notice from the Participant rejecting the Restricted Units, this Award Agreement shall be deemed to have been accepted by the Participant and shall constitute a legal and binding agreement between the Participant and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Company has duly executed this Award Agreement as of the Award Date specified above.</w:t>
      </w: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ALBANY INTERNATIONAL CORP.</w:t>
      </w:r>
    </w:p>
    <w:p>
      <w:pPr>
        <w:spacing w:after="0" w:line="200" w:lineRule="exact"/>
        <w:rPr>
          <w:sz w:val="20"/>
          <w:szCs w:val="20"/>
          <w:color w:val="auto"/>
        </w:rPr>
      </w:pPr>
    </w:p>
    <w:p>
      <w:pPr>
        <w:spacing w:after="0" w:line="26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Joseph G. Morone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-10160</wp:posOffset>
            </wp:positionV>
            <wp:extent cx="17780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177800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Joseph G. Morone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Olivier Jarrault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-10160</wp:posOffset>
            </wp:positionV>
            <wp:extent cx="18319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Olivier Jarrault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189230</wp:posOffset>
            </wp:positionV>
            <wp:extent cx="7246620" cy="431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20"/>
          </w:cols>
          <w:pgMar w:left="380" w:top="584" w:right="3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color w:val="auto"/>
        </w:rPr>
        <w:t>Exhibit 10 (u)</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AMENDMENT NO. 1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EMPLOYMENT AGREEMENT</w:t>
      </w:r>
    </w:p>
    <w:p>
      <w:pPr>
        <w:spacing w:after="0" w:line="182" w:lineRule="exact"/>
        <w:rPr>
          <w:sz w:val="20"/>
          <w:szCs w:val="20"/>
          <w:color w:val="auto"/>
        </w:rPr>
      </w:pPr>
    </w:p>
    <w:p>
      <w:pPr>
        <w:ind w:left="20" w:right="1320" w:firstLine="779"/>
        <w:spacing w:after="0" w:line="257" w:lineRule="auto"/>
        <w:rPr>
          <w:sz w:val="20"/>
          <w:szCs w:val="20"/>
          <w:color w:val="auto"/>
        </w:rPr>
      </w:pPr>
      <w:r>
        <w:rPr>
          <w:rFonts w:ascii="Arial" w:cs="Arial" w:eastAsia="Arial" w:hAnsi="Arial"/>
          <w:sz w:val="17"/>
          <w:szCs w:val="17"/>
          <w:color w:val="auto"/>
        </w:rPr>
        <w:t>This AMENDMENT NO. 1, dated as of July 9, 2018 (the “Amendment”), is by and between Albany International Corp. (the "Company") and Olivier Jarrault ("Executive").</w:t>
      </w:r>
    </w:p>
    <w:p>
      <w:pPr>
        <w:ind w:left="20" w:right="600" w:firstLine="779"/>
        <w:spacing w:after="0" w:line="248" w:lineRule="auto"/>
        <w:rPr>
          <w:sz w:val="20"/>
          <w:szCs w:val="20"/>
          <w:color w:val="auto"/>
        </w:rPr>
      </w:pPr>
      <w:r>
        <w:rPr>
          <w:rFonts w:ascii="Arial" w:cs="Arial" w:eastAsia="Arial" w:hAnsi="Arial"/>
          <w:sz w:val="17"/>
          <w:szCs w:val="17"/>
          <w:color w:val="auto"/>
        </w:rPr>
        <w:t>WHEREAS, the Company and Executive are parties to that certain Agreement entered into as of March 2, 2018, relating to Executive’s employment by the Company (the “Agreement”); and</w:t>
      </w:r>
    </w:p>
    <w:p>
      <w:pPr>
        <w:spacing w:after="0" w:line="1" w:lineRule="exact"/>
        <w:rPr>
          <w:sz w:val="20"/>
          <w:szCs w:val="20"/>
          <w:color w:val="auto"/>
        </w:rPr>
      </w:pPr>
    </w:p>
    <w:p>
      <w:pPr>
        <w:ind w:left="20" w:right="800" w:firstLine="779"/>
        <w:spacing w:after="0" w:line="248" w:lineRule="auto"/>
        <w:rPr>
          <w:sz w:val="20"/>
          <w:szCs w:val="20"/>
          <w:color w:val="auto"/>
        </w:rPr>
      </w:pPr>
      <w:r>
        <w:rPr>
          <w:rFonts w:ascii="Arial" w:cs="Arial" w:eastAsia="Arial" w:hAnsi="Arial"/>
          <w:sz w:val="17"/>
          <w:szCs w:val="17"/>
          <w:color w:val="auto"/>
        </w:rPr>
        <w:t>WHEREAS, the Company and Executive desire to clarify their respective rights and obligations relating to reimbursement of certain business expenses incurred by Executive in the course of his employment by the Company;</w:t>
      </w:r>
    </w:p>
    <w:p>
      <w:pPr>
        <w:spacing w:after="0" w:line="1" w:lineRule="exact"/>
        <w:rPr>
          <w:sz w:val="20"/>
          <w:szCs w:val="20"/>
          <w:color w:val="auto"/>
        </w:rPr>
      </w:pPr>
    </w:p>
    <w:p>
      <w:pPr>
        <w:jc w:val="both"/>
        <w:ind w:left="20" w:right="740" w:firstLine="779"/>
        <w:spacing w:after="0" w:line="248" w:lineRule="auto"/>
        <w:rPr>
          <w:sz w:val="20"/>
          <w:szCs w:val="20"/>
          <w:color w:val="auto"/>
        </w:rPr>
      </w:pPr>
      <w:r>
        <w:rPr>
          <w:rFonts w:ascii="Arial" w:cs="Arial" w:eastAsia="Arial" w:hAnsi="Arial"/>
          <w:sz w:val="17"/>
          <w:szCs w:val="17"/>
          <w:color w:val="auto"/>
        </w:rPr>
        <w:t>NOW THEREFORE, in consideration of the premises, the mutual covenants and the agreements hereinafter set forth and other good and valuable consideration, the parties hereto hereby agree that the Agreement is hereby amended as follows, with effect from the Effective Date (as defined in the Agreement):</w:t>
      </w:r>
    </w:p>
    <w:p>
      <w:pPr>
        <w:spacing w:after="0" w:line="2" w:lineRule="exact"/>
        <w:rPr>
          <w:sz w:val="20"/>
          <w:szCs w:val="20"/>
          <w:color w:val="auto"/>
        </w:rPr>
      </w:pPr>
    </w:p>
    <w:p>
      <w:pPr>
        <w:ind w:left="160" w:hanging="157"/>
        <w:spacing w:after="0"/>
        <w:tabs>
          <w:tab w:leader="none" w:pos="16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Unless otherwise defined herein, terms defined in the Agreement are used herein as therein defined.</w:t>
      </w:r>
    </w:p>
    <w:p>
      <w:pPr>
        <w:spacing w:after="0" w:line="209" w:lineRule="exact"/>
        <w:rPr>
          <w:rFonts w:ascii="Arial" w:cs="Arial" w:eastAsia="Arial" w:hAnsi="Arial"/>
          <w:sz w:val="17"/>
          <w:szCs w:val="17"/>
          <w:color w:val="auto"/>
        </w:rPr>
      </w:pPr>
    </w:p>
    <w:p>
      <w:pPr>
        <w:ind w:left="160" w:hanging="157"/>
        <w:spacing w:after="0"/>
        <w:tabs>
          <w:tab w:leader="none" w:pos="1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Clause (e) of paragraph 3 of the Agreement is hereby amended and restated in its entirety to read as follows:</w:t>
      </w:r>
    </w:p>
    <w:p>
      <w:pPr>
        <w:spacing w:after="0" w:line="20" w:lineRule="exact"/>
        <w:rPr>
          <w:rFonts w:ascii="Arial" w:cs="Arial" w:eastAsia="Arial" w:hAnsi="Arial"/>
          <w:sz w:val="17"/>
          <w:szCs w:val="17"/>
          <w:color w:val="auto"/>
        </w:rPr>
      </w:pPr>
    </w:p>
    <w:p>
      <w:pPr>
        <w:ind w:left="400" w:right="1000"/>
        <w:spacing w:after="0" w:line="268" w:lineRule="auto"/>
        <w:tabs>
          <w:tab w:leader="none" w:pos="63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Relocation. Executive shall relocate to Rochester, New Hampshire area no later than March 1, 2019. In the interim, Executive shall be reimbursed for temporary housing expenses and shall be entitled to such other relocation benefits as (i) are provided for pursuant to the Company's Executive Relocation Policy, a copy of which has been provided to the Executive, with the caveat that neither the one-year policy expiration nor 90- day temporary housing limit shall apply to Executive, or (ii) are approved by the Chairman of the Board of the Company. Provided such expenses are incurred in compliance with the Company’s travel and expense policy, or have otherwise been approved by the Chairman, the Company will pay or reimburse Executive for all flight expenses incurred prior to March 1, 2019 for travel from any Company work location to Los Angeles, California, travel from Los Angeles, California to any Company work location, and travel from any Company work location to any other Company work location through Los Angeles, California. (Evidence of approval of any item covered by this clause may be in the form of an expense or relocation report reflecting such expenses that is approved by the Chairman.) The Company will provide tax assistance (gross-up) to Executive on all such expenses for travel to, from, or through Los Angeles, California that are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299720</wp:posOffset>
            </wp:positionV>
            <wp:extent cx="7246620" cy="43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660"/>
          </w:cols>
          <w:pgMar w:left="880" w:top="581" w:right="359" w:bottom="1440" w:gutter="0" w:footer="0" w:header="0"/>
        </w:sectPr>
      </w:pPr>
    </w:p>
    <w:bookmarkStart w:id="172" w:name="page173"/>
    <w:bookmarkEnd w:id="172"/>
    <w:p>
      <w:pPr>
        <w:ind w:left="1040"/>
        <w:spacing w:after="0"/>
        <w:rPr>
          <w:sz w:val="20"/>
          <w:szCs w:val="20"/>
          <w:color w:val="auto"/>
        </w:rPr>
      </w:pPr>
      <w:r>
        <w:rPr>
          <w:rFonts w:ascii="Arial" w:cs="Arial" w:eastAsia="Arial" w:hAnsi="Arial"/>
          <w:sz w:val="17"/>
          <w:szCs w:val="17"/>
          <w:color w:val="auto"/>
        </w:rPr>
        <w:t>to Executive or will appear as income on Executive's Form W-2.</w:t>
      </w:r>
    </w:p>
    <w:p>
      <w:pPr>
        <w:spacing w:after="0" w:line="21" w:lineRule="exact"/>
        <w:rPr>
          <w:sz w:val="20"/>
          <w:szCs w:val="20"/>
          <w:color w:val="auto"/>
        </w:rPr>
      </w:pPr>
    </w:p>
    <w:p>
      <w:pPr>
        <w:ind w:left="840" w:hanging="190"/>
        <w:spacing w:after="0"/>
        <w:tabs>
          <w:tab w:leader="none" w:pos="8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 new clause (g) to paragraph 3 shall be added to the Agreement to read as follows:</w:t>
      </w:r>
    </w:p>
    <w:p>
      <w:pPr>
        <w:spacing w:after="0" w:line="33" w:lineRule="exact"/>
        <w:rPr>
          <w:rFonts w:ascii="Arial" w:cs="Arial" w:eastAsia="Arial" w:hAnsi="Arial"/>
          <w:sz w:val="17"/>
          <w:szCs w:val="17"/>
          <w:color w:val="auto"/>
        </w:rPr>
      </w:pPr>
    </w:p>
    <w:p>
      <w:pPr>
        <w:ind w:left="1040" w:right="1160"/>
        <w:spacing w:after="0" w:line="268" w:lineRule="auto"/>
        <w:tabs>
          <w:tab w:leader="none" w:pos="1282"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Travel, Meals and Entertainment Expenses. Executive shall be entitled to reimbursement of any business travel and entertainment expenses incurred by the Executive in the performance of his duties for or on behalf of the Company that are (i) in accordance with the Company’s policies as in effect from time to time, or (ii) approved by the Chairman of the Board. (Evidence of such approval may be in the form of an expense report reflecting such expenses that is approved by the Chairman.)</w:t>
      </w:r>
    </w:p>
    <w:p>
      <w:pPr>
        <w:spacing w:after="0" w:line="2" w:lineRule="exact"/>
        <w:rPr>
          <w:rFonts w:ascii="Arial" w:cs="Arial" w:eastAsia="Arial" w:hAnsi="Arial"/>
          <w:sz w:val="16"/>
          <w:szCs w:val="16"/>
          <w:color w:val="auto"/>
        </w:rPr>
      </w:pPr>
    </w:p>
    <w:p>
      <w:pPr>
        <w:ind w:left="660" w:right="1280" w:hanging="10"/>
        <w:spacing w:after="0" w:line="248" w:lineRule="auto"/>
        <w:tabs>
          <w:tab w:leader="none" w:pos="83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Except as expressly amended, modified and supplemented hereby, the terms, provisions and conditions of the Agreement are unchanged and in full force and effect and are hereby ratified and confirmed in all respects.</w:t>
      </w:r>
    </w:p>
    <w:p>
      <w:pPr>
        <w:spacing w:after="0" w:line="1" w:lineRule="exact"/>
        <w:rPr>
          <w:rFonts w:ascii="Arial" w:cs="Arial" w:eastAsia="Arial" w:hAnsi="Arial"/>
          <w:sz w:val="17"/>
          <w:szCs w:val="17"/>
          <w:color w:val="auto"/>
        </w:rPr>
      </w:pPr>
    </w:p>
    <w:p>
      <w:pPr>
        <w:ind w:left="660" w:right="1660" w:hanging="10"/>
        <w:spacing w:after="0" w:line="248" w:lineRule="auto"/>
        <w:tabs>
          <w:tab w:leader="none" w:pos="83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This Amendment may be executed in counterparts, and each counterpart will have the same force and effect as an original and will constitute an effective, binding agreement on the part of each of the undersigned.</w:t>
      </w:r>
    </w:p>
    <w:p>
      <w:pPr>
        <w:spacing w:after="0" w:line="1" w:lineRule="exact"/>
        <w:rPr>
          <w:rFonts w:ascii="Arial" w:cs="Arial" w:eastAsia="Arial" w:hAnsi="Arial"/>
          <w:sz w:val="17"/>
          <w:szCs w:val="17"/>
          <w:color w:val="auto"/>
        </w:rPr>
      </w:pPr>
    </w:p>
    <w:p>
      <w:pPr>
        <w:ind w:left="660" w:right="800" w:firstLine="259"/>
        <w:spacing w:after="0" w:line="248" w:lineRule="auto"/>
        <w:rPr>
          <w:rFonts w:ascii="Arial" w:cs="Arial" w:eastAsia="Arial" w:hAnsi="Arial"/>
          <w:sz w:val="17"/>
          <w:szCs w:val="17"/>
          <w:color w:val="auto"/>
        </w:rPr>
      </w:pPr>
      <w:r>
        <w:rPr>
          <w:rFonts w:ascii="Arial" w:cs="Arial" w:eastAsia="Arial" w:hAnsi="Arial"/>
          <w:sz w:val="17"/>
          <w:szCs w:val="17"/>
          <w:color w:val="auto"/>
        </w:rPr>
        <w:t>IN WITNESS WHEREOF, each of the parties has executed this Agreement, in the case of the Company by a duly authorized officer, as of the day and year written below.</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ALBANY INTERNATIONAL CORP.</w:t>
      </w:r>
    </w:p>
    <w:tbl>
      <w:tblPr>
        <w:tblLayout w:type="fixed"/>
        <w:tblInd w:w="0" w:type="dxa"/>
        <w:tblCellMar>
          <w:top w:w="0" w:type="dxa"/>
          <w:left w:w="0" w:type="dxa"/>
          <w:bottom w:w="0" w:type="dxa"/>
          <w:right w:w="0" w:type="dxa"/>
        </w:tblCellMar>
      </w:tblPr>
      <w:tr>
        <w:trPr>
          <w:trHeight w:val="187"/>
        </w:trPr>
        <w:tc>
          <w:tcPr>
            <w:tcW w:w="640" w:type="dxa"/>
            <w:vAlign w:val="bottom"/>
          </w:tcPr>
          <w:p>
            <w:pPr>
              <w:spacing w:after="0"/>
              <w:rPr>
                <w:sz w:val="16"/>
                <w:szCs w:val="16"/>
                <w:color w:val="auto"/>
              </w:rPr>
            </w:pPr>
          </w:p>
        </w:tc>
        <w:tc>
          <w:tcPr>
            <w:tcW w:w="374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By: /s/ John B. Cozzolino</w:t>
            </w:r>
          </w:p>
        </w:tc>
        <w:tc>
          <w:tcPr>
            <w:tcW w:w="40" w:type="dxa"/>
            <w:vAlign w:val="bottom"/>
          </w:tcPr>
          <w:p>
            <w:pPr>
              <w:spacing w:after="0"/>
              <w:rPr>
                <w:sz w:val="16"/>
                <w:szCs w:val="16"/>
                <w:color w:val="auto"/>
              </w:rPr>
            </w:pPr>
          </w:p>
        </w:tc>
        <w:tc>
          <w:tcPr>
            <w:tcW w:w="7000" w:type="dxa"/>
            <w:vAlign w:val="bottom"/>
          </w:tcPr>
          <w:p>
            <w:pPr>
              <w:ind w:left="1860"/>
              <w:spacing w:after="0" w:line="187" w:lineRule="exact"/>
              <w:rPr>
                <w:sz w:val="20"/>
                <w:szCs w:val="20"/>
                <w:color w:val="auto"/>
              </w:rPr>
            </w:pPr>
            <w:r>
              <w:rPr>
                <w:rFonts w:ascii="Arial" w:cs="Arial" w:eastAsia="Arial" w:hAnsi="Arial"/>
                <w:sz w:val="17"/>
                <w:szCs w:val="17"/>
                <w:color w:val="auto"/>
              </w:rPr>
              <w:t>Date: July 25, 2018</w:t>
            </w: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32"/>
        </w:trPr>
        <w:tc>
          <w:tcPr>
            <w:tcW w:w="64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Arial" w:cs="Arial" w:eastAsia="Arial" w:hAnsi="Arial"/>
                <w:sz w:val="17"/>
                <w:szCs w:val="17"/>
                <w:color w:val="auto"/>
              </w:rPr>
              <w:t>Name: John B. Cozzolino</w:t>
            </w:r>
          </w:p>
        </w:tc>
        <w:tc>
          <w:tcPr>
            <w:tcW w:w="4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203"/>
        </w:trPr>
        <w:tc>
          <w:tcPr>
            <w:tcW w:w="640" w:type="dxa"/>
            <w:vAlign w:val="bottom"/>
          </w:tcPr>
          <w:p>
            <w:pPr>
              <w:spacing w:after="0"/>
              <w:rPr>
                <w:sz w:val="17"/>
                <w:szCs w:val="17"/>
                <w:color w:val="auto"/>
              </w:rPr>
            </w:pPr>
          </w:p>
        </w:tc>
        <w:tc>
          <w:tcPr>
            <w:tcW w:w="3740" w:type="dxa"/>
            <w:vAlign w:val="bottom"/>
            <w:gridSpan w:val="2"/>
          </w:tcPr>
          <w:p>
            <w:pPr>
              <w:ind w:left="20"/>
              <w:spacing w:after="0"/>
              <w:rPr>
                <w:sz w:val="20"/>
                <w:szCs w:val="20"/>
                <w:color w:val="auto"/>
              </w:rPr>
            </w:pPr>
            <w:r>
              <w:rPr>
                <w:rFonts w:ascii="Arial" w:cs="Arial" w:eastAsia="Arial" w:hAnsi="Arial"/>
                <w:sz w:val="17"/>
                <w:szCs w:val="17"/>
                <w:color w:val="auto"/>
              </w:rPr>
              <w:t>Title: Chief Financial Officer and Treasurer</w:t>
            </w:r>
          </w:p>
        </w:tc>
        <w:tc>
          <w:tcPr>
            <w:tcW w:w="40" w:type="dxa"/>
            <w:vAlign w:val="bottom"/>
          </w:tcPr>
          <w:p>
            <w:pPr>
              <w:spacing w:after="0"/>
              <w:rPr>
                <w:sz w:val="17"/>
                <w:szCs w:val="17"/>
                <w:color w:val="auto"/>
              </w:rPr>
            </w:pPr>
          </w:p>
        </w:tc>
        <w:tc>
          <w:tcPr>
            <w:tcW w:w="70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740" w:type="dxa"/>
            <w:vAlign w:val="bottom"/>
            <w:gridSpan w:val="2"/>
          </w:tcPr>
          <w:p>
            <w:pPr>
              <w:ind w:left="20"/>
              <w:spacing w:after="0"/>
              <w:rPr>
                <w:sz w:val="20"/>
                <w:szCs w:val="20"/>
                <w:color w:val="auto"/>
              </w:rPr>
            </w:pPr>
            <w:r>
              <w:rPr>
                <w:rFonts w:ascii="Arial" w:cs="Arial" w:eastAsia="Arial" w:hAnsi="Arial"/>
                <w:sz w:val="17"/>
                <w:szCs w:val="17"/>
                <w:color w:val="auto"/>
              </w:rPr>
              <w:t>EXECUTIVE</w:t>
            </w:r>
          </w:p>
        </w:tc>
        <w:tc>
          <w:tcPr>
            <w:tcW w:w="40" w:type="dxa"/>
            <w:vAlign w:val="bottom"/>
          </w:tcPr>
          <w:p>
            <w:pPr>
              <w:spacing w:after="0"/>
              <w:rPr>
                <w:sz w:val="17"/>
                <w:szCs w:val="17"/>
                <w:color w:val="auto"/>
              </w:rPr>
            </w:pPr>
          </w:p>
        </w:tc>
        <w:tc>
          <w:tcPr>
            <w:tcW w:w="7000" w:type="dxa"/>
            <w:vAlign w:val="bottom"/>
          </w:tcPr>
          <w:p>
            <w:pPr>
              <w:spacing w:after="0"/>
              <w:rPr>
                <w:sz w:val="17"/>
                <w:szCs w:val="17"/>
                <w:color w:val="auto"/>
              </w:rPr>
            </w:pPr>
          </w:p>
        </w:tc>
      </w:tr>
      <w:tr>
        <w:trPr>
          <w:trHeight w:val="180"/>
        </w:trPr>
        <w:tc>
          <w:tcPr>
            <w:tcW w:w="640" w:type="dxa"/>
            <w:vAlign w:val="bottom"/>
          </w:tcPr>
          <w:p>
            <w:pPr>
              <w:spacing w:after="0"/>
              <w:rPr>
                <w:sz w:val="15"/>
                <w:szCs w:val="15"/>
                <w:color w:val="auto"/>
              </w:rPr>
            </w:pPr>
          </w:p>
        </w:tc>
        <w:tc>
          <w:tcPr>
            <w:tcW w:w="3740" w:type="dxa"/>
            <w:vAlign w:val="bottom"/>
            <w:tcBorders>
              <w:bottom w:val="single" w:sz="8" w:color="auto"/>
            </w:tcBorders>
            <w:gridSpan w:val="2"/>
          </w:tcPr>
          <w:p>
            <w:pPr>
              <w:ind w:left="20"/>
              <w:spacing w:after="0" w:line="180" w:lineRule="exact"/>
              <w:rPr>
                <w:sz w:val="20"/>
                <w:szCs w:val="20"/>
                <w:color w:val="auto"/>
              </w:rPr>
            </w:pPr>
            <w:r>
              <w:rPr>
                <w:rFonts w:ascii="Arial" w:cs="Arial" w:eastAsia="Arial" w:hAnsi="Arial"/>
                <w:sz w:val="17"/>
                <w:szCs w:val="17"/>
                <w:color w:val="auto"/>
              </w:rPr>
              <w:t>/s/ Olivier Jarrault</w:t>
            </w:r>
          </w:p>
        </w:tc>
        <w:tc>
          <w:tcPr>
            <w:tcW w:w="40" w:type="dxa"/>
            <w:vAlign w:val="bottom"/>
            <w:tcBorders>
              <w:bottom w:val="single" w:sz="8" w:color="auto"/>
            </w:tcBorders>
          </w:tcPr>
          <w:p>
            <w:pPr>
              <w:spacing w:after="0"/>
              <w:rPr>
                <w:sz w:val="15"/>
                <w:szCs w:val="15"/>
                <w:color w:val="auto"/>
              </w:rPr>
            </w:pPr>
          </w:p>
        </w:tc>
        <w:tc>
          <w:tcPr>
            <w:tcW w:w="7000" w:type="dxa"/>
            <w:vAlign w:val="bottom"/>
          </w:tcPr>
          <w:p>
            <w:pPr>
              <w:ind w:left="1860"/>
              <w:spacing w:after="0" w:line="180" w:lineRule="exact"/>
              <w:rPr>
                <w:sz w:val="20"/>
                <w:szCs w:val="20"/>
                <w:color w:val="auto"/>
              </w:rPr>
            </w:pPr>
            <w:r>
              <w:rPr>
                <w:rFonts w:ascii="Arial" w:cs="Arial" w:eastAsia="Arial" w:hAnsi="Arial"/>
                <w:sz w:val="17"/>
                <w:szCs w:val="17"/>
                <w:color w:val="auto"/>
              </w:rPr>
              <w:t>Date: July 25, 2018</w:t>
            </w:r>
          </w:p>
        </w:tc>
      </w:tr>
      <w:tr>
        <w:trPr>
          <w:trHeight w:val="233"/>
        </w:trPr>
        <w:tc>
          <w:tcPr>
            <w:tcW w:w="64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Arial" w:cs="Arial" w:eastAsia="Arial" w:hAnsi="Arial"/>
                <w:sz w:val="17"/>
                <w:szCs w:val="17"/>
                <w:color w:val="auto"/>
              </w:rPr>
              <w:t>Olivier Jarrault</w:t>
            </w:r>
          </w:p>
        </w:tc>
        <w:tc>
          <w:tcPr>
            <w:tcW w:w="4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625"/>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68"/>
        </w:trPr>
        <w:tc>
          <w:tcPr>
            <w:tcW w:w="6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34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70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81"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i w:val="1"/>
          <w:iCs w:val="1"/>
          <w:color w:val="auto"/>
        </w:rPr>
        <w:t>Exhibit 10(u)(ii)</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AMENDMENT NO. 2 to EMPLOYMENT AGREEMENT</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This AMENDMENT NO. 2, dated as of March 15, 2019 (the “Amendment”), is by and between Albany International Corp.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and Olivier Jarrault ("Executive").</w:t>
      </w:r>
    </w:p>
    <w:p>
      <w:pPr>
        <w:spacing w:after="0" w:line="9" w:lineRule="exact"/>
        <w:rPr>
          <w:sz w:val="20"/>
          <w:szCs w:val="20"/>
          <w:color w:val="auto"/>
        </w:rPr>
      </w:pPr>
    </w:p>
    <w:p>
      <w:pPr>
        <w:ind w:left="20" w:right="920" w:firstLine="818"/>
        <w:spacing w:after="0" w:line="250" w:lineRule="auto"/>
        <w:rPr>
          <w:sz w:val="20"/>
          <w:szCs w:val="20"/>
          <w:color w:val="auto"/>
        </w:rPr>
      </w:pPr>
      <w:r>
        <w:rPr>
          <w:rFonts w:ascii="Arial" w:cs="Arial" w:eastAsia="Arial" w:hAnsi="Arial"/>
          <w:sz w:val="18"/>
          <w:szCs w:val="18"/>
          <w:color w:val="auto"/>
        </w:rPr>
        <w:t>WHEREAS, the Company and Executive are parties to that certain Agreement entered into as of March 2, 2018, relating to Executive’s employment by the Company (the “Agreement”); and</w:t>
      </w:r>
    </w:p>
    <w:p>
      <w:pPr>
        <w:spacing w:after="0" w:line="1" w:lineRule="exact"/>
        <w:rPr>
          <w:sz w:val="20"/>
          <w:szCs w:val="20"/>
          <w:color w:val="auto"/>
        </w:rPr>
      </w:pPr>
    </w:p>
    <w:p>
      <w:pPr>
        <w:ind w:left="840" w:right="760"/>
        <w:spacing w:after="0" w:line="281" w:lineRule="auto"/>
        <w:rPr>
          <w:sz w:val="20"/>
          <w:szCs w:val="20"/>
          <w:color w:val="auto"/>
        </w:rPr>
      </w:pPr>
      <w:r>
        <w:rPr>
          <w:rFonts w:ascii="Arial" w:cs="Arial" w:eastAsia="Arial" w:hAnsi="Arial"/>
          <w:sz w:val="16"/>
          <w:szCs w:val="16"/>
          <w:color w:val="auto"/>
        </w:rPr>
        <w:t>WHEREAS, the Agreement was previously amended pursuant to that certain Amendment No.1, dated as of July 9, 2018; and WHEREAS, the Company and Executive desire to further amend the Agreement to extend the time by which Executive is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to relocate;</w:t>
      </w:r>
    </w:p>
    <w:p>
      <w:pPr>
        <w:spacing w:after="0" w:line="9" w:lineRule="exact"/>
        <w:rPr>
          <w:sz w:val="20"/>
          <w:szCs w:val="20"/>
          <w:color w:val="auto"/>
        </w:rPr>
      </w:pPr>
    </w:p>
    <w:p>
      <w:pPr>
        <w:ind w:left="20" w:right="660" w:firstLine="818"/>
        <w:spacing w:after="0" w:line="250" w:lineRule="auto"/>
        <w:rPr>
          <w:sz w:val="20"/>
          <w:szCs w:val="20"/>
          <w:color w:val="auto"/>
        </w:rPr>
      </w:pPr>
      <w:r>
        <w:rPr>
          <w:rFonts w:ascii="Arial" w:cs="Arial" w:eastAsia="Arial" w:hAnsi="Arial"/>
          <w:sz w:val="18"/>
          <w:szCs w:val="18"/>
          <w:color w:val="auto"/>
        </w:rPr>
        <w:t>NOW THEREFORE, in consideration of the premises, the mutual covenants and the agreements hereinafter set forth and other good and valuable consideration, the parties hereto hereby agree that the Agreement is hereby amended as follows, with effect from the Effective Date (as defined in the Agreement):</w:t>
      </w:r>
    </w:p>
    <w:p>
      <w:pPr>
        <w:spacing w:after="0" w:line="1" w:lineRule="exact"/>
        <w:rPr>
          <w:sz w:val="20"/>
          <w:szCs w:val="20"/>
          <w:color w:val="auto"/>
        </w:rPr>
      </w:pPr>
    </w:p>
    <w:p>
      <w:pPr>
        <w:ind w:left="200" w:hanging="179"/>
        <w:spacing w:after="0"/>
        <w:tabs>
          <w:tab w:leader="none" w:pos="200"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terms defined in the Agreement are used herein as therein defined.</w:t>
      </w:r>
    </w:p>
    <w:p>
      <w:pPr>
        <w:spacing w:after="0" w:line="210" w:lineRule="exact"/>
        <w:rPr>
          <w:rFonts w:ascii="Arial" w:cs="Arial" w:eastAsia="Arial" w:hAnsi="Arial"/>
          <w:sz w:val="18"/>
          <w:szCs w:val="18"/>
          <w:color w:val="auto"/>
        </w:rPr>
      </w:pPr>
    </w:p>
    <w:p>
      <w:pPr>
        <w:ind w:left="180" w:hanging="170"/>
        <w:spacing w:after="0"/>
        <w:tabs>
          <w:tab w:leader="none" w:pos="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Clause (e) of paragraph 3 of the Agreement is hereby amended and restated in its entirety to read as follows:</w:t>
      </w:r>
    </w:p>
    <w:p>
      <w:pPr>
        <w:spacing w:after="0" w:line="23" w:lineRule="exact"/>
        <w:rPr>
          <w:rFonts w:ascii="Arial" w:cs="Arial" w:eastAsia="Arial" w:hAnsi="Arial"/>
          <w:sz w:val="18"/>
          <w:szCs w:val="18"/>
          <w:color w:val="auto"/>
        </w:rPr>
      </w:pPr>
    </w:p>
    <w:p>
      <w:pPr>
        <w:ind w:left="420" w:right="1040" w:firstLine="555"/>
        <w:spacing w:after="0" w:line="290" w:lineRule="auto"/>
        <w:tabs>
          <w:tab w:leader="none" w:pos="1210" w:val="left"/>
        </w:tabs>
        <w:numPr>
          <w:ilvl w:val="3"/>
          <w:numId w:val="158"/>
        </w:numPr>
        <w:rPr>
          <w:rFonts w:ascii="Arial" w:cs="Arial" w:eastAsia="Arial" w:hAnsi="Arial"/>
          <w:sz w:val="16"/>
          <w:szCs w:val="16"/>
          <w:color w:val="auto"/>
        </w:rPr>
      </w:pPr>
      <w:r>
        <w:rPr>
          <w:rFonts w:ascii="Arial" w:cs="Arial" w:eastAsia="Arial" w:hAnsi="Arial"/>
          <w:sz w:val="16"/>
          <w:szCs w:val="16"/>
          <w:color w:val="auto"/>
        </w:rPr>
        <w:t>Relocation. Executive shall relocate to Rochester, New Hampshire area no later than December 31, 2019. In the interim, Executive shall be reimbursed for temporary housing expenses and shall be entitled to such other relocation benefits as</w:t>
      </w:r>
    </w:p>
    <w:p>
      <w:pPr>
        <w:spacing w:after="0" w:line="1" w:lineRule="exact"/>
        <w:rPr>
          <w:rFonts w:ascii="Arial" w:cs="Arial" w:eastAsia="Arial" w:hAnsi="Arial"/>
          <w:sz w:val="16"/>
          <w:szCs w:val="16"/>
          <w:color w:val="auto"/>
        </w:rPr>
      </w:pPr>
    </w:p>
    <w:p>
      <w:pPr>
        <w:ind w:left="420" w:right="1620" w:firstLine="9"/>
        <w:spacing w:after="0" w:line="250" w:lineRule="auto"/>
        <w:tabs>
          <w:tab w:leader="none" w:pos="635"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are provided for pursuant to the Company's Executive Relocation Policy, a copy of which has been provided to the Executive, with the caveat that neither the one-year policy expiration nor 90-day temporary housing limit shall apply to Executive, or</w:t>
      </w:r>
    </w:p>
    <w:p>
      <w:pPr>
        <w:spacing w:after="0" w:line="1" w:lineRule="exact"/>
        <w:rPr>
          <w:rFonts w:ascii="Arial" w:cs="Arial" w:eastAsia="Arial" w:hAnsi="Arial"/>
          <w:sz w:val="18"/>
          <w:szCs w:val="18"/>
          <w:color w:val="auto"/>
        </w:rPr>
      </w:pPr>
    </w:p>
    <w:p>
      <w:pPr>
        <w:ind w:left="420" w:right="1160" w:firstLine="9"/>
        <w:spacing w:after="0" w:line="269" w:lineRule="auto"/>
        <w:tabs>
          <w:tab w:leader="none" w:pos="685" w:val="left"/>
        </w:tabs>
        <w:numPr>
          <w:ilvl w:val="2"/>
          <w:numId w:val="158"/>
        </w:numPr>
        <w:rPr>
          <w:rFonts w:ascii="Arial" w:cs="Arial" w:eastAsia="Arial" w:hAnsi="Arial"/>
          <w:sz w:val="17"/>
          <w:szCs w:val="17"/>
          <w:color w:val="auto"/>
        </w:rPr>
      </w:pPr>
      <w:r>
        <w:rPr>
          <w:rFonts w:ascii="Arial" w:cs="Arial" w:eastAsia="Arial" w:hAnsi="Arial"/>
          <w:sz w:val="17"/>
          <w:szCs w:val="17"/>
          <w:color w:val="auto"/>
        </w:rPr>
        <w:t>are approved by the Chairman of the Board of the Company. Provided such expenses are incurred in compliance with the Company’s travel and expense policy, or have otherwise been approved by the Chairman, the Company will pay or reimburse Executive for all flight expenses incurred prior to December 31, 2019 for travel from any Company work location to Los Angeles, California, travel from Los Angeles, California to any Company work location, and travel from any Company work location to any other Company work location through Los Angeles, California. (Evidence of approval of any item covered by this clause may be in the form of an expense or relocation report reflecting such expenses that is approved by the Chairman.) The Company will provide tax assistance (gross-up) to Executive on all</w:t>
      </w:r>
    </w:p>
    <w:p>
      <w:pPr>
        <w:spacing w:after="0" w:line="39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Page 1 of </w:t>
      </w:r>
      <w:r>
        <w:rPr>
          <w:rFonts w:ascii="Arial" w:cs="Arial" w:eastAsia="Arial" w:hAnsi="Arial"/>
          <w:sz w:val="18"/>
          <w:szCs w:val="18"/>
          <w:b w:val="1"/>
          <w:bCs w:val="1"/>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340995</wp:posOffset>
            </wp:positionV>
            <wp:extent cx="7246620" cy="431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640"/>
          </w:cols>
          <w:pgMar w:left="900" w:top="585" w:right="359" w:bottom="1440" w:gutter="0" w:footer="0" w:header="0"/>
        </w:sectPr>
      </w:pPr>
    </w:p>
    <w:bookmarkStart w:id="174" w:name="page175"/>
    <w:bookmarkEnd w:id="174"/>
    <w:p>
      <w:pPr>
        <w:ind w:left="400" w:right="240"/>
        <w:spacing w:after="0" w:line="258" w:lineRule="auto"/>
        <w:rPr>
          <w:sz w:val="20"/>
          <w:szCs w:val="20"/>
          <w:color w:val="auto"/>
        </w:rPr>
      </w:pPr>
      <w:r>
        <w:rPr>
          <w:rFonts w:ascii="Arial" w:cs="Arial" w:eastAsia="Arial" w:hAnsi="Arial"/>
          <w:sz w:val="18"/>
          <w:szCs w:val="18"/>
          <w:color w:val="auto"/>
        </w:rPr>
        <w:t>such expenses for travel to, from, or through Los Angeles, California that are personal to Executive or will appear as income on Executive's Form W-2.</w:t>
      </w:r>
    </w:p>
    <w:p>
      <w:pPr>
        <w:spacing w:after="0" w:line="1" w:lineRule="exact"/>
        <w:rPr>
          <w:sz w:val="20"/>
          <w:szCs w:val="20"/>
          <w:color w:val="auto"/>
        </w:rPr>
      </w:pPr>
    </w:p>
    <w:p>
      <w:pPr>
        <w:ind w:right="40" w:firstLine="1"/>
        <w:spacing w:after="0" w:line="265" w:lineRule="auto"/>
        <w:tabs>
          <w:tab w:leader="none" w:pos="1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Except as expressly amended, modified and supplemented hereby, or as in Amendment No. 1, the terms, provisions and conditions of the Agreement are unchanged and in full force and effect and are hereby ratified and confirmed in all respects.</w:t>
      </w:r>
    </w:p>
    <w:p>
      <w:pPr>
        <w:ind w:right="240" w:firstLine="1"/>
        <w:spacing w:after="0" w:line="250" w:lineRule="auto"/>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Amendment may be executed in counterparts, and each counterpart will have the same force and effect as an original and will constitute an effective, binding agreement on the part of each of the undersigned.</w:t>
      </w:r>
    </w:p>
    <w:p>
      <w:pPr>
        <w:ind w:firstLine="273"/>
        <w:spacing w:after="0" w:line="250" w:lineRule="auto"/>
        <w:rPr>
          <w:rFonts w:ascii="Arial" w:cs="Arial" w:eastAsia="Arial" w:hAnsi="Arial"/>
          <w:sz w:val="18"/>
          <w:szCs w:val="18"/>
          <w:color w:val="auto"/>
        </w:rPr>
      </w:pPr>
      <w:r>
        <w:rPr>
          <w:rFonts w:ascii="Arial" w:cs="Arial" w:eastAsia="Arial" w:hAnsi="Arial"/>
          <w:sz w:val="18"/>
          <w:szCs w:val="18"/>
          <w:color w:val="auto"/>
        </w:rPr>
        <w:t>IN WITNESS WHEREOF, each of the parties has executed this Agreement, in the case of the Company by a duly authorized officer, as of the day and year written below.</w:t>
      </w:r>
    </w:p>
    <w:p>
      <w:pPr>
        <w:spacing w:after="0"/>
        <w:rPr>
          <w:rFonts w:ascii="Arial" w:cs="Arial" w:eastAsia="Arial" w:hAnsi="Arial"/>
          <w:sz w:val="18"/>
          <w:szCs w:val="18"/>
          <w:color w:val="auto"/>
        </w:rPr>
      </w:pPr>
      <w:r>
        <w:rPr>
          <w:rFonts w:ascii="Arial" w:cs="Arial" w:eastAsia="Arial" w:hAnsi="Arial"/>
          <w:sz w:val="18"/>
          <w:szCs w:val="18"/>
          <w:color w:val="auto"/>
        </w:rPr>
        <w:t>COMPANY: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ALBANY INTERNATIONAL CORP.</w:t>
      </w:r>
    </w:p>
    <w:tbl>
      <w:tblPr>
        <w:tblLayout w:type="fixed"/>
        <w:tblInd w:w="0" w:type="dxa"/>
        <w:tblCellMar>
          <w:top w:w="0" w:type="dxa"/>
          <w:left w:w="0" w:type="dxa"/>
          <w:bottom w:w="0" w:type="dxa"/>
          <w:right w:w="0" w:type="dxa"/>
        </w:tblCellMar>
      </w:tblPr>
      <w:tr>
        <w:trPr>
          <w:trHeight w:val="198"/>
        </w:trPr>
        <w:tc>
          <w:tcPr>
            <w:tcW w:w="300" w:type="dxa"/>
            <w:vAlign w:val="bottom"/>
          </w:tcPr>
          <w:p>
            <w:pPr>
              <w:spacing w:after="0" w:line="198" w:lineRule="exact"/>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360"/>
              <w:spacing w:after="0" w:line="198" w:lineRule="exact"/>
              <w:rPr>
                <w:sz w:val="20"/>
                <w:szCs w:val="20"/>
                <w:color w:val="auto"/>
              </w:rPr>
            </w:pPr>
            <w:r>
              <w:rPr>
                <w:rFonts w:ascii="Arial" w:cs="Arial" w:eastAsia="Arial" w:hAnsi="Arial"/>
                <w:sz w:val="18"/>
                <w:szCs w:val="18"/>
                <w:color w:val="auto"/>
              </w:rPr>
              <w:t>/s/Charles J. Silva, Jr</w:t>
            </w:r>
          </w:p>
        </w:tc>
        <w:tc>
          <w:tcPr>
            <w:tcW w:w="20" w:type="dxa"/>
            <w:vAlign w:val="bottom"/>
          </w:tcPr>
          <w:p>
            <w:pPr>
              <w:spacing w:after="0"/>
              <w:rPr>
                <w:sz w:val="17"/>
                <w:szCs w:val="17"/>
                <w:color w:val="auto"/>
              </w:rPr>
            </w:pPr>
          </w:p>
        </w:tc>
        <w:tc>
          <w:tcPr>
            <w:tcW w:w="3260" w:type="dxa"/>
            <w:vAlign w:val="bottom"/>
          </w:tcPr>
          <w:p>
            <w:pPr>
              <w:ind w:left="1780"/>
              <w:spacing w:after="0" w:line="198" w:lineRule="exact"/>
              <w:rPr>
                <w:sz w:val="20"/>
                <w:szCs w:val="20"/>
                <w:color w:val="auto"/>
              </w:rPr>
            </w:pPr>
            <w:r>
              <w:rPr>
                <w:rFonts w:ascii="Arial" w:cs="Arial" w:eastAsia="Arial" w:hAnsi="Arial"/>
                <w:sz w:val="18"/>
                <w:szCs w:val="18"/>
                <w:color w:val="auto"/>
                <w:w w:val="89"/>
              </w:rPr>
              <w:t>Date: March 8, 2019</w:t>
            </w:r>
          </w:p>
        </w:tc>
      </w:tr>
      <w:tr>
        <w:trPr>
          <w:trHeight w:val="249"/>
        </w:trPr>
        <w:tc>
          <w:tcPr>
            <w:tcW w:w="4160" w:type="dxa"/>
            <w:vAlign w:val="bottom"/>
            <w:gridSpan w:val="2"/>
          </w:tcPr>
          <w:p>
            <w:pPr>
              <w:spacing w:after="0"/>
              <w:rPr>
                <w:sz w:val="20"/>
                <w:szCs w:val="20"/>
                <w:color w:val="auto"/>
              </w:rPr>
            </w:pPr>
            <w:r>
              <w:rPr>
                <w:rFonts w:ascii="Arial" w:cs="Arial" w:eastAsia="Arial" w:hAnsi="Arial"/>
                <w:sz w:val="18"/>
                <w:szCs w:val="18"/>
                <w:color w:val="auto"/>
              </w:rPr>
              <w:t>Name: Charles J. Silva, Jr</w:t>
            </w:r>
          </w:p>
        </w:tc>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w w:val="98"/>
              </w:rPr>
              <w:t>Title: Vice President, General Counsel and Secretary</w:t>
            </w: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190"/>
        </w:trPr>
        <w:tc>
          <w:tcPr>
            <w:tcW w:w="41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rPr>
              <w:t>/s/ Olivier Jarrault</w:t>
            </w:r>
          </w:p>
        </w:tc>
        <w:tc>
          <w:tcPr>
            <w:tcW w:w="20" w:type="dxa"/>
            <w:vAlign w:val="bottom"/>
            <w:tcBorders>
              <w:bottom w:val="single" w:sz="8" w:color="auto"/>
            </w:tcBorders>
          </w:tcPr>
          <w:p>
            <w:pPr>
              <w:spacing w:after="0"/>
              <w:rPr>
                <w:sz w:val="16"/>
                <w:szCs w:val="16"/>
                <w:color w:val="auto"/>
              </w:rPr>
            </w:pPr>
          </w:p>
        </w:tc>
        <w:tc>
          <w:tcPr>
            <w:tcW w:w="3260" w:type="dxa"/>
            <w:vAlign w:val="bottom"/>
          </w:tcPr>
          <w:p>
            <w:pPr>
              <w:ind w:left="1780"/>
              <w:spacing w:after="0" w:line="190" w:lineRule="exact"/>
              <w:rPr>
                <w:sz w:val="20"/>
                <w:szCs w:val="20"/>
                <w:color w:val="auto"/>
              </w:rPr>
            </w:pPr>
            <w:r>
              <w:rPr>
                <w:rFonts w:ascii="Arial" w:cs="Arial" w:eastAsia="Arial" w:hAnsi="Arial"/>
                <w:sz w:val="18"/>
                <w:szCs w:val="18"/>
                <w:color w:val="auto"/>
                <w:w w:val="89"/>
              </w:rPr>
              <w:t>Date: March 8, 2019</w:t>
            </w:r>
          </w:p>
        </w:tc>
      </w:tr>
      <w:tr>
        <w:trPr>
          <w:trHeight w:val="250"/>
        </w:trPr>
        <w:tc>
          <w:tcPr>
            <w:tcW w:w="4160" w:type="dxa"/>
            <w:vAlign w:val="bottom"/>
            <w:gridSpan w:val="2"/>
          </w:tcPr>
          <w:p>
            <w:pPr>
              <w:spacing w:after="0"/>
              <w:rPr>
                <w:sz w:val="20"/>
                <w:szCs w:val="20"/>
                <w:color w:val="auto"/>
              </w:rPr>
            </w:pPr>
            <w:r>
              <w:rPr>
                <w:rFonts w:ascii="Arial" w:cs="Arial" w:eastAsia="Arial" w:hAnsi="Arial"/>
                <w:sz w:val="18"/>
                <w:szCs w:val="18"/>
                <w:color w:val="auto"/>
              </w:rPr>
              <w:t>Olivier Jarrault</w:t>
            </w:r>
          </w:p>
        </w:tc>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xml:space="preserve">Page 2 of </w:t>
      </w:r>
      <w:r>
        <w:rPr>
          <w:rFonts w:ascii="Arial" w:cs="Arial" w:eastAsia="Arial" w:hAnsi="Arial"/>
          <w:sz w:val="18"/>
          <w:szCs w:val="18"/>
          <w:b w:val="1"/>
          <w:bCs w:val="1"/>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340995</wp:posOffset>
            </wp:positionV>
            <wp:extent cx="7246620" cy="43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840"/>
          </w:cols>
          <w:pgMar w:left="920" w:top="585" w:right="11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b w:val="1"/>
          <w:bCs w:val="1"/>
          <w:i w:val="1"/>
          <w:iCs w:val="1"/>
          <w:color w:val="auto"/>
        </w:rPr>
        <w:t>Exhibit 10(u)(vii)</w:t>
      </w:r>
    </w:p>
    <w:p>
      <w:pPr>
        <w:spacing w:after="0" w:line="9"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EMPLOYMENT AGREEMENT</w:t>
      </w:r>
    </w:p>
    <w:p>
      <w:pPr>
        <w:spacing w:after="0" w:line="215" w:lineRule="exact"/>
        <w:rPr>
          <w:sz w:val="20"/>
          <w:szCs w:val="20"/>
          <w:color w:val="auto"/>
        </w:rPr>
      </w:pPr>
    </w:p>
    <w:p>
      <w:pPr>
        <w:ind w:left="4" w:right="1380" w:firstLine="648"/>
        <w:spacing w:after="0" w:line="251" w:lineRule="auto"/>
        <w:rPr>
          <w:sz w:val="20"/>
          <w:szCs w:val="20"/>
          <w:color w:val="auto"/>
        </w:rPr>
      </w:pPr>
      <w:r>
        <w:rPr>
          <w:rFonts w:ascii="Arial" w:cs="Arial" w:eastAsia="Arial" w:hAnsi="Arial"/>
          <w:sz w:val="22"/>
          <w:szCs w:val="22"/>
          <w:color w:val="auto"/>
        </w:rPr>
        <w:t>This Agreement is entered into as of January 21, 2020 (the “Effective Date”) by and between Albany International Corp. (the "Company") and A. William Higgins ("Executive").</w:t>
      </w:r>
    </w:p>
    <w:p>
      <w:pPr>
        <w:spacing w:after="0" w:line="200" w:lineRule="exact"/>
        <w:rPr>
          <w:sz w:val="20"/>
          <w:szCs w:val="20"/>
          <w:color w:val="auto"/>
        </w:rPr>
      </w:pPr>
    </w:p>
    <w:p>
      <w:pPr>
        <w:ind w:left="644" w:hanging="644"/>
        <w:spacing w:after="0"/>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Duties and Scope of Employment</w:t>
      </w:r>
      <w:r>
        <w:rPr>
          <w:rFonts w:ascii="Arial" w:cs="Arial" w:eastAsia="Arial" w:hAnsi="Arial"/>
          <w:sz w:val="22"/>
          <w:szCs w:val="22"/>
          <w:color w:val="auto"/>
        </w:rPr>
        <w:t>.</w:t>
      </w:r>
    </w:p>
    <w:p>
      <w:pPr>
        <w:spacing w:after="0" w:line="233" w:lineRule="exact"/>
        <w:rPr>
          <w:sz w:val="20"/>
          <w:szCs w:val="20"/>
          <w:color w:val="auto"/>
        </w:rPr>
      </w:pPr>
    </w:p>
    <w:p>
      <w:pPr>
        <w:ind w:left="4" w:right="740" w:hanging="4"/>
        <w:spacing w:after="0" w:line="247" w:lineRule="auto"/>
        <w:tabs>
          <w:tab w:leader="none" w:pos="298" w:val="left"/>
        </w:tabs>
        <w:numPr>
          <w:ilvl w:val="0"/>
          <w:numId w:val="161"/>
        </w:numPr>
        <w:rPr>
          <w:rFonts w:ascii="Arial" w:cs="Arial" w:eastAsia="Arial" w:hAnsi="Arial"/>
          <w:sz w:val="21"/>
          <w:szCs w:val="21"/>
          <w:color w:val="auto"/>
        </w:rPr>
      </w:pPr>
      <w:r>
        <w:rPr>
          <w:rFonts w:ascii="Arial" w:cs="Arial" w:eastAsia="Arial" w:hAnsi="Arial"/>
          <w:sz w:val="21"/>
          <w:szCs w:val="21"/>
          <w:color w:val="auto"/>
        </w:rPr>
        <w:t>Positions and Duties. Commencing on the Effective Date, Executive will serve as President and Chief Executive Officer of the Company, reporting to the Company's Board of Directors (the "Board"). The period during which Executive is employed by the Company under this Agreement is referred to herein as the "Employment Term." During the Employment Term, Executive will render such business and professional services in the performance of his duties, consistent with Executive's position within the Company, as may be assigned to him by the Board. Executive shall be based at the Company's headquarters in Rochester, New Hampshire, or such other place, as may be reasonably requested by the Company.</w:t>
      </w:r>
    </w:p>
    <w:p>
      <w:pPr>
        <w:spacing w:after="0" w:line="205" w:lineRule="exact"/>
        <w:rPr>
          <w:sz w:val="20"/>
          <w:szCs w:val="20"/>
          <w:color w:val="auto"/>
        </w:rPr>
      </w:pPr>
    </w:p>
    <w:p>
      <w:pPr>
        <w:ind w:left="4" w:right="740"/>
        <w:spacing w:after="0" w:line="274" w:lineRule="auto"/>
        <w:rPr>
          <w:sz w:val="20"/>
          <w:szCs w:val="20"/>
          <w:color w:val="auto"/>
        </w:rPr>
      </w:pPr>
      <w:r>
        <w:rPr>
          <w:rFonts w:ascii="Arial" w:cs="Arial" w:eastAsia="Arial" w:hAnsi="Arial"/>
          <w:sz w:val="21"/>
          <w:szCs w:val="21"/>
          <w:color w:val="auto"/>
        </w:rPr>
        <w:t>Executive shall continue to be nominated for election to the Board such that his nomination shall be voted on by the shareholders of the Company at annual shareholder’s meetings during the Employment Term.</w:t>
      </w:r>
    </w:p>
    <w:p>
      <w:pPr>
        <w:spacing w:after="0" w:line="178" w:lineRule="exact"/>
        <w:rPr>
          <w:sz w:val="20"/>
          <w:szCs w:val="20"/>
          <w:color w:val="auto"/>
        </w:rPr>
      </w:pPr>
    </w:p>
    <w:p>
      <w:pPr>
        <w:ind w:left="4" w:right="620" w:hanging="4"/>
        <w:spacing w:after="0" w:line="277" w:lineRule="auto"/>
        <w:tabs>
          <w:tab w:leader="none" w:pos="31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Obligations. During the Employment Term, Executive will devote Executive's full business efforts to the Company and will use good faith efforts to discharge Executive's obligations under this Agreement to the best of Executive's ability. For the duration of the Employment Term, Executive agrees not to serve as a director for any for-profit entity or organization or actively engage in any employment, occupation, or consulting activity, without the prior approval of the Board, in its sole discretion; provided, however, that Executive may, without the approval of the Board, (i) serve in any capacity with any civic, educational, or charitable organization and (ii) manage his personal investments; in each case, provided such services do not interfere with Executive's obligations to the Company.</w:t>
      </w:r>
    </w:p>
    <w:p>
      <w:pPr>
        <w:spacing w:after="0" w:line="180" w:lineRule="exact"/>
        <w:rPr>
          <w:sz w:val="20"/>
          <w:szCs w:val="20"/>
          <w:color w:val="auto"/>
        </w:rPr>
      </w:pPr>
    </w:p>
    <w:p>
      <w:pPr>
        <w:ind w:left="4" w:right="760" w:hanging="4"/>
        <w:spacing w:after="0" w:line="236" w:lineRule="auto"/>
        <w:tabs>
          <w:tab w:leader="none" w:pos="652"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Term of Agreement; At-Will Employment</w:t>
      </w:r>
      <w:r>
        <w:rPr>
          <w:rFonts w:ascii="Arial" w:cs="Arial" w:eastAsia="Arial" w:hAnsi="Arial"/>
          <w:sz w:val="22"/>
          <w:szCs w:val="22"/>
          <w:color w:val="auto"/>
        </w:rPr>
        <w:t>. Executive and the Company agree that Executive's employment with the Company constitutes "at-will" employment. Executive and the Company acknowledge that, subject to the provisions of Sections 5 and 6 of this Agreement, Executive's employment relationship with the Company may be terminated at any time, upon written notice to the other party, with or without good cause, at the option either of the Company or Executive.</w:t>
      </w:r>
    </w:p>
    <w:p>
      <w:pPr>
        <w:spacing w:after="0" w:line="214" w:lineRule="exact"/>
        <w:rPr>
          <w:rFonts w:ascii="Arial" w:cs="Arial" w:eastAsia="Arial" w:hAnsi="Arial"/>
          <w:sz w:val="22"/>
          <w:szCs w:val="22"/>
          <w:color w:val="auto"/>
        </w:rPr>
      </w:pPr>
    </w:p>
    <w:p>
      <w:pPr>
        <w:ind w:left="644" w:hanging="644"/>
        <w:spacing w:after="0"/>
        <w:tabs>
          <w:tab w:leader="none" w:pos="644"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33" w:lineRule="exact"/>
        <w:rPr>
          <w:sz w:val="20"/>
          <w:szCs w:val="20"/>
          <w:color w:val="auto"/>
        </w:rPr>
      </w:pPr>
    </w:p>
    <w:p>
      <w:pPr>
        <w:jc w:val="both"/>
        <w:ind w:left="4" w:right="720" w:hanging="4"/>
        <w:spacing w:after="0" w:line="238" w:lineRule="auto"/>
        <w:tabs>
          <w:tab w:leader="none" w:pos="29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Base Salary. Commencing on the Effective Date, the Company will pay Executive an annual salary of $850,000 as compensation for his services (such annual salary, as is then effective, to be referred to herein as "Base Salary"). The Base Salary will be paid periodically in accordance with the Company's normal payroll practices and be subject to standard and customary withholdings.</w:t>
      </w:r>
    </w:p>
    <w:p>
      <w:pPr>
        <w:spacing w:after="0" w:line="158"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4"/>
          </w:cols>
          <w:pgMar w:left="896" w:top="118" w:right="239" w:bottom="1440" w:gutter="0" w:footer="0" w:header="0"/>
        </w:sectPr>
      </w:pPr>
    </w:p>
    <w:bookmarkStart w:id="176" w:name="page177"/>
    <w:bookmarkEnd w:id="176"/>
    <w:p>
      <w:pPr>
        <w:ind w:left="4" w:right="200"/>
        <w:spacing w:after="0" w:line="328" w:lineRule="auto"/>
        <w:rPr>
          <w:sz w:val="20"/>
          <w:szCs w:val="20"/>
          <w:color w:val="auto"/>
        </w:rPr>
      </w:pPr>
      <w:r>
        <w:rPr>
          <w:rFonts w:ascii="Arial" w:cs="Arial" w:eastAsia="Arial" w:hAnsi="Arial"/>
          <w:sz w:val="19"/>
          <w:szCs w:val="19"/>
          <w:color w:val="auto"/>
        </w:rPr>
        <w:t>Executive's salary will be subject to review by the Compensation Committee of the Board, or any successor thereto (the "Committee"), at least annually, and adjustments will be made in the discretion of the Committee.</w:t>
      </w:r>
    </w:p>
    <w:p>
      <w:pPr>
        <w:spacing w:after="0" w:line="132" w:lineRule="exact"/>
        <w:rPr>
          <w:sz w:val="20"/>
          <w:szCs w:val="20"/>
          <w:color w:val="auto"/>
        </w:rPr>
      </w:pPr>
    </w:p>
    <w:p>
      <w:pPr>
        <w:ind w:left="4" w:right="20" w:hanging="4"/>
        <w:spacing w:after="0" w:line="271" w:lineRule="auto"/>
        <w:tabs>
          <w:tab w:leader="none" w:pos="31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Annual Bonus. Executive will be granted an Annual Performance Period (“APP”) award for service performed in 2020 under the Company's 2017 Incentive Plan, to be determined and paid in cash during early 2021. Under this award, Executive will be entitled to receive between 0% and 200% of his target award, based on performance goal attainment during 2020. Executive’s 2020 APP target award amount will be equal to 100% of his 2020 Base Salary, pro-rated for the portion of the year during which he is actually employed. (For example, should the Effective Date be February 1, 2020, the target amount would be $850,000 x 11/12, or $779,166.61). The Compensation Committee of the Company's Board of Directors shall determine the performance measurement metric for the 2020 APP award goal for senior management, including Executive, at its normal quarterly meeting in February 2020. The Committee retains the right to exercise its discretion, after the end of 2020, as in prior years, to determine to what extent the APP awards Executive and the other executive officers have been earned, and reserves the right to take individual performance factors into account, and to employ subjective and objective criteria. The pertinent terms of this award shall be as specified in the 2020 Annual Performance Award Agreement). Executive will be eligible in 2021 and thereafter to participate in the 2021 APP award or any other annual executive bonus program, as the same may be adopted, amended, modified or terminated by the Company, in accordance with its terms. Target bonuses in future periods will be at the discretion of the Compensation Committee.</w:t>
      </w:r>
    </w:p>
    <w:p>
      <w:pPr>
        <w:spacing w:after="0" w:line="188" w:lineRule="exact"/>
        <w:rPr>
          <w:rFonts w:ascii="Arial" w:cs="Arial" w:eastAsia="Arial" w:hAnsi="Arial"/>
          <w:sz w:val="19"/>
          <w:szCs w:val="19"/>
          <w:color w:val="auto"/>
        </w:rPr>
      </w:pPr>
    </w:p>
    <w:p>
      <w:pPr>
        <w:ind w:left="4" w:hanging="4"/>
        <w:spacing w:after="0" w:line="271" w:lineRule="auto"/>
        <w:tabs>
          <w:tab w:leader="none" w:pos="29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Long Term Incentive. Executive will be granted a Multi-year Performance Period (“MPP”) award for service performed in 2020, 2011 and 2022 under the Company's 2017 Incentive Plan, to be determined and paid in equity during early 2023. Under this award, Executive will be entitled to receive between 0% and 200% of his target award, based on performance goal attainment during the three year performance period. Executive’s 2020 MPP target award will be a share amount with a grant date value equal to 200% of his actual 2020 Base Salary, pro-rated for the portion of the performance period during which he is actually employed. The Compensation Committee of the Company's Board of Directors shall determine the performance measurement metric for the 2020 MPP award goal for senior management, including Executive, at its normal quarterly meeting in February 2020. The Committee retains the right to exercise its discretion, after the end of 2022, as in prior years, to determine to what extent the MPP awards Executive and the other executive officers have been earned, and reserves the right to take individual performance factors into account, and to employ subjective and objective criteria. The other pertinent terms of this award shall be as specified in the 2020 Multi-year Performance Award Agreement. Executive will be eligible in 2021 thereafter to participate in the 2021 MPP award or any other long term executive bonus program, as the same may be adopted, amended, modified or terminated by the Company, in accordance with its terms. Target bonuses in future periods will be at the discretion of the Compensation Committee.</w:t>
      </w:r>
    </w:p>
    <w:p>
      <w:pPr>
        <w:spacing w:after="0" w:line="189" w:lineRule="exact"/>
        <w:rPr>
          <w:sz w:val="20"/>
          <w:szCs w:val="20"/>
          <w:color w:val="auto"/>
        </w:rPr>
      </w:pPr>
    </w:p>
    <w:p>
      <w:pPr>
        <w:ind w:left="4" w:right="440" w:hanging="4"/>
        <w:spacing w:after="0" w:line="251" w:lineRule="auto"/>
        <w:tabs>
          <w:tab w:leader="none" w:pos="652"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Employee Benefits and Policies</w:t>
      </w:r>
      <w:r>
        <w:rPr>
          <w:rFonts w:ascii="Arial" w:cs="Arial" w:eastAsia="Arial" w:hAnsi="Arial"/>
          <w:sz w:val="22"/>
          <w:szCs w:val="22"/>
          <w:color w:val="auto"/>
        </w:rPr>
        <w:t>. Executive will be entitled to four weeks of vacation with pay during the remainder of 2020, and thereafter will be entitled to four weeks of vacation per</w:t>
      </w:r>
    </w:p>
    <w:p>
      <w:pPr>
        <w:spacing w:after="0" w:line="146" w:lineRule="exact"/>
        <w:rPr>
          <w:sz w:val="20"/>
          <w:szCs w:val="20"/>
          <w:color w:val="auto"/>
        </w:rPr>
      </w:pPr>
    </w:p>
    <w:p>
      <w:pPr>
        <w:jc w:val="center"/>
        <w:ind w:right="36"/>
        <w:spacing w:after="0"/>
        <w:rPr>
          <w:sz w:val="20"/>
          <w:szCs w:val="20"/>
          <w:color w:val="auto"/>
        </w:rPr>
      </w:pPr>
      <w:r>
        <w:rPr>
          <w:rFonts w:ascii="Arial" w:cs="Arial" w:eastAsia="Arial" w:hAnsi="Arial"/>
          <w:sz w:val="22"/>
          <w:szCs w:val="22"/>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64"/>
          </w:cols>
          <w:pgMar w:left="896" w:top="577" w:right="839" w:bottom="1440" w:gutter="0" w:footer="0" w:header="0"/>
        </w:sectPr>
      </w:pPr>
    </w:p>
    <w:bookmarkStart w:id="177" w:name="page178"/>
    <w:bookmarkEnd w:id="177"/>
    <w:p>
      <w:pPr>
        <w:ind w:left="4" w:right="820"/>
        <w:spacing w:after="0" w:line="282" w:lineRule="auto"/>
        <w:rPr>
          <w:sz w:val="20"/>
          <w:szCs w:val="20"/>
          <w:color w:val="auto"/>
        </w:rPr>
      </w:pPr>
      <w:r>
        <w:rPr>
          <w:rFonts w:ascii="Arial" w:cs="Arial" w:eastAsia="Arial" w:hAnsi="Arial"/>
          <w:sz w:val="19"/>
          <w:szCs w:val="19"/>
          <w:color w:val="auto"/>
        </w:rPr>
        <w:t>calendar year, unless the Company's then-current vacation policy applicable to executive officers provides for a greater period. In addition, Executive will be eligible to participate in all of the Company's employee benefit plans, policies, and arrangements that are applicable to other executive officers of the Company (including, without limitation, 401(k), health care, vision, dental, life insurance and disability), subject to eligibility and otherwise on such terms and as such plans, policies, and arrangements may exist from time to time.</w:t>
      </w:r>
    </w:p>
    <w:p>
      <w:pPr>
        <w:spacing w:after="0" w:line="175" w:lineRule="exact"/>
        <w:rPr>
          <w:sz w:val="20"/>
          <w:szCs w:val="20"/>
          <w:color w:val="auto"/>
        </w:rPr>
      </w:pPr>
    </w:p>
    <w:p>
      <w:pPr>
        <w:ind w:left="4" w:right="580" w:hanging="4"/>
        <w:spacing w:after="0" w:line="244" w:lineRule="auto"/>
        <w:tabs>
          <w:tab w:leader="none" w:pos="652"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In the event Executive's employment with the Company terminates for any reason, Executive will be entitled to any (a) all unpaid Base Salary accrued to the effective date of termination, (b) unpaid but earned short-term or long-term cash bonuses, all unpaid but vested performance stock awards, all unpaid but vested portions of restricted stock units grants, subject to the terms of the applicable bonus plan, agreement or arrangement, (c) all benefits or compensation required to be provided after termination pursuant to, and in accordance with the terms of, any employee benefit plans, policies or arrangements applicable to Executive, (d) all unreimbursed business expenses incurred prior to termination and required to be reimbursed to Executive pursuant to the Company's policy, and (e) all rights to indemnification to which Executive may be entitled under the Company's Articles of Incorporation, Bylaws, or separate indemnification agreement, as applicable. In addition, if the termination is a “Qualifying Termination” (as defined in Section 6), Executive will be entitled to the amounts and benefits specified in Section 6.</w:t>
      </w:r>
    </w:p>
    <w:p>
      <w:pPr>
        <w:spacing w:after="0" w:line="216" w:lineRule="exact"/>
        <w:rPr>
          <w:rFonts w:ascii="Arial" w:cs="Arial" w:eastAsia="Arial" w:hAnsi="Arial"/>
          <w:sz w:val="21"/>
          <w:szCs w:val="21"/>
          <w:color w:val="auto"/>
        </w:rPr>
      </w:pPr>
    </w:p>
    <w:p>
      <w:pPr>
        <w:ind w:left="4" w:right="640" w:hanging="4"/>
        <w:spacing w:after="0" w:line="245" w:lineRule="auto"/>
        <w:tabs>
          <w:tab w:leader="none" w:pos="652"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 If Executive's employment is terminated pursuant to a Qualifying Termination, Executive will receive an amount equal to twice the Base Salary plus twice the APP award target or other annual cash incentive target of Executive at the time of termination, payable in 24 substantially equal monthly installments (the “Severance Amount”). Executive's right to receive the Severance Amount is contingent upon Executive's continuing compliance with the provisions of Sections 9, 10 and 11 of this Agreement and subject to the Executive having executed and delivered to the Company an effective release of any and all claims in such form as is reasonably acceptable to the Company. Executive will not be required to mitigate the amount of payments under this Section 6, nor will any earnings that Executive may receive from any other source reduce any the Severance Amount. For purposes of this Agreement,</w:t>
      </w:r>
    </w:p>
    <w:p>
      <w:pPr>
        <w:spacing w:after="0" w:line="212" w:lineRule="exact"/>
        <w:rPr>
          <w:sz w:val="20"/>
          <w:szCs w:val="20"/>
          <w:color w:val="auto"/>
        </w:rPr>
      </w:pPr>
    </w:p>
    <w:p>
      <w:pPr>
        <w:ind w:left="4" w:hanging="4"/>
        <w:spacing w:after="0" w:line="251" w:lineRule="auto"/>
        <w:tabs>
          <w:tab w:leader="none" w:pos="298" w:val="left"/>
        </w:tabs>
        <w:numPr>
          <w:ilvl w:val="0"/>
          <w:numId w:val="168"/>
        </w:numPr>
        <w:rPr>
          <w:rFonts w:ascii="Arial" w:cs="Arial" w:eastAsia="Arial" w:hAnsi="Arial"/>
          <w:sz w:val="22"/>
          <w:szCs w:val="22"/>
          <w:color w:val="auto"/>
        </w:rPr>
      </w:pPr>
      <w:r>
        <w:rPr>
          <w:rFonts w:ascii="Arial" w:cs="Arial" w:eastAsia="Arial" w:hAnsi="Arial"/>
          <w:sz w:val="22"/>
          <w:szCs w:val="22"/>
          <w:color w:val="auto"/>
        </w:rPr>
        <w:t>“Qualifying Termination” shall mean (i) an involuntary termination of Executive’s employment by the Company without Cause, or (ii) a termination of Executive’s employment by Executive for Good Cause.</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304" w:hanging="304"/>
        <w:spacing w:after="0"/>
        <w:tabs>
          <w:tab w:leader="none" w:pos="30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“involuntary termination of Executive’s employment by the Company without Cause" shall not include</w:t>
      </w:r>
    </w:p>
    <w:p>
      <w:pPr>
        <w:spacing w:after="0" w:line="8" w:lineRule="exact"/>
        <w:rPr>
          <w:sz w:val="20"/>
          <w:szCs w:val="20"/>
          <w:color w:val="auto"/>
        </w:rPr>
      </w:pPr>
    </w:p>
    <w:p>
      <w:pPr>
        <w:ind w:left="4"/>
        <w:spacing w:after="0"/>
        <w:rPr>
          <w:sz w:val="20"/>
          <w:szCs w:val="20"/>
          <w:color w:val="auto"/>
        </w:rPr>
      </w:pPr>
      <w:r>
        <w:rPr>
          <w:rFonts w:ascii="Arial" w:cs="Arial" w:eastAsia="Arial" w:hAnsi="Arial"/>
          <w:sz w:val="22"/>
          <w:szCs w:val="22"/>
          <w:color w:val="auto"/>
        </w:rPr>
        <w:t>termination as the result of death or Disability.</w:t>
      </w:r>
    </w:p>
    <w:p>
      <w:pPr>
        <w:spacing w:after="0" w:line="215" w:lineRule="exact"/>
        <w:rPr>
          <w:sz w:val="20"/>
          <w:szCs w:val="20"/>
          <w:color w:val="auto"/>
        </w:rPr>
      </w:pPr>
    </w:p>
    <w:p>
      <w:pPr>
        <w:ind w:left="4" w:right="700" w:hanging="4"/>
        <w:spacing w:after="0" w:line="238" w:lineRule="auto"/>
        <w:tabs>
          <w:tab w:leader="none" w:pos="29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"Cause" shall be deemed to exist upon any of the following, determined by a majority of the members of the Board in its sole discretion: (i) the indictment of Executive for, or the entry of a plea of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by Executive to, a felony charge or any crime involving moral turpitude; (ii) Unlawful conduct on the part of Executive that may reasonably be considered to</w:t>
      </w:r>
    </w:p>
    <w:p>
      <w:pPr>
        <w:spacing w:after="0" w:line="158"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4"/>
          </w:cols>
          <w:pgMar w:left="896" w:top="578" w:right="239" w:bottom="1440" w:gutter="0" w:footer="0" w:header="0"/>
        </w:sectPr>
      </w:pPr>
    </w:p>
    <w:bookmarkStart w:id="178" w:name="page179"/>
    <w:bookmarkEnd w:id="178"/>
    <w:p>
      <w:pPr>
        <w:ind w:left="4" w:right="600"/>
        <w:spacing w:after="0" w:line="272" w:lineRule="auto"/>
        <w:rPr>
          <w:sz w:val="20"/>
          <w:szCs w:val="20"/>
          <w:color w:val="auto"/>
        </w:rPr>
      </w:pPr>
      <w:r>
        <w:rPr>
          <w:rFonts w:ascii="Arial" w:cs="Arial" w:eastAsia="Arial" w:hAnsi="Arial"/>
          <w:sz w:val="19"/>
          <w:szCs w:val="19"/>
          <w:color w:val="auto"/>
        </w:rPr>
        <w:t>reflect negatively on the Company or compromise the effective performance of Executive’s duties as determined by the Board in its sole discretion; (iii) Executive’s willful misconduct in connection with his duties or willful failure to use reasonable effort to perform substantially his responsibilities in the best interest of the Company (including, without limitation, breach by the Executive of this Agreement), except in cases involving Executive’s mental or physical incapacity or disability; (iv) Executive’s willful violation of the Company’s Business Ethics Policy, Code of Ethics or any other Company policy that may reasonably be considered to reflect negatively on the Company or compromise the effective performance of Executive’s duties as determined by the Board in its sole discretion; (v) fraud, material dishonesty, or gross misconduct in connection with the Company perpetrated by Executive; (vi) Executive undertaking a position or any activity in or in furtherance of competition with Company during the Employment Term; (vii) Executive having caused substantial harm to the Company with intent to do so or as a result of gross negligence in the performance of his duties; or (viii) Executive having wrongfully and substantially enriched himself at the expense of the Company.</w:t>
      </w:r>
    </w:p>
    <w:p>
      <w:pPr>
        <w:spacing w:after="0" w:line="189" w:lineRule="exact"/>
        <w:rPr>
          <w:sz w:val="20"/>
          <w:szCs w:val="20"/>
          <w:color w:val="auto"/>
        </w:rPr>
      </w:pPr>
    </w:p>
    <w:p>
      <w:pPr>
        <w:ind w:left="4" w:right="60" w:hanging="4"/>
        <w:spacing w:after="0" w:line="252" w:lineRule="auto"/>
        <w:tabs>
          <w:tab w:leader="none" w:pos="31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"Disability" shall be deemed to exist if (i) by reason of mental or physical illness the Executive has not performed his or her duties for a period of six consecutive months; and (ii) the Executive does not return to the performance of his duties within thirty days after written notice is given by Company that the Executive has been determined by the Board of Directors to be "Disabled" under the Company's long term disability policy.</w:t>
      </w:r>
    </w:p>
    <w:p>
      <w:pPr>
        <w:spacing w:after="0" w:line="201" w:lineRule="exact"/>
        <w:rPr>
          <w:rFonts w:ascii="Arial" w:cs="Arial" w:eastAsia="Arial" w:hAnsi="Arial"/>
          <w:sz w:val="21"/>
          <w:szCs w:val="21"/>
          <w:color w:val="auto"/>
        </w:rPr>
      </w:pPr>
    </w:p>
    <w:p>
      <w:pPr>
        <w:ind w:left="304" w:hanging="304"/>
        <w:spacing w:after="0"/>
        <w:tabs>
          <w:tab w:leader="none" w:pos="30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“Good Cause” shall mean a termination of Executive’s employment by Executive, as a consequence of , and following:</w:t>
      </w:r>
    </w:p>
    <w:p>
      <w:pPr>
        <w:spacing w:after="0" w:line="42" w:lineRule="exact"/>
        <w:rPr>
          <w:rFonts w:ascii="Arial" w:cs="Arial" w:eastAsia="Arial" w:hAnsi="Arial"/>
          <w:sz w:val="19"/>
          <w:szCs w:val="19"/>
          <w:color w:val="auto"/>
        </w:rPr>
      </w:pPr>
    </w:p>
    <w:p>
      <w:pPr>
        <w:ind w:left="4" w:right="220" w:hanging="4"/>
        <w:spacing w:after="0" w:line="243" w:lineRule="auto"/>
        <w:tabs>
          <w:tab w:leader="none" w:pos="262"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a material adverse change in Executive’s authority and responsibilities without Executive’s consent, (ii) a material reduction in Executive’s compensation, not proportionally and similarly affecting other senior executives, without Executive’s consent, or (iii) the failure of the Company or any successor to fully honor the terms of any contractual agreements with Executive;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in any of the foregoing cases , Executive shall have delivered written notice to the Company of his intention to terminate his employment for Good Cause within 90 days of the event or events constituting Good Cause, which notice specifies in reasonable detail the circumstances claimed to give rise to the Executive’s right to terminate employment for Good Cause, and the Company shall not have cured such circumstances within 30 days following receipt of such notice.</w:t>
      </w:r>
    </w:p>
    <w:p>
      <w:pPr>
        <w:spacing w:after="0" w:line="213" w:lineRule="exact"/>
        <w:rPr>
          <w:rFonts w:ascii="Arial" w:cs="Arial" w:eastAsia="Arial" w:hAnsi="Arial"/>
          <w:sz w:val="21"/>
          <w:szCs w:val="21"/>
          <w:color w:val="auto"/>
        </w:rPr>
      </w:pPr>
    </w:p>
    <w:p>
      <w:pPr>
        <w:ind w:left="4" w:hanging="4"/>
        <w:spacing w:after="0" w:line="248" w:lineRule="auto"/>
        <w:tabs>
          <w:tab w:leader="none" w:pos="652"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Clawback</w:t>
      </w:r>
      <w:r>
        <w:rPr>
          <w:rFonts w:ascii="Arial" w:cs="Arial" w:eastAsia="Arial" w:hAnsi="Arial"/>
          <w:sz w:val="21"/>
          <w:szCs w:val="21"/>
          <w:color w:val="auto"/>
        </w:rPr>
        <w:t>. Executive shall forfeit any unpaid Severance Amount due pursuant to this Agreement and shall, upon demand, repay any Severance Amounts already paid hereunder if, after the termination date: (a) there is a significant restatement of the Company’s financial results, caused or substantially caused by the fraud or intentional misconduct of the Executive; (b) Executive breaches any provision of this Agreement, including, without limitation, the covenants set for in Sections 9, 10 and 11; or (c) the Company discovers conduct by Executive that would have permitted termination for Cause, provided that such conduct occurred prior to the termination date.</w:t>
      </w:r>
    </w:p>
    <w:p>
      <w:pPr>
        <w:spacing w:after="0" w:line="204" w:lineRule="exact"/>
        <w:rPr>
          <w:sz w:val="20"/>
          <w:szCs w:val="20"/>
          <w:color w:val="auto"/>
        </w:rPr>
      </w:pPr>
    </w:p>
    <w:p>
      <w:pPr>
        <w:ind w:left="604" w:hanging="604"/>
        <w:spacing w:after="0"/>
        <w:tabs>
          <w:tab w:leader="none" w:pos="604"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Internal Revenue Code Section 409A.</w:t>
      </w:r>
    </w:p>
    <w:p>
      <w:pPr>
        <w:spacing w:after="0" w:line="233" w:lineRule="exact"/>
        <w:rPr>
          <w:sz w:val="20"/>
          <w:szCs w:val="20"/>
          <w:color w:val="auto"/>
        </w:rPr>
      </w:pPr>
    </w:p>
    <w:p>
      <w:pPr>
        <w:ind w:left="4" w:right="220" w:hanging="4"/>
        <w:spacing w:after="0" w:line="251" w:lineRule="auto"/>
        <w:tabs>
          <w:tab w:leader="none" w:pos="61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payments and the payment schedules set forth herein are intended to be exempt from, or comply with, Section 409A of the Internal Revenue Code (“Section 409A”). Accordingly, the</w:t>
      </w:r>
    </w:p>
    <w:p>
      <w:pPr>
        <w:spacing w:after="0" w:line="146"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44"/>
          </w:cols>
          <w:pgMar w:left="896" w:top="577" w:right="259" w:bottom="1440" w:gutter="0" w:footer="0" w:header="0"/>
        </w:sectPr>
      </w:pPr>
    </w:p>
    <w:bookmarkStart w:id="179" w:name="page180"/>
    <w:bookmarkEnd w:id="179"/>
    <w:p>
      <w:pPr>
        <w:ind w:left="4" w:right="20"/>
        <w:spacing w:after="0" w:line="282" w:lineRule="auto"/>
        <w:rPr>
          <w:sz w:val="20"/>
          <w:szCs w:val="20"/>
          <w:color w:val="auto"/>
        </w:rPr>
      </w:pPr>
      <w:r>
        <w:rPr>
          <w:rFonts w:ascii="Arial" w:cs="Arial" w:eastAsia="Arial" w:hAnsi="Arial"/>
          <w:sz w:val="19"/>
          <w:szCs w:val="19"/>
          <w:color w:val="auto"/>
        </w:rPr>
        <w:t>Agreement shall be interpreted and performed so as to be exempt from Section 409A, but if that is not possible, the Agreement shall be interpreted and performed so as to comply with Section 409A. In the event any payments or benefits are deemed by the IRS to be non-compliant, this Agreement, at Executive’s option, shall be modified, to the extent practical, so as to make it compliant by altering the payments or the timing of their receipt. The methodology to effect or address any necessary modifications shall be subject to reasonable and mutual agreement between the parties.</w:t>
      </w:r>
    </w:p>
    <w:p>
      <w:pPr>
        <w:spacing w:after="0" w:line="175" w:lineRule="exact"/>
        <w:rPr>
          <w:sz w:val="20"/>
          <w:szCs w:val="20"/>
          <w:color w:val="auto"/>
        </w:rPr>
      </w:pPr>
    </w:p>
    <w:p>
      <w:pPr>
        <w:ind w:left="4" w:hanging="4"/>
        <w:spacing w:after="0" w:line="235" w:lineRule="auto"/>
        <w:tabs>
          <w:tab w:leader="none" w:pos="63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It is the intent of the parties that this Agreement provides payments and benefits that are either exempt from the distribution requirements of Section 409A of Code, or satisfy those requirements. Any distribution that is subject to the requirements of Section 409A may only be made based on the Executive's "separation from service" (as that term is defined under the final regulations under Section 409A). It is intended that each installment of the payments and benefits, if any, provided to Executive under this Agreement hereof shall be treated as a separate “payment” for purposes of Section 409A of the Code.</w:t>
      </w:r>
    </w:p>
    <w:p>
      <w:pPr>
        <w:spacing w:after="0" w:line="215" w:lineRule="exact"/>
        <w:rPr>
          <w:rFonts w:ascii="Arial" w:cs="Arial" w:eastAsia="Arial" w:hAnsi="Arial"/>
          <w:sz w:val="22"/>
          <w:szCs w:val="22"/>
          <w:color w:val="auto"/>
        </w:rPr>
      </w:pPr>
    </w:p>
    <w:p>
      <w:pPr>
        <w:ind w:left="4" w:right="20" w:hanging="4"/>
        <w:spacing w:after="0" w:line="279" w:lineRule="auto"/>
        <w:tabs>
          <w:tab w:leader="none" w:pos="62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in the event that (i) a distribution of benefits is subject to Section 409A, (ii) at the time the distribution would otherwise be made to the Executive, the Executive is a "specified employee" (as that term is defined in the final regulations under Section 409A), and (iii) the distribution would otherwise be made during the 6-month period commencing on the date of the Executive's separation from service, then such distribution will instead be paid to the Executive in a lump sum at the end of the 6-month period. The foregoing delay in the distribution of benefits shall be made in conformance with the final regulations under Section 409A.</w:t>
      </w:r>
    </w:p>
    <w:p>
      <w:pPr>
        <w:spacing w:after="0" w:line="178" w:lineRule="exact"/>
        <w:rPr>
          <w:sz w:val="20"/>
          <w:szCs w:val="20"/>
          <w:color w:val="auto"/>
        </w:rPr>
      </w:pPr>
    </w:p>
    <w:p>
      <w:pPr>
        <w:ind w:left="4" w:right="940" w:hanging="4"/>
        <w:spacing w:after="0" w:line="276" w:lineRule="auto"/>
        <w:tabs>
          <w:tab w:leader="none" w:pos="544"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Internal Revenue Code Section 280G</w:t>
      </w:r>
      <w:r>
        <w:rPr>
          <w:rFonts w:ascii="Arial" w:cs="Arial" w:eastAsia="Arial" w:hAnsi="Arial"/>
          <w:sz w:val="19"/>
          <w:szCs w:val="19"/>
          <w:color w:val="auto"/>
        </w:rPr>
        <w:t>. In the event that the benefits provided for in this Agreement, when aggregated with any other payments or benefits or to be received by Executive (the “Aggregate Benefits”), would</w:t>
      </w:r>
    </w:p>
    <w:p>
      <w:pPr>
        <w:spacing w:after="0" w:line="1" w:lineRule="exact"/>
        <w:rPr>
          <w:rFonts w:ascii="Arial" w:cs="Arial" w:eastAsia="Arial" w:hAnsi="Arial"/>
          <w:sz w:val="19"/>
          <w:szCs w:val="19"/>
          <w:color w:val="auto"/>
        </w:rPr>
      </w:pPr>
    </w:p>
    <w:p>
      <w:pPr>
        <w:ind w:left="4" w:right="600"/>
        <w:spacing w:after="0" w:line="269" w:lineRule="auto"/>
        <w:rPr>
          <w:rFonts w:ascii="Arial" w:cs="Arial" w:eastAsia="Arial" w:hAnsi="Arial"/>
          <w:sz w:val="19"/>
          <w:szCs w:val="19"/>
          <w:color w:val="auto"/>
        </w:rPr>
      </w:pPr>
      <w:r>
        <w:rPr>
          <w:rFonts w:ascii="Arial" w:cs="Arial" w:eastAsia="Arial" w:hAnsi="Arial"/>
          <w:sz w:val="19"/>
          <w:szCs w:val="19"/>
          <w:color w:val="auto"/>
        </w:rPr>
        <w:t>(i) constitute “parachute payments” within the meaning of Section 280G of the Internal Revenue Code (the “Code”), and (ii) would be subject to the excise tax imposed by Section 4999 of the Code (the “Excise Tax”), then Executive’s Aggregate Benefits will be either: (a) delivered in full, or (b) delivered as to such lesser extent as would result in no portion of such Aggregate Benefits being subject to the Excise Tax, whichever of the foregoing amounts, taking into account the applicable federal, state and local income taxes and the Excise Tax, results in the receipt by Executive on an after-tax basis of the greatest amount of Aggregate Benefits, notwithstanding that all or some portion of such Aggregate Benefits may be taxable under Section 4999 of the Code. Unless the Company and Executive otherwise agree in writing, any determination required under this paragraph will be made in writing by an independent certified public accounting firm engaged by the Company (the “Accounting Firm”) whose determination will be conclusive and binding upon Executive and the Company for all purposes. For purposes of making the calculations required by this paragraph, the Accounting Firm may make reasonable assumptions and approximations concerning applicable taxes and may rely on reasonable, good faith interpretations concerning the application of Sections 280G and 4999 of the Code. The Company and Executive will furnish to the Accounting Firm such information and documents as the Accounting Firm may reasonably request in order to make a determination under this paragraph. To the extent any reduction in Aggregate Benefits is required by this paragraph, the Company and Executive shall cooperate so that the reduction results in</w:t>
      </w:r>
    </w:p>
    <w:p>
      <w:pPr>
        <w:spacing w:after="0" w:line="387"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4"/>
          </w:cols>
          <w:pgMar w:left="896" w:top="577" w:right="239" w:bottom="1440" w:gutter="0" w:footer="0" w:header="0"/>
        </w:sectPr>
      </w:pPr>
    </w:p>
    <w:bookmarkStart w:id="180" w:name="page181"/>
    <w:bookmarkEnd w:id="180"/>
    <w:p>
      <w:pPr>
        <w:ind w:left="4"/>
        <w:spacing w:after="0"/>
        <w:rPr>
          <w:sz w:val="20"/>
          <w:szCs w:val="20"/>
          <w:color w:val="auto"/>
        </w:rPr>
      </w:pPr>
      <w:r>
        <w:rPr>
          <w:rFonts w:ascii="Arial" w:cs="Arial" w:eastAsia="Arial" w:hAnsi="Arial"/>
          <w:sz w:val="22"/>
          <w:szCs w:val="22"/>
          <w:color w:val="auto"/>
        </w:rPr>
        <w:t>Executive retaining the maximum amount of the Aggregate Benefits.</w:t>
      </w:r>
    </w:p>
    <w:p>
      <w:pPr>
        <w:spacing w:after="0" w:line="233" w:lineRule="exact"/>
        <w:rPr>
          <w:sz w:val="20"/>
          <w:szCs w:val="20"/>
          <w:color w:val="auto"/>
        </w:rPr>
      </w:pPr>
    </w:p>
    <w:p>
      <w:pPr>
        <w:ind w:left="4" w:right="120" w:hanging="4"/>
        <w:spacing w:after="0" w:line="272" w:lineRule="auto"/>
        <w:tabs>
          <w:tab w:leader="none" w:pos="652"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agrees that all aspects of the Company's business, products, prospects, plans and strategies that have not been publicly disclosed, including, but not limited to, the identities, needs and preferences of its customers, internal business operations and pricing information, manufacturing know-how, technical attributes of products, annual or strategic business plans or analyses, and any and all other trade secrets (collectively, "Confidential Information"), are confidential and secret, shall be maintained in confidence and not disclosed to any third party, and shall remain the exclusive property of the Company. Any Confidential Information may be used or disclosed by the Executive solely to discharge his obligations hereunder, and shall not be used or disclosed for any other purpose, including, without limitation, for any purpose whatsoever following termination of Executive's employment. All Confidential Information in tangible form that is provided to the Executive shall be returned by the Executive to the Company within 30 days of any termination of employment, together with a statement certifying: (1) that Executive has returned all Confidential Information in his possession, (2) that Executive has at all times maintained the confidential nature of the Confidential Information, and (3) that Executive confirms his continuing obligations of confidentiality under this Agreement following such termination.</w:t>
      </w:r>
    </w:p>
    <w:p>
      <w:pPr>
        <w:spacing w:after="0" w:line="184" w:lineRule="exact"/>
        <w:rPr>
          <w:rFonts w:ascii="Arial" w:cs="Arial" w:eastAsia="Arial" w:hAnsi="Arial"/>
          <w:sz w:val="19"/>
          <w:szCs w:val="19"/>
          <w:color w:val="auto"/>
        </w:rPr>
      </w:pPr>
    </w:p>
    <w:p>
      <w:pPr>
        <w:ind w:left="4" w:right="220" w:hanging="4"/>
        <w:spacing w:after="0" w:line="238" w:lineRule="auto"/>
        <w:tabs>
          <w:tab w:leader="none" w:pos="76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During the Employment Term, and thereafter, Executive will not knowingly disparage, criticize or otherwise make any derogatory statements regarding the Company, its shareholders, directors or its officers. The foregoing restriction will not apply to any truthful statements made in response to a valid subpoena or other compulsory legal process.</w:t>
      </w:r>
    </w:p>
    <w:p>
      <w:pPr>
        <w:spacing w:after="0" w:line="212" w:lineRule="exact"/>
        <w:rPr>
          <w:rFonts w:ascii="Arial" w:cs="Arial" w:eastAsia="Arial" w:hAnsi="Arial"/>
          <w:sz w:val="22"/>
          <w:szCs w:val="22"/>
          <w:color w:val="auto"/>
        </w:rPr>
      </w:pPr>
    </w:p>
    <w:p>
      <w:pPr>
        <w:ind w:left="4" w:right="20" w:hanging="4"/>
        <w:spacing w:after="0" w:line="251" w:lineRule="auto"/>
        <w:tabs>
          <w:tab w:leader="none" w:pos="1144"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Executive acknowledges and recognizes the highly competitive nature of the Company’s business. Accordingly, Executive agrees as follows:</w:t>
      </w:r>
    </w:p>
    <w:p>
      <w:pPr>
        <w:spacing w:after="0" w:line="200" w:lineRule="exact"/>
        <w:rPr>
          <w:rFonts w:ascii="Arial" w:cs="Arial" w:eastAsia="Arial" w:hAnsi="Arial"/>
          <w:sz w:val="22"/>
          <w:szCs w:val="22"/>
          <w:color w:val="auto"/>
        </w:rPr>
      </w:pPr>
    </w:p>
    <w:p>
      <w:pPr>
        <w:jc w:val="both"/>
        <w:ind w:left="4" w:firstLine="239"/>
        <w:spacing w:after="0" w:line="238" w:lineRule="auto"/>
        <w:tabs>
          <w:tab w:leader="none" w:pos="767"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That for a period of twenty-four (24) months following the termination of his employment with the Company for any reason, whether on his own behalf or on behalf of or in conjunction with any person, firm, partnership, joint venture, association, corporation or other business, organization, entity or enterprise whatsoever (“Person”), Executive shall not directly or indirectly:</w:t>
      </w:r>
    </w:p>
    <w:p>
      <w:pPr>
        <w:spacing w:after="0" w:line="212" w:lineRule="exact"/>
        <w:rPr>
          <w:rFonts w:ascii="Arial" w:cs="Arial" w:eastAsia="Arial" w:hAnsi="Arial"/>
          <w:sz w:val="22"/>
          <w:szCs w:val="22"/>
          <w:color w:val="auto"/>
        </w:rPr>
      </w:pPr>
    </w:p>
    <w:p>
      <w:pPr>
        <w:ind w:left="1284" w:hanging="635"/>
        <w:spacing w:after="0"/>
        <w:tabs>
          <w:tab w:leader="none" w:pos="1284" w:val="left"/>
        </w:tabs>
        <w:numPr>
          <w:ilvl w:val="2"/>
          <w:numId w:val="177"/>
        </w:numPr>
        <w:rPr>
          <w:rFonts w:ascii="Arial" w:cs="Arial" w:eastAsia="Arial" w:hAnsi="Arial"/>
          <w:sz w:val="22"/>
          <w:szCs w:val="22"/>
          <w:color w:val="auto"/>
        </w:rPr>
      </w:pPr>
      <w:r>
        <w:rPr>
          <w:rFonts w:ascii="Arial" w:cs="Arial" w:eastAsia="Arial" w:hAnsi="Arial"/>
          <w:sz w:val="22"/>
          <w:szCs w:val="22"/>
          <w:color w:val="auto"/>
        </w:rPr>
        <w:t>operate a Competitive Business;</w:t>
      </w:r>
    </w:p>
    <w:p>
      <w:pPr>
        <w:spacing w:after="0" w:line="8" w:lineRule="exact"/>
        <w:rPr>
          <w:rFonts w:ascii="Arial" w:cs="Arial" w:eastAsia="Arial" w:hAnsi="Arial"/>
          <w:sz w:val="22"/>
          <w:szCs w:val="22"/>
          <w:color w:val="auto"/>
        </w:rPr>
      </w:pPr>
    </w:p>
    <w:p>
      <w:pPr>
        <w:ind w:left="1344" w:hanging="695"/>
        <w:spacing w:after="0"/>
        <w:tabs>
          <w:tab w:leader="none" w:pos="1344" w:val="left"/>
        </w:tabs>
        <w:numPr>
          <w:ilvl w:val="2"/>
          <w:numId w:val="177"/>
        </w:numPr>
        <w:rPr>
          <w:rFonts w:ascii="Arial" w:cs="Arial" w:eastAsia="Arial" w:hAnsi="Arial"/>
          <w:sz w:val="19"/>
          <w:szCs w:val="19"/>
          <w:color w:val="auto"/>
        </w:rPr>
      </w:pPr>
      <w:r>
        <w:rPr>
          <w:rFonts w:ascii="Arial" w:cs="Arial" w:eastAsia="Arial" w:hAnsi="Arial"/>
          <w:sz w:val="19"/>
          <w:szCs w:val="19"/>
          <w:color w:val="auto"/>
        </w:rPr>
        <w:t>enter into the employ of, or render any services to, any Person in respect of any Competitive Business;</w:t>
      </w:r>
    </w:p>
    <w:p>
      <w:pPr>
        <w:spacing w:after="0" w:line="24" w:lineRule="exact"/>
        <w:rPr>
          <w:rFonts w:ascii="Arial" w:cs="Arial" w:eastAsia="Arial" w:hAnsi="Arial"/>
          <w:sz w:val="19"/>
          <w:szCs w:val="19"/>
          <w:color w:val="auto"/>
        </w:rPr>
      </w:pPr>
    </w:p>
    <w:p>
      <w:pPr>
        <w:jc w:val="both"/>
        <w:ind w:left="644" w:firstLine="5"/>
        <w:spacing w:after="0" w:line="267" w:lineRule="auto"/>
        <w:tabs>
          <w:tab w:leader="none" w:pos="1386" w:val="left"/>
        </w:tabs>
        <w:numPr>
          <w:ilvl w:val="2"/>
          <w:numId w:val="177"/>
        </w:numPr>
        <w:rPr>
          <w:rFonts w:ascii="Arial" w:cs="Arial" w:eastAsia="Arial" w:hAnsi="Arial"/>
          <w:sz w:val="19"/>
          <w:szCs w:val="19"/>
          <w:color w:val="auto"/>
        </w:rPr>
      </w:pPr>
      <w:r>
        <w:rPr>
          <w:rFonts w:ascii="Arial" w:cs="Arial" w:eastAsia="Arial" w:hAnsi="Arial"/>
          <w:sz w:val="19"/>
          <w:szCs w:val="19"/>
          <w:color w:val="auto"/>
        </w:rPr>
        <w:t>acquire a financial interest in, or otherwise become actively involved with, any Competitive Business, directly or indirectly, as an individual, partner, shareholder, officer, director, principal, agent, trustee or consultant; provided, however, that in no event shall ownership of less than 2% of the outstanding capital stock of any corporation, in and of itself, be deemed a violation of this Release if such capital stock is listed on a national securities exchange or regularly traded in an over-the-counter market; or</w:t>
      </w:r>
    </w:p>
    <w:p>
      <w:pPr>
        <w:ind w:left="644" w:firstLine="5"/>
        <w:spacing w:after="0" w:line="237" w:lineRule="auto"/>
        <w:tabs>
          <w:tab w:leader="none" w:pos="1541" w:val="left"/>
        </w:tabs>
        <w:numPr>
          <w:ilvl w:val="2"/>
          <w:numId w:val="177"/>
        </w:numPr>
        <w:rPr>
          <w:rFonts w:ascii="Arial" w:cs="Arial" w:eastAsia="Arial" w:hAnsi="Arial"/>
          <w:sz w:val="22"/>
          <w:szCs w:val="22"/>
          <w:color w:val="auto"/>
        </w:rPr>
      </w:pPr>
      <w:r>
        <w:rPr>
          <w:rFonts w:ascii="Arial" w:cs="Arial" w:eastAsia="Arial" w:hAnsi="Arial"/>
          <w:sz w:val="22"/>
          <w:szCs w:val="22"/>
          <w:color w:val="auto"/>
        </w:rPr>
        <w:t>interfere with, or attempt to interfere with, any business relationships between Albany or any of its subsidiaries or affiliates and their customers, clients, suppliers or investors; and</w:t>
      </w:r>
    </w:p>
    <w:p>
      <w:pPr>
        <w:spacing w:after="0" w:line="200" w:lineRule="exact"/>
        <w:rPr>
          <w:sz w:val="20"/>
          <w:szCs w:val="20"/>
          <w:color w:val="auto"/>
        </w:rPr>
      </w:pPr>
    </w:p>
    <w:p>
      <w:pPr>
        <w:spacing w:after="0" w:line="201" w:lineRule="exact"/>
        <w:rPr>
          <w:sz w:val="20"/>
          <w:szCs w:val="20"/>
          <w:color w:val="auto"/>
        </w:rPr>
      </w:pPr>
    </w:p>
    <w:p>
      <w:pPr>
        <w:jc w:val="center"/>
        <w:ind w:right="156"/>
        <w:spacing w:after="0"/>
        <w:rPr>
          <w:sz w:val="20"/>
          <w:szCs w:val="20"/>
          <w:color w:val="auto"/>
        </w:rPr>
      </w:pPr>
      <w:r>
        <w:rPr>
          <w:rFonts w:ascii="Arial" w:cs="Arial" w:eastAsia="Arial" w:hAnsi="Arial"/>
          <w:sz w:val="22"/>
          <w:szCs w:val="22"/>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84"/>
          </w:cols>
          <w:pgMar w:left="896" w:top="577" w:right="719" w:bottom="1440" w:gutter="0" w:footer="0" w:header="0"/>
        </w:sectPr>
      </w:pPr>
    </w:p>
    <w:bookmarkStart w:id="181" w:name="page182"/>
    <w:bookmarkEnd w:id="181"/>
    <w:p>
      <w:pPr>
        <w:ind w:left="4" w:right="280" w:firstLine="320"/>
        <w:spacing w:after="0" w:line="238" w:lineRule="auto"/>
        <w:tabs>
          <w:tab w:leader="none" w:pos="68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That for a period of twenty-four (24) months following the termination of his employment with the Company for any reason, whether on the Executive’s own behalf or on behalf of or in conjunction with any person, firm, partnership, joint venture, association, corporation or other business, organization, entity or enterprise whatsoever, Executive shall not directly or indirectly:</w:t>
      </w:r>
    </w:p>
    <w:p>
      <w:pPr>
        <w:spacing w:after="0" w:line="212" w:lineRule="exact"/>
        <w:rPr>
          <w:rFonts w:ascii="Arial" w:cs="Arial" w:eastAsia="Arial" w:hAnsi="Arial"/>
          <w:sz w:val="22"/>
          <w:szCs w:val="22"/>
          <w:color w:val="auto"/>
        </w:rPr>
      </w:pPr>
    </w:p>
    <w:p>
      <w:pPr>
        <w:ind w:left="644" w:right="480" w:firstLine="5"/>
        <w:spacing w:after="0" w:line="239" w:lineRule="auto"/>
        <w:tabs>
          <w:tab w:leader="none" w:pos="128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solicit or encourage any employee of the Company or any of its subsidiaries or affiliates to leave the employment of the Company or any of its subsidiaries or affiliates; or</w:t>
      </w:r>
    </w:p>
    <w:p>
      <w:pPr>
        <w:ind w:left="644" w:right="160" w:firstLine="5"/>
        <w:spacing w:after="0" w:line="234" w:lineRule="auto"/>
        <w:tabs>
          <w:tab w:leader="none" w:pos="134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hire any such employee who was employed by the Company or any of its subsidiaries or affiliates as of the date of such termination or, if later, within the six-months before the date the person was hired by Executive.</w:t>
      </w:r>
    </w:p>
    <w:p>
      <w:pPr>
        <w:spacing w:after="0" w:line="214" w:lineRule="exact"/>
        <w:rPr>
          <w:sz w:val="20"/>
          <w:szCs w:val="20"/>
          <w:color w:val="auto"/>
        </w:rPr>
      </w:pPr>
    </w:p>
    <w:p>
      <w:pPr>
        <w:ind w:left="4" w:right="660"/>
        <w:spacing w:after="0"/>
        <w:rPr>
          <w:sz w:val="20"/>
          <w:szCs w:val="20"/>
          <w:color w:val="auto"/>
        </w:rPr>
      </w:pPr>
      <w:r>
        <w:rPr>
          <w:rFonts w:ascii="Arial" w:cs="Arial" w:eastAsia="Arial" w:hAnsi="Arial"/>
          <w:sz w:val="22"/>
          <w:szCs w:val="22"/>
          <w:color w:val="auto"/>
        </w:rPr>
        <w:t>Executive understands that the Company will have the right to seek injunctive relief in the event that Executive violates this Section 10 because the harm caused by such violation will be irreparable and difficult to calculate in terms of monetary damages.</w:t>
      </w:r>
    </w:p>
    <w:p>
      <w:pPr>
        <w:spacing w:after="0" w:line="186" w:lineRule="exact"/>
        <w:rPr>
          <w:sz w:val="20"/>
          <w:szCs w:val="20"/>
          <w:color w:val="auto"/>
        </w:rPr>
      </w:pPr>
    </w:p>
    <w:p>
      <w:pPr>
        <w:ind w:left="4"/>
        <w:spacing w:after="0" w:line="297" w:lineRule="auto"/>
        <w:rPr>
          <w:sz w:val="20"/>
          <w:szCs w:val="20"/>
          <w:color w:val="auto"/>
        </w:rPr>
      </w:pPr>
      <w:r>
        <w:rPr>
          <w:rFonts w:ascii="Arial" w:cs="Arial" w:eastAsia="Arial" w:hAnsi="Arial"/>
          <w:sz w:val="19"/>
          <w:szCs w:val="19"/>
          <w:color w:val="auto"/>
        </w:rPr>
        <w:t>For the purposes of this Section 11, a Competitive Business is any person or entity that manufactures or sells (a) papermachine clothing or belts used in the manufacture or paper, nonwovens or fiber cement, or (b) advanced composite materials, structures or components for use in defense, aerospace or automotive applications.</w:t>
      </w:r>
    </w:p>
    <w:p>
      <w:pPr>
        <w:spacing w:after="0" w:line="161" w:lineRule="exact"/>
        <w:rPr>
          <w:sz w:val="20"/>
          <w:szCs w:val="20"/>
          <w:color w:val="auto"/>
        </w:rPr>
      </w:pPr>
    </w:p>
    <w:p>
      <w:pPr>
        <w:jc w:val="both"/>
        <w:ind w:left="4" w:right="140" w:hanging="4"/>
        <w:spacing w:after="0" w:line="235" w:lineRule="auto"/>
        <w:tabs>
          <w:tab w:leader="none" w:pos="652"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Blue Pencil Doctrine</w:t>
      </w:r>
      <w:r>
        <w:rPr>
          <w:rFonts w:ascii="Arial" w:cs="Arial" w:eastAsia="Arial" w:hAnsi="Arial"/>
          <w:sz w:val="22"/>
          <w:szCs w:val="22"/>
          <w:color w:val="auto"/>
        </w:rPr>
        <w:t>. It is expressly understood and agreed by Executive that although Executive considers the restrictions in this Agreement to be reasonable, if a final determination is made by a court of competent jurisdiction or an arbitrator that the time or territory or any other restriction contained in the Agreement is an unenforceable restriction against Executive, the provisions of this Agreement shall not be rendered void but shall be deemed amended to apply as to such maximum time and territory and to such maximum extent as such court or arbitrator may determine or indicate to be enforceable.</w:t>
      </w:r>
    </w:p>
    <w:p>
      <w:pPr>
        <w:spacing w:after="0" w:line="215" w:lineRule="exact"/>
        <w:rPr>
          <w:rFonts w:ascii="Arial" w:cs="Arial" w:eastAsia="Arial" w:hAnsi="Arial"/>
          <w:sz w:val="22"/>
          <w:szCs w:val="22"/>
          <w:color w:val="auto"/>
        </w:rPr>
      </w:pPr>
    </w:p>
    <w:p>
      <w:pPr>
        <w:ind w:left="4" w:right="260" w:hanging="4"/>
        <w:spacing w:after="0" w:line="287" w:lineRule="auto"/>
        <w:tabs>
          <w:tab w:leader="none" w:pos="760"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Board Membership</w:t>
      </w:r>
      <w:r>
        <w:rPr>
          <w:rFonts w:ascii="Arial" w:cs="Arial" w:eastAsia="Arial" w:hAnsi="Arial"/>
          <w:sz w:val="19"/>
          <w:szCs w:val="19"/>
          <w:color w:val="auto"/>
        </w:rPr>
        <w:t>. Upon the termination of Executive's employment for any reason, Executive will be deemed to have resigned from any seat on the Board (and from any seats on the boards, and from any offices, of subsidiaries) held at such time, voluntarily, without any further required action by the Executive, as of the end of the Employment Term. Executive, at the Board's request, will execute any documents necessary to reflect his resignation.</w:t>
      </w:r>
    </w:p>
    <w:p>
      <w:pPr>
        <w:spacing w:after="0" w:line="170" w:lineRule="exact"/>
        <w:rPr>
          <w:rFonts w:ascii="Arial" w:cs="Arial" w:eastAsia="Arial" w:hAnsi="Arial"/>
          <w:sz w:val="19"/>
          <w:szCs w:val="19"/>
          <w:color w:val="auto"/>
        </w:rPr>
      </w:pPr>
    </w:p>
    <w:p>
      <w:pPr>
        <w:ind w:left="4" w:right="240" w:hanging="4"/>
        <w:spacing w:after="0" w:line="245" w:lineRule="auto"/>
        <w:tabs>
          <w:tab w:leader="none" w:pos="76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spacing w:after="0" w:line="201" w:lineRule="exact"/>
        <w:rPr>
          <w:sz w:val="20"/>
          <w:szCs w:val="20"/>
          <w:color w:val="auto"/>
        </w:rPr>
      </w:pPr>
    </w:p>
    <w:p>
      <w:pPr>
        <w:jc w:val="center"/>
        <w:ind w:right="296"/>
        <w:spacing w:after="0"/>
        <w:rPr>
          <w:sz w:val="20"/>
          <w:szCs w:val="20"/>
          <w:color w:val="auto"/>
        </w:rPr>
      </w:pPr>
      <w:r>
        <w:rPr>
          <w:rFonts w:ascii="Arial" w:cs="Arial" w:eastAsia="Arial" w:hAnsi="Arial"/>
          <w:sz w:val="22"/>
          <w:szCs w:val="22"/>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424"/>
          </w:cols>
          <w:pgMar w:left="896" w:top="577" w:right="579" w:bottom="1440" w:gutter="0" w:footer="0" w:header="0"/>
        </w:sectPr>
      </w:pPr>
    </w:p>
    <w:bookmarkStart w:id="182" w:name="page183"/>
    <w:bookmarkEnd w:id="182"/>
    <w:p>
      <w:pPr>
        <w:ind w:left="4" w:right="20" w:hanging="4"/>
        <w:spacing w:after="0" w:line="249" w:lineRule="auto"/>
        <w:tabs>
          <w:tab w:leader="none" w:pos="760"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and other communications called for hereunder will be in writing and will be deemed given (a) on the date of delivery if delivered personally, (b) one (1) day after being sent overnight by a well-established commercial overnight service, or (c)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color w:val="auto"/>
        </w:rPr>
        <w:t>Attn: Chairman of the Board</w:t>
      </w:r>
    </w:p>
    <w:p>
      <w:pPr>
        <w:ind w:left="4"/>
        <w:spacing w:after="0" w:line="238" w:lineRule="auto"/>
        <w:rPr>
          <w:sz w:val="20"/>
          <w:szCs w:val="20"/>
          <w:color w:val="auto"/>
        </w:rPr>
      </w:pPr>
      <w:r>
        <w:rPr>
          <w:rFonts w:ascii="Arial" w:cs="Arial" w:eastAsia="Arial" w:hAnsi="Arial"/>
          <w:sz w:val="22"/>
          <w:szCs w:val="22"/>
          <w:color w:val="auto"/>
        </w:rPr>
        <w:t>Albany International Corp.</w:t>
      </w:r>
    </w:p>
    <w:p>
      <w:pPr>
        <w:ind w:left="4"/>
        <w:spacing w:after="0" w:line="230" w:lineRule="auto"/>
        <w:rPr>
          <w:sz w:val="20"/>
          <w:szCs w:val="20"/>
          <w:color w:val="auto"/>
        </w:rPr>
      </w:pPr>
      <w:r>
        <w:rPr>
          <w:rFonts w:ascii="Arial" w:cs="Arial" w:eastAsia="Arial" w:hAnsi="Arial"/>
          <w:sz w:val="22"/>
          <w:szCs w:val="22"/>
          <w:color w:val="auto"/>
        </w:rPr>
        <w:t>218 Airport Drive</w:t>
      </w:r>
    </w:p>
    <w:p>
      <w:pPr>
        <w:spacing w:after="0" w:line="1" w:lineRule="exact"/>
        <w:rPr>
          <w:sz w:val="20"/>
          <w:szCs w:val="20"/>
          <w:color w:val="auto"/>
        </w:rPr>
      </w:pPr>
    </w:p>
    <w:p>
      <w:pPr>
        <w:ind w:left="4"/>
        <w:spacing w:after="0"/>
        <w:rPr>
          <w:sz w:val="20"/>
          <w:szCs w:val="20"/>
          <w:color w:val="auto"/>
        </w:rPr>
      </w:pPr>
      <w:r>
        <w:rPr>
          <w:rFonts w:ascii="Arial" w:cs="Arial" w:eastAsia="Arial" w:hAnsi="Arial"/>
          <w:sz w:val="22"/>
          <w:szCs w:val="22"/>
          <w:color w:val="auto"/>
        </w:rPr>
        <w:t>Rochester, NH 03867</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Executive:</w:t>
      </w:r>
    </w:p>
    <w:p>
      <w:pPr>
        <w:spacing w:after="0" w:line="233" w:lineRule="exact"/>
        <w:rPr>
          <w:sz w:val="20"/>
          <w:szCs w:val="20"/>
          <w:color w:val="auto"/>
        </w:rPr>
      </w:pPr>
    </w:p>
    <w:p>
      <w:pPr>
        <w:ind w:left="4" w:right="100"/>
        <w:spacing w:after="0" w:line="258" w:lineRule="auto"/>
        <w:rPr>
          <w:sz w:val="20"/>
          <w:szCs w:val="20"/>
          <w:color w:val="auto"/>
        </w:rPr>
      </w:pPr>
      <w:r>
        <w:rPr>
          <w:rFonts w:ascii="Arial" w:cs="Arial" w:eastAsia="Arial" w:hAnsi="Arial"/>
          <w:sz w:val="21"/>
          <w:szCs w:val="21"/>
          <w:color w:val="auto"/>
        </w:rPr>
        <w:t>at the last residential address known by the Company. In addition, the Company shall make a reasonable effort to fax or e-mail such notice to Executive at his most recent personal fax number or e-mail address, with a copy to Executive's lawyer by the same method, to the extent known to the Company.</w:t>
      </w:r>
    </w:p>
    <w:p>
      <w:pPr>
        <w:spacing w:after="0" w:line="200" w:lineRule="exact"/>
        <w:rPr>
          <w:sz w:val="20"/>
          <w:szCs w:val="20"/>
          <w:color w:val="auto"/>
        </w:rPr>
      </w:pPr>
    </w:p>
    <w:p>
      <w:pPr>
        <w:spacing w:after="0" w:line="210" w:lineRule="exact"/>
        <w:rPr>
          <w:sz w:val="20"/>
          <w:szCs w:val="20"/>
          <w:color w:val="auto"/>
        </w:rPr>
      </w:pPr>
    </w:p>
    <w:p>
      <w:pPr>
        <w:ind w:left="4" w:hanging="4"/>
        <w:spacing w:after="0" w:line="274" w:lineRule="auto"/>
        <w:tabs>
          <w:tab w:leader="none" w:pos="760"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hereof becomes or is declared by a court of competent jurisdiction to be illegal, unenforceable, or void, this Agreement will continue in full force and effect without said provision.</w:t>
      </w:r>
    </w:p>
    <w:p>
      <w:pPr>
        <w:spacing w:after="0" w:line="177" w:lineRule="exact"/>
        <w:rPr>
          <w:rFonts w:ascii="Arial" w:cs="Arial" w:eastAsia="Arial" w:hAnsi="Arial"/>
          <w:sz w:val="21"/>
          <w:szCs w:val="21"/>
          <w:color w:val="auto"/>
        </w:rPr>
      </w:pPr>
    </w:p>
    <w:p>
      <w:pPr>
        <w:ind w:left="4" w:right="20" w:hanging="4"/>
        <w:spacing w:after="0" w:line="274" w:lineRule="auto"/>
        <w:tabs>
          <w:tab w:leader="none" w:pos="76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The Parties agree that any and all disputes arising out of the terms of this Agreement, Executive's employment by the Company, Executive's service as an officer or director of the Company, or Executive's compensation and benefits, their interpretation, and any of the matters herein released, will be subject to binding arbitration in New York, New York under the American Arbitration Association's National Rules for the Resolution of Employment Disputes. The Parties agree that the prevailing party in any arbitration will be entitled to injunctive relief in any court of competent jurisdiction to enforce the arbitration award. The Parties hereto agree to waive their right to have any dispute between them resolved in a court of law by a judge or jury. This paragraph will not prevent either party from seeking injunctive relief (or any other provisional remedy) from any court having jurisdiction over the Parties and the subject matter of their dispute relating to Executive's obligations under this Agreement.</w:t>
      </w:r>
    </w:p>
    <w:p>
      <w:pPr>
        <w:spacing w:after="0" w:line="185" w:lineRule="exact"/>
        <w:rPr>
          <w:rFonts w:ascii="Arial" w:cs="Arial" w:eastAsia="Arial" w:hAnsi="Arial"/>
          <w:sz w:val="19"/>
          <w:szCs w:val="19"/>
          <w:color w:val="auto"/>
        </w:rPr>
      </w:pPr>
    </w:p>
    <w:p>
      <w:pPr>
        <w:ind w:left="4" w:right="20" w:hanging="4"/>
        <w:spacing w:after="0" w:line="282" w:lineRule="auto"/>
        <w:tabs>
          <w:tab w:leader="none" w:pos="76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a writing that is signed by duly authorized representatives of the parties hereto, provided that any benefits or compensation provided to Executive pursuant to the terms of any plan, program, policy, or arrangement may be amended or terminated by the</w:t>
      </w:r>
    </w:p>
    <w:p>
      <w:pPr>
        <w:spacing w:after="0" w:line="121" w:lineRule="exact"/>
        <w:rPr>
          <w:sz w:val="20"/>
          <w:szCs w:val="20"/>
          <w:color w:val="auto"/>
        </w:rPr>
      </w:pPr>
    </w:p>
    <w:p>
      <w:pPr>
        <w:jc w:val="center"/>
        <w:ind w:right="76"/>
        <w:spacing w:after="0"/>
        <w:rPr>
          <w:sz w:val="20"/>
          <w:szCs w:val="20"/>
          <w:color w:val="auto"/>
        </w:rPr>
      </w:pPr>
      <w:r>
        <w:rPr>
          <w:rFonts w:ascii="Arial" w:cs="Arial" w:eastAsia="Arial" w:hAnsi="Arial"/>
          <w:sz w:val="22"/>
          <w:szCs w:val="22"/>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04"/>
          </w:cols>
          <w:pgMar w:left="896" w:top="577" w:right="799" w:bottom="1440" w:gutter="0" w:footer="0" w:header="0"/>
        </w:sectPr>
      </w:pPr>
    </w:p>
    <w:bookmarkStart w:id="183" w:name="page184"/>
    <w:bookmarkEnd w:id="183"/>
    <w:p>
      <w:pPr>
        <w:ind w:left="4" w:right="180"/>
        <w:spacing w:after="0" w:line="236" w:lineRule="auto"/>
        <w:rPr>
          <w:sz w:val="20"/>
          <w:szCs w:val="20"/>
          <w:color w:val="auto"/>
        </w:rPr>
      </w:pPr>
      <w:r>
        <w:rPr>
          <w:rFonts w:ascii="Arial" w:cs="Arial" w:eastAsia="Arial" w:hAnsi="Arial"/>
          <w:sz w:val="22"/>
          <w:szCs w:val="22"/>
          <w:color w:val="auto"/>
        </w:rPr>
        <w:t>Company at any time, in accordance with the terms of such plan, program, policy or arrangement. In entering into this Agreement, no party has relied on or made any representation, warranty, inducement, promise or understanding that is not in this Agreement.</w:t>
      </w:r>
    </w:p>
    <w:p>
      <w:pPr>
        <w:spacing w:after="0" w:line="1" w:lineRule="exact"/>
        <w:rPr>
          <w:sz w:val="20"/>
          <w:szCs w:val="20"/>
          <w:color w:val="auto"/>
        </w:rPr>
      </w:pPr>
    </w:p>
    <w:p>
      <w:pPr>
        <w:ind w:left="4"/>
        <w:spacing w:after="0" w:line="308" w:lineRule="auto"/>
        <w:rPr>
          <w:sz w:val="20"/>
          <w:szCs w:val="20"/>
          <w:color w:val="auto"/>
        </w:rPr>
      </w:pPr>
      <w:r>
        <w:rPr>
          <w:rFonts w:ascii="Arial" w:cs="Arial" w:eastAsia="Arial" w:hAnsi="Arial"/>
          <w:sz w:val="19"/>
          <w:szCs w:val="19"/>
          <w:color w:val="auto"/>
        </w:rPr>
        <w:t>Executive acknowledges that Executive is not subject to any contract, obligation or understanding (whether written or not) that would in any way restrict the performance of Executive's duties as set forth in this Agreement.</w:t>
      </w:r>
    </w:p>
    <w:p>
      <w:pPr>
        <w:spacing w:after="0" w:line="150" w:lineRule="exact"/>
        <w:rPr>
          <w:sz w:val="20"/>
          <w:szCs w:val="20"/>
          <w:color w:val="auto"/>
        </w:rPr>
      </w:pPr>
    </w:p>
    <w:p>
      <w:pPr>
        <w:ind w:left="4" w:right="440" w:hanging="4"/>
        <w:spacing w:after="0"/>
        <w:tabs>
          <w:tab w:leader="none" w:pos="7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of a breach of any term or provision of this Agreement, which must be in writing, will not operate as or be construed to be a waiver of any other previous or subsequent breach of this Agreement.</w:t>
      </w:r>
    </w:p>
    <w:p>
      <w:pPr>
        <w:spacing w:after="0" w:line="213" w:lineRule="exact"/>
        <w:rPr>
          <w:rFonts w:ascii="Arial" w:cs="Arial" w:eastAsia="Arial" w:hAnsi="Arial"/>
          <w:sz w:val="22"/>
          <w:szCs w:val="22"/>
          <w:color w:val="auto"/>
        </w:rPr>
      </w:pPr>
    </w:p>
    <w:p>
      <w:pPr>
        <w:ind w:left="4" w:right="120" w:hanging="4"/>
        <w:spacing w:after="0" w:line="328" w:lineRule="auto"/>
        <w:tabs>
          <w:tab w:leader="none" w:pos="760"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Company's and Executive's obligations under Section 6 and, to the extent provided in Section 6, the Executive's obligations under Sections 9, 10 and 11, will survive the termination of this Agreement.</w:t>
      </w:r>
    </w:p>
    <w:p>
      <w:pPr>
        <w:spacing w:after="0" w:line="132" w:lineRule="exact"/>
        <w:rPr>
          <w:rFonts w:ascii="Arial" w:cs="Arial" w:eastAsia="Arial" w:hAnsi="Arial"/>
          <w:sz w:val="19"/>
          <w:szCs w:val="19"/>
          <w:color w:val="auto"/>
        </w:rPr>
      </w:pPr>
    </w:p>
    <w:p>
      <w:pPr>
        <w:ind w:left="4" w:right="220" w:hanging="4"/>
        <w:spacing w:after="0" w:line="251" w:lineRule="auto"/>
        <w:tabs>
          <w:tab w:leader="none" w:pos="7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200" w:lineRule="exact"/>
        <w:rPr>
          <w:rFonts w:ascii="Arial" w:cs="Arial" w:eastAsia="Arial" w:hAnsi="Arial"/>
          <w:sz w:val="22"/>
          <w:szCs w:val="22"/>
          <w:color w:val="auto"/>
        </w:rPr>
      </w:pPr>
    </w:p>
    <w:p>
      <w:pPr>
        <w:ind w:left="4" w:right="920" w:hanging="4"/>
        <w:spacing w:after="0" w:line="251" w:lineRule="auto"/>
        <w:tabs>
          <w:tab w:leader="none" w:pos="7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All payments made pursuant to this Agreement will be subject to withholding of applicable taxes.</w:t>
      </w:r>
    </w:p>
    <w:p>
      <w:pPr>
        <w:spacing w:after="0" w:line="200" w:lineRule="exact"/>
        <w:rPr>
          <w:rFonts w:ascii="Arial" w:cs="Arial" w:eastAsia="Arial" w:hAnsi="Arial"/>
          <w:sz w:val="22"/>
          <w:szCs w:val="22"/>
          <w:color w:val="auto"/>
        </w:rPr>
      </w:pPr>
    </w:p>
    <w:p>
      <w:pPr>
        <w:ind w:left="4" w:right="440" w:hanging="4"/>
        <w:spacing w:after="0" w:line="274" w:lineRule="auto"/>
        <w:tabs>
          <w:tab w:leader="none" w:pos="760"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New Hampshire without regard to any provisions thereof relating to conflict of laws.</w:t>
      </w:r>
    </w:p>
    <w:p>
      <w:pPr>
        <w:spacing w:after="0" w:line="177" w:lineRule="exact"/>
        <w:rPr>
          <w:rFonts w:ascii="Arial" w:cs="Arial" w:eastAsia="Arial" w:hAnsi="Arial"/>
          <w:sz w:val="21"/>
          <w:szCs w:val="21"/>
          <w:color w:val="auto"/>
        </w:rPr>
      </w:pPr>
    </w:p>
    <w:p>
      <w:pPr>
        <w:ind w:left="4" w:right="40" w:hanging="4"/>
        <w:spacing w:after="0" w:line="277" w:lineRule="auto"/>
        <w:tabs>
          <w:tab w:leader="none" w:pos="760"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Certain Acknowledgment</w:t>
      </w:r>
      <w:r>
        <w:rPr>
          <w:rFonts w:ascii="Arial" w:cs="Arial" w:eastAsia="Arial" w:hAnsi="Arial"/>
          <w:sz w:val="19"/>
          <w:szCs w:val="19"/>
          <w:color w:val="auto"/>
        </w:rPr>
        <w:t>. Executive acknowledges that he has had the opportunity to obtain legal advice with respect to this Agreement, has had sufficient time to read, and has carefully read and fully understands all the provisions of this Agreement, and is knowingly and voluntarily entering into this Agreement. Executive represents that he has no other employment or other agreement, arrangements or undertakings that might restrict or impair his performance of this Agreement or to serve as an employee of the Company. Executive will not in connection with his employment by the Company, use or disclose any confidential, trade secret, or other proprietary information of any previous employer or other Person that Executive is not lawfully entitled to disclose.</w:t>
      </w:r>
    </w:p>
    <w:p>
      <w:pPr>
        <w:spacing w:after="0" w:line="179" w:lineRule="exact"/>
        <w:rPr>
          <w:rFonts w:ascii="Arial" w:cs="Arial" w:eastAsia="Arial" w:hAnsi="Arial"/>
          <w:sz w:val="19"/>
          <w:szCs w:val="19"/>
          <w:color w:val="auto"/>
        </w:rPr>
      </w:pPr>
    </w:p>
    <w:p>
      <w:pPr>
        <w:ind w:left="4" w:right="380" w:hanging="4"/>
        <w:spacing w:after="0"/>
        <w:tabs>
          <w:tab w:leader="none" w:pos="7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each counterpart will have the same force and effect as an original and will constitute an effective, binding agreement on the part of each of the undersigned.</w:t>
      </w:r>
    </w:p>
    <w:p>
      <w:pPr>
        <w:spacing w:after="0" w:line="213" w:lineRule="exact"/>
        <w:rPr>
          <w:rFonts w:ascii="Arial" w:cs="Arial" w:eastAsia="Arial" w:hAnsi="Arial"/>
          <w:sz w:val="22"/>
          <w:szCs w:val="22"/>
          <w:color w:val="auto"/>
        </w:rPr>
      </w:pPr>
    </w:p>
    <w:p>
      <w:pPr>
        <w:ind w:left="4" w:right="80" w:hanging="4"/>
        <w:spacing w:after="0" w:line="236" w:lineRule="auto"/>
        <w:tabs>
          <w:tab w:leader="none" w:pos="7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Certain Disclosures to Governmental Agencies and Others</w:t>
      </w:r>
      <w:r>
        <w:rPr>
          <w:rFonts w:ascii="Arial" w:cs="Arial" w:eastAsia="Arial" w:hAnsi="Arial"/>
          <w:sz w:val="22"/>
          <w:szCs w:val="22"/>
          <w:color w:val="auto"/>
        </w:rPr>
        <w:t>. Notwithstanding anything herein or in any other agreement with or policy (including without limitation any code of conduct or employee manual) of the Company, nothing herein or therein is intended to or shall: (i) prohibit Executive from making reports of possible violations of federal law or regulation (even if Executive participated in such violations) to, and cooperating with, any governmental agency or</w:t>
      </w:r>
    </w:p>
    <w:p>
      <w:pPr>
        <w:spacing w:after="0" w:line="161" w:lineRule="exact"/>
        <w:rPr>
          <w:sz w:val="20"/>
          <w:szCs w:val="20"/>
          <w:color w:val="auto"/>
        </w:rPr>
      </w:pPr>
    </w:p>
    <w:p>
      <w:pPr>
        <w:jc w:val="center"/>
        <w:ind w:right="56"/>
        <w:spacing w:after="0"/>
        <w:rPr>
          <w:sz w:val="20"/>
          <w:szCs w:val="20"/>
          <w:color w:val="auto"/>
        </w:rPr>
      </w:pPr>
      <w:r>
        <w:rPr>
          <w:rFonts w:ascii="Arial" w:cs="Arial" w:eastAsia="Arial" w:hAnsi="Arial"/>
          <w:sz w:val="22"/>
          <w:szCs w:val="22"/>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59055</wp:posOffset>
            </wp:positionV>
            <wp:extent cx="7246620" cy="431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84"/>
          </w:cols>
          <w:pgMar w:left="896" w:top="577" w:right="819" w:bottom="1440" w:gutter="0" w:footer="0" w:header="0"/>
        </w:sectPr>
      </w:pPr>
    </w:p>
    <w:bookmarkStart w:id="184" w:name="page185"/>
    <w:bookmarkEnd w:id="184"/>
    <w:p>
      <w:pPr>
        <w:spacing w:after="0" w:line="272" w:lineRule="auto"/>
        <w:rPr>
          <w:sz w:val="20"/>
          <w:szCs w:val="20"/>
          <w:color w:val="auto"/>
        </w:rPr>
      </w:pPr>
      <w:r>
        <w:rPr>
          <w:rFonts w:ascii="Arial" w:cs="Arial" w:eastAsia="Arial" w:hAnsi="Arial"/>
          <w:sz w:val="19"/>
          <w:szCs w:val="19"/>
          <w:color w:val="auto"/>
        </w:rPr>
        <w:t>entity in accordance with the provisions of and rules promulgated under Section 21F of the Securities Exchange Act of 1934 or Section 806 of the Sarbanes-Oxley Act of 2002 or of any other whistleblower protection provisions of state or federal law or regulation; (ii) require notification to or prior approval by the Company of any such reporting or cooperation; or (iii) result in a waiver or other limitation of Executive’s rights and remedies as a whistleblower, including to a monetary award. Notwithstanding the foregoing, Executive is not authorized (and the above should not be read as permitting Executive) to disclose communications with counsel that were made for the purpose of receiving legal advice or that contain legal advice or that are protected by the attorney work product or similar privilege. Furthermore, Executive will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IN WITNESS WHEREOF, each of the parties has executed this Agreement, in the case of the Company by a duly authorized officer, as of the day and year written below.</w:t>
      </w:r>
    </w:p>
    <w:p>
      <w:pPr>
        <w:sectPr>
          <w:pgSz w:w="11900" w:h="16838" w:orient="portrait"/>
          <w:cols w:equalWidth="0" w:num="1">
            <w:col w:w="10160"/>
          </w:cols>
          <w:pgMar w:left="900" w:top="577" w:right="8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ALBANY INTERNATIONAL CORP.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 Joseph M. Gaug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-17780</wp:posOffset>
            </wp:positionV>
            <wp:extent cx="30492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30492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Joseph M. Gaug</w:t>
      </w:r>
    </w:p>
    <w:p>
      <w:pPr>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3026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330263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A. William Higgins</w:t>
      </w:r>
    </w:p>
    <w:p>
      <w:pPr>
        <w:spacing w:after="0" w:line="179" w:lineRule="exact"/>
        <w:rPr>
          <w:sz w:val="20"/>
          <w:szCs w:val="20"/>
          <w:color w:val="auto"/>
        </w:rPr>
      </w:pPr>
    </w:p>
    <w:p>
      <w:pPr>
        <w:jc w:val="right"/>
        <w:ind w:right="1080"/>
        <w:spacing w:after="0"/>
        <w:rPr>
          <w:sz w:val="20"/>
          <w:szCs w:val="20"/>
          <w:color w:val="auto"/>
        </w:rPr>
      </w:pPr>
      <w:r>
        <w:rPr>
          <w:rFonts w:ascii="Arial" w:cs="Arial" w:eastAsia="Arial" w:hAnsi="Arial"/>
          <w:sz w:val="22"/>
          <w:szCs w:val="22"/>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59055</wp:posOffset>
            </wp:positionV>
            <wp:extent cx="7246620" cy="43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color w:val="auto"/>
        </w:rPr>
        <w:t>Date: January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Date: January 21, 2020</w:t>
      </w:r>
    </w:p>
    <w:p>
      <w:pPr>
        <w:sectPr>
          <w:pgSz w:w="11900" w:h="16838" w:orient="portrait"/>
          <w:cols w:equalWidth="0" w:num="2">
            <w:col w:w="6740" w:space="720"/>
            <w:col w:w="2700"/>
          </w:cols>
          <w:pgMar w:left="900" w:top="577" w:right="839" w:bottom="144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SUBSIDIARIES OF REGISTRANT</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ind w:left="1360"/>
              <w:spacing w:after="0"/>
              <w:rPr>
                <w:sz w:val="20"/>
                <w:szCs w:val="20"/>
                <w:color w:val="auto"/>
              </w:rPr>
            </w:pPr>
            <w:r>
              <w:rPr>
                <w:rFonts w:ascii="Arial" w:cs="Arial" w:eastAsia="Arial" w:hAnsi="Arial"/>
                <w:sz w:val="18"/>
                <w:szCs w:val="18"/>
                <w:b w:val="1"/>
                <w:bCs w:val="1"/>
                <w:color w:val="auto"/>
                <w:w w:val="94"/>
              </w:rPr>
              <w:t>Exhibit 21</w:t>
            </w:r>
          </w:p>
        </w:tc>
      </w:tr>
      <w:tr>
        <w:trPr>
          <w:trHeight w:val="608"/>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Affiliate</w:t>
            </w:r>
          </w:p>
        </w:tc>
        <w:tc>
          <w:tcPr>
            <w:tcW w:w="12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Ownership</w:t>
            </w:r>
          </w:p>
        </w:tc>
        <w:tc>
          <w:tcPr>
            <w:tcW w:w="1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Ownership</w:t>
            </w:r>
          </w:p>
        </w:tc>
        <w:tc>
          <w:tcPr>
            <w:tcW w:w="100" w:type="dxa"/>
            <w:vAlign w:val="bottom"/>
          </w:tcPr>
          <w:p>
            <w:pPr>
              <w:spacing w:after="0"/>
              <w:rPr>
                <w:sz w:val="24"/>
                <w:szCs w:val="24"/>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Country of Incorporation</w:t>
            </w:r>
          </w:p>
        </w:tc>
        <w:tc>
          <w:tcPr>
            <w:tcW w:w="20" w:type="dxa"/>
            <w:vAlign w:val="bottom"/>
          </w:tcPr>
          <w:p>
            <w:pPr>
              <w:spacing w:after="0"/>
              <w:rPr>
                <w:sz w:val="24"/>
                <w:szCs w:val="24"/>
                <w:color w:val="auto"/>
              </w:rPr>
            </w:pPr>
          </w:p>
        </w:tc>
      </w:tr>
      <w:tr>
        <w:trPr>
          <w:trHeight w:val="169"/>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Direct</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Indirect</w:t>
            </w: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Corp.</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Holdings Two,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Research Co.</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Engineered Composites,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Safran Composites, LLC</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Brandon Drying Fabrics, Inc.</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Geschmay Corp.</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Geschmay Forming Fabrics Corp.</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Geschmay Wet Felts, Inc.</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Transglobal Enterprises,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Aerostructures Composites, LLC</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Pty., Ltd.</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Tecidos Tecnicos Ltda.</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Canada Corp.</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(China) Co., Ltd.</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Albany International Engineered Textiles (Hangzhou) Co.,</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Ltd.</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OY</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Finland</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Safran Composites, S.A.S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France, S.A.S.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Germany GmbH</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CirComp GmbH</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ProfileComp Gmbh</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Italia S.r.l.</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Japan Kabushiki Kaisha</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Korea, Inc.</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w w:val="99"/>
              </w:rPr>
              <w:t>Albany Engineered Composites Mexico, S. de R.L. de C.V.</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Safran Composites Mexico, S. de R.L. de C.V.</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w w:val="93"/>
              </w:rPr>
              <w:t>Albany Engineered Composites Services Company, S. de R.L.</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 C.V.</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Mexico Services, S. de R.L. de C.V.</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de Mexico S.A. de C.V.</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B.V.</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Nevo-Cloth Ltd.</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Russia</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S.A. Pty. Ltd.</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AB</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Sweden</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Holding AB</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Sweden</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AI (Switzerland) GmbH</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International Holding (Switzerland) AG</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Europe GmbH</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Albany Engineered Composites Ltd.</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Albany International Ltd.</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20"/>
                <w:szCs w:val="20"/>
                <w:color w:val="auto"/>
              </w:rPr>
            </w:pPr>
          </w:p>
        </w:tc>
      </w:tr>
      <w:tr>
        <w:trPr>
          <w:trHeight w:val="215"/>
        </w:trPr>
        <w:tc>
          <w:tcPr>
            <w:tcW w:w="45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1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14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r>
      <w:tr>
        <w:trPr>
          <w:trHeight w:val="156"/>
        </w:trPr>
        <w:tc>
          <w:tcPr>
            <w:tcW w:w="4580" w:type="dxa"/>
            <w:vAlign w:val="bottom"/>
            <w:tcBorders>
              <w:bottom w:val="single" w:sz="8" w:color="EEEEEE"/>
            </w:tcBorders>
          </w:tcPr>
          <w:p>
            <w:pPr>
              <w:spacing w:after="0"/>
              <w:rPr>
                <w:sz w:val="13"/>
                <w:szCs w:val="13"/>
                <w:color w:val="auto"/>
              </w:rPr>
            </w:pPr>
          </w:p>
        </w:tc>
        <w:tc>
          <w:tcPr>
            <w:tcW w:w="120" w:type="dxa"/>
            <w:vAlign w:val="bottom"/>
            <w:tcBorders>
              <w:bottom w:val="single" w:sz="8" w:color="EEEEEE"/>
            </w:tcBorders>
          </w:tcPr>
          <w:p>
            <w:pPr>
              <w:spacing w:after="0"/>
              <w:rPr>
                <w:sz w:val="13"/>
                <w:szCs w:val="13"/>
                <w:color w:val="auto"/>
              </w:rPr>
            </w:pPr>
          </w:p>
        </w:tc>
        <w:tc>
          <w:tcPr>
            <w:tcW w:w="2180" w:type="dxa"/>
            <w:vAlign w:val="bottom"/>
            <w:tcBorders>
              <w:bottom w:val="single" w:sz="8" w:color="EEEEEE"/>
            </w:tcBorders>
          </w:tcPr>
          <w:p>
            <w:pPr>
              <w:spacing w:after="0"/>
              <w:rPr>
                <w:sz w:val="13"/>
                <w:szCs w:val="13"/>
                <w:color w:val="auto"/>
              </w:rPr>
            </w:pPr>
          </w:p>
        </w:tc>
        <w:tc>
          <w:tcPr>
            <w:tcW w:w="120" w:type="dxa"/>
            <w:vAlign w:val="bottom"/>
            <w:tcBorders>
              <w:bottom w:val="single" w:sz="8" w:color="EEEEEE"/>
            </w:tcBorders>
          </w:tcPr>
          <w:p>
            <w:pPr>
              <w:spacing w:after="0"/>
              <w:rPr>
                <w:sz w:val="13"/>
                <w:szCs w:val="13"/>
                <w:color w:val="auto"/>
              </w:rPr>
            </w:pPr>
          </w:p>
        </w:tc>
        <w:tc>
          <w:tcPr>
            <w:tcW w:w="2160" w:type="dxa"/>
            <w:vAlign w:val="bottom"/>
            <w:tcBorders>
              <w:bottom w:val="single" w:sz="8" w:color="EEEEEE"/>
            </w:tcBorders>
          </w:tcPr>
          <w:p>
            <w:pPr>
              <w:spacing w:after="0"/>
              <w:rPr>
                <w:sz w:val="13"/>
                <w:szCs w:val="13"/>
                <w:color w:val="auto"/>
              </w:rPr>
            </w:pPr>
          </w:p>
        </w:tc>
        <w:tc>
          <w:tcPr>
            <w:tcW w:w="100" w:type="dxa"/>
            <w:vAlign w:val="bottom"/>
            <w:tcBorders>
              <w:bottom w:val="single" w:sz="8" w:color="EEEEEE"/>
            </w:tcBorders>
          </w:tcPr>
          <w:p>
            <w:pPr>
              <w:spacing w:after="0"/>
              <w:rPr>
                <w:sz w:val="13"/>
                <w:szCs w:val="13"/>
                <w:color w:val="auto"/>
              </w:rPr>
            </w:pPr>
          </w:p>
        </w:tc>
        <w:tc>
          <w:tcPr>
            <w:tcW w:w="21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r>
        <w:trPr>
          <w:trHeight w:val="250"/>
        </w:trPr>
        <w:tc>
          <w:tcPr>
            <w:tcW w:w="4580" w:type="dxa"/>
            <w:vAlign w:val="bottom"/>
            <w:tcBorders>
              <w:bottom w:val="single" w:sz="8" w:color="EEEEEE"/>
            </w:tcBorders>
          </w:tcPr>
          <w:p>
            <w:pPr>
              <w:spacing w:after="0"/>
              <w:rPr>
                <w:sz w:val="21"/>
                <w:szCs w:val="21"/>
                <w:color w:val="auto"/>
              </w:rPr>
            </w:pPr>
          </w:p>
        </w:tc>
        <w:tc>
          <w:tcPr>
            <w:tcW w:w="120" w:type="dxa"/>
            <w:vAlign w:val="bottom"/>
            <w:tcBorders>
              <w:bottom w:val="single" w:sz="8" w:color="EEEEEE"/>
            </w:tcBorders>
          </w:tcPr>
          <w:p>
            <w:pPr>
              <w:spacing w:after="0"/>
              <w:rPr>
                <w:sz w:val="21"/>
                <w:szCs w:val="21"/>
                <w:color w:val="auto"/>
              </w:rPr>
            </w:pPr>
          </w:p>
        </w:tc>
        <w:tc>
          <w:tcPr>
            <w:tcW w:w="2180" w:type="dxa"/>
            <w:vAlign w:val="bottom"/>
            <w:tcBorders>
              <w:bottom w:val="single" w:sz="8" w:color="EEEEEE"/>
            </w:tcBorders>
          </w:tcPr>
          <w:p>
            <w:pPr>
              <w:spacing w:after="0"/>
              <w:rPr>
                <w:sz w:val="21"/>
                <w:szCs w:val="21"/>
                <w:color w:val="auto"/>
              </w:rPr>
            </w:pPr>
          </w:p>
        </w:tc>
        <w:tc>
          <w:tcPr>
            <w:tcW w:w="120" w:type="dxa"/>
            <w:vAlign w:val="bottom"/>
            <w:tcBorders>
              <w:bottom w:val="single" w:sz="8" w:color="EEEEEE"/>
            </w:tcBorders>
          </w:tcPr>
          <w:p>
            <w:pPr>
              <w:spacing w:after="0"/>
              <w:rPr>
                <w:sz w:val="21"/>
                <w:szCs w:val="21"/>
                <w:color w:val="auto"/>
              </w:rPr>
            </w:pPr>
          </w:p>
        </w:tc>
        <w:tc>
          <w:tcPr>
            <w:tcW w:w="2160" w:type="dxa"/>
            <w:vAlign w:val="bottom"/>
            <w:tcBorders>
              <w:bottom w:val="single" w:sz="8" w:color="EEEEEE"/>
            </w:tcBorders>
          </w:tcPr>
          <w:p>
            <w:pPr>
              <w:spacing w:after="0"/>
              <w:rPr>
                <w:sz w:val="21"/>
                <w:szCs w:val="21"/>
                <w:color w:val="auto"/>
              </w:rPr>
            </w:pPr>
          </w:p>
        </w:tc>
        <w:tc>
          <w:tcPr>
            <w:tcW w:w="100" w:type="dxa"/>
            <w:vAlign w:val="bottom"/>
            <w:tcBorders>
              <w:bottom w:val="single" w:sz="8" w:color="EEEEEE"/>
            </w:tcBorders>
          </w:tcPr>
          <w:p>
            <w:pPr>
              <w:spacing w:after="0"/>
              <w:rPr>
                <w:sz w:val="21"/>
                <w:szCs w:val="21"/>
                <w:color w:val="auto"/>
              </w:rPr>
            </w:pPr>
          </w:p>
        </w:tc>
        <w:tc>
          <w:tcPr>
            <w:tcW w:w="2140" w:type="dxa"/>
            <w:vAlign w:val="bottom"/>
            <w:tcBorders>
              <w:bottom w:val="single" w:sz="8" w:color="EEEEEE"/>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289165" cy="552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-312420</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-226695</wp:posOffset>
            </wp:positionV>
            <wp:extent cx="7289165" cy="685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28916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289165" cy="5588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Albany International Corp.:</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333-218122, 333-218121, 333-195269, 333-190774, 333-140995, 333-76078, 333-90069, 033-60767) on Form S-8 and in the registration statement (No. 333-231776) on Form S-3ASR of Albany International Corp. and subsidiaries (the Company) of our reports dated February 28, 2020, with respect to the consolidated balance sheets of the Company as of December 31, 2019 and 2018, the related consolidated statements of income, comprehensive income, and cash flows for each of the years in the three-year period ended December 31, 2019, and the related notes and financial statement Schedule II - Valuation and Qualifying Accounts (collectively, the consolidated financial statements), and the effectiveness of internal control over financial reporting as of December 31, 2019, which reports appear in the December 31, 2019 annual report on Form 10-K of the Company.</w:t>
      </w:r>
    </w:p>
    <w:p>
      <w:pPr>
        <w:spacing w:after="0" w:line="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report dated February 28, 2020, on the consolidated financial statements, refers to a change to the method of accounting for revenue as of January 1, 2018.</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report dated February 28, 2020, on the effectiveness of internal control over financial reporting as of December 31, 2019, contains an explanatory paragraph that states that the Company acquired CirComp GmbH (CirComp) during 2019 and management excluded from its assessment of the effectiveness of internal control over financial reporting as of December 31, 2019, CirComp’s internal control over financial reporting associated with total assets of $41.1 million and total net sales of $0.5 million included in the consolidated financial statements of the Company as of and for the year ended December 31, 2019, and that our audit of internal control over financial reporting of the Company also excluded an evaluation of the internal control over financial reporting of CirComp.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147320</wp:posOffset>
            </wp:positionV>
            <wp:extent cx="7289165" cy="685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28916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272020"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289165" cy="552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24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21"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KNOW ALL MEN BY THESE PRESENTS, that each of the undersigned directors and officers of Albany International Corp., a Delaware corporation (“the Registrant”), which contemplates that it will file with the Securities and Exchange Commission (“the SEC”) under, or in connection with, the provisions of the Securities Exchange Act of 1934, as amended, or rules and regulations promulgated thereunder, an Annual Report on Form 10-K for the year ended December 31, 2019 (such report, together with any amendments, supplements, and exhibits thereto, is collectively hereinafter referred to as “Form 10-K”), hereby constitutes and appoints A. William Higgins, Stephen M. Nolan, David M. Pawlick, and Joseph M. Gaug, and each of them with full power to act without the others, his or her true and lawful attorneys-in-fact and agents, with full and several power of substitution, for him or her in his or her name, place, and stead, in any and all capacities, to sign the Form 10-K and any or all other documents relating thereto, with power where appropriate to affix the corporate seal of the Registrant thereto and to attest said seal, and to file the Form 10-K,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72" w:lineRule="exact"/>
        <w:rPr>
          <w:sz w:val="20"/>
          <w:szCs w:val="20"/>
          <w:color w:val="auto"/>
        </w:rPr>
      </w:pPr>
    </w:p>
    <w:p>
      <w:pPr>
        <w:jc w:val="both"/>
        <w:ind w:right="180" w:firstLine="378"/>
        <w:spacing w:after="0" w:line="264" w:lineRule="auto"/>
        <w:rPr>
          <w:sz w:val="20"/>
          <w:szCs w:val="20"/>
          <w:color w:val="auto"/>
        </w:rPr>
      </w:pPr>
      <w:r>
        <w:rPr>
          <w:rFonts w:ascii="Arial" w:cs="Arial" w:eastAsia="Arial" w:hAnsi="Arial"/>
          <w:sz w:val="18"/>
          <w:szCs w:val="18"/>
          <w:color w:val="auto"/>
        </w:rPr>
        <w:t>The appointment of any attorney-in-fact and agent hereunder shall automatically terminate at such time as such attorney-in-fact and agent ceases to be an officer of the Registrant. Any of the undersigned may terminate the appointment of any of his or her attorneys-in-fact and agents hereunder by delivering written notice thereof to the Registrant.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WITNESS WHEREOF, the undersigned have duly executed this Power of Attorney this 28th day of February, 2020.</w:t>
      </w:r>
    </w:p>
    <w:p>
      <w:pPr>
        <w:sectPr>
          <w:pgSz w:w="11900" w:h="16838" w:orient="portrait"/>
          <w:cols w:equalWidth="0" w:num="1">
            <w:col w:w="11420"/>
          </w:cols>
          <w:pgMar w:left="240" w:top="554"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Erland E. Kailbourne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Erland E. Kailbourne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and 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Stephen M. Nolan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Treasurer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John R. Scannell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 Scannell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John F. Cassidy,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F. Cassidy,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W. Krueger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W.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Lee C. Wortham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 C. Wortham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A. William Higgins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2670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David M. Pawlick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 Pawlick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2670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Controller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Christine L. Standish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Christine L. Standish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2670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Katharine L. Plourde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Katharine L. Plourde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2670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Mark J. Murphy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2670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687705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773430</wp:posOffset>
            </wp:positionV>
            <wp:extent cx="7289165" cy="685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289165" cy="6858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970915</wp:posOffset>
            </wp:positionV>
            <wp:extent cx="7272020" cy="51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2">
            <w:col w:w="5560" w:space="720"/>
            <w:col w:w="5140"/>
          </w:cols>
          <w:pgMar w:left="240" w:top="554" w:right="239" w:bottom="1440" w:gutter="0" w:footer="0" w:header="0"/>
          <w:type w:val="continuous"/>
        </w:sectPr>
      </w:pPr>
    </w:p>
    <w:bookmarkStart w:id="188" w:name="page189"/>
    <w:bookmarkEnd w:id="188"/>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289165" cy="552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31(a)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90" w:lineRule="exact"/>
        <w:rPr>
          <w:sz w:val="20"/>
          <w:szCs w:val="20"/>
          <w:color w:val="auto"/>
        </w:rPr>
      </w:pPr>
    </w:p>
    <w:p>
      <w:pPr>
        <w:ind w:left="980" w:hanging="324"/>
        <w:spacing w:after="0"/>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76"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980" w:right="220" w:hanging="324"/>
        <w:spacing w:after="0" w:line="308" w:lineRule="auto"/>
        <w:tabs>
          <w:tab w:leader="none" w:pos="9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980" w:right="80" w:hanging="324"/>
        <w:spacing w:after="0" w:line="264"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40" w:right="80" w:hanging="360"/>
        <w:spacing w:after="0" w:line="264" w:lineRule="auto"/>
        <w:tabs>
          <w:tab w:leader="none" w:pos="13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40" w:right="200" w:hanging="360"/>
        <w:spacing w:after="0" w:line="264" w:lineRule="auto"/>
        <w:tabs>
          <w:tab w:leader="none" w:pos="13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40" w:right="380" w:hanging="360"/>
        <w:spacing w:after="0" w:line="325" w:lineRule="auto"/>
        <w:tabs>
          <w:tab w:leader="none" w:pos="134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40" w:right="80" w:hanging="360"/>
        <w:spacing w:after="0" w:line="264" w:lineRule="auto"/>
        <w:tabs>
          <w:tab w:leader="none" w:pos="13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980" w:right="160" w:hanging="324"/>
        <w:spacing w:after="0" w:line="334" w:lineRule="auto"/>
        <w:tabs>
          <w:tab w:leader="none" w:pos="9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40" w:right="620" w:hanging="360"/>
        <w:spacing w:after="0" w:line="325" w:lineRule="auto"/>
        <w:tabs>
          <w:tab w:leader="none" w:pos="134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40" w:right="320" w:hanging="360"/>
        <w:spacing w:after="0" w:line="277" w:lineRule="auto"/>
        <w:tabs>
          <w:tab w:leader="none" w:pos="13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 William Higgins</w:t>
            </w:r>
          </w:p>
        </w:tc>
        <w:tc>
          <w:tcPr>
            <w:tcW w:w="20" w:type="dxa"/>
            <w:vAlign w:val="bottom"/>
          </w:tcPr>
          <w:p>
            <w:pPr>
              <w:spacing w:after="0"/>
              <w:rPr>
                <w:sz w:val="20"/>
                <w:szCs w:val="20"/>
                <w:color w:val="auto"/>
              </w:rPr>
            </w:pPr>
          </w:p>
        </w:tc>
      </w:tr>
      <w:tr>
        <w:trPr>
          <w:trHeight w:val="195"/>
        </w:trPr>
        <w:tc>
          <w:tcPr>
            <w:tcW w:w="6860" w:type="dxa"/>
            <w:vAlign w:val="bottom"/>
          </w:tcPr>
          <w:p>
            <w:pPr>
              <w:spacing w:after="0"/>
              <w:rPr>
                <w:sz w:val="16"/>
                <w:szCs w:val="16"/>
                <w:color w:val="auto"/>
              </w:rPr>
            </w:pPr>
          </w:p>
        </w:tc>
        <w:tc>
          <w:tcPr>
            <w:tcW w:w="4560" w:type="dxa"/>
            <w:vAlign w:val="bottom"/>
            <w:gridSpan w:val="2"/>
          </w:tcPr>
          <w:p>
            <w:pPr>
              <w:spacing w:after="0" w:line="195" w:lineRule="exact"/>
              <w:rPr>
                <w:sz w:val="20"/>
                <w:szCs w:val="20"/>
                <w:color w:val="auto"/>
              </w:rPr>
            </w:pPr>
            <w:r>
              <w:rPr>
                <w:rFonts w:ascii="Arial" w:cs="Arial" w:eastAsia="Arial" w:hAnsi="Arial"/>
                <w:sz w:val="18"/>
                <w:szCs w:val="18"/>
                <w:color w:val="auto"/>
              </w:rPr>
              <w:t>A. William Higgins</w:t>
            </w:r>
          </w:p>
        </w:tc>
        <w:tc>
          <w:tcPr>
            <w:tcW w:w="20" w:type="dxa"/>
            <w:vAlign w:val="bottom"/>
          </w:tcPr>
          <w:p>
            <w:pPr>
              <w:spacing w:after="0"/>
              <w:rPr>
                <w:sz w:val="16"/>
                <w:szCs w:val="16"/>
                <w:color w:val="auto"/>
              </w:rPr>
            </w:pPr>
          </w:p>
        </w:tc>
      </w:tr>
      <w:tr>
        <w:trPr>
          <w:trHeight w:val="216"/>
        </w:trPr>
        <w:tc>
          <w:tcPr>
            <w:tcW w:w="68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686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230"/>
        </w:trPr>
        <w:tc>
          <w:tcPr>
            <w:tcW w:w="6860" w:type="dxa"/>
            <w:vAlign w:val="bottom"/>
            <w:tcBorders>
              <w:bottom w:val="single" w:sz="8" w:color="EEEEEE"/>
            </w:tcBorders>
          </w:tcPr>
          <w:p>
            <w:pPr>
              <w:spacing w:after="0"/>
              <w:rPr>
                <w:sz w:val="19"/>
                <w:szCs w:val="19"/>
                <w:color w:val="auto"/>
              </w:rPr>
            </w:pPr>
          </w:p>
        </w:tc>
        <w:tc>
          <w:tcPr>
            <w:tcW w:w="454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r>
      <w:tr>
        <w:trPr>
          <w:trHeight w:val="156"/>
        </w:trPr>
        <w:tc>
          <w:tcPr>
            <w:tcW w:w="6860" w:type="dxa"/>
            <w:vAlign w:val="bottom"/>
            <w:tcBorders>
              <w:bottom w:val="single" w:sz="8" w:color="EEEEEE"/>
            </w:tcBorders>
          </w:tcPr>
          <w:p>
            <w:pPr>
              <w:spacing w:after="0"/>
              <w:rPr>
                <w:sz w:val="13"/>
                <w:szCs w:val="13"/>
                <w:color w:val="auto"/>
              </w:rPr>
            </w:pPr>
          </w:p>
        </w:tc>
        <w:tc>
          <w:tcPr>
            <w:tcW w:w="45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r>
        <w:trPr>
          <w:trHeight w:val="250"/>
        </w:trPr>
        <w:tc>
          <w:tcPr>
            <w:tcW w:w="6860" w:type="dxa"/>
            <w:vAlign w:val="bottom"/>
            <w:tcBorders>
              <w:bottom w:val="single" w:sz="8" w:color="EEEEEE"/>
            </w:tcBorders>
          </w:tcPr>
          <w:p>
            <w:pPr>
              <w:spacing w:after="0"/>
              <w:rPr>
                <w:sz w:val="21"/>
                <w:szCs w:val="21"/>
                <w:color w:val="auto"/>
              </w:rPr>
            </w:pPr>
          </w:p>
        </w:tc>
        <w:tc>
          <w:tcPr>
            <w:tcW w:w="4540" w:type="dxa"/>
            <w:vAlign w:val="bottom"/>
            <w:tcBorders>
              <w:bottom w:val="single" w:sz="8" w:color="EEEEEE"/>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-226695</wp:posOffset>
            </wp:positionV>
            <wp:extent cx="7289165" cy="685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28916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189" w:name="page190"/>
    <w:bookmarkEnd w:id="189"/>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289165" cy="5588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31(b)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90" w:lineRule="exact"/>
        <w:rPr>
          <w:sz w:val="20"/>
          <w:szCs w:val="20"/>
          <w:color w:val="auto"/>
        </w:rPr>
      </w:pPr>
    </w:p>
    <w:p>
      <w:pPr>
        <w:ind w:left="980" w:hanging="324"/>
        <w:spacing w:after="0"/>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76"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980" w:right="220" w:hanging="324"/>
        <w:spacing w:after="0" w:line="308" w:lineRule="auto"/>
        <w:tabs>
          <w:tab w:leader="none" w:pos="9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980" w:right="80" w:hanging="324"/>
        <w:spacing w:after="0" w:line="264"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40" w:right="80" w:hanging="360"/>
        <w:spacing w:after="0" w:line="264" w:lineRule="auto"/>
        <w:tabs>
          <w:tab w:leader="none" w:pos="13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40" w:right="200" w:hanging="360"/>
        <w:spacing w:after="0" w:line="264" w:lineRule="auto"/>
        <w:tabs>
          <w:tab w:leader="none" w:pos="13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40" w:right="380" w:hanging="360"/>
        <w:spacing w:after="0" w:line="325" w:lineRule="auto"/>
        <w:tabs>
          <w:tab w:leader="none" w:pos="134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40" w:right="80" w:hanging="360"/>
        <w:spacing w:after="0" w:line="264" w:lineRule="auto"/>
        <w:tabs>
          <w:tab w:leader="none" w:pos="13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980" w:right="160" w:hanging="324"/>
        <w:spacing w:after="0" w:line="334" w:lineRule="auto"/>
        <w:tabs>
          <w:tab w:leader="none" w:pos="9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40" w:right="620" w:hanging="360"/>
        <w:spacing w:after="0" w:line="325" w:lineRule="auto"/>
        <w:tabs>
          <w:tab w:leader="none" w:pos="134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40" w:right="320" w:hanging="360"/>
        <w:spacing w:after="0" w:line="277" w:lineRule="auto"/>
        <w:tabs>
          <w:tab w:leader="none" w:pos="13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M. Nolan</w:t>
            </w:r>
          </w:p>
        </w:tc>
        <w:tc>
          <w:tcPr>
            <w:tcW w:w="20" w:type="dxa"/>
            <w:vAlign w:val="bottom"/>
          </w:tcPr>
          <w:p>
            <w:pPr>
              <w:spacing w:after="0"/>
              <w:rPr>
                <w:sz w:val="20"/>
                <w:szCs w:val="20"/>
                <w:color w:val="auto"/>
              </w:rPr>
            </w:pPr>
          </w:p>
        </w:tc>
      </w:tr>
      <w:tr>
        <w:trPr>
          <w:trHeight w:val="195"/>
        </w:trPr>
        <w:tc>
          <w:tcPr>
            <w:tcW w:w="6860" w:type="dxa"/>
            <w:vAlign w:val="bottom"/>
          </w:tcPr>
          <w:p>
            <w:pPr>
              <w:spacing w:after="0"/>
              <w:rPr>
                <w:sz w:val="16"/>
                <w:szCs w:val="16"/>
                <w:color w:val="auto"/>
              </w:rPr>
            </w:pPr>
          </w:p>
        </w:tc>
        <w:tc>
          <w:tcPr>
            <w:tcW w:w="4560" w:type="dxa"/>
            <w:vAlign w:val="bottom"/>
            <w:gridSpan w:val="2"/>
          </w:tcPr>
          <w:p>
            <w:pPr>
              <w:spacing w:after="0" w:line="195" w:lineRule="exact"/>
              <w:rPr>
                <w:sz w:val="20"/>
                <w:szCs w:val="20"/>
                <w:color w:val="auto"/>
              </w:rPr>
            </w:pPr>
            <w:r>
              <w:rPr>
                <w:rFonts w:ascii="Arial" w:cs="Arial" w:eastAsia="Arial" w:hAnsi="Arial"/>
                <w:sz w:val="18"/>
                <w:szCs w:val="18"/>
                <w:color w:val="auto"/>
              </w:rPr>
              <w:t>Stephen M. Nolan</w:t>
            </w:r>
          </w:p>
        </w:tc>
        <w:tc>
          <w:tcPr>
            <w:tcW w:w="20" w:type="dxa"/>
            <w:vAlign w:val="bottom"/>
          </w:tcPr>
          <w:p>
            <w:pPr>
              <w:spacing w:after="0"/>
              <w:rPr>
                <w:sz w:val="16"/>
                <w:szCs w:val="16"/>
                <w:color w:val="auto"/>
              </w:rPr>
            </w:pPr>
          </w:p>
        </w:tc>
      </w:tr>
      <w:tr>
        <w:trPr>
          <w:trHeight w:val="216"/>
        </w:trPr>
        <w:tc>
          <w:tcPr>
            <w:tcW w:w="68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8"/>
                <w:szCs w:val="18"/>
                <w:color w:val="auto"/>
              </w:rPr>
            </w:pPr>
          </w:p>
        </w:tc>
      </w:tr>
      <w:tr>
        <w:trPr>
          <w:trHeight w:val="230"/>
        </w:trPr>
        <w:tc>
          <w:tcPr>
            <w:tcW w:w="686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230"/>
        </w:trPr>
        <w:tc>
          <w:tcPr>
            <w:tcW w:w="6860" w:type="dxa"/>
            <w:vAlign w:val="bottom"/>
            <w:tcBorders>
              <w:bottom w:val="single" w:sz="8" w:color="EEEEEE"/>
            </w:tcBorders>
          </w:tcPr>
          <w:p>
            <w:pPr>
              <w:spacing w:after="0"/>
              <w:rPr>
                <w:sz w:val="19"/>
                <w:szCs w:val="19"/>
                <w:color w:val="auto"/>
              </w:rPr>
            </w:pPr>
          </w:p>
        </w:tc>
        <w:tc>
          <w:tcPr>
            <w:tcW w:w="454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r>
      <w:tr>
        <w:trPr>
          <w:trHeight w:val="156"/>
        </w:trPr>
        <w:tc>
          <w:tcPr>
            <w:tcW w:w="6860" w:type="dxa"/>
            <w:vAlign w:val="bottom"/>
            <w:tcBorders>
              <w:bottom w:val="single" w:sz="8" w:color="EEEEEE"/>
            </w:tcBorders>
          </w:tcPr>
          <w:p>
            <w:pPr>
              <w:spacing w:after="0"/>
              <w:rPr>
                <w:sz w:val="13"/>
                <w:szCs w:val="13"/>
                <w:color w:val="auto"/>
              </w:rPr>
            </w:pPr>
          </w:p>
        </w:tc>
        <w:tc>
          <w:tcPr>
            <w:tcW w:w="45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r>
        <w:trPr>
          <w:trHeight w:val="250"/>
        </w:trPr>
        <w:tc>
          <w:tcPr>
            <w:tcW w:w="6860" w:type="dxa"/>
            <w:vAlign w:val="bottom"/>
            <w:tcBorders>
              <w:bottom w:val="single" w:sz="8" w:color="EEEEEE"/>
            </w:tcBorders>
          </w:tcPr>
          <w:p>
            <w:pPr>
              <w:spacing w:after="0"/>
              <w:rPr>
                <w:sz w:val="21"/>
                <w:szCs w:val="21"/>
                <w:color w:val="auto"/>
              </w:rPr>
            </w:pPr>
          </w:p>
        </w:tc>
        <w:tc>
          <w:tcPr>
            <w:tcW w:w="4540" w:type="dxa"/>
            <w:vAlign w:val="bottom"/>
            <w:tcBorders>
              <w:bottom w:val="single" w:sz="8" w:color="EEEEEE"/>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-226695</wp:posOffset>
            </wp:positionV>
            <wp:extent cx="7289165" cy="685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28916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90" w:name="page191"/>
    <w:bookmarkEnd w:id="190"/>
    <w:p>
      <w:pPr>
        <w:ind w:left="10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289165" cy="552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32(a)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03" w:lineRule="exact"/>
        <w:rPr>
          <w:sz w:val="20"/>
          <w:szCs w:val="20"/>
          <w:color w:val="auto"/>
        </w:rPr>
      </w:pPr>
    </w:p>
    <w:p>
      <w:pPr>
        <w:ind w:right="220" w:firstLine="378"/>
        <w:spacing w:after="0" w:line="255"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A. William Higgins, the Chief Executive Officer, and Stephen M. Nolan, the Chief Financial Officer and Treasurer, of Albany International Corp., a Delaware corporation (“the Company”), do each hereby certify, to such officer’s knowledge, that the annual report on Form 10-K for the fiscal year ended December 31, 2019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2020</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 William Higgins</w:t>
            </w:r>
          </w:p>
        </w:tc>
        <w:tc>
          <w:tcPr>
            <w:tcW w:w="2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A. William Higgins</w:t>
            </w:r>
          </w:p>
        </w:tc>
        <w:tc>
          <w:tcPr>
            <w:tcW w:w="20" w:type="dxa"/>
            <w:vAlign w:val="bottom"/>
          </w:tcPr>
          <w:p>
            <w:pPr>
              <w:spacing w:after="0"/>
              <w:rPr>
                <w:sz w:val="16"/>
                <w:szCs w:val="16"/>
                <w:color w:val="auto"/>
              </w:rPr>
            </w:pPr>
          </w:p>
        </w:tc>
      </w:tr>
      <w:tr>
        <w:trPr>
          <w:trHeight w:val="216"/>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432"/>
        </w:trPr>
        <w:tc>
          <w:tcPr>
            <w:tcW w:w="6280" w:type="dxa"/>
            <w:vAlign w:val="bottom"/>
          </w:tcPr>
          <w:p>
            <w:pPr>
              <w:ind w:left="5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M. Nolan</w:t>
            </w:r>
          </w:p>
        </w:tc>
        <w:tc>
          <w:tcPr>
            <w:tcW w:w="20" w:type="dxa"/>
            <w:vAlign w:val="bottom"/>
          </w:tcPr>
          <w:p>
            <w:pPr>
              <w:spacing w:after="0"/>
              <w:rPr>
                <w:sz w:val="24"/>
                <w:szCs w:val="24"/>
                <w:color w:val="auto"/>
              </w:rPr>
            </w:pP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Stephen M. Nolan</w:t>
            </w:r>
          </w:p>
        </w:tc>
        <w:tc>
          <w:tcPr>
            <w:tcW w:w="20" w:type="dxa"/>
            <w:vAlign w:val="bottom"/>
          </w:tcPr>
          <w:p>
            <w:pPr>
              <w:spacing w:after="0"/>
              <w:rPr>
                <w:sz w:val="16"/>
                <w:szCs w:val="16"/>
                <w:color w:val="auto"/>
              </w:rPr>
            </w:pPr>
          </w:p>
        </w:tc>
      </w:tr>
      <w:tr>
        <w:trPr>
          <w:trHeight w:val="216"/>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230"/>
        </w:trPr>
        <w:tc>
          <w:tcPr>
            <w:tcW w:w="6280" w:type="dxa"/>
            <w:vAlign w:val="bottom"/>
            <w:tcBorders>
              <w:bottom w:val="single" w:sz="8" w:color="EEEEEE"/>
            </w:tcBorders>
          </w:tcPr>
          <w:p>
            <w:pPr>
              <w:spacing w:after="0"/>
              <w:rPr>
                <w:sz w:val="19"/>
                <w:szCs w:val="19"/>
                <w:color w:val="auto"/>
              </w:rPr>
            </w:pPr>
          </w:p>
        </w:tc>
        <w:tc>
          <w:tcPr>
            <w:tcW w:w="51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r>
      <w:tr>
        <w:trPr>
          <w:trHeight w:val="156"/>
        </w:trPr>
        <w:tc>
          <w:tcPr>
            <w:tcW w:w="6280" w:type="dxa"/>
            <w:vAlign w:val="bottom"/>
            <w:tcBorders>
              <w:bottom w:val="single" w:sz="8" w:color="EEEEEE"/>
            </w:tcBorders>
          </w:tcPr>
          <w:p>
            <w:pPr>
              <w:spacing w:after="0"/>
              <w:rPr>
                <w:sz w:val="13"/>
                <w:szCs w:val="13"/>
                <w:color w:val="auto"/>
              </w:rPr>
            </w:pPr>
          </w:p>
        </w:tc>
        <w:tc>
          <w:tcPr>
            <w:tcW w:w="512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r>
        <w:trPr>
          <w:trHeight w:val="264"/>
        </w:trPr>
        <w:tc>
          <w:tcPr>
            <w:tcW w:w="6280" w:type="dxa"/>
            <w:vAlign w:val="bottom"/>
            <w:tcBorders>
              <w:bottom w:val="single" w:sz="8" w:color="EEEEEE"/>
            </w:tcBorders>
          </w:tcPr>
          <w:p>
            <w:pPr>
              <w:spacing w:after="0"/>
              <w:rPr>
                <w:sz w:val="22"/>
                <w:szCs w:val="22"/>
                <w:color w:val="auto"/>
              </w:rPr>
            </w:pPr>
          </w:p>
        </w:tc>
        <w:tc>
          <w:tcPr>
            <w:tcW w:w="5120" w:type="dxa"/>
            <w:vAlign w:val="bottom"/>
            <w:tcBorders>
              <w:bottom w:val="single" w:sz="8" w:color="EEEE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7289165" cy="685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28916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sectPr>
      <w:pgSz w:w="11900" w:h="16838" w:orient="portrait"/>
      <w:cols w:equalWidth="0" w:num="1">
        <w:col w:w="11440"/>
      </w:cols>
      <w:pgMar w:left="240" w:top="55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1)"/>
      <w:numFmt w:val="decimal"/>
      <w:start w:val="1"/>
    </w:lvl>
  </w:abstractNum>
  <w:abstractNum w:abstractNumId="5">
    <w:nsid w:val="7F01579B"/>
    <w:multiLevelType w:val="hybridMultilevel"/>
    <w:lvl w:ilvl="0">
      <w:lvlJc w:val="left"/>
      <w:lvlText w:val="(%1)"/>
      <w:numFmt w:val="decimal"/>
      <w:start w:val="5"/>
    </w:lvl>
  </w:abstractNum>
  <w:abstractNum w:abstractNumId="6">
    <w:nsid w:val="49DA307D"/>
    <w:multiLevelType w:val="hybridMultilevel"/>
    <w:lvl w:ilvl="0">
      <w:lvlJc w:val="left"/>
      <w:lvlText w:val="•"/>
      <w:numFmt w:val="bullet"/>
      <w:start w:val="1"/>
    </w:lvl>
    <w:lvl w:ilvl="1">
      <w:lvlJc w:val="left"/>
      <w:lvlText w:val="•"/>
      <w:numFmt w:val="bullet"/>
      <w:start w:val="1"/>
    </w:lvl>
  </w:abstractNum>
  <w:abstractNum w:abstractNumId="7">
    <w:nsid w:val="7055A5F5"/>
    <w:multiLevelType w:val="hybridMultilevel"/>
    <w:lvl w:ilvl="0">
      <w:lvlJc w:val="left"/>
      <w:lvlText w:val="•"/>
      <w:numFmt w:val="bullet"/>
      <w:start w:val="1"/>
    </w:lvl>
    <w:lvl w:ilvl="1">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lvl w:ilvl="1">
      <w:lvlJc w:val="left"/>
      <w:lvlText w:val="•"/>
      <w:numFmt w:val="bullet"/>
      <w:start w:val="1"/>
    </w:lvl>
  </w:abstractNum>
  <w:abstractNum w:abstractNumId="10">
    <w:nsid w:val="488AC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1)"/>
      <w:numFmt w:val="lowerLetter"/>
      <w:start w:val="1"/>
    </w:lvl>
  </w:abstractNum>
  <w:abstractNum w:abstractNumId="32">
    <w:nsid w:val="2A155DBC"/>
    <w:multiLevelType w:val="hybridMultilevel"/>
    <w:lvl w:ilvl="0">
      <w:lvlJc w:val="left"/>
      <w:lvlText w:val="(%1)"/>
      <w:numFmt w:val="lowerLetter"/>
      <w:start w:val="1"/>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1."/>
      <w:numFmt w:val="decimal"/>
      <w:start w:val="1"/>
    </w:lvl>
  </w:abstractNum>
  <w:abstractNum w:abstractNumId="35">
    <w:nsid w:val="51088277"/>
    <w:multiLevelType w:val="hybridMultilevel"/>
    <w:lvl w:ilvl="0">
      <w:lvlJc w:val="left"/>
      <w:lvlText w:val="%1."/>
      <w:numFmt w:val="decimal"/>
      <w:start w:val="1"/>
    </w:lvl>
  </w:abstractNum>
  <w:abstractNum w:abstractNumId="36">
    <w:nsid w:val="1CA0C5FA"/>
    <w:multiLevelType w:val="hybridMultilevel"/>
    <w:lvl w:ilvl="0">
      <w:lvlJc w:val="left"/>
      <w:lvlText w:val="%1."/>
      <w:numFmt w:val="decimal"/>
      <w:start w:val="1"/>
    </w:lvl>
  </w:abstractNum>
  <w:abstractNum w:abstractNumId="37">
    <w:nsid w:val="53584BCB"/>
    <w:multiLevelType w:val="hybridMultilevel"/>
    <w:lvl w:ilvl="0">
      <w:lvlJc w:val="left"/>
      <w:lvlText w:val="%1."/>
      <w:numFmt w:val="decimal"/>
      <w:start w:val="1"/>
    </w:lvl>
  </w:abstractNum>
  <w:abstractNum w:abstractNumId="38">
    <w:nsid w:val="415E286C"/>
    <w:multiLevelType w:val="hybridMultilevel"/>
    <w:lvl w:ilvl="0">
      <w:lvlJc w:val="left"/>
      <w:lvlText w:val="%1."/>
      <w:numFmt w:val="decimal"/>
      <w:start w:val="1"/>
    </w:lvl>
  </w:abstractNum>
  <w:abstractNum w:abstractNumId="39">
    <w:nsid w:val="7C58FD05"/>
    <w:multiLevelType w:val="hybridMultilevel"/>
    <w:lvl w:ilvl="0">
      <w:lvlJc w:val="left"/>
      <w:lvlText w:val="(%1)"/>
      <w:numFmt w:val="lowerLetter"/>
      <w:start w:val="1"/>
    </w:lvl>
  </w:abstractNum>
  <w:abstractNum w:abstractNumId="40">
    <w:nsid w:val="23D86AAC"/>
    <w:multiLevelType w:val="hybridMultilevel"/>
    <w:lvl w:ilvl="0">
      <w:lvlJc w:val="left"/>
      <w:lvlText w:val="%1."/>
      <w:numFmt w:val="decimal"/>
      <w:start w:val="4"/>
    </w:lvl>
  </w:abstractNum>
  <w:abstractNum w:abstractNumId="41">
    <w:nsid w:val="45E6D486"/>
    <w:multiLevelType w:val="hybridMultilevel"/>
    <w:lvl w:ilvl="0">
      <w:lvlJc w:val="left"/>
      <w:lvlText w:val="%1."/>
      <w:numFmt w:val="decimal"/>
      <w:start w:val="4"/>
    </w:lvl>
  </w:abstractNum>
  <w:abstractNum w:abstractNumId="42">
    <w:nsid w:val="5C10FE21"/>
    <w:multiLevelType w:val="hybridMultilevel"/>
    <w:lvl w:ilvl="0">
      <w:lvlJc w:val="left"/>
      <w:lvlText w:val="%1."/>
      <w:numFmt w:val="decimal"/>
      <w:start w:val="4"/>
    </w:lvl>
  </w:abstractNum>
  <w:abstractNum w:abstractNumId="43">
    <w:nsid w:val="E7FFA2B"/>
    <w:multiLevelType w:val="hybridMultilevel"/>
    <w:lvl w:ilvl="0">
      <w:lvlJc w:val="left"/>
      <w:lvlText w:val="(%1)"/>
      <w:numFmt w:val="decimal"/>
      <w:start w:val="1"/>
    </w:lvl>
  </w:abstractNum>
  <w:abstractNum w:abstractNumId="44">
    <w:nsid w:val="3C5991AA"/>
    <w:multiLevelType w:val="hybridMultilevel"/>
    <w:lvl w:ilvl="0">
      <w:lvlJc w:val="left"/>
      <w:lvlText w:val="(%1)"/>
      <w:numFmt w:val="lowerLetter"/>
      <w:start w:val="1"/>
    </w:lvl>
  </w:abstractNum>
  <w:abstractNum w:abstractNumId="45">
    <w:nsid w:val="4BD8591A"/>
    <w:multiLevelType w:val="hybridMultilevel"/>
    <w:lvl w:ilvl="0">
      <w:lvlJc w:val="left"/>
      <w:lvlText w:val="(%1)"/>
      <w:numFmt w:val="lowerLetter"/>
      <w:start w:val="1"/>
    </w:lvl>
  </w:abstractNum>
  <w:abstractNum w:abstractNumId="46">
    <w:nsid w:val="78DF6A55"/>
    <w:multiLevelType w:val="hybridMultilevel"/>
    <w:lvl w:ilvl="0">
      <w:lvlJc w:val="left"/>
      <w:lvlText w:val="•"/>
      <w:numFmt w:val="bullet"/>
      <w:start w:val="1"/>
    </w:lvl>
  </w:abstractNum>
  <w:abstractNum w:abstractNumId="47">
    <w:nsid w:val="39B7AAA2"/>
    <w:multiLevelType w:val="hybridMultilevel"/>
    <w:lvl w:ilvl="0">
      <w:lvlJc w:val="left"/>
      <w:lvlText w:val="%1."/>
      <w:numFmt w:val="decimal"/>
      <w:start w:val="21"/>
    </w:lvl>
  </w:abstractNum>
  <w:abstractNum w:abstractNumId="48">
    <w:nsid w:val="2B0D8DBE"/>
    <w:multiLevelType w:val="hybridMultilevel"/>
    <w:lvl w:ilvl="0">
      <w:lvlJc w:val="left"/>
      <w:lvlText w:val="%1."/>
      <w:numFmt w:val="decimal"/>
      <w:start w:val="22"/>
    </w:lvl>
  </w:abstractNum>
  <w:abstractNum w:abstractNumId="49">
    <w:nsid w:val="6C80EC70"/>
    <w:multiLevelType w:val="hybridMultilevel"/>
    <w:lvl w:ilvl="0">
      <w:lvlJc w:val="left"/>
      <w:lvlText w:val="(%1)"/>
      <w:numFmt w:val="lowerLetter"/>
      <w:start w:val="1"/>
    </w:lvl>
  </w:abstractNum>
  <w:abstractNum w:abstractNumId="50">
    <w:nsid w:val="379E21B5"/>
    <w:multiLevelType w:val="hybridMultilevel"/>
    <w:lvl w:ilvl="0">
      <w:lvlJc w:val="left"/>
      <w:lvlText w:val="(%1)"/>
      <w:numFmt w:val="lowerLetter"/>
      <w:start w:val="2"/>
    </w:lvl>
  </w:abstractNum>
  <w:abstractNum w:abstractNumId="51">
    <w:nsid w:val="69E373"/>
    <w:multiLevelType w:val="hybridMultilevel"/>
    <w:lvl w:ilvl="0">
      <w:lvlJc w:val="left"/>
      <w:lvlText w:val="%1)"/>
      <w:numFmt w:val="lowerLetter"/>
      <w:start w:val="1"/>
    </w:lvl>
  </w:abstractNum>
  <w:abstractNum w:abstractNumId="52">
    <w:nsid w:val="2C27173B"/>
    <w:multiLevelType w:val="hybridMultilevel"/>
    <w:lvl w:ilvl="0">
      <w:lvlJc w:val="left"/>
      <w:lvlText w:val="(%1)"/>
      <w:numFmt w:val="decimal"/>
      <w:start w:val="1"/>
    </w:lvl>
  </w:abstractNum>
  <w:abstractNum w:abstractNumId="53">
    <w:nsid w:val="4C9B0904"/>
    <w:multiLevelType w:val="hybridMultilevel"/>
    <w:lvl w:ilvl="0">
      <w:lvlJc w:val="left"/>
      <w:lvlText w:val="(%1)"/>
      <w:numFmt w:val="decimal"/>
      <w:start w:val="5"/>
    </w:lvl>
  </w:abstractNum>
  <w:abstractNum w:abstractNumId="54">
    <w:nsid w:val="6AA7B75C"/>
    <w:multiLevelType w:val="hybridMultilevel"/>
    <w:lvl w:ilvl="0">
      <w:lvlJc w:val="left"/>
      <w:lvlText w:val="%1"/>
      <w:numFmt w:val="decimal"/>
      <w:start w:val="11"/>
    </w:lvl>
  </w:abstractNum>
  <w:abstractNum w:abstractNumId="55">
    <w:nsid w:val="1DF029D3"/>
    <w:multiLevelType w:val="hybridMultilevel"/>
    <w:lvl w:ilvl="0">
      <w:lvlJc w:val="left"/>
      <w:lvlText w:val="%1"/>
      <w:numFmt w:val="decimal"/>
      <w:start w:val="21"/>
    </w:lvl>
  </w:abstractNum>
  <w:abstractNum w:abstractNumId="56">
    <w:nsid w:val="5675FF36"/>
    <w:multiLevelType w:val="hybridMultilevel"/>
    <w:lvl w:ilvl="0">
      <w:lvlJc w:val="left"/>
      <w:lvlText w:val="%1"/>
      <w:numFmt w:val="decimal"/>
      <w:start w:val="23"/>
    </w:lvl>
  </w:abstractNum>
  <w:abstractNum w:abstractNumId="57">
    <w:nsid w:val="3DD15094"/>
    <w:multiLevelType w:val="hybridMultilevel"/>
    <w:lvl w:ilvl="0">
      <w:lvlJc w:val="left"/>
      <w:lvlText w:val="*"/>
      <w:numFmt w:val="bullet"/>
      <w:start w:val="1"/>
    </w:lvl>
  </w:abstractNum>
  <w:abstractNum w:abstractNumId="58">
    <w:nsid w:val="3DB012B3"/>
    <w:multiLevelType w:val="hybridMultilevel"/>
    <w:lvl w:ilvl="0">
      <w:lvlJc w:val="left"/>
      <w:lvlText w:val="(%1)"/>
      <w:numFmt w:val="upperLetter"/>
      <w:start w:val="1"/>
    </w:lvl>
  </w:abstractNum>
  <w:abstractNum w:abstractNumId="59">
    <w:nsid w:val="2708C9AF"/>
    <w:multiLevelType w:val="hybridMultilevel"/>
    <w:lvl w:ilvl="0">
      <w:lvlJc w:val="left"/>
      <w:lvlText w:val="•"/>
      <w:numFmt w:val="bullet"/>
      <w:start w:val="1"/>
    </w:lvl>
  </w:abstractNum>
  <w:abstractNum w:abstractNumId="60">
    <w:nsid w:val="5B25ACE2"/>
    <w:multiLevelType w:val="hybridMultilevel"/>
    <w:lvl w:ilvl="0">
      <w:lvlJc w:val="left"/>
      <w:lvlText w:val="%1."/>
      <w:numFmt w:val="decimal"/>
      <w:start w:val="1"/>
    </w:lvl>
  </w:abstractNum>
  <w:abstractNum w:abstractNumId="61">
    <w:nsid w:val="175DFCF0"/>
    <w:multiLevelType w:val="hybridMultilevel"/>
    <w:lvl w:ilvl="0">
      <w:lvlJc w:val="left"/>
      <w:lvlText w:val="%1."/>
      <w:numFmt w:val="decimal"/>
      <w:start w:val="2"/>
    </w:lvl>
  </w:abstractNum>
  <w:abstractNum w:abstractNumId="62">
    <w:nsid w:val="4F97E3E4"/>
    <w:multiLevelType w:val="hybridMultilevel"/>
    <w:lvl w:ilvl="0">
      <w:lvlJc w:val="left"/>
      <w:lvlText w:val="%1."/>
      <w:numFmt w:val="lowerLetter"/>
      <w:start w:val="1"/>
    </w:lvl>
  </w:abstractNum>
  <w:abstractNum w:abstractNumId="63">
    <w:nsid w:val="53B0A9E"/>
    <w:multiLevelType w:val="hybridMultilevel"/>
    <w:lvl w:ilvl="0">
      <w:lvlJc w:val="left"/>
      <w:lvlText w:val="%1."/>
      <w:numFmt w:val="decimal"/>
      <w:start w:val="4"/>
    </w:lvl>
  </w:abstractNum>
  <w:abstractNum w:abstractNumId="64">
    <w:nsid w:val="34FD6B4F"/>
    <w:multiLevelType w:val="hybridMultilevel"/>
    <w:lvl w:ilvl="0">
      <w:lvlJc w:val="left"/>
      <w:lvlText w:val="%1."/>
      <w:numFmt w:val="decimal"/>
      <w:start w:val="7"/>
    </w:lvl>
  </w:abstractNum>
  <w:abstractNum w:abstractNumId="65">
    <w:nsid w:val="5915FF32"/>
    <w:multiLevelType w:val="hybridMultilevel"/>
    <w:lvl w:ilvl="0">
      <w:lvlJc w:val="left"/>
      <w:lvlText w:val="%1."/>
      <w:numFmt w:val="decimal"/>
      <w:start w:val="8"/>
    </w:lvl>
  </w:abstractNum>
  <w:abstractNum w:abstractNumId="66">
    <w:nsid w:val="56438D15"/>
    <w:multiLevelType w:val="hybridMultilevel"/>
    <w:lvl w:ilvl="0">
      <w:lvlJc w:val="left"/>
      <w:lvlText w:val="%1."/>
      <w:numFmt w:val="decimal"/>
      <w:start w:val="14"/>
    </w:lvl>
  </w:abstractNum>
  <w:abstractNum w:abstractNumId="67">
    <w:nsid w:val="519E3149"/>
    <w:multiLevelType w:val="hybridMultilevel"/>
    <w:lvl w:ilvl="0">
      <w:lvlJc w:val="left"/>
      <w:lvlText w:val="%1."/>
      <w:numFmt w:val="decimal"/>
      <w:start w:val="1"/>
    </w:lvl>
  </w:abstractNum>
  <w:abstractNum w:abstractNumId="68">
    <w:nsid w:val="2C6E4AFD"/>
    <w:multiLevelType w:val="hybridMultilevel"/>
    <w:lvl w:ilvl="0">
      <w:lvlJc w:val="left"/>
      <w:lvlText w:val="%1"/>
      <w:numFmt w:val="decimal"/>
      <w:start w:val="1"/>
    </w:lvl>
    <w:lvl w:ilvl="1">
      <w:lvlJc w:val="left"/>
      <w:lvlText w:val="(%2)"/>
      <w:numFmt w:val="lowerLetter"/>
      <w:start w:val="1"/>
    </w:lvl>
  </w:abstractNum>
  <w:abstractNum w:abstractNumId="69">
    <w:nsid w:val="17A1B582"/>
    <w:multiLevelType w:val="hybridMultilevel"/>
    <w:lvl w:ilvl="0">
      <w:lvlJc w:val="left"/>
      <w:lvlText w:val="%1."/>
      <w:numFmt w:val="decimal"/>
      <w:start w:val="2"/>
    </w:lvl>
    <w:lvl w:ilvl="1">
      <w:lvlJc w:val="left"/>
      <w:lvlText w:val="%2"/>
      <w:numFmt w:val="lowerLetter"/>
      <w:start w:val="1"/>
    </w:lvl>
  </w:abstractNum>
  <w:abstractNum w:abstractNumId="70">
    <w:nsid w:val="4DF72E4E"/>
    <w:multiLevelType w:val="hybridMultilevel"/>
    <w:lvl w:ilvl="0">
      <w:lvlJc w:val="left"/>
      <w:lvlText w:val="%1."/>
      <w:numFmt w:val="decimal"/>
      <w:start w:val="3"/>
    </w:lvl>
    <w:lvl w:ilvl="1">
      <w:lvlJc w:val="left"/>
      <w:lvlText w:val="(%2)"/>
      <w:numFmt w:val="lowerLetter"/>
      <w:start w:val="1"/>
    </w:lvl>
  </w:abstractNum>
  <w:abstractNum w:abstractNumId="71">
    <w:nsid w:val="5046B5A9"/>
    <w:multiLevelType w:val="hybridMultilevel"/>
    <w:lvl w:ilvl="0">
      <w:lvlJc w:val="left"/>
      <w:lvlText w:val="%1."/>
      <w:numFmt w:val="decimal"/>
      <w:start w:val="6"/>
    </w:lvl>
  </w:abstractNum>
  <w:abstractNum w:abstractNumId="72">
    <w:nsid w:val="5D888A08"/>
    <w:multiLevelType w:val="hybridMultilevel"/>
    <w:lvl w:ilvl="0">
      <w:lvlJc w:val="left"/>
      <w:lvlText w:val="%1."/>
      <w:numFmt w:val="decimal"/>
      <w:start w:val="8"/>
    </w:lvl>
  </w:abstractNum>
  <w:abstractNum w:abstractNumId="73">
    <w:nsid w:val="2A082C70"/>
    <w:multiLevelType w:val="hybridMultilevel"/>
    <w:lvl w:ilvl="0">
      <w:lvlJc w:val="left"/>
      <w:lvlText w:val="%1."/>
      <w:numFmt w:val="decimal"/>
      <w:start w:val="9"/>
    </w:lvl>
  </w:abstractNum>
  <w:abstractNum w:abstractNumId="74">
    <w:nsid w:val="5EC6AFD4"/>
    <w:multiLevelType w:val="hybridMultilevel"/>
    <w:lvl w:ilvl="0">
      <w:lvlJc w:val="left"/>
      <w:lvlText w:val="%1."/>
      <w:numFmt w:val="decimal"/>
      <w:start w:val="13"/>
    </w:lvl>
  </w:abstractNum>
  <w:abstractNum w:abstractNumId="75">
    <w:nsid w:val="19E21BB2"/>
    <w:multiLevelType w:val="hybridMultilevel"/>
    <w:lvl w:ilvl="0">
      <w:lvlJc w:val="left"/>
      <w:lvlText w:val="(%1)"/>
      <w:numFmt w:val="upperLetter"/>
      <w:start w:val="1"/>
    </w:lvl>
  </w:abstractNum>
  <w:abstractNum w:abstractNumId="76">
    <w:nsid w:val="75E0858A"/>
    <w:multiLevelType w:val="hybridMultilevel"/>
    <w:lvl w:ilvl="0">
      <w:lvlJc w:val="left"/>
      <w:lvlText w:val="(%1)"/>
      <w:numFmt w:val="decimal"/>
      <w:start w:val="6"/>
    </w:lvl>
  </w:abstractNum>
  <w:abstractNum w:abstractNumId="77">
    <w:nsid w:val="57A61A29"/>
    <w:multiLevelType w:val="hybridMultilevel"/>
    <w:lvl w:ilvl="0">
      <w:lvlJc w:val="left"/>
      <w:lvlText w:val="(%1)"/>
      <w:numFmt w:val="upperLetter"/>
      <w:start w:val="24"/>
    </w:lvl>
  </w:abstractNum>
  <w:abstractNum w:abstractNumId="78">
    <w:nsid w:val="5399C654"/>
    <w:multiLevelType w:val="hybridMultilevel"/>
    <w:lvl w:ilvl="0">
      <w:lvlJc w:val="left"/>
      <w:lvlText w:val="(%1)"/>
      <w:numFmt w:val="upperLetter"/>
      <w:start w:val="24"/>
    </w:lvl>
  </w:abstractNum>
  <w:abstractNum w:abstractNumId="79">
    <w:nsid w:val="20EE1348"/>
    <w:multiLevelType w:val="hybridMultilevel"/>
    <w:lvl w:ilvl="0">
      <w:lvlJc w:val="left"/>
      <w:lvlText w:val="%1."/>
      <w:numFmt w:val="decimal"/>
      <w:start w:val="1"/>
    </w:lvl>
  </w:abstractNum>
  <w:abstractNum w:abstractNumId="80">
    <w:nsid w:val="4427069A"/>
    <w:multiLevelType w:val="hybridMultilevel"/>
    <w:lvl w:ilvl="0">
      <w:lvlJc w:val="left"/>
      <w:lvlText w:val="%1"/>
      <w:numFmt w:val="decimal"/>
      <w:start w:val="1"/>
    </w:lvl>
    <w:lvl w:ilvl="1">
      <w:lvlJc w:val="left"/>
      <w:lvlText w:val="%2."/>
      <w:numFmt w:val="decimal"/>
      <w:start w:val="4"/>
    </w:lvl>
  </w:abstractNum>
  <w:abstractNum w:abstractNumId="81">
    <w:nsid w:val="B37E80A"/>
    <w:multiLevelType w:val="hybridMultilevel"/>
    <w:lvl w:ilvl="0">
      <w:lvlJc w:val="left"/>
      <w:lvlText w:val="(%1)"/>
      <w:numFmt w:val="decimal"/>
      <w:start w:val="2"/>
    </w:lvl>
    <w:lvl w:ilvl="1">
      <w:lvlJc w:val="left"/>
      <w:lvlText w:val="%2."/>
      <w:numFmt w:val="decimal"/>
      <w:start w:val="9"/>
    </w:lvl>
  </w:abstractNum>
  <w:abstractNum w:abstractNumId="82">
    <w:nsid w:val="2157F6BC"/>
    <w:multiLevelType w:val="hybridMultilevel"/>
    <w:lvl w:ilvl="0">
      <w:lvlJc w:val="left"/>
      <w:lvlText w:val="%1."/>
      <w:numFmt w:val="decimal"/>
      <w:start w:val="12"/>
    </w:lvl>
  </w:abstractNum>
  <w:abstractNum w:abstractNumId="83">
    <w:nsid w:val="704E1DD5"/>
    <w:multiLevelType w:val="hybridMultilevel"/>
    <w:lvl w:ilvl="0">
      <w:lvlJc w:val="left"/>
      <w:lvlText w:val="%1."/>
      <w:numFmt w:val="decimal"/>
      <w:start w:val="1"/>
    </w:lvl>
  </w:abstractNum>
  <w:abstractNum w:abstractNumId="84">
    <w:nsid w:val="57D2F10E"/>
    <w:multiLevelType w:val="hybridMultilevel"/>
    <w:lvl w:ilvl="0">
      <w:lvlJc w:val="left"/>
      <w:lvlText w:val="(%1)"/>
      <w:numFmt w:val="lowerLetter"/>
      <w:start w:val="5"/>
    </w:lvl>
  </w:abstractNum>
  <w:abstractNum w:abstractNumId="85">
    <w:nsid w:val="BFFAE18"/>
    <w:multiLevelType w:val="hybridMultilevel"/>
    <w:lvl w:ilvl="0">
      <w:lvlJc w:val="left"/>
      <w:lvlText w:val="%1."/>
      <w:numFmt w:val="decimal"/>
      <w:start w:val="3"/>
    </w:lvl>
  </w:abstractNum>
  <w:abstractNum w:abstractNumId="86">
    <w:nsid w:val="E3E47A8"/>
    <w:multiLevelType w:val="hybridMultilevel"/>
    <w:lvl w:ilvl="0">
      <w:lvlJc w:val="left"/>
      <w:lvlText w:val="%1."/>
      <w:numFmt w:val="decimal"/>
      <w:start w:val="1"/>
    </w:lvl>
  </w:abstractNum>
  <w:abstractNum w:abstractNumId="87">
    <w:nsid w:val="2E48F044"/>
    <w:multiLevelType w:val="hybridMultilevel"/>
    <w:lvl w:ilvl="0">
      <w:lvlJc w:val="left"/>
      <w:lvlText w:val="%1."/>
      <w:numFmt w:val="decimal"/>
      <w:start w:val="4"/>
    </w:lvl>
    <w:lvl w:ilvl="1">
      <w:lvlJc w:val="left"/>
      <w:lvlText w:val="(%2)"/>
      <w:numFmt w:val="lowerRoman"/>
      <w:start w:val="1"/>
    </w:lvl>
  </w:abstractNum>
  <w:abstractNum w:abstractNumId="88">
    <w:nsid w:val="49D0FEAC"/>
    <w:multiLevelType w:val="hybridMultilevel"/>
    <w:lvl w:ilvl="0">
      <w:lvlJc w:val="left"/>
      <w:lvlText w:val="(%1)"/>
      <w:numFmt w:val="lowerLetter"/>
      <w:start w:val="1"/>
    </w:lvl>
  </w:abstractNum>
  <w:abstractNum w:abstractNumId="89">
    <w:nsid w:val="4BEE5A5B"/>
    <w:multiLevelType w:val="hybridMultilevel"/>
    <w:lvl w:ilvl="0">
      <w:lvlJc w:val="left"/>
      <w:lvlText w:val="(%1)"/>
      <w:numFmt w:val="lowerLetter"/>
      <w:start w:val="2"/>
    </w:lvl>
  </w:abstractNum>
  <w:abstractNum w:abstractNumId="90">
    <w:nsid w:val="5551B9F3"/>
    <w:multiLevelType w:val="hybridMultilevel"/>
    <w:lvl w:ilvl="0">
      <w:lvlJc w:val="left"/>
      <w:lvlText w:val="%1."/>
      <w:numFmt w:val="decimal"/>
      <w:start w:val="10"/>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1)"/>
      <w:numFmt w:val="lowerLetter"/>
      <w:start w:val="2"/>
    </w:lvl>
  </w:abstractNum>
  <w:abstractNum w:abstractNumId="93">
    <w:nsid w:val="24E99DD7"/>
    <w:multiLevelType w:val="hybridMultilevel"/>
    <w:lvl w:ilvl="0">
      <w:lvlJc w:val="left"/>
      <w:lvlText w:val="%1."/>
      <w:numFmt w:val="decimal"/>
      <w:start w:val="13"/>
    </w:lvl>
  </w:abstractNum>
  <w:abstractNum w:abstractNumId="94">
    <w:nsid w:val="2A31B62D"/>
    <w:multiLevelType w:val="hybridMultilevel"/>
    <w:lvl w:ilvl="0">
      <w:lvlJc w:val="left"/>
      <w:lvlText w:val="%1."/>
      <w:numFmt w:val="decimal"/>
      <w:start w:val="16"/>
    </w:lvl>
  </w:abstractNum>
  <w:abstractNum w:abstractNumId="95">
    <w:nsid w:val="1849C29B"/>
    <w:multiLevelType w:val="hybridMultilevel"/>
    <w:lvl w:ilvl="0">
      <w:lvlJc w:val="left"/>
      <w:lvlText w:val="%1."/>
      <w:numFmt w:val="upperLetter"/>
      <w:start w:val="1"/>
    </w:lvl>
  </w:abstractNum>
  <w:abstractNum w:abstractNumId="96">
    <w:nsid w:val="7DFF9D09"/>
    <w:multiLevelType w:val="hybridMultilevel"/>
    <w:lvl w:ilvl="0">
      <w:lvlJc w:val="left"/>
      <w:lvlText w:val="(%1)"/>
      <w:numFmt w:val="lowerLetter"/>
      <w:start w:val="8"/>
    </w:lvl>
  </w:abstractNum>
  <w:abstractNum w:abstractNumId="97">
    <w:nsid w:val="754342"/>
    <w:multiLevelType w:val="hybridMultilevel"/>
    <w:lvl w:ilvl="0">
      <w:lvlJc w:val="left"/>
      <w:lvlText w:val="(%1)"/>
      <w:numFmt w:val="lowerLetter"/>
      <w:start w:val="35"/>
    </w:lvl>
  </w:abstractNum>
  <w:abstractNum w:abstractNumId="98">
    <w:nsid w:val="69E7F3E5"/>
    <w:multiLevelType w:val="hybridMultilevel"/>
    <w:lvl w:ilvl="0">
      <w:lvlJc w:val="left"/>
      <w:lvlText w:val="(%1)"/>
      <w:numFmt w:val="lowerLetter"/>
      <w:start w:val="61"/>
    </w:lvl>
  </w:abstractNum>
  <w:abstractNum w:abstractNumId="99">
    <w:nsid w:val="2A6DE806"/>
    <w:multiLevelType w:val="hybridMultilevel"/>
    <w:lvl w:ilvl="0">
      <w:lvlJc w:val="left"/>
      <w:lvlText w:val="%1."/>
      <w:numFmt w:val="upperLetter"/>
      <w:start w:val="2"/>
    </w:lvl>
  </w:abstractNum>
  <w:abstractNum w:abstractNumId="100">
    <w:nsid w:val="1816F8C4"/>
    <w:multiLevelType w:val="hybridMultilevel"/>
    <w:lvl w:ilvl="0">
      <w:lvlJc w:val="left"/>
      <w:lvlText w:val="%1."/>
      <w:numFmt w:val="decimal"/>
      <w:start w:val="17"/>
    </w:lvl>
  </w:abstractNum>
  <w:abstractNum w:abstractNumId="101">
    <w:nsid w:val="37DF2233"/>
    <w:multiLevelType w:val="hybridMultilevel"/>
    <w:lvl w:ilvl="0">
      <w:lvlJc w:val="left"/>
      <w:lvlText w:val="%1."/>
      <w:numFmt w:val="decimal"/>
      <w:start w:val="22"/>
    </w:lvl>
  </w:abstractNum>
  <w:abstractNum w:abstractNumId="102">
    <w:nsid w:val="7AB49DAF"/>
    <w:multiLevelType w:val="hybridMultilevel"/>
    <w:lvl w:ilvl="0">
      <w:lvlJc w:val="left"/>
      <w:lvlText w:val="(%1)"/>
      <w:numFmt w:val="lowerLetter"/>
      <w:start w:val="1"/>
    </w:lvl>
  </w:abstractNum>
  <w:abstractNum w:abstractNumId="103">
    <w:nsid w:val="759F82CD"/>
    <w:multiLevelType w:val="hybridMultilevel"/>
    <w:lvl w:ilvl="0">
      <w:lvlJc w:val="left"/>
      <w:lvlText w:val="%1."/>
      <w:numFmt w:val="decimal"/>
      <w:start w:val="23"/>
    </w:lvl>
  </w:abstractNum>
  <w:abstractNum w:abstractNumId="104">
    <w:nsid w:val="61E74EA3"/>
    <w:multiLevelType w:val="hybridMultilevel"/>
    <w:lvl w:ilvl="0">
      <w:lvlJc w:val="left"/>
      <w:lvlText w:val="%1."/>
      <w:numFmt w:val="decimal"/>
      <w:start w:val="26"/>
    </w:lvl>
  </w:abstractNum>
  <w:abstractNum w:abstractNumId="105">
    <w:nsid w:val="597B4D84"/>
    <w:multiLevelType w:val="hybridMultilevel"/>
    <w:lvl w:ilvl="0">
      <w:lvlJc w:val="left"/>
      <w:lvlText w:val="(%1)"/>
      <w:numFmt w:val="decimal"/>
      <w:start w:val="1"/>
    </w:lvl>
  </w:abstractNum>
  <w:abstractNum w:abstractNumId="106">
    <w:nsid w:val="F819E7F"/>
    <w:multiLevelType w:val="hybridMultilevel"/>
    <w:lvl w:ilvl="0">
      <w:lvlJc w:val="left"/>
      <w:lvlText w:val="%1."/>
      <w:numFmt w:val="decimal"/>
      <w:start w:val="1"/>
    </w:lvl>
  </w:abstractNum>
  <w:abstractNum w:abstractNumId="107">
    <w:nsid w:val="57C7D42D"/>
    <w:multiLevelType w:val="hybridMultilevel"/>
    <w:lvl w:ilvl="0">
      <w:lvlJc w:val="left"/>
      <w:lvlText w:val="%1."/>
      <w:numFmt w:val="decimal"/>
      <w:start w:val="8"/>
    </w:lvl>
  </w:abstractNum>
  <w:abstractNum w:abstractNumId="108">
    <w:nsid w:val="312167AD"/>
    <w:multiLevelType w:val="hybridMultilevel"/>
    <w:lvl w:ilvl="0">
      <w:lvlJc w:val="left"/>
      <w:lvlText w:val="(%1)"/>
      <w:numFmt w:val="lowerLetter"/>
      <w:start w:val="1"/>
    </w:lvl>
    <w:lvl w:ilvl="1">
      <w:lvlJc w:val="left"/>
      <w:lvlText w:val="-"/>
      <w:numFmt w:val="bullet"/>
      <w:start w:val="1"/>
    </w:lvl>
  </w:abstractNum>
  <w:abstractNum w:abstractNumId="109">
    <w:nsid w:val="631B64D4"/>
    <w:multiLevelType w:val="hybridMultilevel"/>
    <w:lvl w:ilvl="0">
      <w:lvlJc w:val="left"/>
      <w:lvlText w:val="(%1)"/>
      <w:numFmt w:val="lowerLetter"/>
      <w:start w:val="2"/>
    </w:lvl>
  </w:abstractNum>
  <w:abstractNum w:abstractNumId="110">
    <w:nsid w:val="78B5E776"/>
    <w:multiLevelType w:val="hybridMultilevel"/>
    <w:lvl w:ilvl="0">
      <w:lvlJc w:val="left"/>
      <w:lvlText w:val="%1."/>
      <w:numFmt w:val="decimal"/>
      <w:start w:val="12"/>
    </w:lvl>
    <w:lvl w:ilvl="1">
      <w:lvlJc w:val="left"/>
      <w:lvlText w:val="-"/>
      <w:numFmt w:val="bullet"/>
      <w:start w:val="1"/>
    </w:lvl>
  </w:abstractNum>
  <w:abstractNum w:abstractNumId="111">
    <w:nsid w:val="75486E47"/>
    <w:multiLevelType w:val="hybridMultilevel"/>
    <w:lvl w:ilvl="0">
      <w:lvlJc w:val="left"/>
      <w:lvlText w:val="%1."/>
      <w:numFmt w:val="decimal"/>
      <w:start w:val="14"/>
    </w:lvl>
  </w:abstractNum>
  <w:abstractNum w:abstractNumId="112">
    <w:nsid w:val="6E534CDE"/>
    <w:multiLevelType w:val="hybridMultilevel"/>
    <w:lvl w:ilvl="0">
      <w:lvlJc w:val="left"/>
      <w:lvlText w:val="%1."/>
      <w:numFmt w:val="decimal"/>
      <w:start w:val="1"/>
    </w:lvl>
  </w:abstractNum>
  <w:abstractNum w:abstractNumId="113">
    <w:nsid w:val="1A0DDE3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8"/>
    </w:lvl>
  </w:abstractNum>
  <w:abstractNum w:abstractNumId="114">
    <w:nsid w:val="65968C1C"/>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9"/>
    </w:lvl>
  </w:abstractNum>
  <w:abstractNum w:abstractNumId="115">
    <w:nsid w:val="46263DEC"/>
    <w:multiLevelType w:val="hybridMultilevel"/>
    <w:lvl w:ilvl="0">
      <w:lvlJc w:val="left"/>
      <w:lvlText w:val="(%1)"/>
      <w:numFmt w:val="lowerLetter"/>
      <w:start w:val="1"/>
    </w:lvl>
  </w:abstractNum>
  <w:abstractNum w:abstractNumId="116">
    <w:nsid w:val="260D8C4A"/>
    <w:multiLevelType w:val="hybridMultilevel"/>
    <w:lvl w:ilvl="0">
      <w:lvlJc w:val="left"/>
      <w:lvlText w:val="(%1)"/>
      <w:numFmt w:val="lowerLetter"/>
      <w:start w:val="2"/>
    </w:lvl>
    <w:lvl w:ilvl="1">
      <w:lvlJc w:val="left"/>
      <w:lvlText w:val="%2."/>
      <w:numFmt w:val="decimal"/>
      <w:start w:val="11"/>
    </w:lvl>
  </w:abstractNum>
  <w:abstractNum w:abstractNumId="117">
    <w:nsid w:val="73D4D3C4"/>
    <w:multiLevelType w:val="hybridMultilevel"/>
    <w:lvl w:ilvl="0">
      <w:lvlJc w:val="left"/>
      <w:lvlText w:val="%1"/>
      <w:numFmt w:val="upperLetter"/>
      <w:start w:val="1"/>
    </w:lvl>
    <w:lvl w:ilvl="1">
      <w:lvlJc w:val="left"/>
      <w:lvlText w:val="%2."/>
      <w:numFmt w:val="decimal"/>
      <w:start w:val="13"/>
    </w:lvl>
    <w:lvl w:ilvl="2">
      <w:lvlJc w:val="left"/>
      <w:lvlText w:val="%3."/>
      <w:numFmt w:val="decimal"/>
      <w:start w:val="14"/>
    </w:lvl>
  </w:abstractNum>
  <w:abstractNum w:abstractNumId="118">
    <w:nsid w:val="746F2E30"/>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19">
    <w:nsid w:val="6FDE8AF6"/>
    <w:multiLevelType w:val="hybridMultilevel"/>
    <w:lvl w:ilvl="0">
      <w:lvlJc w:val="left"/>
      <w:lvlText w:val="%1"/>
      <w:numFmt w:val="upperLetter"/>
      <w:start w:val="1"/>
    </w:lvl>
    <w:lvl w:ilvl="1">
      <w:lvlJc w:val="left"/>
      <w:lvlText w:val="(%2)"/>
      <w:numFmt w:val="lowerRoman"/>
      <w:start w:val="1"/>
    </w:lvl>
  </w:abstractNum>
  <w:abstractNum w:abstractNumId="120">
    <w:nsid w:val="3FC32E20"/>
    <w:multiLevelType w:val="hybridMultilevel"/>
    <w:lvl w:ilvl="0">
      <w:lvlJc w:val="left"/>
      <w:lvlText w:val="%1."/>
      <w:numFmt w:val="upperLetter"/>
      <w:start w:val="2"/>
    </w:lvl>
    <w:lvl w:ilvl="1">
      <w:lvlJc w:val="left"/>
      <w:lvlText w:val="%2"/>
      <w:numFmt w:val="lowerRoman"/>
      <w:start w:val="1"/>
    </w:lvl>
  </w:abstractNum>
  <w:abstractNum w:abstractNumId="121">
    <w:nsid w:val="49C0E823"/>
    <w:multiLevelType w:val="hybridMultilevel"/>
    <w:lvl w:ilvl="0">
      <w:lvlJc w:val="left"/>
      <w:lvlText w:val="(%1)"/>
      <w:numFmt w:val="lowerRoman"/>
      <w:start w:val="1"/>
    </w:lvl>
  </w:abstractNum>
  <w:abstractNum w:abstractNumId="122">
    <w:nsid w:val="14D53685"/>
    <w:multiLevelType w:val="hybridMultilevel"/>
    <w:lvl w:ilvl="0">
      <w:lvlJc w:val="left"/>
      <w:lvlText w:val="%1."/>
      <w:numFmt w:val="decimal"/>
      <w:start w:val="15"/>
    </w:lvl>
  </w:abstractNum>
  <w:abstractNum w:abstractNumId="123">
    <w:nsid w:val="230F856C"/>
    <w:multiLevelType w:val="hybridMultilevel"/>
    <w:lvl w:ilvl="0">
      <w:lvlJc w:val="left"/>
      <w:lvlText w:val="%1."/>
      <w:numFmt w:val="decimal"/>
      <w:start w:val="17"/>
    </w:lvl>
  </w:abstractNum>
  <w:abstractNum w:abstractNumId="124">
    <w:nsid w:val="6EAA85FB"/>
    <w:multiLevelType w:val="hybridMultilevel"/>
    <w:lvl w:ilvl="0">
      <w:lvlJc w:val="left"/>
      <w:lvlText w:val="%1."/>
      <w:numFmt w:val="decimal"/>
      <w:start w:val="1"/>
    </w:lvl>
  </w:abstractNum>
  <w:abstractNum w:abstractNumId="125">
    <w:nsid w:val="3F06ECB2"/>
    <w:multiLevelType w:val="hybridMultilevel"/>
    <w:lvl w:ilvl="0">
      <w:lvlJc w:val="left"/>
      <w:lvlText w:val="(%1)"/>
      <w:numFmt w:val="lowerLetter"/>
      <w:start w:val="1"/>
    </w:lvl>
  </w:abstractNum>
  <w:abstractNum w:abstractNumId="126">
    <w:nsid w:val="3B594807"/>
    <w:multiLevelType w:val="hybridMultilevel"/>
    <w:lvl w:ilvl="0">
      <w:lvlJc w:val="left"/>
      <w:lvlText w:val="(%1)"/>
      <w:numFmt w:val="lowerLetter"/>
      <w:start w:val="2"/>
    </w:lvl>
  </w:abstractNum>
  <w:abstractNum w:abstractNumId="127">
    <w:nsid w:val="6CAA2304"/>
    <w:multiLevelType w:val="hybridMultilevel"/>
    <w:lvl w:ilvl="0">
      <w:lvlJc w:val="left"/>
      <w:lvlText w:val="%1."/>
      <w:numFmt w:val="decimal"/>
      <w:start w:val="2"/>
    </w:lvl>
  </w:abstractNum>
  <w:abstractNum w:abstractNumId="128">
    <w:nsid w:val="3F7C2FF4"/>
    <w:multiLevelType w:val="hybridMultilevel"/>
    <w:lvl w:ilvl="0">
      <w:lvlJc w:val="left"/>
      <w:lvlText w:val="(%1)"/>
      <w:numFmt w:val="lowerLetter"/>
      <w:start w:val="1"/>
    </w:lvl>
  </w:abstractNum>
  <w:abstractNum w:abstractNumId="129">
    <w:nsid w:val="25413BEC"/>
    <w:multiLevelType w:val="hybridMultilevel"/>
    <w:lvl w:ilvl="0">
      <w:lvlJc w:val="left"/>
      <w:lvlText w:val="(%1)"/>
      <w:numFmt w:val="lowerLetter"/>
      <w:start w:val="2"/>
    </w:lvl>
  </w:abstractNum>
  <w:abstractNum w:abstractNumId="130">
    <w:nsid w:val="17180B0B"/>
    <w:multiLevelType w:val="hybridMultilevel"/>
    <w:lvl w:ilvl="0">
      <w:lvlJc w:val="left"/>
      <w:lvlText w:val="(%1)"/>
      <w:numFmt w:val="lowerLetter"/>
      <w:start w:val="5"/>
    </w:lvl>
  </w:abstractNum>
  <w:abstractNum w:abstractNumId="131">
    <w:nsid w:val="579328B9"/>
    <w:multiLevelType w:val="hybridMultilevel"/>
    <w:lvl w:ilvl="0">
      <w:lvlJc w:val="left"/>
      <w:lvlText w:val="%1."/>
      <w:numFmt w:val="decimal"/>
      <w:start w:val="4"/>
    </w:lvl>
  </w:abstractNum>
  <w:abstractNum w:abstractNumId="132">
    <w:nsid w:val="5D205E20"/>
    <w:multiLevelType w:val="hybridMultilevel"/>
    <w:lvl w:ilvl="0">
      <w:lvlJc w:val="left"/>
      <w:lvlText w:val="%1."/>
      <w:numFmt w:val="decimal"/>
      <w:start w:val="6"/>
    </w:lvl>
  </w:abstractNum>
  <w:abstractNum w:abstractNumId="133">
    <w:nsid w:val="11CCA8BA"/>
    <w:multiLevelType w:val="hybridMultilevel"/>
    <w:lvl w:ilvl="0">
      <w:lvlJc w:val="left"/>
      <w:lvlText w:val="(%1)"/>
      <w:numFmt w:val="lowerLetter"/>
      <w:start w:val="1"/>
    </w:lvl>
  </w:abstractNum>
  <w:abstractNum w:abstractNumId="134">
    <w:nsid w:val="4D32AB86"/>
    <w:multiLevelType w:val="hybridMultilevel"/>
    <w:lvl w:ilvl="0">
      <w:lvlJc w:val="left"/>
      <w:lvlText w:val="(%1)"/>
      <w:numFmt w:val="lowerLetter"/>
      <w:start w:val="5"/>
    </w:lvl>
  </w:abstractNum>
  <w:abstractNum w:abstractNumId="135">
    <w:nsid w:val="3F07ACC3"/>
    <w:multiLevelType w:val="hybridMultilevel"/>
    <w:lvl w:ilvl="0">
      <w:lvlJc w:val="left"/>
      <w:lvlText w:val="(%1)"/>
      <w:numFmt w:val="lowerLetter"/>
      <w:start w:val="9"/>
    </w:lvl>
  </w:abstractNum>
  <w:abstractNum w:abstractNumId="136">
    <w:nsid w:val="6B47F63E"/>
    <w:multiLevelType w:val="hybridMultilevel"/>
    <w:lvl w:ilvl="0">
      <w:lvlJc w:val="left"/>
      <w:lvlText w:val="%1."/>
      <w:numFmt w:val="decimal"/>
      <w:start w:val="7"/>
    </w:lvl>
  </w:abstractNum>
  <w:abstractNum w:abstractNumId="137">
    <w:nsid w:val="5CB44A05"/>
    <w:multiLevelType w:val="hybridMultilevel"/>
    <w:lvl w:ilvl="0">
      <w:lvlJc w:val="left"/>
      <w:lvlText w:val="(%1)"/>
      <w:numFmt w:val="lowerLetter"/>
      <w:start w:val="1"/>
    </w:lvl>
  </w:abstractNum>
  <w:abstractNum w:abstractNumId="138">
    <w:nsid w:val="16CF80F1"/>
    <w:multiLevelType w:val="hybridMultilevel"/>
    <w:lvl w:ilvl="0">
      <w:lvlJc w:val="left"/>
      <w:lvlText w:val="%1."/>
      <w:numFmt w:val="decimal"/>
      <w:start w:val="8"/>
    </w:lvl>
  </w:abstractNum>
  <w:abstractNum w:abstractNumId="139">
    <w:nsid w:val="1C695DEC"/>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140">
    <w:nsid w:val="3FCFAED9"/>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141">
    <w:nsid w:val="F856867"/>
    <w:multiLevelType w:val="hybridMultilevel"/>
    <w:lvl w:ilvl="0">
      <w:lvlJc w:val="left"/>
      <w:lvlText w:val="(%1)"/>
      <w:numFmt w:val="lowerRoman"/>
      <w:start w:val="2"/>
    </w:lvl>
  </w:abstractNum>
  <w:abstractNum w:abstractNumId="142">
    <w:nsid w:val="11B1CC33"/>
    <w:multiLevelType w:val="hybridMultilevel"/>
    <w:lvl w:ilvl="0">
      <w:lvlJc w:val="left"/>
      <w:lvlText w:val="%1."/>
      <w:numFmt w:val="decimal"/>
      <w:start w:val="11"/>
    </w:lvl>
  </w:abstractNum>
  <w:abstractNum w:abstractNumId="143">
    <w:nsid w:val="2E22FBB7"/>
    <w:multiLevelType w:val="hybridMultilevel"/>
    <w:lvl w:ilvl="0">
      <w:lvlJc w:val="left"/>
      <w:lvlText w:val="%1."/>
      <w:numFmt w:val="decimal"/>
      <w:start w:val="12"/>
    </w:lvl>
  </w:abstractNum>
  <w:abstractNum w:abstractNumId="144">
    <w:nsid w:val="29934699"/>
    <w:multiLevelType w:val="hybridMultilevel"/>
    <w:lvl w:ilvl="0">
      <w:lvlJc w:val="left"/>
      <w:lvlText w:val="%1"/>
      <w:numFmt w:val="decimal"/>
      <w:start w:val="1"/>
    </w:lvl>
    <w:lvl w:ilvl="1">
      <w:lvlJc w:val="left"/>
      <w:lvlText w:val="%2."/>
      <w:numFmt w:val="decimal"/>
      <w:start w:val="15"/>
    </w:lvl>
  </w:abstractNum>
  <w:abstractNum w:abstractNumId="145">
    <w:nsid w:val="77485850"/>
    <w:multiLevelType w:val="hybridMultilevel"/>
    <w:lvl w:ilvl="0">
      <w:lvlJc w:val="left"/>
      <w:lvlText w:val="%1."/>
      <w:numFmt w:val="decimal"/>
      <w:start w:val="16"/>
    </w:lvl>
    <w:lvl w:ilvl="1">
      <w:lvlJc w:val="left"/>
      <w:lvlText w:val="%2"/>
      <w:numFmt w:val="decimal"/>
      <w:start w:val="1"/>
    </w:lvl>
  </w:abstractNum>
  <w:abstractNum w:abstractNumId="146">
    <w:nsid w:val="744939A3"/>
    <w:multiLevelType w:val="hybridMultilevel"/>
    <w:lvl w:ilvl="0">
      <w:lvlJc w:val="left"/>
      <w:lvlText w:val="%1"/>
      <w:numFmt w:val="decimal"/>
      <w:start w:val="1"/>
    </w:lvl>
    <w:lvl w:ilvl="1">
      <w:lvlJc w:val="left"/>
      <w:lvlText w:val="%2."/>
      <w:numFmt w:val="decimal"/>
      <w:start w:val="17"/>
    </w:lvl>
  </w:abstractNum>
  <w:abstractNum w:abstractNumId="147">
    <w:nsid w:val="4FA0D2E3"/>
    <w:multiLevelType w:val="hybridMultilevel"/>
    <w:lvl w:ilvl="0">
      <w:lvlJc w:val="left"/>
      <w:lvlText w:val="%1."/>
      <w:numFmt w:val="decimal"/>
      <w:start w:val="21"/>
    </w:lvl>
    <w:lvl w:ilvl="1">
      <w:lvlJc w:val="left"/>
      <w:lvlText w:val="%2."/>
      <w:numFmt w:val="decimal"/>
      <w:start w:val="22"/>
    </w:lvl>
  </w:abstractNum>
  <w:abstractNum w:abstractNumId="148">
    <w:nsid w:val="6B1D2C14"/>
    <w:multiLevelType w:val="hybridMultilevel"/>
    <w:lvl w:ilvl="0">
      <w:lvlJc w:val="left"/>
      <w:lvlText w:val="%1."/>
      <w:numFmt w:val="decimal"/>
      <w:start w:val="24"/>
    </w:lvl>
  </w:abstractNum>
  <w:abstractNum w:abstractNumId="149">
    <w:nsid w:val="68B867D3"/>
    <w:multiLevelType w:val="hybridMultilevel"/>
    <w:lvl w:ilvl="0">
      <w:lvlJc w:val="left"/>
      <w:lvlText w:val="%1"/>
      <w:numFmt w:val="lowerLetter"/>
      <w:start w:val="1"/>
    </w:lvl>
    <w:lvl w:ilvl="1">
      <w:lvlJc w:val="left"/>
      <w:lvlText w:val="%2."/>
      <w:numFmt w:val="decimal"/>
      <w:start w:val="2"/>
    </w:lvl>
  </w:abstractNum>
  <w:abstractNum w:abstractNumId="150">
    <w:nsid w:val="3F7F5DD9"/>
    <w:multiLevelType w:val="hybridMultilevel"/>
    <w:lvl w:ilvl="0">
      <w:lvlJc w:val="left"/>
      <w:lvlText w:val="%1."/>
      <w:numFmt w:val="lowerLetter"/>
      <w:start w:val="1"/>
    </w:lvl>
    <w:lvl w:ilvl="1">
      <w:lvlJc w:val="left"/>
      <w:lvlText w:val="%2."/>
      <w:numFmt w:val="decimal"/>
      <w:start w:val="4"/>
    </w:lvl>
  </w:abstractNum>
  <w:abstractNum w:abstractNumId="151">
    <w:nsid w:val="2AE05A34"/>
    <w:multiLevelType w:val="hybridMultilevel"/>
    <w:lvl w:ilvl="0">
      <w:lvlJc w:val="left"/>
      <w:lvlText w:val="%1."/>
      <w:numFmt w:val="decimal"/>
      <w:start w:val="6"/>
    </w:lvl>
  </w:abstractNum>
  <w:abstractNum w:abstractNumId="152">
    <w:nsid w:val="32794FF7"/>
    <w:multiLevelType w:val="hybridMultilevel"/>
    <w:lvl w:ilvl="0">
      <w:lvlJc w:val="left"/>
      <w:lvlText w:val="%1."/>
      <w:numFmt w:val="decimal"/>
      <w:start w:val="9"/>
    </w:lvl>
  </w:abstractNum>
  <w:abstractNum w:abstractNumId="153">
    <w:nsid w:val="5454945E"/>
    <w:multiLevelType w:val="hybridMultilevel"/>
    <w:lvl w:ilvl="0">
      <w:lvlJc w:val="left"/>
      <w:lvlText w:val="%1."/>
      <w:numFmt w:val="decimal"/>
      <w:start w:val="14"/>
    </w:lvl>
  </w:abstractNum>
  <w:abstractNum w:abstractNumId="154">
    <w:nsid w:val="4DEFDFA0"/>
    <w:multiLevelType w:val="hybridMultilevel"/>
    <w:lvl w:ilvl="0">
      <w:lvlJc w:val="left"/>
      <w:lvlText w:val="%1."/>
      <w:numFmt w:val="decimal"/>
      <w:start w:val="1"/>
    </w:lvl>
    <w:lvl w:ilvl="1">
      <w:lvlJc w:val="left"/>
      <w:lvlText w:val="(%2)"/>
      <w:numFmt w:val="lowerLetter"/>
      <w:start w:val="5"/>
    </w:lvl>
  </w:abstractNum>
  <w:abstractNum w:abstractNumId="155">
    <w:nsid w:val="2123D5F2"/>
    <w:multiLevelType w:val="hybridMultilevel"/>
    <w:lvl w:ilvl="0">
      <w:lvlJc w:val="left"/>
      <w:lvlText w:val="%1."/>
      <w:numFmt w:val="decimal"/>
      <w:start w:val="2"/>
    </w:lvl>
    <w:lvl w:ilvl="1">
      <w:lvlJc w:val="left"/>
      <w:lvlText w:val="(%2)"/>
      <w:numFmt w:val="lowerLetter"/>
      <w:start w:val="7"/>
    </w:lvl>
  </w:abstractNum>
  <w:abstractNum w:abstractNumId="156">
    <w:nsid w:val="135B8110"/>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157">
    <w:nsid w:val="94927A8"/>
    <w:multiLevelType w:val="hybridMultilevel"/>
    <w:lvl w:ilvl="0">
      <w:lvlJc w:val="left"/>
      <w:lvlText w:val="%1."/>
      <w:numFmt w:val="decimal"/>
      <w:start w:val="2"/>
    </w:lvl>
    <w:lvl w:ilvl="1">
      <w:lvlJc w:val="left"/>
      <w:lvlText w:val="%2"/>
      <w:numFmt w:val="decimal"/>
      <w:start w:val="1"/>
    </w:lvl>
    <w:lvl w:ilvl="2">
      <w:lvlJc w:val="left"/>
      <w:lvlText w:val="(%3)"/>
      <w:numFmt w:val="lowerRoman"/>
    </w:lvl>
    <w:lvl w:ilvl="3">
      <w:lvlJc w:val="left"/>
      <w:lvlText w:val="(%4)"/>
      <w:numFmt w:val="lowerLetter"/>
      <w:start w:val="5"/>
    </w:lvl>
  </w:abstractNum>
  <w:abstractNum w:abstractNumId="158">
    <w:nsid w:val="DCDF8F6"/>
    <w:multiLevelType w:val="hybridMultilevel"/>
    <w:lvl w:ilvl="0">
      <w:lvlJc w:val="left"/>
      <w:lvlText w:val="%1."/>
      <w:numFmt w:val="decimal"/>
      <w:start w:val="3"/>
    </w:lvl>
  </w:abstractNum>
  <w:abstractNum w:abstractNumId="159">
    <w:nsid w:val="52D7B105"/>
    <w:multiLevelType w:val="hybridMultilevel"/>
    <w:lvl w:ilvl="0">
      <w:lvlJc w:val="left"/>
      <w:lvlText w:val="%1."/>
      <w:numFmt w:val="decimal"/>
      <w:start w:val="1"/>
    </w:lvl>
  </w:abstractNum>
  <w:abstractNum w:abstractNumId="160">
    <w:nsid w:val="2E8A6394"/>
    <w:multiLevelType w:val="hybridMultilevel"/>
    <w:lvl w:ilvl="0">
      <w:lvlJc w:val="left"/>
      <w:lvlText w:val="(%1)"/>
      <w:numFmt w:val="lowerLetter"/>
      <w:start w:val="1"/>
    </w:lvl>
  </w:abstractNum>
  <w:abstractNum w:abstractNumId="161">
    <w:nsid w:val="24E60401"/>
    <w:multiLevelType w:val="hybridMultilevel"/>
    <w:lvl w:ilvl="0">
      <w:lvlJc w:val="left"/>
      <w:lvlText w:val="(%1)"/>
      <w:numFmt w:val="lowerLetter"/>
      <w:start w:val="2"/>
    </w:lvl>
  </w:abstractNum>
  <w:abstractNum w:abstractNumId="162">
    <w:nsid w:val="2A6AD9BE"/>
    <w:multiLevelType w:val="hybridMultilevel"/>
    <w:lvl w:ilvl="0">
      <w:lvlJc w:val="left"/>
      <w:lvlText w:val="%1."/>
      <w:numFmt w:val="decimal"/>
      <w:start w:val="2"/>
    </w:lvl>
  </w:abstractNum>
  <w:abstractNum w:abstractNumId="163">
    <w:nsid w:val="BAAC1B4"/>
    <w:multiLevelType w:val="hybridMultilevel"/>
    <w:lvl w:ilvl="0">
      <w:lvlJc w:val="left"/>
      <w:lvlText w:val="(%1)"/>
      <w:numFmt w:val="lowerLetter"/>
      <w:start w:val="1"/>
    </w:lvl>
  </w:abstractNum>
  <w:abstractNum w:abstractNumId="164">
    <w:nsid w:val="36B2ACBC"/>
    <w:multiLevelType w:val="hybridMultilevel"/>
    <w:lvl w:ilvl="0">
      <w:lvlJc w:val="left"/>
      <w:lvlText w:val="(%1)"/>
      <w:numFmt w:val="lowerLetter"/>
      <w:start w:val="2"/>
    </w:lvl>
  </w:abstractNum>
  <w:abstractNum w:abstractNumId="165">
    <w:nsid w:val="779D8544"/>
    <w:multiLevelType w:val="hybridMultilevel"/>
    <w:lvl w:ilvl="0">
      <w:lvlJc w:val="left"/>
      <w:lvlText w:val="%1."/>
      <w:numFmt w:val="decimal"/>
      <w:start w:val="4"/>
    </w:lvl>
  </w:abstractNum>
  <w:abstractNum w:abstractNumId="166">
    <w:nsid w:val="4AB26E78"/>
    <w:multiLevelType w:val="hybridMultilevel"/>
    <w:lvl w:ilvl="0">
      <w:lvlJc w:val="left"/>
      <w:lvlText w:val="%1."/>
      <w:numFmt w:val="decimal"/>
      <w:start w:val="5"/>
    </w:lvl>
  </w:abstractNum>
  <w:abstractNum w:abstractNumId="167">
    <w:nsid w:val="21FAA2FA"/>
    <w:multiLevelType w:val="hybridMultilevel"/>
    <w:lvl w:ilvl="0">
      <w:lvlJc w:val="left"/>
      <w:lvlText w:val="(%1)"/>
      <w:numFmt w:val="lowerLetter"/>
      <w:start w:val="1"/>
    </w:lvl>
  </w:abstractNum>
  <w:abstractNum w:abstractNumId="168">
    <w:nsid w:val="5451CF49"/>
    <w:multiLevelType w:val="hybridMultilevel"/>
    <w:lvl w:ilvl="0">
      <w:lvlJc w:val="left"/>
      <w:lvlText w:val="(%1)"/>
      <w:numFmt w:val="lowerLetter"/>
      <w:start w:val="3"/>
    </w:lvl>
  </w:abstractNum>
  <w:abstractNum w:abstractNumId="169">
    <w:nsid w:val="6181EF69"/>
    <w:multiLevelType w:val="hybridMultilevel"/>
    <w:lvl w:ilvl="0">
      <w:lvlJc w:val="left"/>
      <w:lvlText w:val="(%1)"/>
      <w:numFmt w:val="lowerLetter"/>
      <w:start w:val="4"/>
    </w:lvl>
  </w:abstractNum>
  <w:abstractNum w:abstractNumId="170">
    <w:nsid w:val="3E6400E6"/>
    <w:multiLevelType w:val="hybridMultilevel"/>
    <w:lvl w:ilvl="0">
      <w:lvlJc w:val="left"/>
      <w:lvlText w:val="(%1)"/>
      <w:numFmt w:val="lowerLetter"/>
      <w:start w:val="9"/>
    </w:lvl>
  </w:abstractNum>
  <w:abstractNum w:abstractNumId="171">
    <w:nsid w:val="14217E23"/>
    <w:multiLevelType w:val="hybridMultilevel"/>
    <w:lvl w:ilvl="0">
      <w:lvlJc w:val="left"/>
      <w:lvlText w:val="(%1)"/>
      <w:numFmt w:val="lowerLetter"/>
      <w:start w:val="6"/>
    </w:lvl>
  </w:abstractNum>
  <w:abstractNum w:abstractNumId="172">
    <w:nsid w:val="710757D0"/>
    <w:multiLevelType w:val="hybridMultilevel"/>
    <w:lvl w:ilvl="0">
      <w:lvlJc w:val="left"/>
      <w:lvlText w:val="%1."/>
      <w:numFmt w:val="decimal"/>
      <w:start w:val="7"/>
    </w:lvl>
  </w:abstractNum>
  <w:abstractNum w:abstractNumId="173">
    <w:nsid w:val="5015CD1A"/>
    <w:multiLevelType w:val="hybridMultilevel"/>
    <w:lvl w:ilvl="0">
      <w:lvlJc w:val="left"/>
      <w:lvlText w:val="(%1)"/>
      <w:numFmt w:val="lowerLetter"/>
      <w:start w:val="1"/>
    </w:lvl>
  </w:abstractNum>
  <w:abstractNum w:abstractNumId="174">
    <w:nsid w:val="424479DA"/>
    <w:multiLevelType w:val="hybridMultilevel"/>
    <w:lvl w:ilvl="0">
      <w:lvlJc w:val="left"/>
      <w:lvlText w:val="(%1)"/>
      <w:numFmt w:val="lowerLetter"/>
      <w:start w:val="2"/>
    </w:lvl>
  </w:abstractNum>
  <w:abstractNum w:abstractNumId="175">
    <w:nsid w:val="1A9A9E69"/>
    <w:multiLevelType w:val="hybridMultilevel"/>
    <w:lvl w:ilvl="0">
      <w:lvlJc w:val="left"/>
      <w:lvlText w:val="%1."/>
      <w:numFmt w:val="decimal"/>
      <w:start w:val="8"/>
    </w:lvl>
  </w:abstractNum>
  <w:abstractNum w:abstractNumId="176">
    <w:nsid w:val="475E256A"/>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1"/>
    </w:lvl>
  </w:abstractNum>
  <w:abstractNum w:abstractNumId="177">
    <w:nsid w:val="368DB37E"/>
    <w:multiLevelType w:val="hybridMultilevel"/>
    <w:lvl w:ilvl="0">
      <w:lvlJc w:val="left"/>
      <w:lvlText w:val="%1."/>
      <w:numFmt w:val="upperLetter"/>
      <w:start w:val="2"/>
    </w:lvl>
    <w:lvl w:ilvl="1">
      <w:lvlJc w:val="left"/>
      <w:lvlText w:val="(%2)"/>
      <w:numFmt w:val="lowerRoman"/>
      <w:start w:val="1"/>
    </w:lvl>
  </w:abstractNum>
  <w:abstractNum w:abstractNumId="178">
    <w:nsid w:val="6A3B714C"/>
    <w:multiLevelType w:val="hybridMultilevel"/>
    <w:lvl w:ilvl="0">
      <w:lvlJc w:val="left"/>
      <w:lvlText w:val="%1."/>
      <w:numFmt w:val="decimal"/>
      <w:start w:val="12"/>
    </w:lvl>
  </w:abstractNum>
  <w:abstractNum w:abstractNumId="179">
    <w:nsid w:val="327B517E"/>
    <w:multiLevelType w:val="hybridMultilevel"/>
    <w:lvl w:ilvl="0">
      <w:lvlJc w:val="left"/>
      <w:lvlText w:val="%1."/>
      <w:numFmt w:val="decimal"/>
      <w:start w:val="15"/>
    </w:lvl>
  </w:abstractNum>
  <w:abstractNum w:abstractNumId="180">
    <w:nsid w:val="1F461B51"/>
    <w:multiLevelType w:val="hybridMultilevel"/>
    <w:lvl w:ilvl="0">
      <w:lvlJc w:val="left"/>
      <w:lvlText w:val="%1."/>
      <w:numFmt w:val="decimal"/>
      <w:start w:val="16"/>
    </w:lvl>
  </w:abstractNum>
  <w:abstractNum w:abstractNumId="181">
    <w:nsid w:val="29BACF25"/>
    <w:multiLevelType w:val="hybridMultilevel"/>
    <w:lvl w:ilvl="0">
      <w:lvlJc w:val="left"/>
      <w:lvlText w:val="%1."/>
      <w:numFmt w:val="decimal"/>
      <w:start w:val="19"/>
    </w:lvl>
  </w:abstractNum>
  <w:abstractNum w:abstractNumId="182">
    <w:nsid w:val="5D5BABB3"/>
    <w:multiLevelType w:val="hybridMultilevel"/>
    <w:lvl w:ilvl="0">
      <w:lvlJc w:val="left"/>
      <w:lvlText w:val="%1."/>
      <w:numFmt w:val="decimal"/>
      <w:start w:val="1"/>
    </w:lvl>
    <w:lvl w:ilvl="1">
      <w:lvlJc w:val="left"/>
      <w:lvlText w:val="(%2)"/>
      <w:numFmt w:val="lowerLetter"/>
      <w:start w:val="1"/>
    </w:lvl>
  </w:abstractNum>
  <w:abstractNum w:abstractNumId="183">
    <w:nsid w:val="51BF6B4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77"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158" Type="http://schemas.openxmlformats.org/officeDocument/2006/relationships/hyperlink" Target="http://www.sec.gov/Archives/edgar/data/819793/000089109215004849/e64457ex3-1.htm" TargetMode="External"/><Relationship Id="rId159" Type="http://schemas.openxmlformats.org/officeDocument/2006/relationships/hyperlink" Target="http://www.sec.gov/Archives/edgar/data/819793/000089109211001227/e42325ex3b.htm" TargetMode="External"/><Relationship Id="rId160" Type="http://schemas.openxmlformats.org/officeDocument/2006/relationships/hyperlink" Target="http://www.sec.gov/Archives/edgar/data/819793/000089109217008121/e76441ex10kxix.htm" TargetMode="External"/><Relationship Id="rId161" Type="http://schemas.openxmlformats.org/officeDocument/2006/relationships/hyperlink" Target="http://www.sec.gov/Archives/edgar/data/819793/000089109211005229/e44779ex10iviii.htm" TargetMode="External"/><Relationship Id="rId162" Type="http://schemas.openxmlformats.org/officeDocument/2006/relationships/hyperlink" Target="http://www.sec.gov/Archives/edgar/data/819793/000089109208002557/e31604ex10-l_vi.txt" TargetMode="External"/><Relationship Id="rId163" Type="http://schemas.openxmlformats.org/officeDocument/2006/relationships/hyperlink" Target="http://www.sec.gov/Archives/edgar/data/819793/000089109218001986/e78061ex10-1x.htm" TargetMode="External"/><Relationship Id="rId164" Type="http://schemas.openxmlformats.org/officeDocument/2006/relationships/hyperlink" Target="http://www.sec.gov/Archives/edgar/data/819793/000089109218006336/e2040ex10lix.htm" TargetMode="External"/><Relationship Id="rId165" Type="http://schemas.openxmlformats.org/officeDocument/2006/relationships/hyperlink" Target="http://www.sec.gov/Archives/edgar/data/819793/000089109219005173/e4939ex10lxii.htm" TargetMode="External"/><Relationship Id="rId166" Type="http://schemas.openxmlformats.org/officeDocument/2006/relationships/hyperlink" Target="http://www.sec.gov/Archives/edgar/data/819793/000110465903024902/a03-4759_1ex10dmvii.htm" TargetMode="External"/><Relationship Id="rId167" Type="http://schemas.openxmlformats.org/officeDocument/2006/relationships/hyperlink" Target="http://www.sec.gov/Archives/edgar/data/819793/000089109211003686/e43862ex10mix.htm" TargetMode="External"/><Relationship Id="rId168" Type="http://schemas.openxmlformats.org/officeDocument/2006/relationships/hyperlink" Target="http://www.sec.gov/Archives/edgar/data/819793/000089109211001985/e42848ex10m_xvii.htm" TargetMode="External"/><Relationship Id="rId169" Type="http://schemas.openxmlformats.org/officeDocument/2006/relationships/hyperlink" Target="http://www.sec.gov/Archives/edgar/data/819793/000089109211001985/e42848ex10m_xviii.htm" TargetMode="External"/><Relationship Id="rId170" Type="http://schemas.openxmlformats.org/officeDocument/2006/relationships/hyperlink" Target="http://www.sec.gov/Archives/edgar/data/819793/000089109216011149/e67649ex10l-viii.htm" TargetMode="External"/><Relationship Id="rId171" Type="http://schemas.openxmlformats.org/officeDocument/2006/relationships/hyperlink" Target="http://www.sec.gov/Archives/edgar/data/819793/000089109208000017/e29730ex10ni.txt" TargetMode="External"/><Relationship Id="rId172" Type="http://schemas.openxmlformats.org/officeDocument/2006/relationships/hyperlink" Target="http://www.sec.gov/Archives/edgar/data/819793/000089109217002406/e72960def14a.htm" TargetMode="External"/><Relationship Id="rId173" Type="http://schemas.openxmlformats.org/officeDocument/2006/relationships/hyperlink" Target="http://www.sec.gov/Archives/edgar/data/819793/000089109219005173/e4939ex10niii.htm" TargetMode="External"/><Relationship Id="rId174" Type="http://schemas.openxmlformats.org/officeDocument/2006/relationships/hyperlink" Target="http://www.sec.gov/Archives/edgar/data/819793/000089109220000747/e8061ex10nv.htm" TargetMode="External"/><Relationship Id="rId175" Type="http://schemas.openxmlformats.org/officeDocument/2006/relationships/hyperlink" Target="http://www.sec.gov/Archives/edgar/data/819793/000089109218002748/e77322def14a.htm" TargetMode="External"/><Relationship Id="rId176" Type="http://schemas.openxmlformats.org/officeDocument/2006/relationships/hyperlink" Target="http://www.sec.gov/Archives/edgar/data/819793/000104746904007489/a2130113zex-10_p.htm" TargetMode="External"/><Relationship Id="rId178" Type="http://schemas.openxmlformats.org/officeDocument/2006/relationships/hyperlink" Target="http://www.sec.gov/Archives/edgar/data/819793/000089109205000038/e20283ex10_q.txt" TargetMode="External"/><Relationship Id="rId179" Type="http://schemas.openxmlformats.org/officeDocument/2006/relationships/hyperlink" Target="http://www.sec.gov/Archives/edgar/data/819793/000089109206000936/e23819ex_10t.txt" TargetMode="External"/><Relationship Id="rId180" Type="http://schemas.openxmlformats.org/officeDocument/2006/relationships/hyperlink" Target="http://www.sec.gov/Archives/edgar/data/819793/000089109218004221/e78842ex10u.htm" TargetMode="External"/><Relationship Id="rId181" Type="http://schemas.openxmlformats.org/officeDocument/2006/relationships/hyperlink" Target="http://www.sec.gov/Archives/edgar/data/819793/000089109218005751/e1706ex10u.htm" TargetMode="External"/><Relationship Id="rId182" Type="http://schemas.openxmlformats.org/officeDocument/2006/relationships/hyperlink" Target="http://www.sec.gov/Archives/edgar/data/819793/000089109219005173/e4939ex10uii.htm" TargetMode="External"/><Relationship Id="rId183" Type="http://schemas.openxmlformats.org/officeDocument/2006/relationships/hyperlink" Target="http://www.sec.gov/Archives/edgar/data/819793/000119312519165135/d757190dex11.htm" TargetMode="External"/><Relationship Id="rId184" Type="http://schemas.openxmlformats.org/officeDocument/2006/relationships/hyperlink" Target="http://www.sec.gov/Archives/edgar/data/819793/000119312519158489/d746770dex101.htm" TargetMode="External"/><Relationship Id="rId185" Type="http://schemas.openxmlformats.org/officeDocument/2006/relationships/hyperlink" Target="http://www.sec.gov/Archives/edgar/data/819793/000089109214001589/e57527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2020-02-28T10:44:45Z</dcterms:created>
  <dcterms:modified xsi:type="dcterms:W3CDTF">2020-02-28T10:44:45Z</dcterms:modified>
</cp:coreProperties>
</file>