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18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19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5" w:lineRule="exact"/>
        <w:rPr>
          <w:sz w:val="24"/>
          <w:szCs w:val="24"/>
          <w:color w:val="auto"/>
        </w:rPr>
      </w:pPr>
    </w:p>
    <w:p>
      <w:pPr>
        <w:ind w:left="360"/>
        <w:spacing w:after="0"/>
        <w:tabs>
          <w:tab w:leader="none" w:pos="344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7"/>
          <w:szCs w:val="17"/>
          <w:color w:val="auto"/>
        </w:rPr>
        <w:t>March 31, 2021</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161"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For the transition period from __________ to __________</w:t>
      </w:r>
    </w:p>
    <w:p>
      <w:pPr>
        <w:spacing w:after="0" w:line="3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1-10026</w:t>
      </w: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ALBANY INTERNATIONAL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939165</wp:posOffset>
            </wp:positionH>
            <wp:positionV relativeFrom="paragraph">
              <wp:posOffset>24765</wp:posOffset>
            </wp:positionV>
            <wp:extent cx="5271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3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37465</wp:posOffset>
            </wp:positionV>
            <wp:extent cx="35318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7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338"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216 Airport Drive, Rochester, New Hampshire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37465</wp:posOffset>
            </wp:positionV>
            <wp:extent cx="35318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79"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(Address of principal executive offices)</w:t>
      </w:r>
    </w:p>
    <w:p>
      <w:pPr>
        <w:spacing w:after="0" w:line="3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14-0462060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37465</wp:posOffset>
            </wp:positionV>
            <wp:extent cx="3531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7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(IRS Employer Identification No.)</w:t>
      </w:r>
    </w:p>
    <w:p>
      <w:pPr>
        <w:spacing w:after="0" w:line="3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03867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37465</wp:posOffset>
            </wp:positionV>
            <wp:extent cx="3531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7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(Zip Code)</w:t>
      </w:r>
    </w:p>
    <w:p>
      <w:pPr>
        <w:spacing w:after="0" w:line="33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603-330-5850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37465</wp:posOffset>
            </wp:positionV>
            <wp:extent cx="3282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04" w:lineRule="exact"/>
        <w:rPr>
          <w:sz w:val="24"/>
          <w:szCs w:val="24"/>
          <w:color w:val="auto"/>
        </w:rPr>
      </w:pPr>
    </w:p>
    <w:p>
      <w:pPr>
        <w:jc w:val="center"/>
        <w:ind w:right="20"/>
        <w:spacing w:after="0"/>
        <w:rPr>
          <w:sz w:val="20"/>
          <w:szCs w:val="20"/>
          <w:color w:val="auto"/>
        </w:rPr>
      </w:pPr>
      <w:r>
        <w:rPr>
          <w:rFonts w:ascii="Arial" w:cs="Arial" w:eastAsia="Arial" w:hAnsi="Arial"/>
          <w:sz w:val="18"/>
          <w:szCs w:val="18"/>
          <w:u w:val="single" w:color="auto"/>
          <w:color w:val="auto"/>
        </w:rPr>
        <w:t>Securities registered pursuant to Section 12(b) of the Act:</w:t>
      </w:r>
    </w:p>
    <w:p>
      <w:pPr>
        <w:spacing w:after="0" w:line="111"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$0.001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AIN</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New York Stock Exchange (NYSE)</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B Common Stock, $0.001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AIN</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New York Stock Exchange (NYSE)</w:t>
            </w:r>
          </w:p>
        </w:tc>
      </w:tr>
    </w:tbl>
    <w:p>
      <w:pPr>
        <w:spacing w:after="0" w:line="107" w:lineRule="exact"/>
        <w:rPr>
          <w:sz w:val="24"/>
          <w:szCs w:val="24"/>
          <w:color w:val="auto"/>
        </w:rPr>
      </w:pPr>
    </w:p>
    <w:p>
      <w:pPr>
        <w:jc w:val="both"/>
        <w:ind w:right="2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jc w:val="both"/>
        <w:ind w:right="2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jc w:val="both"/>
        <w:ind w:right="2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69"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420"/>
              <w:spacing w:after="0"/>
              <w:rPr>
                <w:sz w:val="20"/>
                <w:szCs w:val="20"/>
                <w:color w:val="auto"/>
              </w:rPr>
            </w:pPr>
            <w:r>
              <w:rPr>
                <w:rFonts w:ascii="Arial" w:cs="Arial" w:eastAsia="Arial" w:hAnsi="Arial"/>
                <w:sz w:val="16"/>
                <w:szCs w:val="16"/>
                <w:color w:val="auto"/>
              </w:rPr>
              <w:t>Accelerated filer</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0"/>
                <w:szCs w:val="20"/>
                <w:color w:val="auto"/>
              </w:rPr>
            </w:pPr>
            <w:r>
              <w:rPr>
                <w:rFonts w:ascii="Arial" w:cs="Arial" w:eastAsia="Arial" w:hAnsi="Arial"/>
                <w:sz w:val="16"/>
                <w:szCs w:val="16"/>
                <w:color w:val="auto"/>
              </w:rPr>
              <w:t>Non-accelerated filer</w:t>
            </w:r>
          </w:p>
        </w:tc>
        <w:tc>
          <w:tcPr>
            <w:tcW w:w="28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420"/>
              <w:spacing w:after="0"/>
              <w:rPr>
                <w:sz w:val="20"/>
                <w:szCs w:val="20"/>
                <w:color w:val="auto"/>
              </w:rPr>
            </w:pPr>
            <w:r>
              <w:rPr>
                <w:rFonts w:ascii="Arial" w:cs="Arial" w:eastAsia="Arial" w:hAnsi="Arial"/>
                <w:sz w:val="16"/>
                <w:szCs w:val="16"/>
                <w:color w:val="auto"/>
              </w:rPr>
              <w:t>Smaller reporting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140" w:type="dxa"/>
            <w:vAlign w:val="bottom"/>
          </w:tcPr>
          <w:p>
            <w:pPr>
              <w:ind w:left="2420"/>
              <w:spacing w:after="0"/>
              <w:rPr>
                <w:sz w:val="20"/>
                <w:szCs w:val="20"/>
                <w:color w:val="auto"/>
              </w:rPr>
            </w:pPr>
            <w:r>
              <w:rPr>
                <w:rFonts w:ascii="Arial" w:cs="Arial" w:eastAsia="Arial" w:hAnsi="Arial"/>
                <w:sz w:val="16"/>
                <w:szCs w:val="16"/>
                <w:color w:val="auto"/>
              </w:rPr>
              <w:t>Emerging growth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ind w:right="40"/>
        <w:spacing w:after="0" w:line="261" w:lineRule="auto"/>
        <w:rPr>
          <w:sz w:val="20"/>
          <w:szCs w:val="20"/>
          <w:color w:val="auto"/>
        </w:rPr>
      </w:pPr>
      <w:r>
        <w:rPr>
          <w:rFonts w:ascii="Arial" w:cs="Arial" w:eastAsia="Arial" w:hAnsi="Arial"/>
          <w:sz w:val="18"/>
          <w:szCs w:val="18"/>
          <w:color w:val="auto"/>
        </w:rPr>
        <w:t>The registrant had 30.7 million shares of Class A Common Stock and 1.6 million shares of Class B Common Stock outstanding as of April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338" w:right="319" w:bottom="524"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9"/>
              </w:rPr>
              <w:t>Page</w:t>
            </w:r>
          </w:p>
        </w:tc>
      </w:tr>
      <w:tr>
        <w:trPr>
          <w:trHeight w:val="228"/>
        </w:trPr>
        <w:tc>
          <w:tcPr>
            <w:tcW w:w="20" w:type="dxa"/>
            <w:vAlign w:val="bottom"/>
            <w:tcBorders>
              <w:bottom w:val="single" w:sz="8" w:color="B2B2B2"/>
            </w:tcBorders>
          </w:tcPr>
          <w:p>
            <w:pPr>
              <w:spacing w:after="0"/>
              <w:rPr>
                <w:sz w:val="19"/>
                <w:szCs w:val="19"/>
                <w:color w:val="auto"/>
              </w:rPr>
            </w:pPr>
          </w:p>
        </w:tc>
        <w:tc>
          <w:tcPr>
            <w:tcW w:w="500" w:type="dxa"/>
            <w:vAlign w:val="bottom"/>
            <w:tcBorders>
              <w:bottom w:val="single" w:sz="8" w:color="B2B2B2"/>
            </w:tcBorders>
          </w:tcPr>
          <w:p>
            <w:pPr>
              <w:spacing w:after="0"/>
              <w:rPr>
                <w:sz w:val="19"/>
                <w:szCs w:val="19"/>
                <w:color w:val="auto"/>
              </w:rPr>
            </w:pPr>
          </w:p>
        </w:tc>
        <w:tc>
          <w:tcPr>
            <w:tcW w:w="100" w:type="dxa"/>
            <w:vAlign w:val="bottom"/>
            <w:tcBorders>
              <w:bottom w:val="single" w:sz="8" w:color="B2B2B2"/>
            </w:tcBorders>
          </w:tcPr>
          <w:p>
            <w:pPr>
              <w:spacing w:after="0"/>
              <w:rPr>
                <w:sz w:val="19"/>
                <w:szCs w:val="19"/>
                <w:color w:val="auto"/>
              </w:rPr>
            </w:pPr>
          </w:p>
        </w:tc>
        <w:tc>
          <w:tcPr>
            <w:tcW w:w="140" w:type="dxa"/>
            <w:vAlign w:val="bottom"/>
            <w:tcBorders>
              <w:bottom w:val="single" w:sz="8" w:color="B2B2B2"/>
            </w:tcBorders>
          </w:tcPr>
          <w:p>
            <w:pPr>
              <w:spacing w:after="0"/>
              <w:rPr>
                <w:sz w:val="19"/>
                <w:szCs w:val="19"/>
                <w:color w:val="auto"/>
              </w:rPr>
            </w:pPr>
          </w:p>
        </w:tc>
        <w:tc>
          <w:tcPr>
            <w:tcW w:w="120" w:type="dxa"/>
            <w:vAlign w:val="bottom"/>
            <w:tcBorders>
              <w:bottom w:val="single" w:sz="8" w:color="B2B2B2"/>
            </w:tcBorders>
          </w:tcPr>
          <w:p>
            <w:pPr>
              <w:spacing w:after="0"/>
              <w:rPr>
                <w:sz w:val="19"/>
                <w:szCs w:val="19"/>
                <w:color w:val="auto"/>
              </w:rPr>
            </w:pPr>
          </w:p>
        </w:tc>
        <w:tc>
          <w:tcPr>
            <w:tcW w:w="560" w:type="dxa"/>
            <w:vAlign w:val="bottom"/>
            <w:tcBorders>
              <w:bottom w:val="single" w:sz="8" w:color="B2B2B2"/>
            </w:tcBorders>
          </w:tcPr>
          <w:p>
            <w:pPr>
              <w:spacing w:after="0"/>
              <w:rPr>
                <w:sz w:val="19"/>
                <w:szCs w:val="19"/>
                <w:color w:val="auto"/>
              </w:rPr>
            </w:pPr>
          </w:p>
        </w:tc>
        <w:tc>
          <w:tcPr>
            <w:tcW w:w="340" w:type="dxa"/>
            <w:vAlign w:val="bottom"/>
            <w:tcBorders>
              <w:bottom w:val="single" w:sz="8" w:color="B2B2B2"/>
            </w:tcBorders>
          </w:tcPr>
          <w:p>
            <w:pPr>
              <w:spacing w:after="0"/>
              <w:rPr>
                <w:sz w:val="19"/>
                <w:szCs w:val="19"/>
                <w:color w:val="auto"/>
              </w:rPr>
            </w:pPr>
          </w:p>
        </w:tc>
        <w:tc>
          <w:tcPr>
            <w:tcW w:w="360" w:type="dxa"/>
            <w:vAlign w:val="bottom"/>
            <w:tcBorders>
              <w:bottom w:val="single" w:sz="8" w:color="B2B2B2"/>
            </w:tcBorders>
          </w:tcPr>
          <w:p>
            <w:pPr>
              <w:spacing w:after="0"/>
              <w:rPr>
                <w:sz w:val="19"/>
                <w:szCs w:val="19"/>
                <w:color w:val="auto"/>
              </w:rPr>
            </w:pPr>
          </w:p>
        </w:tc>
        <w:tc>
          <w:tcPr>
            <w:tcW w:w="80" w:type="dxa"/>
            <w:vAlign w:val="bottom"/>
            <w:tcBorders>
              <w:bottom w:val="single" w:sz="8" w:color="B2B2B2"/>
            </w:tcBorders>
          </w:tcPr>
          <w:p>
            <w:pPr>
              <w:spacing w:after="0"/>
              <w:rPr>
                <w:sz w:val="19"/>
                <w:szCs w:val="19"/>
                <w:color w:val="auto"/>
              </w:rPr>
            </w:pPr>
          </w:p>
        </w:tc>
        <w:tc>
          <w:tcPr>
            <w:tcW w:w="160" w:type="dxa"/>
            <w:vAlign w:val="bottom"/>
            <w:tcBorders>
              <w:bottom w:val="single" w:sz="8" w:color="B2B2B2"/>
            </w:tcBorders>
          </w:tcPr>
          <w:p>
            <w:pPr>
              <w:spacing w:after="0"/>
              <w:rPr>
                <w:sz w:val="19"/>
                <w:szCs w:val="19"/>
                <w:color w:val="auto"/>
              </w:rPr>
            </w:pPr>
          </w:p>
        </w:tc>
        <w:tc>
          <w:tcPr>
            <w:tcW w:w="240" w:type="dxa"/>
            <w:vAlign w:val="bottom"/>
            <w:tcBorders>
              <w:bottom w:val="single" w:sz="8" w:color="B2B2B2"/>
            </w:tcBorders>
          </w:tcPr>
          <w:p>
            <w:pPr>
              <w:spacing w:after="0"/>
              <w:rPr>
                <w:sz w:val="19"/>
                <w:szCs w:val="19"/>
                <w:color w:val="auto"/>
              </w:rPr>
            </w:pPr>
          </w:p>
        </w:tc>
        <w:tc>
          <w:tcPr>
            <w:tcW w:w="40" w:type="dxa"/>
            <w:vAlign w:val="bottom"/>
            <w:tcBorders>
              <w:bottom w:val="single" w:sz="8" w:color="B2B2B2"/>
            </w:tcBorders>
          </w:tcPr>
          <w:p>
            <w:pPr>
              <w:spacing w:after="0"/>
              <w:rPr>
                <w:sz w:val="19"/>
                <w:szCs w:val="19"/>
                <w:color w:val="auto"/>
              </w:rPr>
            </w:pPr>
          </w:p>
        </w:tc>
        <w:tc>
          <w:tcPr>
            <w:tcW w:w="220" w:type="dxa"/>
            <w:vAlign w:val="bottom"/>
            <w:tcBorders>
              <w:bottom w:val="single" w:sz="8" w:color="B2B2B2"/>
            </w:tcBorders>
          </w:tcPr>
          <w:p>
            <w:pPr>
              <w:spacing w:after="0"/>
              <w:rPr>
                <w:sz w:val="19"/>
                <w:szCs w:val="19"/>
                <w:color w:val="auto"/>
              </w:rPr>
            </w:pPr>
          </w:p>
        </w:tc>
        <w:tc>
          <w:tcPr>
            <w:tcW w:w="260" w:type="dxa"/>
            <w:vAlign w:val="bottom"/>
            <w:tcBorders>
              <w:bottom w:val="single" w:sz="8" w:color="B2B2B2"/>
            </w:tcBorders>
          </w:tcPr>
          <w:p>
            <w:pPr>
              <w:spacing w:after="0"/>
              <w:rPr>
                <w:sz w:val="19"/>
                <w:szCs w:val="19"/>
                <w:color w:val="auto"/>
              </w:rPr>
            </w:pPr>
          </w:p>
        </w:tc>
        <w:tc>
          <w:tcPr>
            <w:tcW w:w="260" w:type="dxa"/>
            <w:vAlign w:val="bottom"/>
            <w:tcBorders>
              <w:bottom w:val="single" w:sz="8" w:color="B2B2B2"/>
            </w:tcBorders>
          </w:tcPr>
          <w:p>
            <w:pPr>
              <w:spacing w:after="0"/>
              <w:rPr>
                <w:sz w:val="19"/>
                <w:szCs w:val="19"/>
                <w:color w:val="auto"/>
              </w:rPr>
            </w:pPr>
          </w:p>
        </w:tc>
        <w:tc>
          <w:tcPr>
            <w:tcW w:w="180" w:type="dxa"/>
            <w:vAlign w:val="bottom"/>
            <w:tcBorders>
              <w:bottom w:val="single" w:sz="8" w:color="B2B2B2"/>
            </w:tcBorders>
          </w:tcPr>
          <w:p>
            <w:pPr>
              <w:spacing w:after="0"/>
              <w:rPr>
                <w:sz w:val="19"/>
                <w:szCs w:val="19"/>
                <w:color w:val="auto"/>
              </w:rPr>
            </w:pPr>
          </w:p>
        </w:tc>
        <w:tc>
          <w:tcPr>
            <w:tcW w:w="240" w:type="dxa"/>
            <w:vAlign w:val="bottom"/>
            <w:tcBorders>
              <w:bottom w:val="single" w:sz="8" w:color="B2B2B2"/>
            </w:tcBorders>
          </w:tcPr>
          <w:p>
            <w:pPr>
              <w:spacing w:after="0"/>
              <w:rPr>
                <w:sz w:val="19"/>
                <w:szCs w:val="19"/>
                <w:color w:val="auto"/>
              </w:rPr>
            </w:pPr>
          </w:p>
        </w:tc>
        <w:tc>
          <w:tcPr>
            <w:tcW w:w="100" w:type="dxa"/>
            <w:vAlign w:val="bottom"/>
            <w:tcBorders>
              <w:bottom w:val="single" w:sz="8" w:color="B2B2B2"/>
            </w:tcBorders>
          </w:tcPr>
          <w:p>
            <w:pPr>
              <w:spacing w:after="0"/>
              <w:rPr>
                <w:sz w:val="19"/>
                <w:szCs w:val="19"/>
                <w:color w:val="auto"/>
              </w:rPr>
            </w:pPr>
          </w:p>
        </w:tc>
        <w:tc>
          <w:tcPr>
            <w:tcW w:w="40" w:type="dxa"/>
            <w:vAlign w:val="bottom"/>
            <w:tcBorders>
              <w:bottom w:val="single" w:sz="8" w:color="B2B2B2"/>
            </w:tcBorders>
          </w:tcPr>
          <w:p>
            <w:pPr>
              <w:spacing w:after="0"/>
              <w:rPr>
                <w:sz w:val="19"/>
                <w:szCs w:val="19"/>
                <w:color w:val="auto"/>
              </w:rPr>
            </w:pPr>
          </w:p>
        </w:tc>
        <w:tc>
          <w:tcPr>
            <w:tcW w:w="240" w:type="dxa"/>
            <w:vAlign w:val="bottom"/>
            <w:tcBorders>
              <w:bottom w:val="single" w:sz="8" w:color="B2B2B2"/>
            </w:tcBorders>
          </w:tcPr>
          <w:p>
            <w:pPr>
              <w:spacing w:after="0"/>
              <w:rPr>
                <w:sz w:val="19"/>
                <w:szCs w:val="19"/>
                <w:color w:val="auto"/>
              </w:rPr>
            </w:pPr>
          </w:p>
        </w:tc>
        <w:tc>
          <w:tcPr>
            <w:tcW w:w="320" w:type="dxa"/>
            <w:vAlign w:val="bottom"/>
            <w:tcBorders>
              <w:bottom w:val="single" w:sz="8" w:color="B2B2B2"/>
            </w:tcBorders>
          </w:tcPr>
          <w:p>
            <w:pPr>
              <w:spacing w:after="0"/>
              <w:rPr>
                <w:sz w:val="19"/>
                <w:szCs w:val="19"/>
                <w:color w:val="auto"/>
              </w:rPr>
            </w:pPr>
          </w:p>
        </w:tc>
        <w:tc>
          <w:tcPr>
            <w:tcW w:w="360" w:type="dxa"/>
            <w:vAlign w:val="bottom"/>
            <w:tcBorders>
              <w:bottom w:val="single" w:sz="8" w:color="B2B2B2"/>
            </w:tcBorders>
          </w:tcPr>
          <w:p>
            <w:pPr>
              <w:spacing w:after="0"/>
              <w:rPr>
                <w:sz w:val="19"/>
                <w:szCs w:val="19"/>
                <w:color w:val="auto"/>
              </w:rPr>
            </w:pPr>
          </w:p>
        </w:tc>
        <w:tc>
          <w:tcPr>
            <w:tcW w:w="200" w:type="dxa"/>
            <w:vAlign w:val="bottom"/>
            <w:tcBorders>
              <w:bottom w:val="single" w:sz="8" w:color="B2B2B2"/>
            </w:tcBorders>
          </w:tcPr>
          <w:p>
            <w:pPr>
              <w:spacing w:after="0"/>
              <w:rPr>
                <w:sz w:val="19"/>
                <w:szCs w:val="19"/>
                <w:color w:val="auto"/>
              </w:rPr>
            </w:pPr>
          </w:p>
        </w:tc>
        <w:tc>
          <w:tcPr>
            <w:tcW w:w="20" w:type="dxa"/>
            <w:vAlign w:val="bottom"/>
            <w:tcBorders>
              <w:bottom w:val="single" w:sz="8" w:color="B2B2B2"/>
            </w:tcBorders>
          </w:tcPr>
          <w:p>
            <w:pPr>
              <w:spacing w:after="0"/>
              <w:rPr>
                <w:sz w:val="19"/>
                <w:szCs w:val="19"/>
                <w:color w:val="auto"/>
              </w:rPr>
            </w:pPr>
          </w:p>
        </w:tc>
        <w:tc>
          <w:tcPr>
            <w:tcW w:w="80" w:type="dxa"/>
            <w:vAlign w:val="bottom"/>
            <w:tcBorders>
              <w:bottom w:val="single" w:sz="8" w:color="B2B2B2"/>
            </w:tcBorders>
          </w:tcPr>
          <w:p>
            <w:pPr>
              <w:spacing w:after="0"/>
              <w:rPr>
                <w:sz w:val="19"/>
                <w:szCs w:val="19"/>
                <w:color w:val="auto"/>
              </w:rPr>
            </w:pPr>
          </w:p>
        </w:tc>
        <w:tc>
          <w:tcPr>
            <w:tcW w:w="60" w:type="dxa"/>
            <w:vAlign w:val="bottom"/>
            <w:tcBorders>
              <w:bottom w:val="single" w:sz="8" w:color="B2B2B2"/>
            </w:tcBorders>
          </w:tcPr>
          <w:p>
            <w:pPr>
              <w:spacing w:after="0"/>
              <w:rPr>
                <w:sz w:val="19"/>
                <w:szCs w:val="19"/>
                <w:color w:val="auto"/>
              </w:rPr>
            </w:pPr>
          </w:p>
        </w:tc>
        <w:tc>
          <w:tcPr>
            <w:tcW w:w="60" w:type="dxa"/>
            <w:vAlign w:val="bottom"/>
            <w:tcBorders>
              <w:bottom w:val="single" w:sz="8" w:color="B2B2B2"/>
            </w:tcBorders>
          </w:tcPr>
          <w:p>
            <w:pPr>
              <w:spacing w:after="0"/>
              <w:rPr>
                <w:sz w:val="19"/>
                <w:szCs w:val="19"/>
                <w:color w:val="auto"/>
              </w:rPr>
            </w:pPr>
          </w:p>
        </w:tc>
        <w:tc>
          <w:tcPr>
            <w:tcW w:w="240" w:type="dxa"/>
            <w:vAlign w:val="bottom"/>
            <w:tcBorders>
              <w:bottom w:val="single" w:sz="8" w:color="B2B2B2"/>
            </w:tcBorders>
          </w:tcPr>
          <w:p>
            <w:pPr>
              <w:spacing w:after="0"/>
              <w:rPr>
                <w:sz w:val="19"/>
                <w:szCs w:val="19"/>
                <w:color w:val="auto"/>
              </w:rPr>
            </w:pPr>
          </w:p>
        </w:tc>
        <w:tc>
          <w:tcPr>
            <w:tcW w:w="660" w:type="dxa"/>
            <w:vAlign w:val="bottom"/>
            <w:tcBorders>
              <w:bottom w:val="single" w:sz="8" w:color="B2B2B2"/>
            </w:tcBorders>
          </w:tcPr>
          <w:p>
            <w:pPr>
              <w:spacing w:after="0"/>
              <w:rPr>
                <w:sz w:val="19"/>
                <w:szCs w:val="19"/>
                <w:color w:val="auto"/>
              </w:rPr>
            </w:pPr>
          </w:p>
        </w:tc>
        <w:tc>
          <w:tcPr>
            <w:tcW w:w="240" w:type="dxa"/>
            <w:vAlign w:val="bottom"/>
            <w:tcBorders>
              <w:bottom w:val="single" w:sz="8" w:color="B2B2B2"/>
            </w:tcBorders>
          </w:tcPr>
          <w:p>
            <w:pPr>
              <w:spacing w:after="0"/>
              <w:rPr>
                <w:sz w:val="19"/>
                <w:szCs w:val="19"/>
                <w:color w:val="auto"/>
              </w:rPr>
            </w:pPr>
          </w:p>
        </w:tc>
        <w:tc>
          <w:tcPr>
            <w:tcW w:w="120" w:type="dxa"/>
            <w:vAlign w:val="bottom"/>
            <w:tcBorders>
              <w:bottom w:val="single" w:sz="8" w:color="B2B2B2"/>
            </w:tcBorders>
          </w:tcPr>
          <w:p>
            <w:pPr>
              <w:spacing w:after="0"/>
              <w:rPr>
                <w:sz w:val="19"/>
                <w:szCs w:val="19"/>
                <w:color w:val="auto"/>
              </w:rPr>
            </w:pPr>
          </w:p>
        </w:tc>
        <w:tc>
          <w:tcPr>
            <w:tcW w:w="100" w:type="dxa"/>
            <w:vAlign w:val="bottom"/>
            <w:tcBorders>
              <w:bottom w:val="single" w:sz="8" w:color="B2B2B2"/>
            </w:tcBorders>
          </w:tcPr>
          <w:p>
            <w:pPr>
              <w:spacing w:after="0"/>
              <w:rPr>
                <w:sz w:val="19"/>
                <w:szCs w:val="19"/>
                <w:color w:val="auto"/>
              </w:rPr>
            </w:pPr>
          </w:p>
        </w:tc>
        <w:tc>
          <w:tcPr>
            <w:tcW w:w="140" w:type="dxa"/>
            <w:vAlign w:val="bottom"/>
            <w:tcBorders>
              <w:bottom w:val="single" w:sz="8" w:color="B2B2B2"/>
            </w:tcBorders>
          </w:tcPr>
          <w:p>
            <w:pPr>
              <w:spacing w:after="0"/>
              <w:rPr>
                <w:sz w:val="19"/>
                <w:szCs w:val="19"/>
                <w:color w:val="auto"/>
              </w:rPr>
            </w:pPr>
          </w:p>
        </w:tc>
        <w:tc>
          <w:tcPr>
            <w:tcW w:w="440" w:type="dxa"/>
            <w:vAlign w:val="bottom"/>
            <w:tcBorders>
              <w:bottom w:val="single" w:sz="8" w:color="B2B2B2"/>
            </w:tcBorders>
          </w:tcPr>
          <w:p>
            <w:pPr>
              <w:spacing w:after="0"/>
              <w:rPr>
                <w:sz w:val="19"/>
                <w:szCs w:val="19"/>
                <w:color w:val="auto"/>
              </w:rPr>
            </w:pPr>
          </w:p>
        </w:tc>
        <w:tc>
          <w:tcPr>
            <w:tcW w:w="540" w:type="dxa"/>
            <w:vAlign w:val="bottom"/>
            <w:tcBorders>
              <w:bottom w:val="single" w:sz="8" w:color="B2B2B2"/>
            </w:tcBorders>
          </w:tcPr>
          <w:p>
            <w:pPr>
              <w:spacing w:after="0"/>
              <w:rPr>
                <w:sz w:val="19"/>
                <w:szCs w:val="19"/>
                <w:color w:val="auto"/>
              </w:rPr>
            </w:pPr>
          </w:p>
        </w:tc>
        <w:tc>
          <w:tcPr>
            <w:tcW w:w="360" w:type="dxa"/>
            <w:vAlign w:val="bottom"/>
            <w:tcBorders>
              <w:bottom w:val="single" w:sz="8" w:color="B2B2B2"/>
            </w:tcBorders>
          </w:tcPr>
          <w:p>
            <w:pPr>
              <w:spacing w:after="0"/>
              <w:rPr>
                <w:sz w:val="19"/>
                <w:szCs w:val="19"/>
                <w:color w:val="auto"/>
              </w:rPr>
            </w:pPr>
          </w:p>
        </w:tc>
        <w:tc>
          <w:tcPr>
            <w:tcW w:w="2460" w:type="dxa"/>
            <w:vAlign w:val="bottom"/>
            <w:tcBorders>
              <w:bottom w:val="single" w:sz="8" w:color="B2B2B2"/>
            </w:tcBorders>
          </w:tcPr>
          <w:p>
            <w:pPr>
              <w:spacing w:after="0"/>
              <w:rPr>
                <w:sz w:val="19"/>
                <w:szCs w:val="19"/>
                <w:color w:val="auto"/>
              </w:rPr>
            </w:pPr>
          </w:p>
        </w:tc>
        <w:tc>
          <w:tcPr>
            <w:tcW w:w="6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rPr>
              <w:t>No.</w:t>
            </w:r>
          </w:p>
        </w:tc>
      </w:tr>
      <w:tr>
        <w:trPr>
          <w:trHeight w:val="229"/>
        </w:trPr>
        <w:tc>
          <w:tcPr>
            <w:tcW w:w="20" w:type="dxa"/>
            <w:vAlign w:val="bottom"/>
            <w:shd w:val="clear" w:color="auto" w:fill="B2B2B2"/>
          </w:tcPr>
          <w:p>
            <w:pPr>
              <w:spacing w:after="0"/>
              <w:rPr>
                <w:sz w:val="19"/>
                <w:szCs w:val="19"/>
                <w:color w:val="auto"/>
              </w:rPr>
            </w:pPr>
          </w:p>
        </w:tc>
        <w:tc>
          <w:tcPr>
            <w:tcW w:w="10580" w:type="dxa"/>
            <w:vAlign w:val="bottom"/>
            <w:gridSpan w:val="36"/>
            <w:shd w:val="clear" w:color="auto" w:fill="B2B2B2"/>
          </w:tcPr>
          <w:p>
            <w:pPr>
              <w:spacing w:after="0"/>
              <w:rPr>
                <w:rFonts w:ascii="Arial" w:cs="Arial" w:eastAsia="Arial" w:hAnsi="Arial"/>
                <w:sz w:val="16"/>
                <w:szCs w:val="16"/>
                <w:b w:val="1"/>
                <w:bCs w:val="1"/>
                <w:color w:val="0000FF"/>
              </w:rPr>
            </w:pPr>
            <w:hyperlink w:anchor="page3">
              <w:r>
                <w:rPr>
                  <w:rFonts w:ascii="Arial" w:cs="Arial" w:eastAsia="Arial" w:hAnsi="Arial"/>
                  <w:sz w:val="16"/>
                  <w:szCs w:val="16"/>
                  <w:b w:val="1"/>
                  <w:bCs w:val="1"/>
                  <w:color w:val="0000FF"/>
                </w:rPr>
                <w:t>Part I Financial information</w:t>
              </w:r>
            </w:hyperlink>
          </w:p>
        </w:tc>
        <w:tc>
          <w:tcPr>
            <w:tcW w:w="440" w:type="dxa"/>
            <w:vAlign w:val="bottom"/>
            <w:shd w:val="clear" w:color="auto" w:fill="B2B2B2"/>
          </w:tcPr>
          <w:p>
            <w:pPr>
              <w:spacing w:after="0"/>
              <w:rPr>
                <w:sz w:val="19"/>
                <w:szCs w:val="19"/>
                <w:color w:val="auto"/>
              </w:rPr>
            </w:pPr>
          </w:p>
        </w:tc>
        <w:tc>
          <w:tcPr>
            <w:tcW w:w="100" w:type="dxa"/>
            <w:vAlign w:val="bottom"/>
            <w:shd w:val="clear" w:color="auto" w:fill="B2B2B2"/>
          </w:tcPr>
          <w:p>
            <w:pPr>
              <w:spacing w:after="0"/>
              <w:rPr>
                <w:sz w:val="19"/>
                <w:szCs w:val="19"/>
                <w:color w:val="auto"/>
              </w:rPr>
            </w:pPr>
          </w:p>
        </w:tc>
        <w:tc>
          <w:tcPr>
            <w:tcW w:w="80" w:type="dxa"/>
            <w:vAlign w:val="bottom"/>
            <w:shd w:val="clear" w:color="auto" w:fill="B2B2B2"/>
          </w:tcPr>
          <w:p>
            <w:pPr>
              <w:spacing w:after="0"/>
              <w:rPr>
                <w:sz w:val="19"/>
                <w:szCs w:val="19"/>
                <w:color w:val="auto"/>
              </w:rPr>
            </w:pPr>
          </w:p>
        </w:tc>
        <w:tc>
          <w:tcPr>
            <w:tcW w:w="20" w:type="dxa"/>
            <w:vAlign w:val="bottom"/>
            <w:shd w:val="clear" w:color="auto" w:fill="B2B2B2"/>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Item 1.</w:t>
              </w:r>
            </w:hyperlink>
          </w:p>
        </w:tc>
        <w:tc>
          <w:tcPr>
            <w:tcW w:w="9840" w:type="dxa"/>
            <w:vAlign w:val="bottom"/>
            <w:gridSpan w:val="33"/>
          </w:tcPr>
          <w:p>
            <w:pPr>
              <w:ind w:left="120"/>
              <w:spacing w:after="0"/>
              <w:rPr>
                <w:rFonts w:ascii="Arial" w:cs="Arial" w:eastAsia="Arial" w:hAnsi="Arial"/>
                <w:sz w:val="16"/>
                <w:szCs w:val="16"/>
                <w:color w:val="0000FF"/>
              </w:rPr>
            </w:pPr>
            <w:hyperlink w:anchor="page4">
              <w:r>
                <w:rPr>
                  <w:rFonts w:ascii="Arial" w:cs="Arial" w:eastAsia="Arial" w:hAnsi="Arial"/>
                  <w:sz w:val="16"/>
                  <w:szCs w:val="16"/>
                  <w:color w:val="0000FF"/>
                </w:rPr>
                <w:t>Financial Statements</w:t>
              </w:r>
            </w:hyperlink>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840" w:type="dxa"/>
            <w:vAlign w:val="bottom"/>
            <w:gridSpan w:val="33"/>
            <w:shd w:val="clear" w:color="auto" w:fill="B2B2B2"/>
          </w:tcPr>
          <w:p>
            <w:pPr>
              <w:ind w:left="120"/>
              <w:spacing w:after="0"/>
              <w:rPr>
                <w:rFonts w:ascii="Arial" w:cs="Arial" w:eastAsia="Arial" w:hAnsi="Arial"/>
                <w:sz w:val="16"/>
                <w:szCs w:val="16"/>
                <w:color w:val="0000FF"/>
              </w:rPr>
            </w:pPr>
            <w:hyperlink w:anchor="page4">
              <w:r>
                <w:rPr>
                  <w:rFonts w:ascii="Arial" w:cs="Arial" w:eastAsia="Arial" w:hAnsi="Arial"/>
                  <w:sz w:val="16"/>
                  <w:szCs w:val="16"/>
                  <w:color w:val="0000FF"/>
                </w:rPr>
                <w:t xml:space="preserve">Consolidated statements of income – </w:t>
              </w:r>
            </w:hyperlink>
            <w:r>
              <w:rPr>
                <w:rFonts w:ascii="Arial" w:cs="Arial" w:eastAsia="Arial" w:hAnsi="Arial"/>
                <w:sz w:val="16"/>
                <w:szCs w:val="16"/>
                <w:color w:val="000000"/>
              </w:rPr>
              <w:t>three</w:t>
            </w:r>
            <w:r>
              <w:rPr>
                <w:rFonts w:ascii="Arial" w:cs="Arial" w:eastAsia="Arial" w:hAnsi="Arial"/>
                <w:sz w:val="16"/>
                <w:szCs w:val="16"/>
                <w:color w:val="0000FF"/>
              </w:rPr>
              <w:t xml:space="preserve"> </w:t>
            </w:r>
            <w:hyperlink w:anchor="page4">
              <w:r>
                <w:rPr>
                  <w:rFonts w:ascii="Arial" w:cs="Arial" w:eastAsia="Arial" w:hAnsi="Arial"/>
                  <w:sz w:val="16"/>
                  <w:szCs w:val="16"/>
                  <w:color w:val="0000FF"/>
                </w:rPr>
                <w:t xml:space="preserve">months ended </w:t>
              </w:r>
            </w:hyperlink>
            <w:r>
              <w:rPr>
                <w:rFonts w:ascii="Arial" w:cs="Arial" w:eastAsia="Arial" w:hAnsi="Arial"/>
                <w:sz w:val="16"/>
                <w:szCs w:val="16"/>
                <w:color w:val="000000"/>
              </w:rPr>
              <w:t>March</w:t>
            </w:r>
            <w:r>
              <w:rPr>
                <w:rFonts w:ascii="Arial" w:cs="Arial" w:eastAsia="Arial" w:hAnsi="Arial"/>
                <w:sz w:val="16"/>
                <w:szCs w:val="16"/>
                <w:color w:val="0000FF"/>
              </w:rPr>
              <w:t xml:space="preserve"> </w:t>
            </w:r>
            <w:r>
              <w:rPr>
                <w:rFonts w:ascii="Arial" w:cs="Arial" w:eastAsia="Arial" w:hAnsi="Arial"/>
                <w:sz w:val="16"/>
                <w:szCs w:val="16"/>
                <w:color w:val="000000"/>
              </w:rPr>
              <w:t>31, 2021</w:t>
            </w:r>
            <w:r>
              <w:rPr>
                <w:rFonts w:ascii="Arial" w:cs="Arial" w:eastAsia="Arial" w:hAnsi="Arial"/>
                <w:sz w:val="16"/>
                <w:szCs w:val="16"/>
                <w:color w:val="0000FF"/>
              </w:rPr>
              <w:t xml:space="preserve"> </w:t>
            </w:r>
            <w:hyperlink w:anchor="page4">
              <w:r>
                <w:rPr>
                  <w:rFonts w:ascii="Arial" w:cs="Arial" w:eastAsia="Arial" w:hAnsi="Arial"/>
                  <w:sz w:val="16"/>
                  <w:szCs w:val="16"/>
                  <w:color w:val="0000FF"/>
                </w:rPr>
                <w:t xml:space="preserve">and </w:t>
              </w:r>
            </w:hyperlink>
            <w:r>
              <w:rPr>
                <w:rFonts w:ascii="Arial" w:cs="Arial" w:eastAsia="Arial" w:hAnsi="Arial"/>
                <w:sz w:val="16"/>
                <w:szCs w:val="16"/>
                <w:color w:val="000000"/>
              </w:rPr>
              <w:t>2020</w:t>
            </w:r>
          </w:p>
        </w:tc>
        <w:tc>
          <w:tcPr>
            <w:tcW w:w="620" w:type="dxa"/>
            <w:vAlign w:val="bottom"/>
            <w:gridSpan w:val="3"/>
            <w:shd w:val="clear" w:color="auto" w:fill="B2B2B2"/>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3</w:t>
              </w:r>
            </w:hyperlink>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32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6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12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5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46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40" w:type="dxa"/>
            <w:vAlign w:val="bottom"/>
            <w:gridSpan w:val="33"/>
          </w:tcPr>
          <w:p>
            <w:pPr>
              <w:ind w:left="120"/>
              <w:spacing w:after="0"/>
              <w:rPr>
                <w:rFonts w:ascii="Arial" w:cs="Arial" w:eastAsia="Arial" w:hAnsi="Arial"/>
                <w:sz w:val="16"/>
                <w:szCs w:val="16"/>
                <w:color w:val="0000FF"/>
              </w:rPr>
            </w:pPr>
            <w:hyperlink w:anchor="page4">
              <w:r>
                <w:rPr>
                  <w:rFonts w:ascii="Arial" w:cs="Arial" w:eastAsia="Arial" w:hAnsi="Arial"/>
                  <w:sz w:val="16"/>
                  <w:szCs w:val="16"/>
                  <w:color w:val="0000FF"/>
                </w:rPr>
                <w:t xml:space="preserve">Consolidated statements of comprehensive income/(loss) – </w:t>
              </w:r>
            </w:hyperlink>
            <w:r>
              <w:rPr>
                <w:rFonts w:ascii="Arial" w:cs="Arial" w:eastAsia="Arial" w:hAnsi="Arial"/>
                <w:sz w:val="16"/>
                <w:szCs w:val="16"/>
                <w:color w:val="000000"/>
              </w:rPr>
              <w:t>three</w:t>
            </w:r>
            <w:r>
              <w:rPr>
                <w:rFonts w:ascii="Arial" w:cs="Arial" w:eastAsia="Arial" w:hAnsi="Arial"/>
                <w:sz w:val="16"/>
                <w:szCs w:val="16"/>
                <w:color w:val="0000FF"/>
              </w:rPr>
              <w:t xml:space="preserve"> </w:t>
            </w:r>
            <w:hyperlink w:anchor="page4">
              <w:r>
                <w:rPr>
                  <w:rFonts w:ascii="Arial" w:cs="Arial" w:eastAsia="Arial" w:hAnsi="Arial"/>
                  <w:sz w:val="16"/>
                  <w:szCs w:val="16"/>
                  <w:color w:val="0000FF"/>
                </w:rPr>
                <w:t xml:space="preserve">months ended </w:t>
              </w:r>
            </w:hyperlink>
            <w:r>
              <w:rPr>
                <w:rFonts w:ascii="Arial" w:cs="Arial" w:eastAsia="Arial" w:hAnsi="Arial"/>
                <w:sz w:val="16"/>
                <w:szCs w:val="16"/>
                <w:color w:val="000000"/>
              </w:rPr>
              <w:t>March</w:t>
            </w:r>
            <w:r>
              <w:rPr>
                <w:rFonts w:ascii="Arial" w:cs="Arial" w:eastAsia="Arial" w:hAnsi="Arial"/>
                <w:sz w:val="16"/>
                <w:szCs w:val="16"/>
                <w:color w:val="0000FF"/>
              </w:rPr>
              <w:t xml:space="preserve"> </w:t>
            </w:r>
            <w:r>
              <w:rPr>
                <w:rFonts w:ascii="Arial" w:cs="Arial" w:eastAsia="Arial" w:hAnsi="Arial"/>
                <w:sz w:val="16"/>
                <w:szCs w:val="16"/>
                <w:color w:val="000000"/>
              </w:rPr>
              <w:t>31, 2021</w:t>
            </w:r>
            <w:r>
              <w:rPr>
                <w:rFonts w:ascii="Arial" w:cs="Arial" w:eastAsia="Arial" w:hAnsi="Arial"/>
                <w:sz w:val="16"/>
                <w:szCs w:val="16"/>
                <w:color w:val="0000FF"/>
              </w:rPr>
              <w:t xml:space="preserve"> </w:t>
            </w:r>
            <w:hyperlink w:anchor="page4">
              <w:r>
                <w:rPr>
                  <w:rFonts w:ascii="Arial" w:cs="Arial" w:eastAsia="Arial" w:hAnsi="Arial"/>
                  <w:sz w:val="16"/>
                  <w:szCs w:val="16"/>
                  <w:color w:val="0000FF"/>
                </w:rPr>
                <w:t xml:space="preserve">and </w:t>
              </w:r>
            </w:hyperlink>
            <w:r>
              <w:rPr>
                <w:rFonts w:ascii="Arial" w:cs="Arial" w:eastAsia="Arial" w:hAnsi="Arial"/>
                <w:sz w:val="16"/>
                <w:szCs w:val="16"/>
                <w:color w:val="000000"/>
              </w:rPr>
              <w:t>2020</w:t>
            </w:r>
          </w:p>
        </w:tc>
        <w:tc>
          <w:tcPr>
            <w:tcW w:w="620" w:type="dxa"/>
            <w:vAlign w:val="bottom"/>
            <w:gridSpan w:val="3"/>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840" w:type="dxa"/>
            <w:vAlign w:val="bottom"/>
            <w:gridSpan w:val="33"/>
            <w:shd w:val="clear" w:color="auto" w:fill="B2B2B2"/>
          </w:tcPr>
          <w:p>
            <w:pPr>
              <w:ind w:left="120"/>
              <w:spacing w:after="0"/>
              <w:rPr>
                <w:rFonts w:ascii="Arial" w:cs="Arial" w:eastAsia="Arial" w:hAnsi="Arial"/>
                <w:sz w:val="16"/>
                <w:szCs w:val="16"/>
                <w:color w:val="0000FF"/>
              </w:rPr>
            </w:pPr>
            <w:hyperlink w:anchor="page5">
              <w:r>
                <w:rPr>
                  <w:rFonts w:ascii="Arial" w:cs="Arial" w:eastAsia="Arial" w:hAnsi="Arial"/>
                  <w:sz w:val="16"/>
                  <w:szCs w:val="16"/>
                  <w:color w:val="0000FF"/>
                </w:rPr>
                <w:t xml:space="preserve">Consolidated balance sheets as of </w:t>
              </w:r>
            </w:hyperlink>
            <w:r>
              <w:rPr>
                <w:rFonts w:ascii="Arial" w:cs="Arial" w:eastAsia="Arial" w:hAnsi="Arial"/>
                <w:sz w:val="16"/>
                <w:szCs w:val="16"/>
                <w:color w:val="000000"/>
              </w:rPr>
              <w:t>March</w:t>
            </w:r>
            <w:r>
              <w:rPr>
                <w:rFonts w:ascii="Arial" w:cs="Arial" w:eastAsia="Arial" w:hAnsi="Arial"/>
                <w:sz w:val="16"/>
                <w:szCs w:val="16"/>
                <w:color w:val="0000FF"/>
              </w:rPr>
              <w:t xml:space="preserve"> </w:t>
            </w:r>
            <w:r>
              <w:rPr>
                <w:rFonts w:ascii="Arial" w:cs="Arial" w:eastAsia="Arial" w:hAnsi="Arial"/>
                <w:sz w:val="16"/>
                <w:szCs w:val="16"/>
                <w:color w:val="000000"/>
              </w:rPr>
              <w:t>31, 2021</w:t>
            </w:r>
            <w:r>
              <w:rPr>
                <w:rFonts w:ascii="Arial" w:cs="Arial" w:eastAsia="Arial" w:hAnsi="Arial"/>
                <w:sz w:val="16"/>
                <w:szCs w:val="16"/>
                <w:color w:val="0000FF"/>
              </w:rPr>
              <w:t xml:space="preserve"> </w:t>
            </w:r>
            <w:hyperlink w:anchor="page5">
              <w:r>
                <w:rPr>
                  <w:rFonts w:ascii="Arial" w:cs="Arial" w:eastAsia="Arial" w:hAnsi="Arial"/>
                  <w:sz w:val="16"/>
                  <w:szCs w:val="16"/>
                  <w:color w:val="0000FF"/>
                </w:rPr>
                <w:t xml:space="preserve">and </w:t>
              </w:r>
            </w:hyperlink>
            <w:r>
              <w:rPr>
                <w:rFonts w:ascii="Arial" w:cs="Arial" w:eastAsia="Arial" w:hAnsi="Arial"/>
                <w:sz w:val="16"/>
                <w:szCs w:val="16"/>
                <w:color w:val="000000"/>
              </w:rPr>
              <w:t>December</w:t>
            </w:r>
            <w:r>
              <w:rPr>
                <w:rFonts w:ascii="Arial" w:cs="Arial" w:eastAsia="Arial" w:hAnsi="Arial"/>
                <w:sz w:val="16"/>
                <w:szCs w:val="16"/>
                <w:color w:val="0000FF"/>
              </w:rPr>
              <w:t xml:space="preserve"> </w:t>
            </w:r>
            <w:r>
              <w:rPr>
                <w:rFonts w:ascii="Arial" w:cs="Arial" w:eastAsia="Arial" w:hAnsi="Arial"/>
                <w:sz w:val="16"/>
                <w:szCs w:val="16"/>
                <w:color w:val="000000"/>
              </w:rPr>
              <w:t>31, 2020</w:t>
            </w:r>
          </w:p>
        </w:tc>
        <w:tc>
          <w:tcPr>
            <w:tcW w:w="620" w:type="dxa"/>
            <w:vAlign w:val="bottom"/>
            <w:gridSpan w:val="3"/>
            <w:shd w:val="clear" w:color="auto" w:fill="B2B2B2"/>
          </w:tcPr>
          <w:p>
            <w:pPr>
              <w:jc w:val="right"/>
              <w:spacing w:after="0"/>
              <w:rPr>
                <w:rFonts w:ascii="Arial" w:cs="Arial" w:eastAsia="Arial" w:hAnsi="Arial"/>
                <w:sz w:val="16"/>
                <w:szCs w:val="16"/>
                <w:color w:val="0000FF"/>
              </w:rPr>
            </w:pPr>
            <w:hyperlink w:anchor="page5">
              <w:r>
                <w:rPr>
                  <w:rFonts w:ascii="Arial" w:cs="Arial" w:eastAsia="Arial" w:hAnsi="Arial"/>
                  <w:sz w:val="16"/>
                  <w:szCs w:val="16"/>
                  <w:color w:val="0000FF"/>
                </w:rPr>
                <w:t>5</w:t>
              </w:r>
            </w:hyperlink>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6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5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46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40" w:type="dxa"/>
            <w:vAlign w:val="bottom"/>
            <w:gridSpan w:val="33"/>
          </w:tcPr>
          <w:p>
            <w:pPr>
              <w:ind w:left="120"/>
              <w:spacing w:after="0"/>
              <w:rPr>
                <w:rFonts w:ascii="Arial" w:cs="Arial" w:eastAsia="Arial" w:hAnsi="Arial"/>
                <w:sz w:val="16"/>
                <w:szCs w:val="16"/>
                <w:color w:val="0000FF"/>
              </w:rPr>
            </w:pPr>
            <w:hyperlink w:anchor="page6">
              <w:r>
                <w:rPr>
                  <w:rFonts w:ascii="Arial" w:cs="Arial" w:eastAsia="Arial" w:hAnsi="Arial"/>
                  <w:sz w:val="16"/>
                  <w:szCs w:val="16"/>
                  <w:color w:val="0000FF"/>
                </w:rPr>
                <w:t xml:space="preserve">Consolidated statements of cash flows – </w:t>
              </w:r>
            </w:hyperlink>
            <w:r>
              <w:rPr>
                <w:rFonts w:ascii="Arial" w:cs="Arial" w:eastAsia="Arial" w:hAnsi="Arial"/>
                <w:sz w:val="16"/>
                <w:szCs w:val="16"/>
                <w:color w:val="000000"/>
              </w:rPr>
              <w:t>three</w:t>
            </w:r>
            <w:r>
              <w:rPr>
                <w:rFonts w:ascii="Arial" w:cs="Arial" w:eastAsia="Arial" w:hAnsi="Arial"/>
                <w:sz w:val="16"/>
                <w:szCs w:val="16"/>
                <w:color w:val="0000FF"/>
              </w:rPr>
              <w:t xml:space="preserve"> </w:t>
            </w:r>
            <w:hyperlink w:anchor="page6">
              <w:r>
                <w:rPr>
                  <w:rFonts w:ascii="Arial" w:cs="Arial" w:eastAsia="Arial" w:hAnsi="Arial"/>
                  <w:sz w:val="16"/>
                  <w:szCs w:val="16"/>
                  <w:color w:val="0000FF"/>
                </w:rPr>
                <w:t xml:space="preserve">months ended </w:t>
              </w:r>
            </w:hyperlink>
            <w:r>
              <w:rPr>
                <w:rFonts w:ascii="Arial" w:cs="Arial" w:eastAsia="Arial" w:hAnsi="Arial"/>
                <w:sz w:val="16"/>
                <w:szCs w:val="16"/>
                <w:color w:val="000000"/>
              </w:rPr>
              <w:t>March</w:t>
            </w:r>
            <w:r>
              <w:rPr>
                <w:rFonts w:ascii="Arial" w:cs="Arial" w:eastAsia="Arial" w:hAnsi="Arial"/>
                <w:sz w:val="16"/>
                <w:szCs w:val="16"/>
                <w:color w:val="0000FF"/>
              </w:rPr>
              <w:t xml:space="preserve"> </w:t>
            </w:r>
            <w:r>
              <w:rPr>
                <w:rFonts w:ascii="Arial" w:cs="Arial" w:eastAsia="Arial" w:hAnsi="Arial"/>
                <w:sz w:val="16"/>
                <w:szCs w:val="16"/>
                <w:color w:val="000000"/>
              </w:rPr>
              <w:t>31, 2021</w:t>
            </w:r>
            <w:r>
              <w:rPr>
                <w:rFonts w:ascii="Arial" w:cs="Arial" w:eastAsia="Arial" w:hAnsi="Arial"/>
                <w:sz w:val="16"/>
                <w:szCs w:val="16"/>
                <w:color w:val="0000FF"/>
              </w:rPr>
              <w:t xml:space="preserve"> </w:t>
            </w:r>
            <w:hyperlink w:anchor="page4">
              <w:r>
                <w:rPr>
                  <w:rFonts w:ascii="Arial" w:cs="Arial" w:eastAsia="Arial" w:hAnsi="Arial"/>
                  <w:sz w:val="16"/>
                  <w:szCs w:val="16"/>
                  <w:color w:val="0000FF"/>
                </w:rPr>
                <w:t xml:space="preserve">and </w:t>
              </w:r>
            </w:hyperlink>
            <w:r>
              <w:rPr>
                <w:rFonts w:ascii="Arial" w:cs="Arial" w:eastAsia="Arial" w:hAnsi="Arial"/>
                <w:sz w:val="16"/>
                <w:szCs w:val="16"/>
                <w:color w:val="000000"/>
              </w:rPr>
              <w:t>2020</w:t>
            </w:r>
          </w:p>
        </w:tc>
        <w:tc>
          <w:tcPr>
            <w:tcW w:w="620" w:type="dxa"/>
            <w:vAlign w:val="bottom"/>
            <w:gridSpan w:val="3"/>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6</w:t>
              </w:r>
            </w:hyperlink>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840" w:type="dxa"/>
            <w:vAlign w:val="bottom"/>
            <w:gridSpan w:val="33"/>
            <w:shd w:val="clear" w:color="auto" w:fill="B2B2B2"/>
          </w:tcPr>
          <w:p>
            <w:pPr>
              <w:ind w:left="120"/>
              <w:spacing w:after="0"/>
              <w:rPr>
                <w:rFonts w:ascii="Arial" w:cs="Arial" w:eastAsia="Arial" w:hAnsi="Arial"/>
                <w:sz w:val="16"/>
                <w:szCs w:val="16"/>
                <w:color w:val="0000FF"/>
              </w:rPr>
            </w:pPr>
            <w:hyperlink w:anchor="page7">
              <w:r>
                <w:rPr>
                  <w:rFonts w:ascii="Arial" w:cs="Arial" w:eastAsia="Arial" w:hAnsi="Arial"/>
                  <w:sz w:val="16"/>
                  <w:szCs w:val="16"/>
                  <w:color w:val="0000FF"/>
                </w:rPr>
                <w:t>Notes to consolidated financial statements</w:t>
              </w:r>
            </w:hyperlink>
          </w:p>
        </w:tc>
        <w:tc>
          <w:tcPr>
            <w:tcW w:w="620" w:type="dxa"/>
            <w:vAlign w:val="bottom"/>
            <w:gridSpan w:val="3"/>
            <w:shd w:val="clear" w:color="auto" w:fill="B2B2B2"/>
          </w:tcPr>
          <w:p>
            <w:pPr>
              <w:jc w:val="right"/>
              <w:spacing w:after="0"/>
              <w:rPr>
                <w:rFonts w:ascii="Arial" w:cs="Arial" w:eastAsia="Arial" w:hAnsi="Arial"/>
                <w:sz w:val="16"/>
                <w:szCs w:val="16"/>
                <w:color w:val="0000FF"/>
              </w:rPr>
            </w:pPr>
            <w:hyperlink w:anchor="page7">
              <w:r>
                <w:rPr>
                  <w:rFonts w:ascii="Arial" w:cs="Arial" w:eastAsia="Arial" w:hAnsi="Arial"/>
                  <w:sz w:val="16"/>
                  <w:szCs w:val="16"/>
                  <w:color w:val="0000FF"/>
                </w:rPr>
                <w:t>7</w:t>
              </w:r>
            </w:hyperlink>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6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5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46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rFonts w:ascii="Arial" w:cs="Arial" w:eastAsia="Arial" w:hAnsi="Arial"/>
                <w:sz w:val="16"/>
                <w:szCs w:val="16"/>
                <w:color w:val="0000FF"/>
              </w:rPr>
            </w:pPr>
            <w:hyperlink w:anchor="page20">
              <w:r>
                <w:rPr>
                  <w:rFonts w:ascii="Arial" w:cs="Arial" w:eastAsia="Arial" w:hAnsi="Arial"/>
                  <w:sz w:val="16"/>
                  <w:szCs w:val="16"/>
                  <w:color w:val="0000FF"/>
                </w:rPr>
                <w:t>Item 2.</w:t>
              </w:r>
            </w:hyperlink>
          </w:p>
        </w:tc>
        <w:tc>
          <w:tcPr>
            <w:tcW w:w="9840" w:type="dxa"/>
            <w:vAlign w:val="bottom"/>
            <w:gridSpan w:val="33"/>
          </w:tcPr>
          <w:p>
            <w:pPr>
              <w:ind w:left="120"/>
              <w:spacing w:after="0"/>
              <w:rPr>
                <w:rFonts w:ascii="Arial" w:cs="Arial" w:eastAsia="Arial" w:hAnsi="Arial"/>
                <w:sz w:val="16"/>
                <w:szCs w:val="16"/>
                <w:color w:val="0000FF"/>
              </w:rPr>
            </w:pPr>
            <w:hyperlink w:anchor="page20">
              <w:r>
                <w:rPr>
                  <w:rFonts w:ascii="Arial" w:cs="Arial" w:eastAsia="Arial" w:hAnsi="Arial"/>
                  <w:sz w:val="16"/>
                  <w:szCs w:val="16"/>
                  <w:color w:val="0000FF"/>
                </w:rPr>
                <w:t>Management’s Discussion and Analysis of Financial Condition and Results of Operations</w:t>
              </w:r>
            </w:hyperlink>
          </w:p>
        </w:tc>
        <w:tc>
          <w:tcPr>
            <w:tcW w:w="620" w:type="dxa"/>
            <w:vAlign w:val="bottom"/>
            <w:gridSpan w:val="3"/>
          </w:tcPr>
          <w:p>
            <w:pPr>
              <w:jc w:val="right"/>
              <w:spacing w:after="0"/>
              <w:rPr>
                <w:rFonts w:ascii="Arial" w:cs="Arial" w:eastAsia="Arial" w:hAnsi="Arial"/>
                <w:sz w:val="16"/>
                <w:szCs w:val="16"/>
                <w:color w:val="0000FF"/>
              </w:rPr>
            </w:pPr>
            <w:hyperlink w:anchor="page20">
              <w:r>
                <w:rPr>
                  <w:rFonts w:ascii="Arial" w:cs="Arial" w:eastAsia="Arial" w:hAnsi="Arial"/>
                  <w:sz w:val="16"/>
                  <w:szCs w:val="16"/>
                  <w:color w:val="0000FF"/>
                </w:rPr>
                <w:t>20</w:t>
              </w:r>
            </w:hyperlink>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840" w:type="dxa"/>
            <w:vAlign w:val="bottom"/>
            <w:gridSpan w:val="33"/>
            <w:shd w:val="clear" w:color="auto" w:fill="B2B2B2"/>
          </w:tcPr>
          <w:p>
            <w:pPr>
              <w:ind w:left="120"/>
              <w:spacing w:after="0"/>
              <w:rPr>
                <w:rFonts w:ascii="Arial" w:cs="Arial" w:eastAsia="Arial" w:hAnsi="Arial"/>
                <w:sz w:val="16"/>
                <w:szCs w:val="16"/>
                <w:color w:val="0000FF"/>
              </w:rPr>
            </w:pPr>
            <w:hyperlink w:anchor="page21">
              <w:r>
                <w:rPr>
                  <w:rFonts w:ascii="Arial" w:cs="Arial" w:eastAsia="Arial" w:hAnsi="Arial"/>
                  <w:sz w:val="16"/>
                  <w:szCs w:val="16"/>
                  <w:color w:val="0000FF"/>
                </w:rPr>
                <w:t>Forward-looking statements</w:t>
              </w:r>
            </w:hyperlink>
          </w:p>
        </w:tc>
        <w:tc>
          <w:tcPr>
            <w:tcW w:w="620" w:type="dxa"/>
            <w:vAlign w:val="bottom"/>
            <w:gridSpan w:val="3"/>
            <w:shd w:val="clear" w:color="auto" w:fill="B2B2B2"/>
          </w:tcPr>
          <w:p>
            <w:pPr>
              <w:jc w:val="right"/>
              <w:spacing w:after="0"/>
              <w:rPr>
                <w:rFonts w:ascii="Arial" w:cs="Arial" w:eastAsia="Arial" w:hAnsi="Arial"/>
                <w:sz w:val="16"/>
                <w:szCs w:val="16"/>
                <w:color w:val="0000FF"/>
              </w:rPr>
            </w:pPr>
            <w:hyperlink w:anchor="page21">
              <w:r>
                <w:rPr>
                  <w:rFonts w:ascii="Arial" w:cs="Arial" w:eastAsia="Arial" w:hAnsi="Arial"/>
                  <w:sz w:val="16"/>
                  <w:szCs w:val="16"/>
                  <w:color w:val="0000FF"/>
                </w:rPr>
                <w:t>20</w:t>
              </w:r>
            </w:hyperlink>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6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5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46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Item 3.</w:t>
              </w:r>
            </w:hyperlink>
          </w:p>
        </w:tc>
        <w:tc>
          <w:tcPr>
            <w:tcW w:w="9840" w:type="dxa"/>
            <w:vAlign w:val="bottom"/>
            <w:gridSpan w:val="33"/>
          </w:tcPr>
          <w:p>
            <w:pPr>
              <w:ind w:left="120"/>
              <w:spacing w:after="0"/>
              <w:rPr>
                <w:rFonts w:ascii="Arial" w:cs="Arial" w:eastAsia="Arial" w:hAnsi="Arial"/>
                <w:sz w:val="16"/>
                <w:szCs w:val="16"/>
                <w:color w:val="0000FF"/>
              </w:rPr>
            </w:pPr>
            <w:hyperlink w:anchor="page32">
              <w:r>
                <w:rPr>
                  <w:rFonts w:ascii="Arial" w:cs="Arial" w:eastAsia="Arial" w:hAnsi="Arial"/>
                  <w:sz w:val="16"/>
                  <w:szCs w:val="16"/>
                  <w:color w:val="0000FF"/>
                </w:rPr>
                <w:t>Quantitative and Qualitative Disclosures about Market Risk</w:t>
              </w:r>
            </w:hyperlink>
          </w:p>
        </w:tc>
        <w:tc>
          <w:tcPr>
            <w:tcW w:w="620" w:type="dxa"/>
            <w:vAlign w:val="bottom"/>
            <w:gridSpan w:val="3"/>
          </w:tcPr>
          <w:p>
            <w:pPr>
              <w:jc w:val="right"/>
              <w:spacing w:after="0"/>
              <w:rPr>
                <w:rFonts w:ascii="Arial" w:cs="Arial" w:eastAsia="Arial" w:hAnsi="Arial"/>
                <w:sz w:val="16"/>
                <w:szCs w:val="16"/>
                <w:color w:val="0000FF"/>
              </w:rPr>
            </w:pPr>
            <w:hyperlink w:anchor="page32">
              <w:r>
                <w:rPr>
                  <w:rFonts w:ascii="Arial" w:cs="Arial" w:eastAsia="Arial" w:hAnsi="Arial"/>
                  <w:sz w:val="16"/>
                  <w:szCs w:val="16"/>
                  <w:color w:val="0000FF"/>
                </w:rPr>
                <w:t>31</w:t>
              </w:r>
            </w:hyperlink>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Item 4.</w:t>
              </w:r>
            </w:hyperlink>
          </w:p>
        </w:tc>
        <w:tc>
          <w:tcPr>
            <w:tcW w:w="9840" w:type="dxa"/>
            <w:vAlign w:val="bottom"/>
            <w:gridSpan w:val="33"/>
            <w:shd w:val="clear" w:color="auto" w:fill="B2B2B2"/>
          </w:tcPr>
          <w:p>
            <w:pPr>
              <w:ind w:left="120"/>
              <w:spacing w:after="0"/>
              <w:rPr>
                <w:rFonts w:ascii="Arial" w:cs="Arial" w:eastAsia="Arial" w:hAnsi="Arial"/>
                <w:sz w:val="16"/>
                <w:szCs w:val="16"/>
                <w:color w:val="0000FF"/>
              </w:rPr>
            </w:pPr>
            <w:hyperlink w:anchor="page32">
              <w:r>
                <w:rPr>
                  <w:rFonts w:ascii="Arial" w:cs="Arial" w:eastAsia="Arial" w:hAnsi="Arial"/>
                  <w:sz w:val="16"/>
                  <w:szCs w:val="16"/>
                  <w:color w:val="0000FF"/>
                </w:rPr>
                <w:t>Controls and Procedures</w:t>
              </w:r>
            </w:hyperlink>
          </w:p>
        </w:tc>
        <w:tc>
          <w:tcPr>
            <w:tcW w:w="620" w:type="dxa"/>
            <w:vAlign w:val="bottom"/>
            <w:gridSpan w:val="3"/>
            <w:shd w:val="clear" w:color="auto" w:fill="B2B2B2"/>
          </w:tcPr>
          <w:p>
            <w:pPr>
              <w:jc w:val="right"/>
              <w:spacing w:after="0"/>
              <w:rPr>
                <w:rFonts w:ascii="Arial" w:cs="Arial" w:eastAsia="Arial" w:hAnsi="Arial"/>
                <w:sz w:val="16"/>
                <w:szCs w:val="16"/>
                <w:color w:val="0000FF"/>
              </w:rPr>
            </w:pPr>
            <w:hyperlink w:anchor="page32">
              <w:r>
                <w:rPr>
                  <w:rFonts w:ascii="Arial" w:cs="Arial" w:eastAsia="Arial" w:hAnsi="Arial"/>
                  <w:sz w:val="16"/>
                  <w:szCs w:val="16"/>
                  <w:color w:val="0000FF"/>
                </w:rPr>
                <w:t>31</w:t>
              </w:r>
            </w:hyperlink>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6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5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46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10580" w:type="dxa"/>
            <w:vAlign w:val="bottom"/>
            <w:gridSpan w:val="36"/>
          </w:tcPr>
          <w:p>
            <w:pPr>
              <w:spacing w:after="0"/>
              <w:rPr>
                <w:rFonts w:ascii="Arial" w:cs="Arial" w:eastAsia="Arial" w:hAnsi="Arial"/>
                <w:sz w:val="16"/>
                <w:szCs w:val="16"/>
                <w:b w:val="1"/>
                <w:bCs w:val="1"/>
                <w:color w:val="0000FF"/>
              </w:rPr>
            </w:pPr>
            <w:hyperlink w:anchor="page32">
              <w:r>
                <w:rPr>
                  <w:rFonts w:ascii="Arial" w:cs="Arial" w:eastAsia="Arial" w:hAnsi="Arial"/>
                  <w:sz w:val="16"/>
                  <w:szCs w:val="16"/>
                  <w:b w:val="1"/>
                  <w:bCs w:val="1"/>
                  <w:color w:val="0000FF"/>
                </w:rPr>
                <w:t>Part II Other Information</w:t>
              </w:r>
            </w:hyperlink>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9"/>
        </w:trPr>
        <w:tc>
          <w:tcPr>
            <w:tcW w:w="20" w:type="dxa"/>
            <w:vAlign w:val="bottom"/>
            <w:shd w:val="clear" w:color="auto" w:fill="B2B2B2"/>
          </w:tcPr>
          <w:p>
            <w:pPr>
              <w:spacing w:after="0"/>
              <w:rPr>
                <w:sz w:val="17"/>
                <w:szCs w:val="17"/>
                <w:color w:val="auto"/>
              </w:rPr>
            </w:pPr>
          </w:p>
        </w:tc>
        <w:tc>
          <w:tcPr>
            <w:tcW w:w="740" w:type="dxa"/>
            <w:vAlign w:val="bottom"/>
            <w:gridSpan w:val="3"/>
            <w:shd w:val="clear" w:color="auto" w:fill="B2B2B2"/>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Item 1.</w:t>
              </w:r>
            </w:hyperlink>
          </w:p>
        </w:tc>
        <w:tc>
          <w:tcPr>
            <w:tcW w:w="9840" w:type="dxa"/>
            <w:vAlign w:val="bottom"/>
            <w:gridSpan w:val="33"/>
            <w:shd w:val="clear" w:color="auto" w:fill="B2B2B2"/>
          </w:tcPr>
          <w:p>
            <w:pPr>
              <w:ind w:left="120"/>
              <w:spacing w:after="0"/>
              <w:rPr>
                <w:rFonts w:ascii="Arial" w:cs="Arial" w:eastAsia="Arial" w:hAnsi="Arial"/>
                <w:sz w:val="16"/>
                <w:szCs w:val="16"/>
                <w:color w:val="0000FF"/>
              </w:rPr>
            </w:pPr>
            <w:hyperlink w:anchor="page32">
              <w:r>
                <w:rPr>
                  <w:rFonts w:ascii="Arial" w:cs="Arial" w:eastAsia="Arial" w:hAnsi="Arial"/>
                  <w:sz w:val="16"/>
                  <w:szCs w:val="16"/>
                  <w:color w:val="0000FF"/>
                </w:rPr>
                <w:t>Legal Proceedings</w:t>
              </w:r>
            </w:hyperlink>
          </w:p>
        </w:tc>
        <w:tc>
          <w:tcPr>
            <w:tcW w:w="620" w:type="dxa"/>
            <w:vAlign w:val="bottom"/>
            <w:gridSpan w:val="3"/>
            <w:shd w:val="clear" w:color="auto" w:fill="B2B2B2"/>
          </w:tcPr>
          <w:p>
            <w:pPr>
              <w:jc w:val="right"/>
              <w:spacing w:after="0"/>
              <w:rPr>
                <w:rFonts w:ascii="Arial" w:cs="Arial" w:eastAsia="Arial" w:hAnsi="Arial"/>
                <w:sz w:val="16"/>
                <w:szCs w:val="16"/>
                <w:color w:val="0000FF"/>
              </w:rPr>
            </w:pPr>
            <w:hyperlink w:anchor="page32">
              <w:r>
                <w:rPr>
                  <w:rFonts w:ascii="Arial" w:cs="Arial" w:eastAsia="Arial" w:hAnsi="Arial"/>
                  <w:sz w:val="16"/>
                  <w:szCs w:val="16"/>
                  <w:color w:val="0000FF"/>
                </w:rPr>
                <w:t>31</w:t>
              </w:r>
            </w:hyperlink>
          </w:p>
        </w:tc>
        <w:tc>
          <w:tcPr>
            <w:tcW w:w="20" w:type="dxa"/>
            <w:vAlign w:val="bottom"/>
            <w:shd w:val="clear" w:color="auto" w:fill="B2B2B2"/>
          </w:tcPr>
          <w:p>
            <w:pPr>
              <w:spacing w:after="0"/>
              <w:rPr>
                <w:sz w:val="17"/>
                <w:szCs w:val="17"/>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6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5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46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Item 1A.</w:t>
              </w:r>
            </w:hyperlink>
          </w:p>
        </w:tc>
        <w:tc>
          <w:tcPr>
            <w:tcW w:w="9840" w:type="dxa"/>
            <w:vAlign w:val="bottom"/>
            <w:gridSpan w:val="33"/>
          </w:tcPr>
          <w:p>
            <w:pPr>
              <w:ind w:left="120"/>
              <w:spacing w:after="0"/>
              <w:rPr>
                <w:rFonts w:ascii="Arial" w:cs="Arial" w:eastAsia="Arial" w:hAnsi="Arial"/>
                <w:sz w:val="16"/>
                <w:szCs w:val="16"/>
                <w:color w:val="0000FF"/>
              </w:rPr>
            </w:pPr>
            <w:hyperlink w:anchor="page33">
              <w:r>
                <w:rPr>
                  <w:rFonts w:ascii="Arial" w:cs="Arial" w:eastAsia="Arial" w:hAnsi="Arial"/>
                  <w:sz w:val="16"/>
                  <w:szCs w:val="16"/>
                  <w:color w:val="0000FF"/>
                </w:rPr>
                <w:t>Risk Factors</w:t>
              </w:r>
            </w:hyperlink>
          </w:p>
        </w:tc>
        <w:tc>
          <w:tcPr>
            <w:tcW w:w="620" w:type="dxa"/>
            <w:vAlign w:val="bottom"/>
            <w:gridSpan w:val="3"/>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32</w:t>
              </w:r>
            </w:hyperlink>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Item 2.</w:t>
              </w:r>
            </w:hyperlink>
          </w:p>
        </w:tc>
        <w:tc>
          <w:tcPr>
            <w:tcW w:w="9840" w:type="dxa"/>
            <w:vAlign w:val="bottom"/>
            <w:gridSpan w:val="33"/>
            <w:shd w:val="clear" w:color="auto" w:fill="B2B2B2"/>
          </w:tcPr>
          <w:p>
            <w:pPr>
              <w:ind w:left="120"/>
              <w:spacing w:after="0"/>
              <w:rPr>
                <w:rFonts w:ascii="Arial" w:cs="Arial" w:eastAsia="Arial" w:hAnsi="Arial"/>
                <w:sz w:val="16"/>
                <w:szCs w:val="16"/>
                <w:color w:val="0000FF"/>
              </w:rPr>
            </w:pPr>
            <w:hyperlink w:anchor="page33">
              <w:r>
                <w:rPr>
                  <w:rFonts w:ascii="Arial" w:cs="Arial" w:eastAsia="Arial" w:hAnsi="Arial"/>
                  <w:sz w:val="16"/>
                  <w:szCs w:val="16"/>
                  <w:color w:val="0000FF"/>
                </w:rPr>
                <w:t>Unregistered Sales of Equity Securities and Use of Proceeds</w:t>
              </w:r>
            </w:hyperlink>
          </w:p>
        </w:tc>
        <w:tc>
          <w:tcPr>
            <w:tcW w:w="620" w:type="dxa"/>
            <w:vAlign w:val="bottom"/>
            <w:gridSpan w:val="3"/>
            <w:shd w:val="clear" w:color="auto" w:fill="B2B2B2"/>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32</w:t>
              </w:r>
            </w:hyperlink>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32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60" w:type="dxa"/>
            <w:vAlign w:val="bottom"/>
            <w:tcBorders>
              <w:top w:val="single" w:sz="8" w:color="0000FF"/>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6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5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46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Item 3.</w:t>
              </w:r>
            </w:hyperlink>
          </w:p>
        </w:tc>
        <w:tc>
          <w:tcPr>
            <w:tcW w:w="9840" w:type="dxa"/>
            <w:vAlign w:val="bottom"/>
            <w:gridSpan w:val="33"/>
          </w:tcPr>
          <w:p>
            <w:pPr>
              <w:ind w:left="120"/>
              <w:spacing w:after="0"/>
              <w:rPr>
                <w:rFonts w:ascii="Arial" w:cs="Arial" w:eastAsia="Arial" w:hAnsi="Arial"/>
                <w:sz w:val="16"/>
                <w:szCs w:val="16"/>
                <w:color w:val="0000FF"/>
              </w:rPr>
            </w:pPr>
            <w:hyperlink w:anchor="page33">
              <w:r>
                <w:rPr>
                  <w:rFonts w:ascii="Arial" w:cs="Arial" w:eastAsia="Arial" w:hAnsi="Arial"/>
                  <w:sz w:val="16"/>
                  <w:szCs w:val="16"/>
                  <w:color w:val="0000FF"/>
                </w:rPr>
                <w:t>Defaults upon Senior Securities</w:t>
              </w:r>
            </w:hyperlink>
          </w:p>
        </w:tc>
        <w:tc>
          <w:tcPr>
            <w:tcW w:w="620" w:type="dxa"/>
            <w:vAlign w:val="bottom"/>
            <w:gridSpan w:val="3"/>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32</w:t>
              </w:r>
            </w:hyperlink>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Item 4.</w:t>
              </w:r>
            </w:hyperlink>
          </w:p>
        </w:tc>
        <w:tc>
          <w:tcPr>
            <w:tcW w:w="9840" w:type="dxa"/>
            <w:vAlign w:val="bottom"/>
            <w:gridSpan w:val="33"/>
            <w:shd w:val="clear" w:color="auto" w:fill="B2B2B2"/>
          </w:tcPr>
          <w:p>
            <w:pPr>
              <w:ind w:left="120"/>
              <w:spacing w:after="0"/>
              <w:rPr>
                <w:rFonts w:ascii="Arial" w:cs="Arial" w:eastAsia="Arial" w:hAnsi="Arial"/>
                <w:sz w:val="16"/>
                <w:szCs w:val="16"/>
                <w:color w:val="0000FF"/>
              </w:rPr>
            </w:pPr>
            <w:hyperlink w:anchor="page33">
              <w:r>
                <w:rPr>
                  <w:rFonts w:ascii="Arial" w:cs="Arial" w:eastAsia="Arial" w:hAnsi="Arial"/>
                  <w:sz w:val="16"/>
                  <w:szCs w:val="16"/>
                  <w:color w:val="0000FF"/>
                </w:rPr>
                <w:t>Mine Safety Disclosures</w:t>
              </w:r>
            </w:hyperlink>
          </w:p>
        </w:tc>
        <w:tc>
          <w:tcPr>
            <w:tcW w:w="620" w:type="dxa"/>
            <w:vAlign w:val="bottom"/>
            <w:gridSpan w:val="3"/>
            <w:shd w:val="clear" w:color="auto" w:fill="B2B2B2"/>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32</w:t>
              </w:r>
            </w:hyperlink>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6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5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46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Item 5.</w:t>
              </w:r>
            </w:hyperlink>
          </w:p>
        </w:tc>
        <w:tc>
          <w:tcPr>
            <w:tcW w:w="9840" w:type="dxa"/>
            <w:vAlign w:val="bottom"/>
            <w:gridSpan w:val="33"/>
          </w:tcPr>
          <w:p>
            <w:pPr>
              <w:ind w:left="120"/>
              <w:spacing w:after="0"/>
              <w:rPr>
                <w:rFonts w:ascii="Arial" w:cs="Arial" w:eastAsia="Arial" w:hAnsi="Arial"/>
                <w:sz w:val="16"/>
                <w:szCs w:val="16"/>
                <w:color w:val="0000FF"/>
              </w:rPr>
            </w:pPr>
            <w:hyperlink w:anchor="page33">
              <w:r>
                <w:rPr>
                  <w:rFonts w:ascii="Arial" w:cs="Arial" w:eastAsia="Arial" w:hAnsi="Arial"/>
                  <w:sz w:val="16"/>
                  <w:szCs w:val="16"/>
                  <w:color w:val="0000FF"/>
                </w:rPr>
                <w:t>Other Information</w:t>
              </w:r>
            </w:hyperlink>
          </w:p>
        </w:tc>
        <w:tc>
          <w:tcPr>
            <w:tcW w:w="620" w:type="dxa"/>
            <w:vAlign w:val="bottom"/>
            <w:gridSpan w:val="3"/>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32</w:t>
              </w:r>
            </w:hyperlink>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shd w:val="clear" w:color="auto" w:fill="B2B2B2"/>
          </w:tcPr>
          <w:p>
            <w:pPr>
              <w:spacing w:after="0"/>
              <w:rPr>
                <w:sz w:val="19"/>
                <w:szCs w:val="19"/>
                <w:color w:val="auto"/>
              </w:rPr>
            </w:pPr>
          </w:p>
        </w:tc>
        <w:tc>
          <w:tcPr>
            <w:tcW w:w="740" w:type="dxa"/>
            <w:vAlign w:val="bottom"/>
            <w:gridSpan w:val="3"/>
            <w:shd w:val="clear" w:color="auto" w:fill="B2B2B2"/>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Item 6.</w:t>
              </w:r>
            </w:hyperlink>
          </w:p>
        </w:tc>
        <w:tc>
          <w:tcPr>
            <w:tcW w:w="9840" w:type="dxa"/>
            <w:vAlign w:val="bottom"/>
            <w:gridSpan w:val="33"/>
            <w:shd w:val="clear" w:color="auto" w:fill="B2B2B2"/>
          </w:tcPr>
          <w:p>
            <w:pPr>
              <w:ind w:left="120"/>
              <w:spacing w:after="0"/>
              <w:rPr>
                <w:rFonts w:ascii="Arial" w:cs="Arial" w:eastAsia="Arial" w:hAnsi="Arial"/>
                <w:sz w:val="16"/>
                <w:szCs w:val="16"/>
                <w:color w:val="0000FF"/>
              </w:rPr>
            </w:pPr>
            <w:hyperlink w:anchor="page33">
              <w:r>
                <w:rPr>
                  <w:rFonts w:ascii="Arial" w:cs="Arial" w:eastAsia="Arial" w:hAnsi="Arial"/>
                  <w:sz w:val="16"/>
                  <w:szCs w:val="16"/>
                  <w:color w:val="0000FF"/>
                </w:rPr>
                <w:t>Exhibits</w:t>
              </w:r>
            </w:hyperlink>
          </w:p>
        </w:tc>
        <w:tc>
          <w:tcPr>
            <w:tcW w:w="620" w:type="dxa"/>
            <w:vAlign w:val="bottom"/>
            <w:gridSpan w:val="3"/>
            <w:shd w:val="clear" w:color="auto" w:fill="B2B2B2"/>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32</w:t>
              </w:r>
            </w:hyperlink>
          </w:p>
        </w:tc>
        <w:tc>
          <w:tcPr>
            <w:tcW w:w="20" w:type="dxa"/>
            <w:vAlign w:val="bottom"/>
            <w:shd w:val="clear" w:color="auto" w:fill="B2B2B2"/>
          </w:tcPr>
          <w:p>
            <w:pPr>
              <w:spacing w:after="0"/>
              <w:rPr>
                <w:sz w:val="19"/>
                <w:szCs w:val="19"/>
                <w:color w:val="auto"/>
              </w:rPr>
            </w:pPr>
          </w:p>
        </w:tc>
      </w:tr>
      <w:tr>
        <w:trPr>
          <w:trHeight w:val="1006"/>
        </w:trPr>
        <w:tc>
          <w:tcPr>
            <w:tcW w:w="20" w:type="dxa"/>
            <w:vAlign w:val="bottom"/>
            <w:tcBorders>
              <w:top w:val="single" w:sz="8" w:color="B2B2B2"/>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140" w:type="dxa"/>
            <w:vAlign w:val="bottom"/>
            <w:tcBorders>
              <w:top w:val="single" w:sz="8" w:color="B2B2B2"/>
              <w:bottom w:val="single" w:sz="8" w:color="9A9A9A"/>
            </w:tcBorders>
          </w:tcPr>
          <w:p>
            <w:pPr>
              <w:spacing w:after="0"/>
              <w:rPr>
                <w:sz w:val="24"/>
                <w:szCs w:val="24"/>
                <w:color w:val="auto"/>
              </w:rPr>
            </w:pPr>
          </w:p>
        </w:tc>
        <w:tc>
          <w:tcPr>
            <w:tcW w:w="120" w:type="dxa"/>
            <w:vAlign w:val="bottom"/>
            <w:tcBorders>
              <w:top w:val="single" w:sz="8" w:color="B2B2B2"/>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80" w:type="dxa"/>
            <w:vAlign w:val="bottom"/>
            <w:tcBorders>
              <w:top w:val="single" w:sz="8" w:color="B2B2B2"/>
              <w:bottom w:val="single" w:sz="8" w:color="9A9A9A"/>
            </w:tcBorders>
          </w:tcPr>
          <w:p>
            <w:pPr>
              <w:spacing w:after="0"/>
              <w:rPr>
                <w:sz w:val="24"/>
                <w:szCs w:val="24"/>
                <w:color w:val="auto"/>
              </w:rPr>
            </w:pPr>
          </w:p>
        </w:tc>
        <w:tc>
          <w:tcPr>
            <w:tcW w:w="16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40" w:type="dxa"/>
            <w:vAlign w:val="bottom"/>
            <w:tcBorders>
              <w:top w:val="single" w:sz="8" w:color="B2B2B2"/>
              <w:bottom w:val="single" w:sz="8" w:color="9A9A9A"/>
            </w:tcBorders>
          </w:tcPr>
          <w:p>
            <w:pPr>
              <w:spacing w:after="0"/>
              <w:rPr>
                <w:sz w:val="24"/>
                <w:szCs w:val="24"/>
                <w:color w:val="auto"/>
              </w:rPr>
            </w:pPr>
          </w:p>
        </w:tc>
        <w:tc>
          <w:tcPr>
            <w:tcW w:w="220" w:type="dxa"/>
            <w:vAlign w:val="bottom"/>
            <w:tcBorders>
              <w:top w:val="single" w:sz="8" w:color="B2B2B2"/>
              <w:bottom w:val="single" w:sz="8" w:color="9A9A9A"/>
            </w:tcBorders>
          </w:tcPr>
          <w:p>
            <w:pPr>
              <w:spacing w:after="0"/>
              <w:rPr>
                <w:sz w:val="24"/>
                <w:szCs w:val="24"/>
                <w:color w:val="auto"/>
              </w:rPr>
            </w:pPr>
          </w:p>
        </w:tc>
        <w:tc>
          <w:tcPr>
            <w:tcW w:w="260" w:type="dxa"/>
            <w:vAlign w:val="bottom"/>
            <w:tcBorders>
              <w:top w:val="single" w:sz="8" w:color="B2B2B2"/>
              <w:bottom w:val="single" w:sz="8" w:color="9A9A9A"/>
            </w:tcBorders>
          </w:tcPr>
          <w:p>
            <w:pPr>
              <w:spacing w:after="0"/>
              <w:rPr>
                <w:sz w:val="24"/>
                <w:szCs w:val="24"/>
                <w:color w:val="auto"/>
              </w:rPr>
            </w:pPr>
          </w:p>
        </w:tc>
        <w:tc>
          <w:tcPr>
            <w:tcW w:w="260" w:type="dxa"/>
            <w:vAlign w:val="bottom"/>
            <w:tcBorders>
              <w:top w:val="single" w:sz="8" w:color="B2B2B2"/>
              <w:bottom w:val="single" w:sz="8" w:color="9A9A9A"/>
            </w:tcBorders>
          </w:tcPr>
          <w:p>
            <w:pPr>
              <w:spacing w:after="0"/>
              <w:rPr>
                <w:sz w:val="24"/>
                <w:szCs w:val="24"/>
                <w:color w:val="auto"/>
              </w:rPr>
            </w:pPr>
          </w:p>
        </w:tc>
        <w:tc>
          <w:tcPr>
            <w:tcW w:w="18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4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32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200" w:type="dxa"/>
            <w:vAlign w:val="bottom"/>
            <w:tcBorders>
              <w:top w:val="single" w:sz="8" w:color="B2B2B2"/>
              <w:bottom w:val="single" w:sz="8" w:color="9A9A9A"/>
            </w:tcBorders>
          </w:tcPr>
          <w:p>
            <w:pPr>
              <w:spacing w:after="0"/>
              <w:rPr>
                <w:sz w:val="24"/>
                <w:szCs w:val="24"/>
                <w:color w:val="auto"/>
              </w:rPr>
            </w:pPr>
          </w:p>
        </w:tc>
        <w:tc>
          <w:tcPr>
            <w:tcW w:w="20" w:type="dxa"/>
            <w:vAlign w:val="bottom"/>
            <w:tcBorders>
              <w:top w:val="single" w:sz="8" w:color="B2B2B2"/>
              <w:bottom w:val="single" w:sz="8" w:color="9A9A9A"/>
            </w:tcBorders>
          </w:tcPr>
          <w:p>
            <w:pPr>
              <w:spacing w:after="0"/>
              <w:rPr>
                <w:sz w:val="24"/>
                <w:szCs w:val="24"/>
                <w:color w:val="auto"/>
              </w:rPr>
            </w:pPr>
          </w:p>
        </w:tc>
        <w:tc>
          <w:tcPr>
            <w:tcW w:w="80" w:type="dxa"/>
            <w:vAlign w:val="bottom"/>
            <w:tcBorders>
              <w:top w:val="single" w:sz="8" w:color="B2B2B2"/>
              <w:bottom w:val="single" w:sz="8" w:color="9A9A9A"/>
            </w:tcBorders>
          </w:tcPr>
          <w:p>
            <w:pPr>
              <w:spacing w:after="0"/>
              <w:rPr>
                <w:sz w:val="24"/>
                <w:szCs w:val="24"/>
                <w:color w:val="auto"/>
              </w:rPr>
            </w:pPr>
          </w:p>
        </w:tc>
        <w:tc>
          <w:tcPr>
            <w:tcW w:w="60" w:type="dxa"/>
            <w:vAlign w:val="bottom"/>
            <w:tcBorders>
              <w:top w:val="single" w:sz="8" w:color="B2B2B2"/>
              <w:bottom w:val="single" w:sz="8" w:color="9A9A9A"/>
            </w:tcBorders>
          </w:tcPr>
          <w:p>
            <w:pPr>
              <w:spacing w:after="0"/>
              <w:rPr>
                <w:sz w:val="24"/>
                <w:szCs w:val="24"/>
                <w:color w:val="auto"/>
              </w:rPr>
            </w:pPr>
          </w:p>
        </w:tc>
        <w:tc>
          <w:tcPr>
            <w:tcW w:w="6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66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12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140" w:type="dxa"/>
            <w:vAlign w:val="bottom"/>
            <w:tcBorders>
              <w:top w:val="single" w:sz="8" w:color="B2B2B2"/>
              <w:bottom w:val="single" w:sz="8" w:color="9A9A9A"/>
            </w:tcBorders>
          </w:tcPr>
          <w:p>
            <w:pPr>
              <w:spacing w:after="0"/>
              <w:rPr>
                <w:sz w:val="24"/>
                <w:szCs w:val="24"/>
                <w:color w:val="auto"/>
              </w:rPr>
            </w:pPr>
          </w:p>
        </w:tc>
        <w:tc>
          <w:tcPr>
            <w:tcW w:w="440" w:type="dxa"/>
            <w:vAlign w:val="bottom"/>
            <w:tcBorders>
              <w:top w:val="single" w:sz="8" w:color="B2B2B2"/>
              <w:bottom w:val="single" w:sz="8" w:color="9A9A9A"/>
            </w:tcBorders>
          </w:tcPr>
          <w:p>
            <w:pPr>
              <w:spacing w:after="0"/>
              <w:rPr>
                <w:sz w:val="24"/>
                <w:szCs w:val="24"/>
                <w:color w:val="auto"/>
              </w:rPr>
            </w:pPr>
          </w:p>
        </w:tc>
        <w:tc>
          <w:tcPr>
            <w:tcW w:w="54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2460" w:type="dxa"/>
            <w:vAlign w:val="bottom"/>
            <w:tcBorders>
              <w:top w:val="single" w:sz="8" w:color="B2B2B2"/>
              <w:bottom w:val="single" w:sz="8" w:color="9A9A9A"/>
            </w:tcBorders>
          </w:tcPr>
          <w:p>
            <w:pPr>
              <w:spacing w:after="0"/>
              <w:rPr>
                <w:sz w:val="24"/>
                <w:szCs w:val="24"/>
                <w:color w:val="auto"/>
              </w:rPr>
            </w:pPr>
          </w:p>
        </w:tc>
        <w:tc>
          <w:tcPr>
            <w:tcW w:w="44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B2B2B2"/>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 w:name="page4"/>
    <w:bookmarkEnd w:id="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Pr>
          <w:p>
            <w:pPr>
              <w:spacing w:after="0"/>
              <w:rPr>
                <w:sz w:val="14"/>
                <w:szCs w:val="14"/>
                <w:color w:val="auto"/>
              </w:rPr>
            </w:pPr>
          </w:p>
        </w:tc>
      </w:tr>
      <w:tr>
        <w:trPr>
          <w:trHeight w:val="175"/>
        </w:trPr>
        <w:tc>
          <w:tcPr>
            <w:tcW w:w="74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bottom w:val="single" w:sz="8" w:color="auto"/>
            </w:tcBorders>
          </w:tcPr>
          <w:p>
            <w:pPr>
              <w:spacing w:after="0"/>
              <w:rPr>
                <w:sz w:val="15"/>
                <w:szCs w:val="15"/>
                <w:color w:val="auto"/>
              </w:rPr>
            </w:pPr>
          </w:p>
        </w:tc>
      </w:tr>
      <w:tr>
        <w:trPr>
          <w:trHeight w:val="183"/>
        </w:trPr>
        <w:tc>
          <w:tcPr>
            <w:tcW w:w="74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2020</w:t>
            </w:r>
          </w:p>
        </w:tc>
      </w:tr>
      <w:tr>
        <w:trPr>
          <w:trHeight w:val="210"/>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222,362</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235,764</w:t>
            </w:r>
          </w:p>
        </w:tc>
      </w:tr>
      <w:tr>
        <w:trPr>
          <w:trHeight w:val="21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133,816</w:t>
            </w:r>
          </w:p>
        </w:tc>
        <w:tc>
          <w:tcPr>
            <w:tcW w:w="3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146,292</w:t>
            </w:r>
          </w:p>
        </w:tc>
      </w:tr>
      <w:tr>
        <w:trPr>
          <w:trHeight w:val="240"/>
        </w:trPr>
        <w:tc>
          <w:tcPr>
            <w:tcW w:w="74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88,546</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89,472</w:t>
            </w:r>
          </w:p>
        </w:tc>
      </w:tr>
      <w:tr>
        <w:trPr>
          <w:trHeight w:val="219"/>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37,195</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40,106</w:t>
            </w:r>
          </w:p>
        </w:tc>
      </w:tr>
      <w:tr>
        <w:trPr>
          <w:trHeight w:val="213"/>
        </w:trPr>
        <w:tc>
          <w:tcPr>
            <w:tcW w:w="7480" w:type="dxa"/>
            <w:vAlign w:val="bottom"/>
          </w:tcPr>
          <w:p>
            <w:pPr>
              <w:ind w:left="140"/>
              <w:spacing w:after="0"/>
              <w:rPr>
                <w:sz w:val="20"/>
                <w:szCs w:val="20"/>
                <w:color w:val="auto"/>
              </w:rPr>
            </w:pPr>
            <w:r>
              <w:rPr>
                <w:rFonts w:ascii="Arial" w:cs="Arial" w:eastAsia="Arial" w:hAnsi="Arial"/>
                <w:sz w:val="16"/>
                <w:szCs w:val="16"/>
                <w:color w:val="auto"/>
              </w:rPr>
              <w:t>Technical and research expenses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9,481</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9,130</w:t>
            </w:r>
          </w:p>
        </w:tc>
      </w:tr>
      <w:tr>
        <w:trPr>
          <w:trHeight w:val="216"/>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 expenses, net</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3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w:t>
            </w:r>
          </w:p>
        </w:tc>
      </w:tr>
      <w:tr>
        <w:trPr>
          <w:trHeight w:val="239"/>
        </w:trPr>
        <w:tc>
          <w:tcPr>
            <w:tcW w:w="7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41,818</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39,594</w:t>
            </w:r>
          </w:p>
        </w:tc>
      </w:tr>
      <w:tr>
        <w:trPr>
          <w:trHeight w:val="213"/>
        </w:trPr>
        <w:tc>
          <w:tcPr>
            <w:tcW w:w="748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3,569</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3,977</w:t>
            </w:r>
          </w:p>
        </w:tc>
      </w:tr>
      <w:tr>
        <w:trPr>
          <w:trHeight w:val="216"/>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expense/(income), net</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3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15,569</w:t>
            </w:r>
          </w:p>
        </w:tc>
      </w:tr>
      <w:tr>
        <w:trPr>
          <w:trHeight w:val="239"/>
        </w:trPr>
        <w:tc>
          <w:tcPr>
            <w:tcW w:w="7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37,649</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20,048</w:t>
            </w:r>
          </w:p>
        </w:tc>
      </w:tr>
      <w:tr>
        <w:trPr>
          <w:trHeight w:val="213"/>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Income tax expense</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10,040</w:t>
            </w:r>
          </w:p>
        </w:tc>
        <w:tc>
          <w:tcPr>
            <w:tcW w:w="3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12,454</w:t>
            </w:r>
          </w:p>
        </w:tc>
      </w:tr>
      <w:tr>
        <w:trPr>
          <w:trHeight w:val="240"/>
        </w:trPr>
        <w:tc>
          <w:tcPr>
            <w:tcW w:w="74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27,609</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7,594</w:t>
            </w: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income/(loss) attributable to the noncontrolling interest</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3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(1,515)</w:t>
            </w: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Net income attributable to the Company</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27,582</w:t>
            </w:r>
          </w:p>
        </w:tc>
        <w:tc>
          <w:tcPr>
            <w:tcW w:w="340" w:type="dxa"/>
            <w:vAlign w:val="bottom"/>
          </w:tcPr>
          <w:p>
            <w:pPr>
              <w:spacing w:after="0"/>
              <w:rPr>
                <w:sz w:val="18"/>
                <w:szCs w:val="18"/>
                <w:color w:val="auto"/>
              </w:rPr>
            </w:pPr>
          </w:p>
        </w:tc>
        <w:tc>
          <w:tcPr>
            <w:tcW w:w="6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9,109</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7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Earnings per share attributable to Company shareholders - Basic</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0.85</w:t>
            </w:r>
          </w:p>
        </w:tc>
        <w:tc>
          <w:tcPr>
            <w:tcW w:w="340" w:type="dxa"/>
            <w:vAlign w:val="bottom"/>
          </w:tcPr>
          <w:p>
            <w:pPr>
              <w:spacing w:after="0"/>
              <w:rPr>
                <w:sz w:val="18"/>
                <w:szCs w:val="18"/>
                <w:color w:val="auto"/>
              </w:rPr>
            </w:pP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0.28</w:t>
            </w:r>
          </w:p>
        </w:tc>
      </w:tr>
      <w:tr>
        <w:trPr>
          <w:trHeight w:val="260"/>
        </w:trPr>
        <w:tc>
          <w:tcPr>
            <w:tcW w:w="74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Earnings per share attributable to Company shareholders - Diluted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0.85</w:t>
            </w:r>
          </w:p>
        </w:tc>
        <w:tc>
          <w:tcPr>
            <w:tcW w:w="340" w:type="dxa"/>
            <w:vAlign w:val="bottom"/>
          </w:tcPr>
          <w:p>
            <w:pPr>
              <w:spacing w:after="0"/>
              <w:rPr>
                <w:sz w:val="18"/>
                <w:szCs w:val="18"/>
                <w:color w:val="auto"/>
              </w:rPr>
            </w:pP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0.28</w:t>
            </w:r>
          </w:p>
        </w:tc>
      </w:tr>
      <w:tr>
        <w:trPr>
          <w:trHeight w:val="260"/>
        </w:trPr>
        <w:tc>
          <w:tcPr>
            <w:tcW w:w="74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Shares of the Company used in computing earnings per share:</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32,352</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32,312</w:t>
            </w:r>
          </w:p>
        </w:tc>
      </w:tr>
      <w:tr>
        <w:trPr>
          <w:trHeight w:val="257"/>
        </w:trPr>
        <w:tc>
          <w:tcPr>
            <w:tcW w:w="7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32,401</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32,320</w:t>
            </w:r>
          </w:p>
        </w:tc>
      </w:tr>
      <w:tr>
        <w:trPr>
          <w:trHeight w:val="257"/>
        </w:trPr>
        <w:tc>
          <w:tcPr>
            <w:tcW w:w="7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per share, Class A and Class B</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r>
    </w:tbl>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 w:right="399" w:bottom="1440" w:gutter="0" w:footer="0" w:header="0"/>
        </w:sectPr>
      </w:pPr>
    </w:p>
    <w:bookmarkStart w:id="4" w:name="page5"/>
    <w:bookmarkEnd w:id="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jc w:val="center"/>
        <w:ind w:left="8500"/>
        <w:spacing w:after="0"/>
        <w:rPr>
          <w:sz w:val="20"/>
          <w:szCs w:val="20"/>
          <w:color w:val="auto"/>
        </w:rPr>
      </w:pPr>
      <w:r>
        <w:rPr>
          <w:rFonts w:ascii="Arial" w:cs="Arial" w:eastAsia="Arial" w:hAnsi="Arial"/>
          <w:sz w:val="14"/>
          <w:szCs w:val="14"/>
          <w:b w:val="1"/>
          <w:bCs w:val="1"/>
          <w:color w:val="auto"/>
        </w:rPr>
        <w:t>Three Months Ended</w:t>
      </w:r>
    </w:p>
    <w:p>
      <w:pPr>
        <w:jc w:val="center"/>
        <w:ind w:left="850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52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r>
      <w:tr>
        <w:trPr>
          <w:trHeight w:val="209"/>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27,609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7,594</w:t>
            </w:r>
          </w:p>
        </w:tc>
      </w:tr>
      <w:tr>
        <w:trPr>
          <w:trHeight w:val="257"/>
        </w:trPr>
        <w:tc>
          <w:tcPr>
            <w:tcW w:w="8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16"/>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income/(loss), before tax:</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8520" w:type="dxa"/>
            <w:vAlign w:val="bottom"/>
          </w:tcPr>
          <w:p>
            <w:pPr>
              <w:ind w:left="140"/>
              <w:spacing w:after="0"/>
              <w:rPr>
                <w:sz w:val="20"/>
                <w:szCs w:val="20"/>
                <w:color w:val="auto"/>
              </w:rPr>
            </w:pPr>
            <w:r>
              <w:rPr>
                <w:rFonts w:ascii="Arial" w:cs="Arial" w:eastAsia="Arial" w:hAnsi="Arial"/>
                <w:sz w:val="16"/>
                <w:szCs w:val="16"/>
                <w:color w:val="auto"/>
              </w:rPr>
              <w:t>Foreign currency translation and other adjustments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(24,955)</w:t>
            </w:r>
          </w:p>
        </w:tc>
      </w:tr>
      <w:tr>
        <w:trPr>
          <w:trHeight w:val="219"/>
        </w:trPr>
        <w:tc>
          <w:tcPr>
            <w:tcW w:w="8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pension liability adjustments: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8520" w:type="dxa"/>
            <w:vAlign w:val="bottom"/>
          </w:tcPr>
          <w:p>
            <w:pPr>
              <w:ind w:left="220"/>
              <w:spacing w:after="0"/>
              <w:rPr>
                <w:sz w:val="20"/>
                <w:szCs w:val="20"/>
                <w:color w:val="auto"/>
              </w:rPr>
            </w:pPr>
            <w:r>
              <w:rPr>
                <w:rFonts w:ascii="Arial" w:cs="Arial" w:eastAsia="Arial" w:hAnsi="Arial"/>
                <w:sz w:val="16"/>
                <w:szCs w:val="16"/>
                <w:color w:val="auto"/>
              </w:rPr>
              <w:t>Prior service credit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(1,114)</w:t>
            </w:r>
          </w:p>
        </w:tc>
      </w:tr>
      <w:tr>
        <w:trPr>
          <w:trHeight w:val="219"/>
        </w:trPr>
        <w:tc>
          <w:tcPr>
            <w:tcW w:w="8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actuarial loss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w:t>
            </w:r>
          </w:p>
        </w:tc>
      </w:tr>
      <w:tr>
        <w:trPr>
          <w:trHeight w:val="213"/>
        </w:trPr>
        <w:tc>
          <w:tcPr>
            <w:tcW w:w="8520" w:type="dxa"/>
            <w:vAlign w:val="bottom"/>
          </w:tcPr>
          <w:p>
            <w:pPr>
              <w:ind w:left="14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407</w:t>
            </w:r>
          </w:p>
        </w:tc>
      </w:tr>
      <w:tr>
        <w:trPr>
          <w:trHeight w:val="219"/>
        </w:trPr>
        <w:tc>
          <w:tcPr>
            <w:tcW w:w="8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valuation adjustment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(10,764)</w:t>
            </w:r>
          </w:p>
        </w:tc>
      </w:tr>
      <w:tr>
        <w:trPr>
          <w:trHeight w:val="257"/>
        </w:trPr>
        <w:tc>
          <w:tcPr>
            <w:tcW w:w="8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16"/>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related to items of other comprehensive income/(loss):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8520" w:type="dxa"/>
            <w:vAlign w:val="bottom"/>
          </w:tcPr>
          <w:p>
            <w:pPr>
              <w:ind w:left="140"/>
              <w:spacing w:after="0"/>
              <w:rPr>
                <w:sz w:val="20"/>
                <w:szCs w:val="20"/>
                <w:color w:val="auto"/>
              </w:rPr>
            </w:pPr>
            <w:r>
              <w:rPr>
                <w:rFonts w:ascii="Arial" w:cs="Arial" w:eastAsia="Arial" w:hAnsi="Arial"/>
                <w:sz w:val="16"/>
                <w:szCs w:val="16"/>
                <w:color w:val="auto"/>
              </w:rPr>
              <w:t>Amortization of prior service cost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279</w:t>
            </w:r>
          </w:p>
        </w:tc>
      </w:tr>
      <w:tr>
        <w:trPr>
          <w:trHeight w:val="219"/>
        </w:trPr>
        <w:tc>
          <w:tcPr>
            <w:tcW w:w="8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net actuarial loss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r>
      <w:tr>
        <w:trPr>
          <w:trHeight w:val="213"/>
        </w:trPr>
        <w:tc>
          <w:tcPr>
            <w:tcW w:w="8520" w:type="dxa"/>
            <w:vAlign w:val="bottom"/>
          </w:tcPr>
          <w:p>
            <w:pPr>
              <w:ind w:left="14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43"/>
        </w:trPr>
        <w:tc>
          <w:tcPr>
            <w:tcW w:w="8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valuation adjustment</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2,753</w:t>
            </w:r>
          </w:p>
        </w:tc>
      </w:tr>
      <w:tr>
        <w:trPr>
          <w:trHeight w:val="210"/>
        </w:trPr>
        <w:tc>
          <w:tcPr>
            <w:tcW w:w="8520" w:type="dxa"/>
            <w:vAlign w:val="bottom"/>
          </w:tcPr>
          <w:p>
            <w:pPr>
              <w:ind w:left="140"/>
              <w:spacing w:after="0"/>
              <w:rPr>
                <w:sz w:val="20"/>
                <w:szCs w:val="20"/>
                <w:color w:val="auto"/>
              </w:rPr>
            </w:pPr>
            <w:r>
              <w:rPr>
                <w:rFonts w:ascii="Arial" w:cs="Arial" w:eastAsia="Arial" w:hAnsi="Arial"/>
                <w:sz w:val="16"/>
                <w:szCs w:val="16"/>
                <w:color w:val="auto"/>
              </w:rPr>
              <w:t>Comprehensive income/(loss)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12,915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(24,971)</w:t>
            </w:r>
          </w:p>
        </w:tc>
      </w:tr>
      <w:tr>
        <w:trPr>
          <w:trHeight w:val="216"/>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income/(loss) attributable to the noncontrolling interest</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w:t>
            </w:r>
          </w:p>
        </w:tc>
      </w:tr>
      <w:tr>
        <w:trPr>
          <w:trHeight w:val="213"/>
        </w:trPr>
        <w:tc>
          <w:tcPr>
            <w:tcW w:w="8520" w:type="dxa"/>
            <w:vAlign w:val="bottom"/>
          </w:tcPr>
          <w:p>
            <w:pPr>
              <w:ind w:left="20"/>
              <w:spacing w:after="0"/>
              <w:rPr>
                <w:sz w:val="20"/>
                <w:szCs w:val="20"/>
                <w:color w:val="auto"/>
              </w:rPr>
            </w:pPr>
            <w:r>
              <w:rPr>
                <w:rFonts w:ascii="Arial" w:cs="Arial" w:eastAsia="Arial" w:hAnsi="Arial"/>
                <w:sz w:val="16"/>
                <w:szCs w:val="16"/>
                <w:color w:val="auto"/>
              </w:rPr>
              <w:t>Comprehensive income/(loss) attributable to the Company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13,098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(23,565)</w:t>
            </w:r>
          </w:p>
        </w:tc>
      </w:tr>
      <w:tr>
        <w:trPr>
          <w:trHeight w:val="21"/>
        </w:trPr>
        <w:tc>
          <w:tcPr>
            <w:tcW w:w="8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 w:name="page6"/>
    <w:bookmarkEnd w:id="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8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237,871</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241,316</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 net</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188,066</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188,423</w:t>
            </w: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Contract assets, net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121,767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139,289</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117,022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110,478</w:t>
            </w: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Income taxes prepaid and receivable</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7,362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5,940</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32,306</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31,830</w:t>
            </w:r>
          </w:p>
        </w:tc>
        <w:tc>
          <w:tcPr>
            <w:tcW w:w="0" w:type="dxa"/>
            <w:vAlign w:val="bottom"/>
          </w:tcPr>
          <w:p>
            <w:pPr>
              <w:spacing w:after="0"/>
              <w:rPr>
                <w:sz w:val="1"/>
                <w:szCs w:val="1"/>
                <w:color w:val="auto"/>
              </w:rPr>
            </w:pPr>
          </w:p>
        </w:tc>
      </w:tr>
      <w:tr>
        <w:trPr>
          <w:trHeight w:val="183"/>
        </w:trPr>
        <w:tc>
          <w:tcPr>
            <w:tcW w:w="8520" w:type="dxa"/>
            <w:vAlign w:val="bottom"/>
          </w:tcPr>
          <w:p>
            <w:pPr>
              <w:ind w:left="220"/>
              <w:spacing w:after="0"/>
              <w:rPr>
                <w:sz w:val="20"/>
                <w:szCs w:val="20"/>
                <w:color w:val="auto"/>
              </w:rPr>
            </w:pPr>
            <w:r>
              <w:rPr>
                <w:rFonts w:ascii="Arial" w:cs="Arial" w:eastAsia="Arial" w:hAnsi="Arial"/>
                <w:sz w:val="14"/>
                <w:szCs w:val="14"/>
                <w:color w:val="auto"/>
              </w:rPr>
              <w:t>Total current assets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704,394</w:t>
            </w:r>
          </w:p>
        </w:tc>
        <w:tc>
          <w:tcPr>
            <w:tcW w:w="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717,276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Property, plant and equipment, net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435,976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448,554</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Intangibles, net</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44,675</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46,869</w:t>
            </w: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184,374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187,553</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taxes</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33,436</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38,757</w:t>
            </w: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Noncurrent receivables, net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34,945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36,265</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74,366</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74,662</w:t>
            </w:r>
          </w:p>
        </w:tc>
        <w:tc>
          <w:tcPr>
            <w:tcW w:w="0" w:type="dxa"/>
            <w:vAlign w:val="bottom"/>
          </w:tcPr>
          <w:p>
            <w:pPr>
              <w:spacing w:after="0"/>
              <w:rPr>
                <w:sz w:val="1"/>
                <w:szCs w:val="1"/>
                <w:color w:val="auto"/>
              </w:rPr>
            </w:pPr>
          </w:p>
        </w:tc>
      </w:tr>
      <w:tr>
        <w:trPr>
          <w:trHeight w:val="183"/>
        </w:trPr>
        <w:tc>
          <w:tcPr>
            <w:tcW w:w="8520" w:type="dxa"/>
            <w:vAlign w:val="bottom"/>
          </w:tcPr>
          <w:p>
            <w:pPr>
              <w:ind w:left="22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1,512,166</w:t>
            </w: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1,549,936</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520" w:type="dxa"/>
            <w:vAlign w:val="bottom"/>
          </w:tcPr>
          <w:p>
            <w:pPr>
              <w:ind w:left="20"/>
              <w:spacing w:after="0"/>
              <w:rPr>
                <w:sz w:val="20"/>
                <w:szCs w:val="20"/>
                <w:color w:val="auto"/>
              </w:rPr>
            </w:pPr>
            <w:r>
              <w:rPr>
                <w:rFonts w:ascii="Arial" w:cs="Arial" w:eastAsia="Arial" w:hAnsi="Arial"/>
                <w:sz w:val="14"/>
                <w:szCs w:val="14"/>
                <w:color w:val="auto"/>
              </w:rPr>
              <w:t>LIABILITIES AND SHAREHOLDERS' EQUITY</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54,533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49,173</w:t>
            </w: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104,988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125,459</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maturities of long-term debt</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9"/>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taxes payable</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7,439</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16,222</w:t>
            </w:r>
          </w:p>
        </w:tc>
        <w:tc>
          <w:tcPr>
            <w:tcW w:w="0" w:type="dxa"/>
            <w:vAlign w:val="bottom"/>
          </w:tcPr>
          <w:p>
            <w:pPr>
              <w:spacing w:after="0"/>
              <w:rPr>
                <w:sz w:val="1"/>
                <w:szCs w:val="1"/>
                <w:color w:val="auto"/>
              </w:rPr>
            </w:pPr>
          </w:p>
        </w:tc>
      </w:tr>
      <w:tr>
        <w:trPr>
          <w:trHeight w:val="183"/>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166,962</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190,863</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debt</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384,000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398,000</w:t>
            </w: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Other noncurrent liabilities</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124,167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130,424</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taxes and other liabilities</w:t>
            </w: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10,826</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10,784</w:t>
            </w:r>
          </w:p>
        </w:tc>
        <w:tc>
          <w:tcPr>
            <w:tcW w:w="0" w:type="dxa"/>
            <w:vAlign w:val="bottom"/>
          </w:tcPr>
          <w:p>
            <w:pPr>
              <w:spacing w:after="0"/>
              <w:rPr>
                <w:sz w:val="1"/>
                <w:szCs w:val="1"/>
                <w:color w:val="auto"/>
              </w:rPr>
            </w:pPr>
          </w:p>
        </w:tc>
      </w:tr>
      <w:tr>
        <w:trPr>
          <w:trHeight w:val="183"/>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685,955</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730,071</w:t>
            </w: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52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par value $5.00 per share; authorized 2,000,000 shares; none issued</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3"/>
        </w:trPr>
        <w:tc>
          <w:tcPr>
            <w:tcW w:w="8520" w:type="dxa"/>
            <w:vAlign w:val="bottom"/>
          </w:tcPr>
          <w:p>
            <w:pPr>
              <w:ind w:left="140"/>
              <w:spacing w:after="0" w:line="153" w:lineRule="exact"/>
              <w:rPr>
                <w:sz w:val="20"/>
                <w:szCs w:val="20"/>
                <w:color w:val="auto"/>
              </w:rPr>
            </w:pPr>
            <w:r>
              <w:rPr>
                <w:rFonts w:ascii="Arial" w:cs="Arial" w:eastAsia="Arial" w:hAnsi="Arial"/>
                <w:sz w:val="14"/>
                <w:szCs w:val="14"/>
                <w:color w:val="auto"/>
              </w:rPr>
              <w:t>Class A Common Stock, par value $.001 per share; authorized 100,000,000 shares; 39,141,483 issued in 2021 and 39,115,405 in</w:t>
            </w:r>
          </w:p>
        </w:tc>
        <w:tc>
          <w:tcPr>
            <w:tcW w:w="12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71"/>
        </w:trPr>
        <w:tc>
          <w:tcPr>
            <w:tcW w:w="8520" w:type="dxa"/>
            <w:vAlign w:val="bottom"/>
          </w:tcPr>
          <w:p>
            <w:pPr>
              <w:ind w:left="14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52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Class B Common Stock, par value $.001 per share; authorized 25,000,000 shares; issued and outstanding 1,617,998 in 2021 and</w:t>
            </w:r>
          </w:p>
        </w:tc>
        <w:tc>
          <w:tcPr>
            <w:tcW w:w="1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1"/>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Additional paid in capital</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433,811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433,696</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791,854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770,746</w:t>
            </w:r>
          </w:p>
        </w:tc>
        <w:tc>
          <w:tcPr>
            <w:tcW w:w="0" w:type="dxa"/>
            <w:vAlign w:val="bottom"/>
          </w:tcPr>
          <w:p>
            <w:pPr>
              <w:spacing w:after="0"/>
              <w:rPr>
                <w:sz w:val="1"/>
                <w:szCs w:val="1"/>
                <w:color w:val="auto"/>
              </w:rPr>
            </w:pPr>
          </w:p>
        </w:tc>
      </w:tr>
      <w:tr>
        <w:trPr>
          <w:trHeight w:val="189"/>
        </w:trPr>
        <w:tc>
          <w:tcPr>
            <w:tcW w:w="8520" w:type="dxa"/>
            <w:vAlign w:val="bottom"/>
          </w:tcPr>
          <w:p>
            <w:pPr>
              <w:ind w:left="140"/>
              <w:spacing w:after="0"/>
              <w:rPr>
                <w:sz w:val="20"/>
                <w:szCs w:val="20"/>
                <w:color w:val="auto"/>
              </w:rPr>
            </w:pPr>
            <w:r>
              <w:rPr>
                <w:rFonts w:ascii="Arial" w:cs="Arial" w:eastAsia="Arial" w:hAnsi="Arial"/>
                <w:sz w:val="14"/>
                <w:szCs w:val="14"/>
                <w:color w:val="auto"/>
              </w:rPr>
              <w:t>Accumulated items of other comprehensive income:</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Translation adjustments</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(99,158)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(83,203)</w:t>
            </w:r>
          </w:p>
        </w:tc>
        <w:tc>
          <w:tcPr>
            <w:tcW w:w="0" w:type="dxa"/>
            <w:vAlign w:val="bottom"/>
          </w:tcPr>
          <w:p>
            <w:pPr>
              <w:spacing w:after="0"/>
              <w:rPr>
                <w:sz w:val="1"/>
                <w:szCs w:val="1"/>
                <w:color w:val="auto"/>
              </w:rPr>
            </w:pPr>
          </w:p>
        </w:tc>
      </w:tr>
      <w:tr>
        <w:trPr>
          <w:trHeight w:val="189"/>
        </w:trPr>
        <w:tc>
          <w:tcPr>
            <w:tcW w:w="8520" w:type="dxa"/>
            <w:vAlign w:val="bottom"/>
          </w:tcPr>
          <w:p>
            <w:pPr>
              <w:ind w:left="220"/>
              <w:spacing w:after="0"/>
              <w:rPr>
                <w:sz w:val="20"/>
                <w:szCs w:val="20"/>
                <w:color w:val="auto"/>
              </w:rPr>
            </w:pPr>
            <w:r>
              <w:rPr>
                <w:rFonts w:ascii="Arial" w:cs="Arial" w:eastAsia="Arial" w:hAnsi="Arial"/>
                <w:sz w:val="14"/>
                <w:szCs w:val="14"/>
                <w:color w:val="auto"/>
              </w:rPr>
              <w:t>Pension and postretirement liability adjustments</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(39,152)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(39,661)</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Derivative valuation adjustment</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(9,544)</w:t>
            </w:r>
          </w:p>
        </w:tc>
        <w:tc>
          <w:tcPr>
            <w:tcW w:w="0" w:type="dxa"/>
            <w:vAlign w:val="bottom"/>
          </w:tcPr>
          <w:p>
            <w:pPr>
              <w:spacing w:after="0"/>
              <w:rPr>
                <w:sz w:val="1"/>
                <w:szCs w:val="1"/>
                <w:color w:val="auto"/>
              </w:rPr>
            </w:pPr>
          </w:p>
        </w:tc>
      </w:tr>
      <w:tr>
        <w:trPr>
          <w:trHeight w:val="189"/>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Treasury stock (Class A), at cost; 8,391,011 shares in 2021 and 8,391,011 shares in 2020</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(256,009)</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(256,009)</w:t>
            </w:r>
          </w:p>
        </w:tc>
        <w:tc>
          <w:tcPr>
            <w:tcW w:w="0" w:type="dxa"/>
            <w:vAlign w:val="bottom"/>
          </w:tcPr>
          <w:p>
            <w:pPr>
              <w:spacing w:after="0"/>
              <w:rPr>
                <w:sz w:val="1"/>
                <w:szCs w:val="1"/>
                <w:color w:val="auto"/>
              </w:rPr>
            </w:pPr>
          </w:p>
        </w:tc>
      </w:tr>
      <w:tr>
        <w:trPr>
          <w:trHeight w:val="183"/>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Company shareholders' equity</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822,595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816,066</w:t>
            </w:r>
          </w:p>
        </w:tc>
        <w:tc>
          <w:tcPr>
            <w:tcW w:w="0" w:type="dxa"/>
            <w:vAlign w:val="bottom"/>
          </w:tcPr>
          <w:p>
            <w:pPr>
              <w:spacing w:after="0"/>
              <w:rPr>
                <w:sz w:val="1"/>
                <w:szCs w:val="1"/>
                <w:color w:val="auto"/>
              </w:rPr>
            </w:pPr>
          </w:p>
        </w:tc>
      </w:tr>
      <w:tr>
        <w:trPr>
          <w:trHeight w:val="189"/>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Noncontrolling interest</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3,616</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3,799</w:t>
            </w:r>
          </w:p>
        </w:tc>
        <w:tc>
          <w:tcPr>
            <w:tcW w:w="0" w:type="dxa"/>
            <w:vAlign w:val="bottom"/>
          </w:tcPr>
          <w:p>
            <w:pPr>
              <w:spacing w:after="0"/>
              <w:rPr>
                <w:sz w:val="1"/>
                <w:szCs w:val="1"/>
                <w:color w:val="auto"/>
              </w:rPr>
            </w:pPr>
          </w:p>
        </w:tc>
      </w:tr>
      <w:tr>
        <w:trPr>
          <w:trHeight w:val="183"/>
        </w:trPr>
        <w:tc>
          <w:tcPr>
            <w:tcW w:w="8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equity</w:t>
            </w:r>
          </w:p>
        </w:tc>
        <w:tc>
          <w:tcPr>
            <w:tcW w:w="1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826,211</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819,865</w:t>
            </w:r>
          </w:p>
        </w:tc>
        <w:tc>
          <w:tcPr>
            <w:tcW w:w="0" w:type="dxa"/>
            <w:vAlign w:val="bottom"/>
          </w:tcPr>
          <w:p>
            <w:pPr>
              <w:spacing w:after="0"/>
              <w:rPr>
                <w:sz w:val="1"/>
                <w:szCs w:val="1"/>
                <w:color w:val="auto"/>
              </w:rPr>
            </w:pPr>
          </w:p>
        </w:tc>
      </w:tr>
      <w:tr>
        <w:trPr>
          <w:trHeight w:val="183"/>
        </w:trPr>
        <w:tc>
          <w:tcPr>
            <w:tcW w:w="8520" w:type="dxa"/>
            <w:vAlign w:val="bottom"/>
          </w:tcPr>
          <w:p>
            <w:pPr>
              <w:ind w:left="220"/>
              <w:spacing w:after="0"/>
              <w:rPr>
                <w:sz w:val="20"/>
                <w:szCs w:val="20"/>
                <w:color w:val="auto"/>
              </w:rPr>
            </w:pPr>
            <w:r>
              <w:rPr>
                <w:rFonts w:ascii="Arial" w:cs="Arial" w:eastAsia="Arial" w:hAnsi="Arial"/>
                <w:sz w:val="14"/>
                <w:szCs w:val="14"/>
                <w:color w:val="auto"/>
              </w:rPr>
              <w:t>Total liabilities and shareholders'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1,512,166</w:t>
            </w: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1,549,936</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 w:name="page7"/>
    <w:bookmarkEnd w:id="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jc w:val="center"/>
        <w:ind w:left="8520"/>
        <w:spacing w:after="0"/>
        <w:rPr>
          <w:sz w:val="20"/>
          <w:szCs w:val="20"/>
          <w:color w:val="auto"/>
        </w:rPr>
      </w:pPr>
      <w:r>
        <w:rPr>
          <w:rFonts w:ascii="Arial" w:cs="Arial" w:eastAsia="Arial" w:hAnsi="Arial"/>
          <w:sz w:val="14"/>
          <w:szCs w:val="14"/>
          <w:b w:val="1"/>
          <w:bCs w:val="1"/>
          <w:color w:val="auto"/>
        </w:rPr>
        <w:t>Three Months Ended</w:t>
      </w:r>
    </w:p>
    <w:p>
      <w:pPr>
        <w:jc w:val="center"/>
        <w:ind w:left="85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5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r>
      <w:tr>
        <w:trPr>
          <w:trHeight w:val="169"/>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9"/>
        </w:trPr>
        <w:tc>
          <w:tcPr>
            <w:tcW w:w="85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27,609</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7,594</w:t>
            </w:r>
          </w:p>
        </w:tc>
      </w:tr>
      <w:tr>
        <w:trPr>
          <w:trHeight w:val="189"/>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by/(used in) operating activities: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9"/>
        </w:trPr>
        <w:tc>
          <w:tcPr>
            <w:tcW w:w="8540" w:type="dxa"/>
            <w:vAlign w:val="bottom"/>
          </w:tcPr>
          <w:p>
            <w:pPr>
              <w:ind w:left="480"/>
              <w:spacing w:after="0"/>
              <w:rPr>
                <w:sz w:val="20"/>
                <w:szCs w:val="20"/>
                <w:color w:val="auto"/>
              </w:rPr>
            </w:pPr>
            <w:r>
              <w:rPr>
                <w:rFonts w:ascii="Arial" w:cs="Arial" w:eastAsia="Arial" w:hAnsi="Arial"/>
                <w:sz w:val="14"/>
                <w:szCs w:val="14"/>
                <w:color w:val="auto"/>
              </w:rPr>
              <w:t>Depreciation</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16,589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15,506</w:t>
            </w:r>
          </w:p>
        </w:tc>
      </w:tr>
      <w:tr>
        <w:trPr>
          <w:trHeight w:val="189"/>
        </w:trPr>
        <w:tc>
          <w:tcPr>
            <w:tcW w:w="85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Amortization</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2,293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2,564</w:t>
            </w:r>
          </w:p>
        </w:tc>
      </w:tr>
      <w:tr>
        <w:trPr>
          <w:trHeight w:val="189"/>
        </w:trPr>
        <w:tc>
          <w:tcPr>
            <w:tcW w:w="8540" w:type="dxa"/>
            <w:vAlign w:val="bottom"/>
          </w:tcPr>
          <w:p>
            <w:pPr>
              <w:ind w:left="480"/>
              <w:spacing w:after="0"/>
              <w:rPr>
                <w:sz w:val="20"/>
                <w:szCs w:val="20"/>
                <w:color w:val="auto"/>
              </w:rPr>
            </w:pPr>
            <w:r>
              <w:rPr>
                <w:rFonts w:ascii="Arial" w:cs="Arial" w:eastAsia="Arial" w:hAnsi="Arial"/>
                <w:sz w:val="14"/>
                <w:szCs w:val="14"/>
                <w:color w:val="auto"/>
              </w:rPr>
              <w:t>Change in deferred taxes and other liabilities</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4,442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5,817</w:t>
            </w:r>
          </w:p>
        </w:tc>
      </w:tr>
      <w:tr>
        <w:trPr>
          <w:trHeight w:val="189"/>
        </w:trPr>
        <w:tc>
          <w:tcPr>
            <w:tcW w:w="85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Impairment of property, plant and equipment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r>
      <w:tr>
        <w:trPr>
          <w:trHeight w:val="189"/>
        </w:trPr>
        <w:tc>
          <w:tcPr>
            <w:tcW w:w="8540" w:type="dxa"/>
            <w:vAlign w:val="bottom"/>
          </w:tcPr>
          <w:p>
            <w:pPr>
              <w:ind w:left="480"/>
              <w:spacing w:after="0"/>
              <w:rPr>
                <w:sz w:val="20"/>
                <w:szCs w:val="20"/>
                <w:color w:val="auto"/>
              </w:rPr>
            </w:pPr>
            <w:r>
              <w:rPr>
                <w:rFonts w:ascii="Arial" w:cs="Arial" w:eastAsia="Arial" w:hAnsi="Arial"/>
                <w:sz w:val="14"/>
                <w:szCs w:val="14"/>
                <w:color w:val="auto"/>
              </w:rPr>
              <w:t>Non-cash interest expense</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189"/>
        </w:trPr>
        <w:tc>
          <w:tcPr>
            <w:tcW w:w="85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Compensation and benefits paid or payable in Class A Common Stock</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w:t>
            </w:r>
          </w:p>
        </w:tc>
      </w:tr>
      <w:tr>
        <w:trPr>
          <w:trHeight w:val="189"/>
        </w:trPr>
        <w:tc>
          <w:tcPr>
            <w:tcW w:w="8540" w:type="dxa"/>
            <w:vAlign w:val="bottom"/>
          </w:tcPr>
          <w:p>
            <w:pPr>
              <w:ind w:left="480"/>
              <w:spacing w:after="0"/>
              <w:rPr>
                <w:sz w:val="20"/>
                <w:szCs w:val="20"/>
                <w:color w:val="auto"/>
              </w:rPr>
            </w:pPr>
            <w:r>
              <w:rPr>
                <w:rFonts w:ascii="Arial" w:cs="Arial" w:eastAsia="Arial" w:hAnsi="Arial"/>
                <w:sz w:val="14"/>
                <w:szCs w:val="14"/>
                <w:color w:val="auto"/>
              </w:rPr>
              <w:t>Provision for credit losses from uncollected receivables and contract assets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1,655</w:t>
            </w:r>
          </w:p>
        </w:tc>
      </w:tr>
      <w:tr>
        <w:trPr>
          <w:trHeight w:val="189"/>
        </w:trPr>
        <w:tc>
          <w:tcPr>
            <w:tcW w:w="85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Foreign currency remeasurement (gain)/loss on intercompany loans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15,387</w:t>
            </w:r>
          </w:p>
        </w:tc>
      </w:tr>
      <w:tr>
        <w:trPr>
          <w:trHeight w:val="189"/>
        </w:trPr>
        <w:tc>
          <w:tcPr>
            <w:tcW w:w="8540" w:type="dxa"/>
            <w:vAlign w:val="bottom"/>
          </w:tcPr>
          <w:p>
            <w:pPr>
              <w:ind w:left="480"/>
              <w:spacing w:after="0"/>
              <w:rPr>
                <w:sz w:val="20"/>
                <w:szCs w:val="20"/>
                <w:color w:val="auto"/>
              </w:rPr>
            </w:pPr>
            <w:r>
              <w:rPr>
                <w:rFonts w:ascii="Arial" w:cs="Arial" w:eastAsia="Arial" w:hAnsi="Arial"/>
                <w:sz w:val="14"/>
                <w:szCs w:val="14"/>
                <w:color w:val="auto"/>
              </w:rPr>
              <w:t>Fair value adjustment on foreign currency options</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03"/>
        </w:trPr>
        <w:tc>
          <w:tcPr>
            <w:tcW w:w="8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89"/>
        </w:trPr>
        <w:tc>
          <w:tcPr>
            <w:tcW w:w="854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 that provided/(used) cash:</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85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Accounts receivable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(3,394)</w:t>
            </w:r>
          </w:p>
        </w:tc>
      </w:tr>
      <w:tr>
        <w:trPr>
          <w:trHeight w:val="189"/>
        </w:trPr>
        <w:tc>
          <w:tcPr>
            <w:tcW w:w="8540" w:type="dxa"/>
            <w:vAlign w:val="bottom"/>
          </w:tcPr>
          <w:p>
            <w:pPr>
              <w:ind w:left="480"/>
              <w:spacing w:after="0"/>
              <w:rPr>
                <w:sz w:val="20"/>
                <w:szCs w:val="20"/>
                <w:color w:val="auto"/>
              </w:rPr>
            </w:pPr>
            <w:r>
              <w:rPr>
                <w:rFonts w:ascii="Arial" w:cs="Arial" w:eastAsia="Arial" w:hAnsi="Arial"/>
                <w:sz w:val="14"/>
                <w:szCs w:val="14"/>
                <w:color w:val="auto"/>
              </w:rPr>
              <w:t>Contract assets</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16,104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(8,840)</w:t>
            </w:r>
          </w:p>
        </w:tc>
      </w:tr>
      <w:tr>
        <w:trPr>
          <w:trHeight w:val="189"/>
        </w:trPr>
        <w:tc>
          <w:tcPr>
            <w:tcW w:w="85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Inventories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(19,750)</w:t>
            </w:r>
          </w:p>
        </w:tc>
      </w:tr>
      <w:tr>
        <w:trPr>
          <w:trHeight w:val="189"/>
        </w:trPr>
        <w:tc>
          <w:tcPr>
            <w:tcW w:w="8540" w:type="dxa"/>
            <w:vAlign w:val="bottom"/>
          </w:tcPr>
          <w:p>
            <w:pPr>
              <w:ind w:left="48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(899)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(2,156)</w:t>
            </w:r>
          </w:p>
        </w:tc>
      </w:tr>
      <w:tr>
        <w:trPr>
          <w:trHeight w:val="189"/>
        </w:trPr>
        <w:tc>
          <w:tcPr>
            <w:tcW w:w="85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Income taxes prepaid and receivable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r>
      <w:tr>
        <w:trPr>
          <w:trHeight w:val="189"/>
        </w:trPr>
        <w:tc>
          <w:tcPr>
            <w:tcW w:w="8540" w:type="dxa"/>
            <w:vAlign w:val="bottom"/>
          </w:tcPr>
          <w:p>
            <w:pPr>
              <w:ind w:left="480"/>
              <w:spacing w:after="0"/>
              <w:rPr>
                <w:sz w:val="20"/>
                <w:szCs w:val="20"/>
                <w:color w:val="auto"/>
              </w:rPr>
            </w:pPr>
            <w:r>
              <w:rPr>
                <w:rFonts w:ascii="Arial" w:cs="Arial" w:eastAsia="Arial" w:hAnsi="Arial"/>
                <w:sz w:val="14"/>
                <w:szCs w:val="14"/>
                <w:color w:val="auto"/>
              </w:rPr>
              <w:t>Accounts payable</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9,188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(1,046)</w:t>
            </w:r>
          </w:p>
        </w:tc>
      </w:tr>
      <w:tr>
        <w:trPr>
          <w:trHeight w:val="189"/>
        </w:trPr>
        <w:tc>
          <w:tcPr>
            <w:tcW w:w="85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Accrued liabilities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(19,485)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(15,072)</w:t>
            </w:r>
          </w:p>
        </w:tc>
      </w:tr>
      <w:tr>
        <w:trPr>
          <w:trHeight w:val="189"/>
        </w:trPr>
        <w:tc>
          <w:tcPr>
            <w:tcW w:w="8540" w:type="dxa"/>
            <w:vAlign w:val="bottom"/>
          </w:tcPr>
          <w:p>
            <w:pPr>
              <w:ind w:left="480"/>
              <w:spacing w:after="0"/>
              <w:rPr>
                <w:sz w:val="20"/>
                <w:szCs w:val="20"/>
                <w:color w:val="auto"/>
              </w:rPr>
            </w:pPr>
            <w:r>
              <w:rPr>
                <w:rFonts w:ascii="Arial" w:cs="Arial" w:eastAsia="Arial" w:hAnsi="Arial"/>
                <w:sz w:val="14"/>
                <w:szCs w:val="14"/>
                <w:color w:val="auto"/>
              </w:rPr>
              <w:t>Income taxes payable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(8,077)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(3,571)</w:t>
            </w:r>
          </w:p>
        </w:tc>
      </w:tr>
      <w:tr>
        <w:trPr>
          <w:trHeight w:val="189"/>
        </w:trPr>
        <w:tc>
          <w:tcPr>
            <w:tcW w:w="85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Noncurrent receivables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r>
      <w:tr>
        <w:trPr>
          <w:trHeight w:val="189"/>
        </w:trPr>
        <w:tc>
          <w:tcPr>
            <w:tcW w:w="8540" w:type="dxa"/>
            <w:vAlign w:val="bottom"/>
          </w:tcPr>
          <w:p>
            <w:pPr>
              <w:ind w:left="480"/>
              <w:spacing w:after="0"/>
              <w:rPr>
                <w:sz w:val="20"/>
                <w:szCs w:val="20"/>
                <w:color w:val="auto"/>
              </w:rPr>
            </w:pPr>
            <w:r>
              <w:rPr>
                <w:rFonts w:ascii="Arial" w:cs="Arial" w:eastAsia="Arial" w:hAnsi="Arial"/>
                <w:sz w:val="14"/>
                <w:szCs w:val="14"/>
                <w:color w:val="auto"/>
              </w:rPr>
              <w:t>Other noncurrent liabilities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89"/>
        </w:trPr>
        <w:tc>
          <w:tcPr>
            <w:tcW w:w="85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857</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w:t>
            </w:r>
          </w:p>
        </w:tc>
      </w:tr>
      <w:tr>
        <w:trPr>
          <w:trHeight w:val="183"/>
        </w:trPr>
        <w:tc>
          <w:tcPr>
            <w:tcW w:w="854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Net cash provided by/(used in) operating activities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33,686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(6,638)</w:t>
            </w:r>
          </w:p>
        </w:tc>
      </w:tr>
      <w:tr>
        <w:trPr>
          <w:trHeight w:val="129"/>
        </w:trPr>
        <w:tc>
          <w:tcPr>
            <w:tcW w:w="8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89"/>
        </w:trPr>
        <w:tc>
          <w:tcPr>
            <w:tcW w:w="854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85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Purchases of property, plant and equipment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(12,759)</w:t>
            </w:r>
          </w:p>
        </w:tc>
      </w:tr>
      <w:tr>
        <w:trPr>
          <w:trHeight w:val="189"/>
        </w:trPr>
        <w:tc>
          <w:tcPr>
            <w:tcW w:w="854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Purchased software</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r>
      <w:tr>
        <w:trPr>
          <w:trHeight w:val="183"/>
        </w:trPr>
        <w:tc>
          <w:tcPr>
            <w:tcW w:w="85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(12,536)</w:t>
            </w:r>
          </w:p>
        </w:tc>
        <w:tc>
          <w:tcPr>
            <w:tcW w:w="1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(12,805)</w:t>
            </w:r>
          </w:p>
        </w:tc>
      </w:tr>
      <w:tr>
        <w:trPr>
          <w:trHeight w:val="129"/>
        </w:trPr>
        <w:tc>
          <w:tcPr>
            <w:tcW w:w="8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89"/>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9"/>
        </w:trPr>
        <w:tc>
          <w:tcPr>
            <w:tcW w:w="8540" w:type="dxa"/>
            <w:vAlign w:val="bottom"/>
          </w:tcPr>
          <w:p>
            <w:pPr>
              <w:ind w:left="480"/>
              <w:spacing w:after="0"/>
              <w:rPr>
                <w:sz w:val="20"/>
                <w:szCs w:val="20"/>
                <w:color w:val="auto"/>
              </w:rPr>
            </w:pPr>
            <w:r>
              <w:rPr>
                <w:rFonts w:ascii="Arial" w:cs="Arial" w:eastAsia="Arial" w:hAnsi="Arial"/>
                <w:sz w:val="14"/>
                <w:szCs w:val="14"/>
                <w:color w:val="auto"/>
              </w:rPr>
              <w:t>Proceeds from borrowings</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70,000</w:t>
            </w:r>
          </w:p>
        </w:tc>
      </w:tr>
      <w:tr>
        <w:trPr>
          <w:trHeight w:val="189"/>
        </w:trPr>
        <w:tc>
          <w:tcPr>
            <w:tcW w:w="85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Principal payments on debt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(3,006)</w:t>
            </w:r>
          </w:p>
        </w:tc>
      </w:tr>
      <w:tr>
        <w:trPr>
          <w:trHeight w:val="189"/>
        </w:trPr>
        <w:tc>
          <w:tcPr>
            <w:tcW w:w="8540" w:type="dxa"/>
            <w:vAlign w:val="bottom"/>
          </w:tcPr>
          <w:p>
            <w:pPr>
              <w:ind w:left="480"/>
              <w:spacing w:after="0"/>
              <w:rPr>
                <w:sz w:val="20"/>
                <w:szCs w:val="20"/>
                <w:color w:val="auto"/>
              </w:rPr>
            </w:pPr>
            <w:r>
              <w:rPr>
                <w:rFonts w:ascii="Arial" w:cs="Arial" w:eastAsia="Arial" w:hAnsi="Arial"/>
                <w:sz w:val="14"/>
                <w:szCs w:val="14"/>
                <w:color w:val="auto"/>
              </w:rPr>
              <w:t>Principal payments on finance lease liabilities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(6,134)</w:t>
            </w:r>
          </w:p>
        </w:tc>
      </w:tr>
      <w:tr>
        <w:trPr>
          <w:trHeight w:val="189"/>
        </w:trPr>
        <w:tc>
          <w:tcPr>
            <w:tcW w:w="85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Taxes paid in lieu of share issuance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r>
      <w:tr>
        <w:trPr>
          <w:trHeight w:val="189"/>
        </w:trPr>
        <w:tc>
          <w:tcPr>
            <w:tcW w:w="8540" w:type="dxa"/>
            <w:vAlign w:val="bottom"/>
          </w:tcPr>
          <w:p>
            <w:pPr>
              <w:ind w:left="480"/>
              <w:spacing w:after="0"/>
              <w:rPr>
                <w:sz w:val="20"/>
                <w:szCs w:val="20"/>
                <w:color w:val="auto"/>
              </w:rPr>
            </w:pPr>
            <w:r>
              <w:rPr>
                <w:rFonts w:ascii="Arial" w:cs="Arial" w:eastAsia="Arial" w:hAnsi="Arial"/>
                <w:sz w:val="14"/>
                <w:szCs w:val="14"/>
                <w:color w:val="auto"/>
              </w:rPr>
              <w:t>Proceeds from options exercised</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5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Dividends paid</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(6,468)</w:t>
            </w:r>
          </w:p>
        </w:tc>
        <w:tc>
          <w:tcPr>
            <w:tcW w:w="1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(6,139)</w:t>
            </w:r>
          </w:p>
        </w:tc>
      </w:tr>
      <w:tr>
        <w:trPr>
          <w:trHeight w:val="183"/>
        </w:trPr>
        <w:tc>
          <w:tcPr>
            <w:tcW w:w="854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Net cash (used in)/provided by financing activities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(21,694)</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54,231</w:t>
            </w:r>
          </w:p>
        </w:tc>
      </w:tr>
      <w:tr>
        <w:trPr>
          <w:trHeight w:val="128"/>
        </w:trPr>
        <w:tc>
          <w:tcPr>
            <w:tcW w:w="8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89"/>
        </w:trPr>
        <w:tc>
          <w:tcPr>
            <w:tcW w:w="8540" w:type="dxa"/>
            <w:vAlign w:val="bottom"/>
          </w:tcPr>
          <w:p>
            <w:pPr>
              <w:ind w:left="440"/>
              <w:spacing w:after="0"/>
              <w:rPr>
                <w:sz w:val="20"/>
                <w:szCs w:val="20"/>
                <w:color w:val="auto"/>
              </w:rPr>
            </w:pPr>
            <w:r>
              <w:rPr>
                <w:rFonts w:ascii="Arial" w:cs="Arial" w:eastAsia="Arial" w:hAnsi="Arial"/>
                <w:sz w:val="14"/>
                <w:szCs w:val="14"/>
                <w:color w:val="auto"/>
              </w:rPr>
              <w:t>Effect of exchange rate changes on cash and cash equivalents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(7,648)</w:t>
            </w:r>
          </w:p>
        </w:tc>
      </w:tr>
      <w:tr>
        <w:trPr>
          <w:trHeight w:val="149"/>
        </w:trPr>
        <w:tc>
          <w:tcPr>
            <w:tcW w:w="8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89"/>
        </w:trPr>
        <w:tc>
          <w:tcPr>
            <w:tcW w:w="8540" w:type="dxa"/>
            <w:vAlign w:val="bottom"/>
          </w:tcPr>
          <w:p>
            <w:pPr>
              <w:ind w:left="20"/>
              <w:spacing w:after="0"/>
              <w:rPr>
                <w:sz w:val="20"/>
                <w:szCs w:val="20"/>
                <w:color w:val="auto"/>
              </w:rPr>
            </w:pPr>
            <w:r>
              <w:rPr>
                <w:rFonts w:ascii="Arial" w:cs="Arial" w:eastAsia="Arial" w:hAnsi="Arial"/>
                <w:sz w:val="14"/>
                <w:szCs w:val="14"/>
                <w:color w:val="auto"/>
              </w:rPr>
              <w:t>(Decrease)/increase in cash and cash equivalents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27,140</w:t>
            </w:r>
          </w:p>
        </w:tc>
      </w:tr>
      <w:tr>
        <w:trPr>
          <w:trHeight w:val="189"/>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241,316</w:t>
            </w:r>
          </w:p>
        </w:tc>
        <w:tc>
          <w:tcPr>
            <w:tcW w:w="1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195,540</w:t>
            </w:r>
          </w:p>
        </w:tc>
      </w:tr>
      <w:tr>
        <w:trPr>
          <w:trHeight w:val="183"/>
        </w:trPr>
        <w:tc>
          <w:tcPr>
            <w:tcW w:w="854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237,871</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222,680</w:t>
            </w:r>
          </w:p>
        </w:tc>
      </w:tr>
      <w:tr>
        <w:trPr>
          <w:trHeight w:val="20"/>
        </w:trPr>
        <w:tc>
          <w:tcPr>
            <w:tcW w:w="8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 w:name="page8"/>
    <w:bookmarkEnd w:id="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p>
      <w:pPr>
        <w:ind w:left="340" w:right="8340" w:hanging="332"/>
        <w:spacing w:after="0" w:line="411" w:lineRule="auto"/>
        <w:tabs>
          <w:tab w:leader="none" w:pos="216"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Significant Accounting Policies Basis of Presentation</w:t>
      </w:r>
    </w:p>
    <w:p>
      <w:pPr>
        <w:spacing w:after="0" w:line="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necessary for a fair presentation of results for such periods. Albany International Corp. (Albany, the Registrant, the Company, we, us, or our) consolidates the financial results of its subsidiaries for all periods presented. The results for any interim period are not necessarily indicative of results for the full year.</w:t>
      </w:r>
    </w:p>
    <w:p>
      <w:pPr>
        <w:spacing w:after="0" w:line="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preparation of financial statements in accordance with U.S. generally accepted accounting principles (“GAAP”) requires management to make estimates and assumptions that affect the amounts reported in Albany International Corp.’s Consolidated Financial Statements and accompanying Notes. Actual results could differ materially from those estimates.</w:t>
      </w:r>
    </w:p>
    <w:p>
      <w:pPr>
        <w:spacing w:after="0" w:line="9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information included in this Quarterly Report on Form 10-Q should be read in conjunction with Albany International Corp.’s Annual Report on Form 10-K for the year ended December 31, 2020.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Reportable Segments and Revenue Recognition</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accordance with applicable disclosure guidance for enterprise segments and related information, the internal organization that is used by management for making operating decisions and assessing performance is used as the basis for our reportable segments.</w:t>
      </w:r>
    </w:p>
    <w:p>
      <w:pPr>
        <w:spacing w:after="0" w:line="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Machine Clothing (“MC”) segment supplies permeable and impermeable belts used in the manufacture of paper, paperboard, tissue and towel, nonwovens, fiber cement and several other industrial applications. We sell our MC products directly to customer end-users in countries across the globe. Our products, manufacturing processes, and distribution channels for MC are substantially the same in each region of the world in which we operate.</w:t>
      </w:r>
    </w:p>
    <w:p>
      <w:pPr>
        <w:spacing w:after="0" w:line="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design, manufacture, and market paper machine clothing (used in the manufacturing of paper, paperboard, tissue and towel) for each section of the paper machine and for every grade of paper. Paper machine clothing products are customized, consumable products of technologically sophisticated design that utilize polymeric materials in a complex structure.</w:t>
      </w:r>
    </w:p>
    <w:p>
      <w:pPr>
        <w:spacing w:after="0" w:line="9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(“Safran”) owns a 10 percent noncontrolling interest, provides highly engineered, advanced composite structures to customers in the commercial and defense aerospace industries. AEC’s largest program relates to CFM International’s LEAP engine. Under this program, AEC through ASC, is the exclusive supplier of advanced composite fan blades and cases under a long-term supply contract. AEC net sales to Safran were $ 27.7 million and $38.0 million in the first three months of 2021 and 2020, respectively. The total of Accounts receivable, Contract assets and Noncurrent receivables due from Safran amounted to $ 107.7 million and $ 127.1 million as of March 31, 2021 and December 31, 2020, respectively. Other significant programs by AEC include the F-35, Boeing 787, Sikorsky CH-53K and JASSM, as well as the fan case for the GE9X engine. In 2020, approximately 46 percent of AEC sales were related to U.S. government contracts or programs.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 w:name="page9"/>
    <w:bookmarkEnd w:id="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440" w:type="dxa"/>
            <w:vAlign w:val="bottom"/>
            <w:tcBorders>
              <w:top w:val="single" w:sz="8" w:color="auto"/>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r>
      <w:tr>
        <w:trPr>
          <w:trHeight w:val="20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0"/>
        </w:trPr>
        <w:tc>
          <w:tcPr>
            <w:tcW w:w="862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148,206</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136,602</w:t>
            </w:r>
          </w:p>
        </w:tc>
      </w:tr>
      <w:tr>
        <w:trPr>
          <w:trHeight w:val="218"/>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74,156</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99,162</w:t>
            </w:r>
          </w:p>
        </w:tc>
      </w:tr>
      <w:tr>
        <w:trPr>
          <w:trHeight w:val="234"/>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222,362</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235,764</w:t>
            </w:r>
          </w:p>
        </w:tc>
      </w:tr>
      <w:tr>
        <w:trPr>
          <w:trHeight w:val="212"/>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0"/>
        </w:trPr>
        <w:tc>
          <w:tcPr>
            <w:tcW w:w="862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50,363</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47,175</w:t>
            </w:r>
          </w:p>
        </w:tc>
      </w:tr>
      <w:tr>
        <w:trPr>
          <w:trHeight w:val="21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2,938</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7,623</w:t>
            </w:r>
          </w:p>
        </w:tc>
      </w:tr>
      <w:tr>
        <w:trPr>
          <w:trHeight w:val="240"/>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(11,483)</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(15,204)</w:t>
            </w:r>
          </w:p>
        </w:tc>
      </w:tr>
      <w:tr>
        <w:trPr>
          <w:trHeight w:val="213"/>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41,818</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39,594</w:t>
            </w:r>
          </w:p>
        </w:tc>
      </w:tr>
      <w:tr>
        <w:trPr>
          <w:trHeight w:val="233"/>
        </w:trPr>
        <w:tc>
          <w:tcPr>
            <w:tcW w:w="8620" w:type="dxa"/>
            <w:vAlign w:val="bottom"/>
          </w:tcPr>
          <w:p>
            <w:pPr>
              <w:ind w:left="20"/>
              <w:spacing w:after="0"/>
              <w:rPr>
                <w:sz w:val="20"/>
                <w:szCs w:val="20"/>
                <w:color w:val="auto"/>
              </w:rPr>
            </w:pPr>
            <w:r>
              <w:rPr>
                <w:rFonts w:ascii="Arial" w:cs="Arial" w:eastAsia="Arial" w:hAnsi="Arial"/>
                <w:sz w:val="16"/>
                <w:szCs w:val="16"/>
                <w:color w:val="auto"/>
              </w:rPr>
              <w:t>Reconciling items:</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6"/>
        </w:trPr>
        <w:tc>
          <w:tcPr>
            <w:tcW w:w="8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(529)</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r>
      <w:tr>
        <w:trPr>
          <w:trHeight w:val="240"/>
        </w:trPr>
        <w:tc>
          <w:tcPr>
            <w:tcW w:w="862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4,098</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4,424</w:t>
            </w:r>
          </w:p>
        </w:tc>
      </w:tr>
      <w:tr>
        <w:trPr>
          <w:trHeight w:val="218"/>
        </w:trPr>
        <w:tc>
          <w:tcPr>
            <w:tcW w:w="86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expense/(income), net</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600</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15,569</w:t>
            </w:r>
          </w:p>
        </w:tc>
      </w:tr>
      <w:tr>
        <w:trPr>
          <w:trHeight w:val="234"/>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before income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37,649</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20,048</w:t>
            </w:r>
          </w:p>
        </w:tc>
      </w:tr>
    </w:tbl>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material changes to total assets of the reportable segments in the first three months of 2021.</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restructuring costs by reportable segment (also see Note 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440" w:type="dxa"/>
            <w:vAlign w:val="bottom"/>
            <w:tcBorders>
              <w:top w:val="single" w:sz="8" w:color="auto"/>
              <w:bottom w:val="single" w:sz="8" w:color="auto"/>
            </w:tcBorders>
            <w:gridSpan w:val="3"/>
          </w:tcPr>
          <w:p>
            <w:pPr>
              <w:jc w:val="right"/>
              <w:ind w:right="181"/>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r>
      <w:tr>
        <w:trPr>
          <w:trHeight w:val="210"/>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center"/>
              <w:ind w:left="722"/>
              <w:spacing w:after="0"/>
              <w:rPr>
                <w:sz w:val="20"/>
                <w:szCs w:val="20"/>
                <w:color w:val="auto"/>
              </w:rPr>
            </w:pPr>
            <w:r>
              <w:rPr>
                <w:rFonts w:ascii="Arial" w:cs="Arial" w:eastAsia="Arial" w:hAnsi="Arial"/>
                <w:sz w:val="16"/>
                <w:szCs w:val="16"/>
                <w:b w:val="1"/>
                <w:bCs w:val="1"/>
                <w:color w:val="auto"/>
                <w:w w:val="98"/>
              </w:rPr>
              <w:t>(69)</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642</w:t>
            </w:r>
          </w:p>
        </w:tc>
      </w:tr>
      <w:tr>
        <w:trPr>
          <w:trHeight w:val="215"/>
        </w:trPr>
        <w:tc>
          <w:tcPr>
            <w:tcW w:w="862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180" w:type="dxa"/>
            <w:vAlign w:val="bottom"/>
          </w:tcPr>
          <w:p>
            <w:pPr>
              <w:spacing w:after="0"/>
              <w:rPr>
                <w:sz w:val="18"/>
                <w:szCs w:val="18"/>
                <w:color w:val="auto"/>
              </w:rPr>
            </w:pPr>
          </w:p>
        </w:tc>
        <w:tc>
          <w:tcPr>
            <w:tcW w:w="1120" w:type="dxa"/>
            <w:vAlign w:val="bottom"/>
          </w:tcPr>
          <w:p>
            <w:pPr>
              <w:jc w:val="center"/>
              <w:ind w:left="742"/>
              <w:spacing w:after="0"/>
              <w:rPr>
                <w:sz w:val="20"/>
                <w:szCs w:val="20"/>
                <w:color w:val="auto"/>
              </w:rPr>
            </w:pPr>
            <w:r>
              <w:rPr>
                <w:rFonts w:ascii="Arial" w:cs="Arial" w:eastAsia="Arial" w:hAnsi="Arial"/>
                <w:sz w:val="16"/>
                <w:szCs w:val="16"/>
                <w:b w:val="1"/>
                <w:bCs w:val="1"/>
                <w:color w:val="auto"/>
              </w:rPr>
              <w:t>89</w:t>
            </w:r>
          </w:p>
        </w:tc>
        <w:tc>
          <w:tcPr>
            <w:tcW w:w="3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6"/>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center"/>
              <w:ind w:left="742"/>
              <w:spacing w:after="0"/>
              <w:rPr>
                <w:sz w:val="20"/>
                <w:szCs w:val="20"/>
                <w:color w:val="auto"/>
              </w:rPr>
            </w:pPr>
            <w:r>
              <w:rPr>
                <w:rFonts w:ascii="Arial" w:cs="Arial" w:eastAsia="Arial" w:hAnsi="Arial"/>
                <w:sz w:val="16"/>
                <w:szCs w:val="16"/>
                <w:b w:val="1"/>
                <w:bCs w:val="1"/>
                <w:color w:val="auto"/>
              </w:rPr>
              <w:t>32</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0"/>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center"/>
              <w:ind w:left="742"/>
              <w:spacing w:after="0"/>
              <w:rPr>
                <w:sz w:val="20"/>
                <w:szCs w:val="20"/>
                <w:color w:val="auto"/>
              </w:rPr>
            </w:pPr>
            <w:r>
              <w:rPr>
                <w:rFonts w:ascii="Arial" w:cs="Arial" w:eastAsia="Arial" w:hAnsi="Arial"/>
                <w:sz w:val="16"/>
                <w:szCs w:val="16"/>
                <w:b w:val="1"/>
                <w:bCs w:val="1"/>
                <w:color w:val="auto"/>
              </w:rPr>
              <w:t>52</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642</w:t>
            </w: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Products and services provided under long-term contracts represent a significant portion of sales in the Albany Engineered Composites segment and we account for these contracts using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 Adjustments in the estimated profitability of long-term contracts increased operating income by $0.9 million for the first quarter of 2020, compared to an insignificant effect for the first quarter of 2021.</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 w:name="page10"/>
    <w:bookmarkEnd w:id="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disaggregate revenue earned from contracts with customers for each of our business segments and product groups based on the timing of revenue recognition, and groupings used for internal review purposes.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disaggregates revenue for each product group by timing of revenue recognition: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0" w:type="dxa"/>
            <w:vAlign w:val="bottom"/>
            <w:tcBorders>
              <w:top w:val="single" w:sz="8" w:color="auto"/>
            </w:tcBorders>
          </w:tcPr>
          <w:p>
            <w:pPr>
              <w:spacing w:after="0"/>
              <w:rPr>
                <w:sz w:val="17"/>
                <w:szCs w:val="17"/>
                <w:color w:val="auto"/>
              </w:rPr>
            </w:pPr>
          </w:p>
        </w:tc>
        <w:tc>
          <w:tcPr>
            <w:tcW w:w="62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346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 2021</w:t>
            </w:r>
          </w:p>
        </w:tc>
        <w:tc>
          <w:tcPr>
            <w:tcW w:w="9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r>
      <w:tr>
        <w:trPr>
          <w:trHeight w:val="169"/>
        </w:trPr>
        <w:tc>
          <w:tcPr>
            <w:tcW w:w="1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Over Time Revenue</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6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Recognition</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r>
      <w:tr>
        <w:trPr>
          <w:trHeight w:val="215"/>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b w:val="1"/>
                <w:bCs w:val="1"/>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147,341</w:t>
            </w:r>
          </w:p>
        </w:tc>
        <w:tc>
          <w:tcPr>
            <w:tcW w:w="1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89"/>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865</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148,206</w:t>
            </w:r>
          </w:p>
        </w:tc>
      </w:tr>
      <w:tr>
        <w:trPr>
          <w:trHeight w:val="129"/>
        </w:trPr>
        <w:tc>
          <w:tcPr>
            <w:tcW w:w="16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r>
      <w:tr>
        <w:trPr>
          <w:trHeight w:val="216"/>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0"/>
        </w:trPr>
        <w:tc>
          <w:tcPr>
            <w:tcW w:w="6400" w:type="dxa"/>
            <w:vAlign w:val="bottom"/>
            <w:gridSpan w:val="2"/>
          </w:tcPr>
          <w:p>
            <w:pPr>
              <w:ind w:left="20"/>
              <w:spacing w:after="0"/>
              <w:rPr>
                <w:sz w:val="20"/>
                <w:szCs w:val="20"/>
                <w:color w:val="auto"/>
              </w:rPr>
            </w:pPr>
            <w:r>
              <w:rPr>
                <w:rFonts w:ascii="Arial" w:cs="Arial" w:eastAsia="Arial" w:hAnsi="Arial"/>
                <w:sz w:val="16"/>
                <w:szCs w:val="16"/>
                <w:color w:val="auto"/>
              </w:rPr>
              <w:t>ASC</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rPr>
              <w:t>27,084</w:t>
            </w:r>
          </w:p>
        </w:tc>
        <w:tc>
          <w:tcPr>
            <w:tcW w:w="3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27,084</w:t>
            </w:r>
          </w:p>
        </w:tc>
      </w:tr>
      <w:tr>
        <w:trPr>
          <w:trHeight w:val="218"/>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AEC</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3,880</w:t>
            </w: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43,192</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47,072</w:t>
            </w:r>
          </w:p>
        </w:tc>
      </w:tr>
      <w:tr>
        <w:trPr>
          <w:trHeight w:val="221"/>
        </w:trPr>
        <w:tc>
          <w:tcPr>
            <w:tcW w:w="6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Albany Engineered Composites</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3,880</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70,276</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74,156</w:t>
            </w:r>
          </w:p>
        </w:tc>
      </w:tr>
      <w:tr>
        <w:trPr>
          <w:trHeight w:val="212"/>
        </w:trPr>
        <w:tc>
          <w:tcPr>
            <w:tcW w:w="160" w:type="dxa"/>
            <w:vAlign w:val="bottom"/>
            <w:tcBorders>
              <w:bottom w:val="single" w:sz="8" w:color="auto"/>
            </w:tcBorders>
            <w:shd w:val="clear" w:color="auto" w:fill="CCEEFF"/>
          </w:tcPr>
          <w:p>
            <w:pPr>
              <w:spacing w:after="0"/>
              <w:rPr>
                <w:sz w:val="18"/>
                <w:szCs w:val="18"/>
                <w:color w:val="auto"/>
              </w:rPr>
            </w:pPr>
          </w:p>
        </w:tc>
        <w:tc>
          <w:tcPr>
            <w:tcW w:w="62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r>
      <w:tr>
        <w:trPr>
          <w:trHeight w:val="233"/>
        </w:trPr>
        <w:tc>
          <w:tcPr>
            <w:tcW w:w="64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151,221</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71,141</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222,362</w:t>
            </w:r>
          </w:p>
        </w:tc>
      </w:tr>
      <w:tr>
        <w:trPr>
          <w:trHeight w:val="294"/>
        </w:trPr>
        <w:tc>
          <w:tcPr>
            <w:tcW w:w="1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4"/>
                <w:szCs w:val="14"/>
                <w:b w:val="1"/>
                <w:bCs w:val="1"/>
                <w:color w:val="auto"/>
              </w:rPr>
              <w:t>Three months ended March 31, 2020</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1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4"/>
                <w:szCs w:val="1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Over Time Revenue</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16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302"/>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ind w:right="341"/>
              <w:spacing w:after="0"/>
              <w:rPr>
                <w:sz w:val="20"/>
                <w:szCs w:val="20"/>
                <w:color w:val="auto"/>
              </w:rPr>
            </w:pPr>
            <w:r>
              <w:rPr>
                <w:rFonts w:ascii="Arial" w:cs="Arial" w:eastAsia="Arial" w:hAnsi="Arial"/>
                <w:sz w:val="14"/>
                <w:szCs w:val="14"/>
                <w:b w:val="1"/>
                <w:bCs w:val="1"/>
                <w:color w:val="auto"/>
              </w:rPr>
              <w:t>Recognition</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Total</w:t>
            </w:r>
          </w:p>
        </w:tc>
      </w:tr>
      <w:tr>
        <w:trPr>
          <w:trHeight w:val="213"/>
        </w:trPr>
        <w:tc>
          <w:tcPr>
            <w:tcW w:w="160" w:type="dxa"/>
            <w:vAlign w:val="bottom"/>
          </w:tcPr>
          <w:p>
            <w:pPr>
              <w:spacing w:after="0"/>
              <w:rPr>
                <w:sz w:val="18"/>
                <w:szCs w:val="18"/>
                <w:color w:val="auto"/>
              </w:rPr>
            </w:pPr>
          </w:p>
        </w:tc>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Machine Clothing</w:t>
            </w:r>
          </w:p>
        </w:tc>
        <w:tc>
          <w:tcPr>
            <w:tcW w:w="2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135,754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136,602</w:t>
            </w:r>
          </w:p>
        </w:tc>
        <w:tc>
          <w:tcPr>
            <w:tcW w:w="100" w:type="dxa"/>
            <w:vAlign w:val="bottom"/>
          </w:tcPr>
          <w:p>
            <w:pPr>
              <w:spacing w:after="0"/>
              <w:rPr>
                <w:sz w:val="18"/>
                <w:szCs w:val="18"/>
                <w:color w:val="auto"/>
              </w:rPr>
            </w:pPr>
          </w:p>
        </w:tc>
      </w:tr>
      <w:tr>
        <w:trPr>
          <w:trHeight w:val="131"/>
        </w:trPr>
        <w:tc>
          <w:tcPr>
            <w:tcW w:w="16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16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Albany Engineered Composites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40"/>
        </w:trPr>
        <w:tc>
          <w:tcPr>
            <w:tcW w:w="16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6"/>
                <w:szCs w:val="16"/>
                <w:color w:val="auto"/>
              </w:rPr>
              <w:t>ASC</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37,894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37,894</w:t>
            </w:r>
          </w:p>
        </w:tc>
        <w:tc>
          <w:tcPr>
            <w:tcW w:w="100" w:type="dxa"/>
            <w:vAlign w:val="bottom"/>
          </w:tcPr>
          <w:p>
            <w:pPr>
              <w:spacing w:after="0"/>
              <w:rPr>
                <w:sz w:val="20"/>
                <w:szCs w:val="20"/>
                <w:color w:val="auto"/>
              </w:rPr>
            </w:pPr>
          </w:p>
        </w:tc>
      </w:tr>
      <w:tr>
        <w:trPr>
          <w:trHeight w:val="219"/>
        </w:trPr>
        <w:tc>
          <w:tcPr>
            <w:tcW w:w="160" w:type="dxa"/>
            <w:vAlign w:val="bottom"/>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Other AEC</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6,320</w:t>
            </w: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54,948</w:t>
            </w: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61,268</w:t>
            </w:r>
          </w:p>
        </w:tc>
        <w:tc>
          <w:tcPr>
            <w:tcW w:w="100" w:type="dxa"/>
            <w:vAlign w:val="bottom"/>
          </w:tcPr>
          <w:p>
            <w:pPr>
              <w:spacing w:after="0"/>
              <w:rPr>
                <w:sz w:val="19"/>
                <w:szCs w:val="19"/>
                <w:color w:val="auto"/>
              </w:rPr>
            </w:pPr>
          </w:p>
        </w:tc>
      </w:tr>
      <w:tr>
        <w:trPr>
          <w:trHeight w:val="220"/>
        </w:trPr>
        <w:tc>
          <w:tcPr>
            <w:tcW w:w="160" w:type="dxa"/>
            <w:vAlign w:val="bottom"/>
          </w:tcPr>
          <w:p>
            <w:pPr>
              <w:spacing w:after="0"/>
              <w:rPr>
                <w:sz w:val="19"/>
                <w:szCs w:val="19"/>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Albany Engineered Composites</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6,320</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92,842</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99,162</w:t>
            </w:r>
          </w:p>
        </w:tc>
        <w:tc>
          <w:tcPr>
            <w:tcW w:w="100" w:type="dxa"/>
            <w:vAlign w:val="bottom"/>
          </w:tcPr>
          <w:p>
            <w:pPr>
              <w:spacing w:after="0"/>
              <w:rPr>
                <w:sz w:val="19"/>
                <w:szCs w:val="19"/>
                <w:color w:val="auto"/>
              </w:rPr>
            </w:pPr>
          </w:p>
        </w:tc>
      </w:tr>
      <w:tr>
        <w:trPr>
          <w:trHeight w:val="239"/>
        </w:trPr>
        <w:tc>
          <w:tcPr>
            <w:tcW w:w="160" w:type="dxa"/>
            <w:vAlign w:val="bottom"/>
          </w:tcPr>
          <w:p>
            <w:pPr>
              <w:spacing w:after="0"/>
              <w:rPr>
                <w:sz w:val="20"/>
                <w:szCs w:val="20"/>
                <w:color w:val="auto"/>
              </w:rPr>
            </w:pPr>
          </w:p>
        </w:tc>
        <w:tc>
          <w:tcPr>
            <w:tcW w:w="62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33"/>
        </w:trPr>
        <w:tc>
          <w:tcPr>
            <w:tcW w:w="160" w:type="dxa"/>
            <w:vAlign w:val="bottom"/>
          </w:tcPr>
          <w:p>
            <w:pPr>
              <w:spacing w:after="0"/>
              <w:rPr>
                <w:sz w:val="20"/>
                <w:szCs w:val="20"/>
                <w:color w:val="auto"/>
              </w:rPr>
            </w:pPr>
          </w:p>
        </w:tc>
        <w:tc>
          <w:tcPr>
            <w:tcW w:w="6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142,074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93,690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235,764</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disaggregates MC segment revenue by significant product groupings (paper machine clothing (PMC) and engineered fabrics), and, for PMC, the geographical region to which the paper machine clothing was sold: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440" w:type="dxa"/>
            <w:vAlign w:val="bottom"/>
            <w:tcBorders>
              <w:top w:val="single" w:sz="8" w:color="auto"/>
              <w:bottom w:val="single" w:sz="8" w:color="auto"/>
            </w:tcBorders>
            <w:gridSpan w:val="3"/>
          </w:tcPr>
          <w:p>
            <w:pPr>
              <w:jc w:val="right"/>
              <w:ind w:right="181"/>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r>
      <w:tr>
        <w:trPr>
          <w:trHeight w:val="210"/>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Americas PMC</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73,302</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73,677</w:t>
            </w:r>
          </w:p>
        </w:tc>
      </w:tr>
      <w:tr>
        <w:trPr>
          <w:trHeight w:val="240"/>
        </w:trPr>
        <w:tc>
          <w:tcPr>
            <w:tcW w:w="8620" w:type="dxa"/>
            <w:vAlign w:val="bottom"/>
          </w:tcPr>
          <w:p>
            <w:pPr>
              <w:ind w:left="20"/>
              <w:spacing w:after="0"/>
              <w:rPr>
                <w:sz w:val="20"/>
                <w:szCs w:val="20"/>
                <w:color w:val="auto"/>
              </w:rPr>
            </w:pPr>
            <w:r>
              <w:rPr>
                <w:rFonts w:ascii="Arial" w:cs="Arial" w:eastAsia="Arial" w:hAnsi="Arial"/>
                <w:sz w:val="16"/>
                <w:szCs w:val="16"/>
                <w:color w:val="auto"/>
              </w:rPr>
              <w:t>Eurasia PMC</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55,143</w:t>
            </w:r>
          </w:p>
        </w:tc>
        <w:tc>
          <w:tcPr>
            <w:tcW w:w="34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45,131</w:t>
            </w:r>
          </w:p>
        </w:tc>
      </w:tr>
      <w:tr>
        <w:trPr>
          <w:trHeight w:val="218"/>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Engineered Fabrics</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19,761</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17,794</w:t>
            </w:r>
          </w:p>
        </w:tc>
      </w:tr>
      <w:tr>
        <w:trPr>
          <w:trHeight w:val="234"/>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Machine Clothing Net sales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148,206</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136,602</w:t>
            </w: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permitted by ASC 606, we only disclose the value of unsatisfied performance obligations for contracts with an original expected duration of greater than one year. Contracts in the MC segment are generally for periods of less than a year. Most contracts in the AEC segment are short duration firm-fixed-price orders representing performance obligations with an original maturity of less than one year. Remaining performance obligations on contracts that had an original duration of greater than one year totaled $ 76 million and $82 million as of March 31, 2021 and 2020, respectively, and related primarily to firm contracts in the AEC segment. Of the remaining performance obligations as of March 31, 2021, we expect to recognize as revenue approximately $51 million during 2021 and the remainder during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Pensions and Other Postretirement Benefit Plans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has defined benefit pension plans covering certain U.S. and non-U.S. employees. The Company also provides certain postretirement benefits to retired employees in the U.S. and Canada. The Company accrues the cost of providing these benefits during the active service period of the employees.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composition of the net periodic benefit cost for the three months ended March 31, 2021 and 2020,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Other postretirement benefits</w:t>
            </w:r>
          </w:p>
        </w:tc>
      </w:tr>
      <w:tr>
        <w:trPr>
          <w:trHeight w:val="202"/>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periodic benefit cost: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0"/>
        </w:trPr>
        <w:tc>
          <w:tcPr>
            <w:tcW w:w="600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545</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580</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9"/>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1,338</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276</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r>
      <w:tr>
        <w:trPr>
          <w:trHeight w:val="240"/>
        </w:trPr>
        <w:tc>
          <w:tcPr>
            <w:tcW w:w="600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(1,606)</w:t>
            </w:r>
          </w:p>
        </w:tc>
        <w:tc>
          <w:tcPr>
            <w:tcW w:w="5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(1,723)</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cost/(credit)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(1,122)</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r>
      <w:tr>
        <w:trPr>
          <w:trHeight w:val="240"/>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net actuarial loss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544</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565</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r>
      <w:tr>
        <w:trPr>
          <w:trHeight w:val="212"/>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periodic benefit cost</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824</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(248)</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bl>
    <w:p>
      <w:pPr>
        <w:spacing w:after="0" w:line="32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amount of net periodic benefit cost is determined at the beginning of each year and generally only varies from quarter to quarter when a significant event occurs, such as a curtailment or a settlement. There were no such events in the first three months of 2021 or 2020.</w:t>
      </w:r>
    </w:p>
    <w:p>
      <w:pPr>
        <w:spacing w:after="0" w:line="9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Service cost for defined benefit pension and postretirement plans are reported in the same line item as other compensation costs arising from services rendered by the pertinent employees during the period. Other components of net periodic benefit cost are included in the line item Other (income)/expense, net in the Consolidated Statements of Income.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Restructuring</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Restructuring costs in the first quarter of 2021 were not significant while Machine Clothing restructuring charges for the first three months of 2020 principally related to discontinued operations at its MC production facility in Sélestat, France. Since 2017, we have recorded $13.9 million of restructuring charges related to this action. There were no charges related to the impairment of assets for the periods presented.</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charges reported in the Consolidated Statements of Income under “Restructuring expenses, net”: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440" w:type="dxa"/>
            <w:vAlign w:val="bottom"/>
            <w:tcBorders>
              <w:top w:val="single" w:sz="8" w:color="auto"/>
              <w:bottom w:val="single" w:sz="8" w:color="auto"/>
            </w:tcBorders>
            <w:gridSpan w:val="3"/>
          </w:tcPr>
          <w:p>
            <w:pPr>
              <w:jc w:val="right"/>
              <w:ind w:right="181"/>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r>
      <w:tr>
        <w:trPr>
          <w:trHeight w:val="210"/>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center"/>
              <w:ind w:left="722"/>
              <w:spacing w:after="0"/>
              <w:rPr>
                <w:sz w:val="20"/>
                <w:szCs w:val="20"/>
                <w:color w:val="auto"/>
              </w:rPr>
            </w:pPr>
            <w:r>
              <w:rPr>
                <w:rFonts w:ascii="Arial" w:cs="Arial" w:eastAsia="Arial" w:hAnsi="Arial"/>
                <w:sz w:val="16"/>
                <w:szCs w:val="16"/>
                <w:b w:val="1"/>
                <w:bCs w:val="1"/>
                <w:color w:val="auto"/>
                <w:w w:val="98"/>
              </w:rPr>
              <w:t>(69)</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642</w:t>
            </w:r>
          </w:p>
        </w:tc>
      </w:tr>
      <w:tr>
        <w:trPr>
          <w:trHeight w:val="215"/>
        </w:trPr>
        <w:tc>
          <w:tcPr>
            <w:tcW w:w="862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180" w:type="dxa"/>
            <w:vAlign w:val="bottom"/>
          </w:tcPr>
          <w:p>
            <w:pPr>
              <w:spacing w:after="0"/>
              <w:rPr>
                <w:sz w:val="18"/>
                <w:szCs w:val="18"/>
                <w:color w:val="auto"/>
              </w:rPr>
            </w:pPr>
          </w:p>
        </w:tc>
        <w:tc>
          <w:tcPr>
            <w:tcW w:w="1120" w:type="dxa"/>
            <w:vAlign w:val="bottom"/>
          </w:tcPr>
          <w:p>
            <w:pPr>
              <w:jc w:val="center"/>
              <w:ind w:left="742"/>
              <w:spacing w:after="0"/>
              <w:rPr>
                <w:sz w:val="20"/>
                <w:szCs w:val="20"/>
                <w:color w:val="auto"/>
              </w:rPr>
            </w:pPr>
            <w:r>
              <w:rPr>
                <w:rFonts w:ascii="Arial" w:cs="Arial" w:eastAsia="Arial" w:hAnsi="Arial"/>
                <w:sz w:val="16"/>
                <w:szCs w:val="16"/>
                <w:b w:val="1"/>
                <w:bCs w:val="1"/>
                <w:color w:val="auto"/>
              </w:rPr>
              <w:t>89</w:t>
            </w:r>
          </w:p>
        </w:tc>
        <w:tc>
          <w:tcPr>
            <w:tcW w:w="3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6"/>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center"/>
              <w:ind w:left="742"/>
              <w:spacing w:after="0"/>
              <w:rPr>
                <w:sz w:val="20"/>
                <w:szCs w:val="20"/>
                <w:color w:val="auto"/>
              </w:rPr>
            </w:pPr>
            <w:r>
              <w:rPr>
                <w:rFonts w:ascii="Arial" w:cs="Arial" w:eastAsia="Arial" w:hAnsi="Arial"/>
                <w:sz w:val="16"/>
                <w:szCs w:val="16"/>
                <w:b w:val="1"/>
                <w:bCs w:val="1"/>
                <w:color w:val="auto"/>
              </w:rPr>
              <w:t>32</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9"/>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center"/>
              <w:ind w:left="742"/>
              <w:spacing w:after="0"/>
              <w:rPr>
                <w:sz w:val="20"/>
                <w:szCs w:val="20"/>
                <w:color w:val="auto"/>
              </w:rPr>
            </w:pPr>
            <w:r>
              <w:rPr>
                <w:rFonts w:ascii="Arial" w:cs="Arial" w:eastAsia="Arial" w:hAnsi="Arial"/>
                <w:sz w:val="16"/>
                <w:szCs w:val="16"/>
                <w:b w:val="1"/>
                <w:bCs w:val="1"/>
                <w:color w:val="auto"/>
              </w:rPr>
              <w:t>52</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642</w:t>
            </w:r>
          </w:p>
        </w:tc>
      </w:tr>
    </w:tbl>
    <w:p>
      <w:pPr>
        <w:spacing w:after="0" w:line="32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table below presents the year-to-date changes in restructuring liabilities for 2021 and 2020, all of which are related to termination and other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1280" w:type="dxa"/>
            <w:vAlign w:val="bottom"/>
          </w:tcPr>
          <w:p>
            <w:pPr>
              <w:jc w:val="center"/>
              <w:ind w:right="105"/>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6"/>
                <w:szCs w:val="16"/>
                <w:color w:val="auto"/>
              </w:rPr>
            </w:pPr>
          </w:p>
        </w:tc>
        <w:tc>
          <w:tcPr>
            <w:tcW w:w="1340" w:type="dxa"/>
            <w:vAlign w:val="bottom"/>
          </w:tcPr>
          <w:p>
            <w:pPr>
              <w:jc w:val="center"/>
              <w:ind w:right="45"/>
              <w:spacing w:after="0"/>
              <w:rPr>
                <w:sz w:val="20"/>
                <w:szCs w:val="20"/>
                <w:color w:val="auto"/>
              </w:rPr>
            </w:pPr>
            <w:r>
              <w:rPr>
                <w:rFonts w:ascii="Arial" w:cs="Arial" w:eastAsia="Arial" w:hAnsi="Arial"/>
                <w:sz w:val="14"/>
                <w:szCs w:val="14"/>
                <w:b w:val="1"/>
                <w:bCs w:val="1"/>
                <w:color w:val="auto"/>
              </w:rPr>
              <w:t>Restructuring</w:t>
            </w:r>
          </w:p>
        </w:tc>
        <w:tc>
          <w:tcPr>
            <w:tcW w:w="240" w:type="dxa"/>
            <w:vAlign w:val="bottom"/>
          </w:tcPr>
          <w:p>
            <w:pPr>
              <w:spacing w:after="0"/>
              <w:rPr>
                <w:sz w:val="16"/>
                <w:szCs w:val="16"/>
                <w:color w:val="auto"/>
              </w:rPr>
            </w:pPr>
          </w:p>
        </w:tc>
        <w:tc>
          <w:tcPr>
            <w:tcW w:w="110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Payments</w:t>
            </w:r>
          </w:p>
        </w:tc>
        <w:tc>
          <w:tcPr>
            <w:tcW w:w="160" w:type="dxa"/>
            <w:vAlign w:val="bottom"/>
          </w:tcPr>
          <w:p>
            <w:pPr>
              <w:spacing w:after="0"/>
              <w:rPr>
                <w:sz w:val="16"/>
                <w:szCs w:val="16"/>
                <w:color w:val="auto"/>
              </w:rPr>
            </w:pPr>
          </w:p>
        </w:tc>
        <w:tc>
          <w:tcPr>
            <w:tcW w:w="1460" w:type="dxa"/>
            <w:vAlign w:val="bottom"/>
          </w:tcPr>
          <w:p>
            <w:pPr>
              <w:jc w:val="center"/>
              <w:ind w:right="85"/>
              <w:spacing w:after="0"/>
              <w:rPr>
                <w:sz w:val="20"/>
                <w:szCs w:val="20"/>
                <w:color w:val="auto"/>
              </w:rPr>
            </w:pPr>
            <w:r>
              <w:rPr>
                <w:rFonts w:ascii="Arial" w:cs="Arial" w:eastAsia="Arial" w:hAnsi="Arial"/>
                <w:sz w:val="14"/>
                <w:szCs w:val="14"/>
                <w:b w:val="1"/>
                <w:bCs w:val="1"/>
                <w:color w:val="auto"/>
              </w:rPr>
              <w:t>Currency</w:t>
            </w:r>
          </w:p>
        </w:tc>
        <w:tc>
          <w:tcPr>
            <w:tcW w:w="280" w:type="dxa"/>
            <w:vAlign w:val="bottom"/>
          </w:tcPr>
          <w:p>
            <w:pPr>
              <w:spacing w:after="0"/>
              <w:rPr>
                <w:sz w:val="16"/>
                <w:szCs w:val="16"/>
                <w:color w:val="auto"/>
              </w:rPr>
            </w:pPr>
          </w:p>
        </w:tc>
        <w:tc>
          <w:tcPr>
            <w:tcW w:w="1240" w:type="dxa"/>
            <w:vAlign w:val="bottom"/>
          </w:tcPr>
          <w:p>
            <w:pPr>
              <w:jc w:val="center"/>
              <w:ind w:right="225"/>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2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rPr>
              <w:t>charges accrued</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rPr>
              <w:t>translation /other</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Total termination and other costs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2,195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(1,216)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6"/>
                <w:szCs w:val="16"/>
                <w:b w:val="1"/>
                <w:bCs w:val="1"/>
                <w:color w:val="auto"/>
              </w:rPr>
              <w:t>1,016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7"/>
                <w:szCs w:val="17"/>
                <w:color w:val="auto"/>
              </w:rPr>
            </w:pPr>
          </w:p>
        </w:tc>
        <w:tc>
          <w:tcPr>
            <w:tcW w:w="1280" w:type="dxa"/>
            <w:vAlign w:val="bottom"/>
          </w:tcPr>
          <w:p>
            <w:pPr>
              <w:jc w:val="center"/>
              <w:ind w:right="105"/>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7"/>
                <w:szCs w:val="17"/>
                <w:color w:val="auto"/>
              </w:rPr>
            </w:pPr>
          </w:p>
        </w:tc>
        <w:tc>
          <w:tcPr>
            <w:tcW w:w="1340" w:type="dxa"/>
            <w:vAlign w:val="bottom"/>
          </w:tcPr>
          <w:p>
            <w:pPr>
              <w:jc w:val="center"/>
              <w:ind w:right="45"/>
              <w:spacing w:after="0"/>
              <w:rPr>
                <w:sz w:val="20"/>
                <w:szCs w:val="20"/>
                <w:color w:val="auto"/>
              </w:rPr>
            </w:pPr>
            <w:r>
              <w:rPr>
                <w:rFonts w:ascii="Arial" w:cs="Arial" w:eastAsia="Arial" w:hAnsi="Arial"/>
                <w:sz w:val="14"/>
                <w:szCs w:val="14"/>
                <w:b w:val="1"/>
                <w:bCs w:val="1"/>
                <w:color w:val="auto"/>
              </w:rPr>
              <w:t>Restructuring</w:t>
            </w:r>
          </w:p>
        </w:tc>
        <w:tc>
          <w:tcPr>
            <w:tcW w:w="240" w:type="dxa"/>
            <w:vAlign w:val="bottom"/>
          </w:tcPr>
          <w:p>
            <w:pPr>
              <w:spacing w:after="0"/>
              <w:rPr>
                <w:sz w:val="17"/>
                <w:szCs w:val="17"/>
                <w:color w:val="auto"/>
              </w:rPr>
            </w:pPr>
          </w:p>
        </w:tc>
        <w:tc>
          <w:tcPr>
            <w:tcW w:w="110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Payments</w:t>
            </w:r>
          </w:p>
        </w:tc>
        <w:tc>
          <w:tcPr>
            <w:tcW w:w="160" w:type="dxa"/>
            <w:vAlign w:val="bottom"/>
          </w:tcPr>
          <w:p>
            <w:pPr>
              <w:spacing w:after="0"/>
              <w:rPr>
                <w:sz w:val="17"/>
                <w:szCs w:val="17"/>
                <w:color w:val="auto"/>
              </w:rPr>
            </w:pPr>
          </w:p>
        </w:tc>
        <w:tc>
          <w:tcPr>
            <w:tcW w:w="1460" w:type="dxa"/>
            <w:vAlign w:val="bottom"/>
          </w:tcPr>
          <w:p>
            <w:pPr>
              <w:jc w:val="center"/>
              <w:ind w:right="65"/>
              <w:spacing w:after="0"/>
              <w:rPr>
                <w:sz w:val="20"/>
                <w:szCs w:val="20"/>
                <w:color w:val="auto"/>
              </w:rPr>
            </w:pPr>
            <w:r>
              <w:rPr>
                <w:rFonts w:ascii="Arial" w:cs="Arial" w:eastAsia="Arial" w:hAnsi="Arial"/>
                <w:sz w:val="14"/>
                <w:szCs w:val="14"/>
                <w:b w:val="1"/>
                <w:bCs w:val="1"/>
                <w:color w:val="auto"/>
              </w:rPr>
              <w:t>Currency</w:t>
            </w:r>
          </w:p>
        </w:tc>
        <w:tc>
          <w:tcPr>
            <w:tcW w:w="280" w:type="dxa"/>
            <w:vAlign w:val="bottom"/>
          </w:tcPr>
          <w:p>
            <w:pPr>
              <w:spacing w:after="0"/>
              <w:rPr>
                <w:sz w:val="17"/>
                <w:szCs w:val="17"/>
                <w:color w:val="auto"/>
              </w:rPr>
            </w:pPr>
          </w:p>
        </w:tc>
        <w:tc>
          <w:tcPr>
            <w:tcW w:w="1240" w:type="dxa"/>
            <w:vAlign w:val="bottom"/>
          </w:tcPr>
          <w:p>
            <w:pPr>
              <w:jc w:val="center"/>
              <w:ind w:right="185"/>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6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rPr>
              <w:t>charges accrued</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translation /other</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termination and other costs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1,861</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We expect that approximately $0.8 million of Accrued liabilities for restructuring at March 31, 2021 will be paid within one year and approximately $0.2 million will be paid the following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Other (Income)/Expense, net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Other (Income)/Expense, net are: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440" w:type="dxa"/>
            <w:vAlign w:val="bottom"/>
            <w:tcBorders>
              <w:top w:val="single" w:sz="8" w:color="auto"/>
              <w:bottom w:val="single" w:sz="8" w:color="auto"/>
            </w:tcBorders>
            <w:gridSpan w:val="3"/>
          </w:tcPr>
          <w:p>
            <w:pPr>
              <w:jc w:val="right"/>
              <w:ind w:right="181"/>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r>
      <w:tr>
        <w:trPr>
          <w:trHeight w:val="20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transaction (gains)/losses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166</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14,834</w:t>
            </w:r>
          </w:p>
        </w:tc>
      </w:tr>
      <w:tr>
        <w:trPr>
          <w:trHeight w:val="240"/>
        </w:trPr>
        <w:tc>
          <w:tcPr>
            <w:tcW w:w="8620" w:type="dxa"/>
            <w:vAlign w:val="bottom"/>
          </w:tcPr>
          <w:p>
            <w:pPr>
              <w:ind w:left="20"/>
              <w:spacing w:after="0"/>
              <w:rPr>
                <w:sz w:val="20"/>
                <w:szCs w:val="20"/>
                <w:color w:val="auto"/>
              </w:rPr>
            </w:pPr>
            <w:r>
              <w:rPr>
                <w:rFonts w:ascii="Arial" w:cs="Arial" w:eastAsia="Arial" w:hAnsi="Arial"/>
                <w:sz w:val="16"/>
                <w:szCs w:val="16"/>
                <w:color w:val="auto"/>
              </w:rPr>
              <w:t>Bank fees and amortization of debt issuance costs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107</w:t>
            </w: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75</w:t>
            </w:r>
          </w:p>
        </w:tc>
      </w:tr>
      <w:tr>
        <w:trPr>
          <w:trHeight w:val="21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periodic pension and postretirement cost other than service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385</w:t>
            </w:r>
          </w:p>
        </w:tc>
      </w:tr>
      <w:tr>
        <w:trPr>
          <w:trHeight w:val="240"/>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329</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275</w:t>
            </w:r>
          </w:p>
        </w:tc>
      </w:tr>
      <w:tr>
        <w:trPr>
          <w:trHeight w:val="212"/>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600</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15,569</w:t>
            </w: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Other (income)/expense, net includes losses related to the revaluation of nonfunctional-currency balances of $0.2 million for the first three months of 2021, compared to losses of $14.8 million for the first three months of 2020, which principally resulted from an intercompany demand loan payable by a Mexican subsidiary. As a result of changes in business conditions that occurred in the first quarter of 2020, loan repayments on that intercompany loan are not expected in the foreseeable future and, beginning April 1, 2020, revaluation effects are recorded in Other comprehensive income.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Income Taxes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components of income tax expense for the three months ended March 31, 2021 and 2020: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440" w:type="dxa"/>
            <w:vAlign w:val="bottom"/>
            <w:tcBorders>
              <w:top w:val="single" w:sz="8" w:color="auto"/>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r>
      <w:tr>
        <w:trPr>
          <w:trHeight w:val="234"/>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based on income from continuing operations, at estimated tax rates of 30.1% and 36.5%, respectively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11,332</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7,309</w:t>
            </w:r>
          </w:p>
        </w:tc>
      </w:tr>
      <w:tr>
        <w:trPr>
          <w:trHeight w:val="236"/>
        </w:trPr>
        <w:tc>
          <w:tcPr>
            <w:tcW w:w="8620" w:type="dxa"/>
            <w:vAlign w:val="bottom"/>
          </w:tcPr>
          <w:p>
            <w:pPr>
              <w:ind w:left="20"/>
              <w:spacing w:after="0"/>
              <w:rPr>
                <w:sz w:val="20"/>
                <w:szCs w:val="20"/>
                <w:color w:val="auto"/>
              </w:rPr>
            </w:pPr>
            <w:r>
              <w:rPr>
                <w:rFonts w:ascii="Arial" w:cs="Arial" w:eastAsia="Arial" w:hAnsi="Arial"/>
                <w:sz w:val="16"/>
                <w:szCs w:val="16"/>
                <w:color w:val="auto"/>
              </w:rPr>
              <w:t>Income tax before discrete items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11,332</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7,309</w:t>
            </w:r>
          </w:p>
        </w:tc>
      </w:tr>
      <w:tr>
        <w:trPr>
          <w:trHeight w:val="21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Discrete tax expense: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40"/>
        </w:trPr>
        <w:tc>
          <w:tcPr>
            <w:tcW w:w="8620" w:type="dxa"/>
            <w:vAlign w:val="bottom"/>
          </w:tcPr>
          <w:p>
            <w:pPr>
              <w:ind w:left="20"/>
              <w:spacing w:after="0"/>
              <w:rPr>
                <w:sz w:val="20"/>
                <w:szCs w:val="20"/>
                <w:color w:val="auto"/>
              </w:rPr>
            </w:pPr>
            <w:r>
              <w:rPr>
                <w:rFonts w:ascii="Arial" w:cs="Arial" w:eastAsia="Arial" w:hAnsi="Arial"/>
                <w:sz w:val="16"/>
                <w:szCs w:val="16"/>
                <w:color w:val="auto"/>
              </w:rPr>
              <w:t>Exercise of U.S. stock options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(142)</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prior period tax liabilities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(1,443)</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40"/>
        </w:trPr>
        <w:tc>
          <w:tcPr>
            <w:tcW w:w="8620" w:type="dxa"/>
            <w:vAlign w:val="bottom"/>
          </w:tcPr>
          <w:p>
            <w:pPr>
              <w:ind w:left="20"/>
              <w:spacing w:after="0"/>
              <w:rPr>
                <w:sz w:val="20"/>
                <w:szCs w:val="20"/>
                <w:color w:val="auto"/>
              </w:rPr>
            </w:pPr>
            <w:r>
              <w:rPr>
                <w:rFonts w:ascii="Arial" w:cs="Arial" w:eastAsia="Arial" w:hAnsi="Arial"/>
                <w:sz w:val="16"/>
                <w:szCs w:val="16"/>
                <w:color w:val="auto"/>
              </w:rPr>
              <w:t>Provision for/resolution of tax audits and contingencies, net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278</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21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Out-of-period adjustments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w:t>
            </w:r>
          </w:p>
        </w:tc>
      </w:tr>
      <w:tr>
        <w:trPr>
          <w:trHeight w:val="240"/>
        </w:trPr>
        <w:tc>
          <w:tcPr>
            <w:tcW w:w="8620" w:type="dxa"/>
            <w:vAlign w:val="bottom"/>
          </w:tcPr>
          <w:p>
            <w:pPr>
              <w:ind w:left="20"/>
              <w:spacing w:after="0"/>
              <w:rPr>
                <w:sz w:val="20"/>
                <w:szCs w:val="20"/>
                <w:color w:val="auto"/>
              </w:rPr>
            </w:pPr>
            <w:r>
              <w:rPr>
                <w:rFonts w:ascii="Arial" w:cs="Arial" w:eastAsia="Arial" w:hAnsi="Arial"/>
                <w:sz w:val="16"/>
                <w:szCs w:val="16"/>
                <w:color w:val="auto"/>
              </w:rPr>
              <w:t>Tax effect of non-deductible foreign exchange loss on intercompany loan</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3,668</w:t>
            </w:r>
          </w:p>
        </w:tc>
      </w:tr>
      <w:tr>
        <w:trPr>
          <w:trHeight w:val="218"/>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34"/>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income tax expense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10,040</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12,454</w:t>
            </w:r>
          </w:p>
        </w:tc>
      </w:tr>
    </w:tbl>
    <w:p>
      <w:pPr>
        <w:spacing w:after="0" w:line="21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first-quarter estimated annual effective tax rate on continuing operations was 30.1 percent in 2021, compared to 36.5 percent for the same period in 2020.</w:t>
      </w:r>
    </w:p>
    <w:p>
      <w:pPr>
        <w:spacing w:after="0" w:line="9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Income tax expense for the quarter was computed in accordance with ASC 740-270, Income Taxes – Interim Reporting. Under this method, loss jurisdictions, which cannot recognize a tax benefit with regard to their generated losses, are excluded from the annual effective tax rate (AETR) calculation and their taxes will be recorded discretely in each quarter.</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tax rate is affected by recurring items such as the income tax rate in the U.S. and in non-U.S. jurisdictions and the mix of income earned in those jurisdictions, including changes in losses and income from excluded loss jurisdictions, and the impact of discrete items in the respective quarter. The decrease in the estimated Q1 2021 income tax rate was primarily driven by a decrease in losses in a foreign jurisdiction that were excluded in calculating the quarterly income tax provision.</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records the residual U.S. and foreign taxes on certain amounts of foreign earnings that have been targeted for repatriation to the U.S. These amounts are not considered to be indefinitely reinvested, and the Company accrued for the tax cost on these earnings to the extent they cannot be repatriated in a tax-free manner. The Company has targeted for repatriation $203 million of current year and prior year earnings of the Company’s foreign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operations. If these earnings were distributed, the Company would be subject to foreign withholding taxes of $3.4 million and state income taxes of $2.0 million, which have already been recorded.</w:t>
      </w:r>
    </w:p>
    <w:p>
      <w:pPr>
        <w:spacing w:after="0" w:line="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conducts business globally and, as a result, files income tax returns in the U.S. federal jurisdiction and various state and foreign jurisdictions. In the normal course of business the Company is subject to examination by taxing authorities throughout the world, including major jurisdictions such as the United States, Brazil, Canada, France, Germany, Italy, Mexico, and Switzerland. The open tax years in these jurisdictions range from 2015 to 2021. The Company is currently under audit in U.S and certain non-U.S. tax jurisdictions.</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first quarter of 2021, the Company recorded a net tax benefit of $1.4 million related to a U.S. adjustment of prior period liabilities and, additionally, the Company recorded an expense of $0.3 million related to the establishment of a foreign uncertain tax position. In the first quarter of 2020, the Company recorded a $1.8 million out-of-period charge related to developments in ongoing tax audits, which resulted in a corresponding decrease in deferred tax assets.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Earnings Per Share</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2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3040" w:type="dxa"/>
            <w:vAlign w:val="bottom"/>
            <w:tcBorders>
              <w:top w:val="single" w:sz="8" w:color="auto"/>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market price and earnings per share)</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2020</w:t>
            </w:r>
          </w:p>
        </w:tc>
      </w:tr>
      <w:tr>
        <w:trPr>
          <w:trHeight w:val="209"/>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Company</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27,582</w:t>
            </w:r>
          </w:p>
        </w:tc>
        <w:tc>
          <w:tcPr>
            <w:tcW w:w="440" w:type="dxa"/>
            <w:vAlign w:val="bottom"/>
            <w:tcBorders>
              <w:bottom w:val="single" w:sz="8" w:color="auto"/>
            </w:tcBorders>
            <w:shd w:val="clear" w:color="auto" w:fill="CCEEFF"/>
          </w:tcPr>
          <w:p>
            <w:pPr>
              <w:jc w:val="center"/>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9,109</w:t>
            </w:r>
          </w:p>
        </w:tc>
      </w:tr>
      <w:tr>
        <w:trPr>
          <w:trHeight w:val="237"/>
        </w:trPr>
        <w:tc>
          <w:tcPr>
            <w:tcW w:w="7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number of shares: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0"/>
        </w:trPr>
        <w:tc>
          <w:tcPr>
            <w:tcW w:w="7820" w:type="dxa"/>
            <w:vAlign w:val="bottom"/>
          </w:tcPr>
          <w:p>
            <w:pPr>
              <w:ind w:left="140"/>
              <w:spacing w:after="0"/>
              <w:rPr>
                <w:sz w:val="20"/>
                <w:szCs w:val="20"/>
                <w:color w:val="auto"/>
              </w:rPr>
            </w:pPr>
            <w:r>
              <w:rPr>
                <w:rFonts w:ascii="Arial" w:cs="Arial" w:eastAsia="Arial" w:hAnsi="Arial"/>
                <w:sz w:val="16"/>
                <w:szCs w:val="16"/>
                <w:color w:val="auto"/>
              </w:rPr>
              <w:t>Weighted average number of shares used in calculating basic net income per share</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32,352</w:t>
            </w:r>
          </w:p>
        </w:tc>
        <w:tc>
          <w:tcPr>
            <w:tcW w:w="4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32,312</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Effect of dilutive stock-based compensation plans: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5"/>
        </w:trPr>
        <w:tc>
          <w:tcPr>
            <w:tcW w:w="7820" w:type="dxa"/>
            <w:vAlign w:val="bottom"/>
          </w:tcPr>
          <w:p>
            <w:pPr>
              <w:ind w:left="140"/>
              <w:spacing w:after="0"/>
              <w:rPr>
                <w:sz w:val="20"/>
                <w:szCs w:val="20"/>
                <w:color w:val="auto"/>
              </w:rPr>
            </w:pPr>
            <w:r>
              <w:rPr>
                <w:rFonts w:ascii="Arial" w:cs="Arial" w:eastAsia="Arial" w:hAnsi="Arial"/>
                <w:sz w:val="16"/>
                <w:szCs w:val="16"/>
                <w:color w:val="auto"/>
              </w:rPr>
              <w:t>Stock options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41"/>
        </w:trPr>
        <w:tc>
          <w:tcPr>
            <w:tcW w:w="7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RSU shares</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w:t>
            </w:r>
          </w:p>
        </w:tc>
        <w:tc>
          <w:tcPr>
            <w:tcW w:w="4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7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5"/>
        </w:trPr>
        <w:tc>
          <w:tcPr>
            <w:tcW w:w="7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Weighted average number of shares used in calculating diluted net income per share</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32,401</w:t>
            </w:r>
          </w:p>
        </w:tc>
        <w:tc>
          <w:tcPr>
            <w:tcW w:w="4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32,320</w:t>
            </w:r>
          </w:p>
        </w:tc>
      </w:tr>
      <w:tr>
        <w:trPr>
          <w:trHeight w:val="237"/>
        </w:trPr>
        <w:tc>
          <w:tcPr>
            <w:tcW w:w="7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6"/>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Average market price of common stock used for calculation of dilutive shares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79.30</w:t>
            </w:r>
          </w:p>
        </w:tc>
        <w:tc>
          <w:tcPr>
            <w:tcW w:w="440" w:type="dxa"/>
            <w:vAlign w:val="bottom"/>
            <w:shd w:val="clear" w:color="auto" w:fill="CCEEFF"/>
          </w:tcPr>
          <w:p>
            <w:pPr>
              <w:jc w:val="center"/>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65.47</w:t>
            </w:r>
          </w:p>
        </w:tc>
      </w:tr>
      <w:tr>
        <w:trPr>
          <w:trHeight w:val="256"/>
        </w:trPr>
        <w:tc>
          <w:tcPr>
            <w:tcW w:w="7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the Company per share: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7820" w:type="dxa"/>
            <w:vAlign w:val="bottom"/>
          </w:tcPr>
          <w:p>
            <w:pPr>
              <w:ind w:left="140"/>
              <w:spacing w:after="0"/>
              <w:rPr>
                <w:sz w:val="20"/>
                <w:szCs w:val="20"/>
                <w:color w:val="auto"/>
              </w:rPr>
            </w:pPr>
            <w:r>
              <w:rPr>
                <w:rFonts w:ascii="Arial" w:cs="Arial" w:eastAsia="Arial" w:hAnsi="Arial"/>
                <w:sz w:val="16"/>
                <w:szCs w:val="16"/>
                <w:color w:val="auto"/>
              </w:rPr>
              <w:t>Basic</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0.85</w:t>
            </w:r>
          </w:p>
        </w:tc>
        <w:tc>
          <w:tcPr>
            <w:tcW w:w="440" w:type="dxa"/>
            <w:vAlign w:val="bottom"/>
          </w:tcPr>
          <w:p>
            <w:pPr>
              <w:jc w:val="center"/>
              <w:ind w:right="17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0.28</w:t>
            </w:r>
          </w:p>
        </w:tc>
      </w:tr>
      <w:tr>
        <w:trPr>
          <w:trHeight w:val="216"/>
        </w:trPr>
        <w:tc>
          <w:tcPr>
            <w:tcW w:w="7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0.85</w:t>
            </w:r>
          </w:p>
        </w:tc>
        <w:tc>
          <w:tcPr>
            <w:tcW w:w="440" w:type="dxa"/>
            <w:vAlign w:val="bottom"/>
            <w:tcBorders>
              <w:bottom w:val="single" w:sz="8" w:color="auto"/>
            </w:tcBorders>
            <w:shd w:val="clear" w:color="auto" w:fill="CCEEFF"/>
          </w:tcPr>
          <w:p>
            <w:pPr>
              <w:jc w:val="center"/>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0.28</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Accumulated Other Comprehensive Income (AOCI)</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changes in the components of AOCI for the period December 31, 2020 to March 31,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71151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103"/>
              <w:spacing w:after="0"/>
              <w:rPr>
                <w:sz w:val="20"/>
                <w:szCs w:val="20"/>
                <w:color w:val="auto"/>
              </w:rPr>
            </w:pPr>
            <w:r>
              <w:rPr>
                <w:rFonts w:ascii="Arial" w:cs="Arial" w:eastAsia="Arial" w:hAnsi="Arial"/>
                <w:sz w:val="14"/>
                <w:szCs w:val="14"/>
                <w:b w:val="1"/>
                <w:bCs w:val="1"/>
                <w:color w:val="auto"/>
              </w:rPr>
              <w:t>Pension and</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103"/>
              <w:spacing w:after="0"/>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4"/>
                <w:szCs w:val="14"/>
                <w:color w:val="auto"/>
              </w:rPr>
            </w:pPr>
          </w:p>
        </w:tc>
        <w:tc>
          <w:tcPr>
            <w:tcW w:w="1280" w:type="dxa"/>
            <w:vAlign w:val="bottom"/>
          </w:tcPr>
          <w:p>
            <w:pPr>
              <w:jc w:val="center"/>
              <w:ind w:right="162"/>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4"/>
                <w:szCs w:val="14"/>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Total Other</w:t>
            </w:r>
          </w:p>
        </w:tc>
      </w:t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01"/>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4"/>
                <w:szCs w:val="14"/>
                <w:color w:val="auto"/>
              </w:rPr>
            </w:pPr>
          </w:p>
        </w:tc>
        <w:tc>
          <w:tcPr>
            <w:tcW w:w="1320" w:type="dxa"/>
            <w:vAlign w:val="bottom"/>
          </w:tcPr>
          <w:p>
            <w:pPr>
              <w:jc w:val="center"/>
              <w:ind w:right="103"/>
              <w:spacing w:after="0"/>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4"/>
                <w:szCs w:val="14"/>
                <w:color w:val="auto"/>
              </w:rPr>
            </w:pPr>
          </w:p>
        </w:tc>
        <w:tc>
          <w:tcPr>
            <w:tcW w:w="1280" w:type="dxa"/>
            <w:vAlign w:val="bottom"/>
          </w:tcPr>
          <w:p>
            <w:pPr>
              <w:jc w:val="center"/>
              <w:ind w:right="162"/>
              <w:spacing w:after="0"/>
              <w:rPr>
                <w:sz w:val="20"/>
                <w:szCs w:val="20"/>
                <w:color w:val="auto"/>
              </w:rPr>
            </w:pPr>
            <w:r>
              <w:rPr>
                <w:rFonts w:ascii="Arial" w:cs="Arial" w:eastAsia="Arial" w:hAnsi="Arial"/>
                <w:sz w:val="14"/>
                <w:szCs w:val="14"/>
                <w:b w:val="1"/>
                <w:bCs w:val="1"/>
                <w:color w:val="auto"/>
              </w:rPr>
              <w:t>valuation</w:t>
            </w:r>
          </w:p>
        </w:tc>
        <w:tc>
          <w:tcPr>
            <w:tcW w:w="160" w:type="dxa"/>
            <w:vAlign w:val="bottom"/>
          </w:tcPr>
          <w:p>
            <w:pPr>
              <w:spacing w:after="0"/>
              <w:rPr>
                <w:sz w:val="14"/>
                <w:szCs w:val="14"/>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Comprehensive</w:t>
            </w:r>
          </w:p>
        </w:tc>
      </w:tr>
      <w:tr>
        <w:trPr>
          <w:trHeight w:val="196"/>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adjustment</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Income</w:t>
            </w:r>
          </w:p>
        </w:tc>
      </w:tr>
      <w:tr>
        <w:trPr>
          <w:trHeight w:val="215"/>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(83,203)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(39,661)</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(9,544)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(132,408)</w:t>
            </w:r>
          </w:p>
        </w:tc>
      </w:tr>
      <w:tr>
        <w:trPr>
          <w:trHeight w:val="234"/>
        </w:trPr>
        <w:tc>
          <w:tcPr>
            <w:tcW w:w="5100" w:type="dxa"/>
            <w:vAlign w:val="bottom"/>
          </w:tcPr>
          <w:p>
            <w:pPr>
              <w:ind w:left="20"/>
              <w:spacing w:after="0"/>
              <w:rPr>
                <w:sz w:val="20"/>
                <w:szCs w:val="20"/>
                <w:color w:val="auto"/>
              </w:rPr>
            </w:pPr>
            <w:r>
              <w:rPr>
                <w:rFonts w:ascii="Arial" w:cs="Arial" w:eastAsia="Arial" w:hAnsi="Arial"/>
                <w:sz w:val="16"/>
                <w:szCs w:val="16"/>
                <w:color w:val="auto"/>
              </w:rPr>
              <w:t>Other comprehensive income/(loss) before reclassifications, net of tax</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(15,955)</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516</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(343)</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(15,782)</w:t>
            </w:r>
          </w:p>
        </w:tc>
      </w:tr>
      <w:tr>
        <w:trPr>
          <w:trHeight w:val="180"/>
        </w:trPr>
        <w:tc>
          <w:tcPr>
            <w:tcW w:w="51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Interest expense related to swaps reclassified to the Consolidated</w:t>
            </w: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01"/>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Statements of Income, net of tax</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1,095</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1,095</w:t>
            </w:r>
          </w:p>
        </w:tc>
      </w:tr>
      <w:tr>
        <w:trPr>
          <w:trHeight w:val="218"/>
        </w:trPr>
        <w:tc>
          <w:tcPr>
            <w:tcW w:w="5100" w:type="dxa"/>
            <w:vAlign w:val="bottom"/>
          </w:tcPr>
          <w:p>
            <w:pPr>
              <w:ind w:left="20"/>
              <w:spacing w:after="0"/>
              <w:rPr>
                <w:sz w:val="20"/>
                <w:szCs w:val="20"/>
                <w:color w:val="auto"/>
              </w:rPr>
            </w:pPr>
            <w:r>
              <w:rPr>
                <w:rFonts w:ascii="Arial" w:cs="Arial" w:eastAsia="Arial" w:hAnsi="Arial"/>
                <w:sz w:val="16"/>
                <w:szCs w:val="16"/>
                <w:color w:val="auto"/>
              </w:rPr>
              <w:t>Pension and postretirement liability adjustments reclassified to</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1"/>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Statements of Income, net of tax</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09"/>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(15,955)</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752</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(14,694)</w:t>
            </w:r>
          </w:p>
        </w:tc>
      </w:tr>
      <w:tr>
        <w:trPr>
          <w:trHeight w:val="212"/>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March 31, 2021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(99,158)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(39,152)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(8,792)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(147,102)</w:t>
            </w:r>
          </w:p>
        </w:tc>
      </w:tr>
    </w:tbl>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changes in the components of AOCI for the period December 31, 2019 to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151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103"/>
              <w:spacing w:after="0"/>
              <w:rPr>
                <w:sz w:val="20"/>
                <w:szCs w:val="20"/>
                <w:color w:val="auto"/>
              </w:rPr>
            </w:pPr>
            <w:r>
              <w:rPr>
                <w:rFonts w:ascii="Arial" w:cs="Arial" w:eastAsia="Arial" w:hAnsi="Arial"/>
                <w:sz w:val="14"/>
                <w:szCs w:val="14"/>
                <w:b w:val="1"/>
                <w:bCs w:val="1"/>
                <w:color w:val="auto"/>
              </w:rPr>
              <w:t>Pension and</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103"/>
              <w:spacing w:after="0"/>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4"/>
                <w:szCs w:val="14"/>
                <w:color w:val="auto"/>
              </w:rPr>
            </w:pPr>
          </w:p>
        </w:tc>
        <w:tc>
          <w:tcPr>
            <w:tcW w:w="1280" w:type="dxa"/>
            <w:vAlign w:val="bottom"/>
          </w:tcPr>
          <w:p>
            <w:pPr>
              <w:jc w:val="center"/>
              <w:ind w:right="162"/>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4"/>
                <w:szCs w:val="14"/>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Total Other</w:t>
            </w:r>
          </w:p>
        </w:tc>
      </w:t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01"/>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4"/>
                <w:szCs w:val="14"/>
                <w:color w:val="auto"/>
              </w:rPr>
            </w:pPr>
          </w:p>
        </w:tc>
        <w:tc>
          <w:tcPr>
            <w:tcW w:w="1320" w:type="dxa"/>
            <w:vAlign w:val="bottom"/>
          </w:tcPr>
          <w:p>
            <w:pPr>
              <w:jc w:val="center"/>
              <w:ind w:right="103"/>
              <w:spacing w:after="0"/>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4"/>
                <w:szCs w:val="14"/>
                <w:color w:val="auto"/>
              </w:rPr>
            </w:pPr>
          </w:p>
        </w:tc>
        <w:tc>
          <w:tcPr>
            <w:tcW w:w="1280" w:type="dxa"/>
            <w:vAlign w:val="bottom"/>
          </w:tcPr>
          <w:p>
            <w:pPr>
              <w:jc w:val="center"/>
              <w:ind w:right="162"/>
              <w:spacing w:after="0"/>
              <w:rPr>
                <w:sz w:val="20"/>
                <w:szCs w:val="20"/>
                <w:color w:val="auto"/>
              </w:rPr>
            </w:pPr>
            <w:r>
              <w:rPr>
                <w:rFonts w:ascii="Arial" w:cs="Arial" w:eastAsia="Arial" w:hAnsi="Arial"/>
                <w:sz w:val="14"/>
                <w:szCs w:val="14"/>
                <w:b w:val="1"/>
                <w:bCs w:val="1"/>
                <w:color w:val="auto"/>
              </w:rPr>
              <w:t>valuation</w:t>
            </w:r>
          </w:p>
        </w:tc>
        <w:tc>
          <w:tcPr>
            <w:tcW w:w="160" w:type="dxa"/>
            <w:vAlign w:val="bottom"/>
          </w:tcPr>
          <w:p>
            <w:pPr>
              <w:spacing w:after="0"/>
              <w:rPr>
                <w:sz w:val="14"/>
                <w:szCs w:val="14"/>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Comprehensive</w:t>
            </w:r>
          </w:p>
        </w:tc>
      </w:tr>
      <w:tr>
        <w:trPr>
          <w:trHeight w:val="202"/>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adjustment</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Income</w:t>
            </w:r>
          </w:p>
        </w:tc>
      </w:tr>
      <w:tr>
        <w:trPr>
          <w:trHeight w:val="209"/>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2019</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(122,852)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(49,994)</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(3,135)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(175,981)</w:t>
            </w:r>
          </w:p>
        </w:tc>
      </w:tr>
      <w:tr>
        <w:trPr>
          <w:trHeight w:val="207"/>
        </w:trPr>
        <w:tc>
          <w:tcPr>
            <w:tcW w:w="5100" w:type="dxa"/>
            <w:vAlign w:val="bottom"/>
          </w:tcPr>
          <w:p>
            <w:pPr>
              <w:ind w:left="20"/>
              <w:spacing w:after="0"/>
              <w:rPr>
                <w:sz w:val="20"/>
                <w:szCs w:val="20"/>
                <w:color w:val="auto"/>
              </w:rPr>
            </w:pPr>
            <w:r>
              <w:rPr>
                <w:rFonts w:ascii="Arial" w:cs="Arial" w:eastAsia="Arial" w:hAnsi="Arial"/>
                <w:sz w:val="16"/>
                <w:szCs w:val="16"/>
                <w:color w:val="auto"/>
              </w:rPr>
              <w:t>Other comprehensive income/(loss) before reclassifications, net of tax</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(25,747)</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792</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(8,011)</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(32,966)</w:t>
            </w:r>
          </w:p>
        </w:tc>
      </w:tr>
      <w:tr>
        <w:trPr>
          <w:trHeight w:val="180"/>
        </w:trPr>
        <w:tc>
          <w:tcPr>
            <w:tcW w:w="51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Interest expense related to swaps reclassified to the Consolidated</w:t>
            </w: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01"/>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Statements of Income, net of tax</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303</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303</w:t>
            </w:r>
          </w:p>
        </w:tc>
      </w:tr>
      <w:tr>
        <w:trPr>
          <w:trHeight w:val="177"/>
        </w:trPr>
        <w:tc>
          <w:tcPr>
            <w:tcW w:w="5100" w:type="dxa"/>
            <w:vAlign w:val="bottom"/>
          </w:tcPr>
          <w:p>
            <w:pPr>
              <w:ind w:left="20"/>
              <w:spacing w:after="0" w:line="178" w:lineRule="exact"/>
              <w:rPr>
                <w:sz w:val="20"/>
                <w:szCs w:val="20"/>
                <w:color w:val="auto"/>
              </w:rPr>
            </w:pPr>
            <w:r>
              <w:rPr>
                <w:rFonts w:ascii="Arial" w:cs="Arial" w:eastAsia="Arial" w:hAnsi="Arial"/>
                <w:sz w:val="16"/>
                <w:szCs w:val="16"/>
                <w:color w:val="auto"/>
              </w:rPr>
              <w:t>Pension and postretirement liability adjustments reclassified to</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98"/>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Statements of Income, net of tax</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98</w:t>
            </w:r>
          </w:p>
        </w:tc>
      </w:tr>
      <w:tr>
        <w:trPr>
          <w:trHeight w:val="209"/>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(25,747)</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(7,708)</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(32,565)</w:t>
            </w:r>
          </w:p>
        </w:tc>
      </w:tr>
      <w:tr>
        <w:trPr>
          <w:trHeight w:val="212"/>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March 31, 2020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(148,599)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(49,104)</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(10,843)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(208,546)</w:t>
            </w:r>
          </w:p>
        </w:tc>
      </w:tr>
    </w:tbl>
    <w:p>
      <w:pPr>
        <w:spacing w:after="0" w:line="10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components of our Accumulated Other Comprehensive Income that are reclassified to the Statement of Income relate to our pension and postretirement plans and interest rate swaps.</w:t>
      </w: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table below presents the expense/(income) amounts reclassified from AOCI, and the line items of the Statement of Income that were affected for the three months ended March 31, 2021 and 2020:</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440" w:type="dxa"/>
            <w:vAlign w:val="bottom"/>
            <w:tcBorders>
              <w:top w:val="single" w:sz="8" w:color="auto"/>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r>
      <w:tr>
        <w:trPr>
          <w:trHeight w:val="210"/>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Pretax Derivative valuation reclassified from Accumulated Other Comprehensive Income: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0"/>
        </w:trPr>
        <w:tc>
          <w:tcPr>
            <w:tcW w:w="8620" w:type="dxa"/>
            <w:vAlign w:val="bottom"/>
          </w:tcPr>
          <w:p>
            <w:pPr>
              <w:ind w:left="140"/>
              <w:spacing w:after="0"/>
              <w:rPr>
                <w:sz w:val="20"/>
                <w:szCs w:val="20"/>
                <w:color w:val="auto"/>
              </w:rPr>
            </w:pPr>
            <w:r>
              <w:rPr>
                <w:rFonts w:ascii="Arial" w:cs="Arial" w:eastAsia="Arial" w:hAnsi="Arial"/>
                <w:sz w:val="16"/>
                <w:szCs w:val="16"/>
                <w:color w:val="auto"/>
              </w:rPr>
              <w:t>Expense/(income) related to interest rate swaps included in Income before taxes (a)</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1,476</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407</w:t>
            </w:r>
          </w:p>
        </w:tc>
      </w:tr>
      <w:tr>
        <w:trPr>
          <w:trHeight w:val="218"/>
        </w:trPr>
        <w:tc>
          <w:tcPr>
            <w:tcW w:w="86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Income tax effect</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(381)</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34"/>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on net income due to items reclassified from Accumulated Other 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1,095</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r>
      <w:tr>
        <w:trPr>
          <w:trHeight w:val="240"/>
        </w:trPr>
        <w:tc>
          <w:tcPr>
            <w:tcW w:w="8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3"/>
        </w:trPr>
        <w:tc>
          <w:tcPr>
            <w:tcW w:w="8620" w:type="dxa"/>
            <w:vAlign w:val="bottom"/>
          </w:tcPr>
          <w:p>
            <w:pPr>
              <w:ind w:left="20"/>
              <w:spacing w:after="0"/>
              <w:rPr>
                <w:sz w:val="20"/>
                <w:szCs w:val="20"/>
                <w:color w:val="auto"/>
              </w:rPr>
            </w:pPr>
            <w:r>
              <w:rPr>
                <w:rFonts w:ascii="Arial" w:cs="Arial" w:eastAsia="Arial" w:hAnsi="Arial"/>
                <w:sz w:val="16"/>
                <w:szCs w:val="16"/>
                <w:b w:val="1"/>
                <w:bCs w:val="1"/>
                <w:color w:val="auto"/>
              </w:rPr>
              <w:t>Pretax pension and postretirement liabilities reclassified from Accumulated Other Comprehensive Income:</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6"/>
        </w:trPr>
        <w:tc>
          <w:tcPr>
            <w:tcW w:w="8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prior service credit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(1,119)</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w:t>
            </w:r>
          </w:p>
        </w:tc>
      </w:tr>
      <w:tr>
        <w:trPr>
          <w:trHeight w:val="240"/>
        </w:trPr>
        <w:tc>
          <w:tcPr>
            <w:tcW w:w="86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Amortization of net actuarial loss</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1,109</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w:t>
            </w:r>
          </w:p>
        </w:tc>
      </w:tr>
      <w:tr>
        <w:trPr>
          <w:trHeight w:val="213"/>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pretax amount reclassified (b)</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40"/>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effect</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12"/>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on net income due to items reclassified from Accumulated Other 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hanging="652"/>
        <w:spacing w:after="0" w:line="246"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Interest expense, net are payments related to the interest rate swap agreements and amortization of swap buyouts (see Notes 14 and 15).</w:t>
      </w:r>
    </w:p>
    <w:p>
      <w:pPr>
        <w:ind w:left="660" w:hanging="652"/>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These accumulated other comprehensive income components are included in the computation of net periodic pension cost (see Note 3).</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Noncontrolling Interest</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Effective October 31, 2013, Safran S.A. (Safran) acquired a 10 percent equity interest in a new Albany subsidiary, Albany Safran Composites, LLC (ASC). The table below presents a reconciliation of income attributable to the noncontrolling interest and noncontrolling equity in the Company’s subsidiary Albany Safran Composites,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5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r>
      <w:tr>
        <w:trPr>
          <w:trHeight w:val="20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income/(loss) of Albany Safran Composites (ASC)</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585</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(14,849)</w:t>
            </w:r>
          </w:p>
        </w:tc>
      </w:tr>
      <w:tr>
        <w:trPr>
          <w:trHeight w:val="21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Return attributable to the Company's preferred holding</w:t>
            </w:r>
          </w:p>
        </w:tc>
        <w:tc>
          <w:tcPr>
            <w:tcW w:w="1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318</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302</w:t>
            </w: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/income/(loss) of ASC available for common ownership</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267</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(15,151)</w:t>
            </w:r>
          </w:p>
        </w:tc>
      </w:tr>
      <w:tr>
        <w:trPr>
          <w:trHeight w:val="21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Ownership percentage of noncontrolling shareholder</w:t>
            </w:r>
          </w:p>
        </w:tc>
        <w:tc>
          <w:tcPr>
            <w:tcW w:w="1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10 %</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r>
      <w:tr>
        <w:trPr>
          <w:trHeight w:val="209"/>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/income/(loss) attributable to the noncontrolling interest</w:t>
            </w:r>
          </w:p>
        </w:tc>
        <w:tc>
          <w:tcPr>
            <w:tcW w:w="15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27</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(1,515)</w:t>
            </w:r>
          </w:p>
        </w:tc>
      </w:tr>
      <w:tr>
        <w:trPr>
          <w:trHeight w:val="237"/>
        </w:trPr>
        <w:tc>
          <w:tcPr>
            <w:tcW w:w="7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 beginning of year</w:t>
            </w: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3,799</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4,006</w:t>
            </w:r>
          </w:p>
        </w:tc>
      </w:tr>
      <w:tr>
        <w:trPr>
          <w:trHeight w:val="215"/>
        </w:trPr>
        <w:tc>
          <w:tcPr>
            <w:tcW w:w="7140" w:type="dxa"/>
            <w:vAlign w:val="bottom"/>
          </w:tcPr>
          <w:p>
            <w:pPr>
              <w:ind w:left="20"/>
              <w:spacing w:after="0"/>
              <w:rPr>
                <w:sz w:val="20"/>
                <w:szCs w:val="20"/>
                <w:color w:val="auto"/>
              </w:rPr>
            </w:pPr>
            <w:r>
              <w:rPr>
                <w:rFonts w:ascii="Arial" w:cs="Arial" w:eastAsia="Arial" w:hAnsi="Arial"/>
                <w:sz w:val="16"/>
                <w:szCs w:val="16"/>
                <w:color w:val="auto"/>
              </w:rPr>
              <w:t>Net income/(loss) attributable to noncontrolling interest</w:t>
            </w:r>
          </w:p>
        </w:tc>
        <w:tc>
          <w:tcPr>
            <w:tcW w:w="156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Arial" w:cs="Arial" w:eastAsia="Arial" w:hAnsi="Arial"/>
                <w:sz w:val="16"/>
                <w:szCs w:val="16"/>
                <w:b w:val="1"/>
                <w:bCs w:val="1"/>
                <w:color w:val="auto"/>
              </w:rPr>
              <w:t>27</w:t>
            </w:r>
          </w:p>
        </w:tc>
        <w:tc>
          <w:tcPr>
            <w:tcW w:w="340" w:type="dxa"/>
            <w:vAlign w:val="bottom"/>
          </w:tcPr>
          <w:p>
            <w:pPr>
              <w:spacing w:after="0"/>
              <w:rPr>
                <w:sz w:val="18"/>
                <w:szCs w:val="18"/>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(1,515)</w:t>
            </w:r>
          </w:p>
        </w:tc>
      </w:tr>
      <w:tr>
        <w:trPr>
          <w:trHeight w:val="216"/>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Changes in other comprehensive income attributable to the noncontrolling interest</w:t>
            </w:r>
          </w:p>
        </w:tc>
        <w:tc>
          <w:tcPr>
            <w:tcW w:w="1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(210)</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109</w:t>
            </w:r>
          </w:p>
        </w:tc>
      </w:tr>
      <w:tr>
        <w:trPr>
          <w:trHeight w:val="209"/>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Noncontrolling interest, end of interim period</w:t>
            </w:r>
          </w:p>
        </w:tc>
        <w:tc>
          <w:tcPr>
            <w:tcW w:w="1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3,616</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2,600</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Accounts Receivable</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Accounts receivable includes trade receivables. In connection with certain sales in Asia, the Company accepts a bank promissory note as customer payment. The notes may be presented for payment at maturity, which is less than one year. As of March 31, 2021 and December 31, 2020, Accounts receivable consisted of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March 31,</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5640" w:type="dxa"/>
            <w:vAlign w:val="bottom"/>
            <w:tcBorders>
              <w:bottom w:val="single" w:sz="8" w:color="auto"/>
            </w:tcBorders>
            <w:vMerge w:val="continue"/>
          </w:tcPr>
          <w:p>
            <w:pPr>
              <w:spacing w:after="0"/>
              <w:rPr>
                <w:sz w:val="15"/>
                <w:szCs w:val="15"/>
                <w:color w:val="auto"/>
              </w:rPr>
            </w:pPr>
          </w:p>
        </w:tc>
        <w:tc>
          <w:tcPr>
            <w:tcW w:w="3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and other accounts receivable</w:t>
            </w:r>
          </w:p>
        </w:tc>
        <w:tc>
          <w:tcPr>
            <w:tcW w:w="32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165,005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167,370</w:t>
            </w:r>
          </w:p>
        </w:tc>
        <w:tc>
          <w:tcPr>
            <w:tcW w:w="0" w:type="dxa"/>
            <w:vAlign w:val="bottom"/>
          </w:tcPr>
          <w:p>
            <w:pPr>
              <w:spacing w:after="0"/>
              <w:rPr>
                <w:sz w:val="1"/>
                <w:szCs w:val="1"/>
                <w:color w:val="auto"/>
              </w:rPr>
            </w:pPr>
          </w:p>
        </w:tc>
      </w:tr>
      <w:tr>
        <w:trPr>
          <w:trHeight w:val="240"/>
        </w:trPr>
        <w:tc>
          <w:tcPr>
            <w:tcW w:w="5640" w:type="dxa"/>
            <w:vAlign w:val="bottom"/>
          </w:tcPr>
          <w:p>
            <w:pPr>
              <w:ind w:left="20"/>
              <w:spacing w:after="0"/>
              <w:rPr>
                <w:sz w:val="20"/>
                <w:szCs w:val="20"/>
                <w:color w:val="auto"/>
              </w:rPr>
            </w:pPr>
            <w:r>
              <w:rPr>
                <w:rFonts w:ascii="Arial" w:cs="Arial" w:eastAsia="Arial" w:hAnsi="Arial"/>
                <w:sz w:val="16"/>
                <w:szCs w:val="16"/>
                <w:color w:val="auto"/>
              </w:rPr>
              <w:t>Bank promissory notes</w:t>
            </w:r>
          </w:p>
        </w:tc>
        <w:tc>
          <w:tcPr>
            <w:tcW w:w="3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26,837</w:t>
            </w:r>
          </w:p>
        </w:tc>
        <w:tc>
          <w:tcPr>
            <w:tcW w:w="16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24,860</w:t>
            </w:r>
          </w:p>
        </w:tc>
        <w:tc>
          <w:tcPr>
            <w:tcW w:w="0" w:type="dxa"/>
            <w:vAlign w:val="bottom"/>
          </w:tcPr>
          <w:p>
            <w:pPr>
              <w:spacing w:after="0"/>
              <w:rPr>
                <w:sz w:val="1"/>
                <w:szCs w:val="1"/>
                <w:color w:val="auto"/>
              </w:rPr>
            </w:pPr>
          </w:p>
        </w:tc>
      </w:tr>
      <w:tr>
        <w:trPr>
          <w:trHeight w:val="218"/>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Allowance for expected credit losses</w:t>
            </w:r>
          </w:p>
        </w:tc>
        <w:tc>
          <w:tcPr>
            <w:tcW w:w="3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(3,776)</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(3,807)</w:t>
            </w:r>
          </w:p>
        </w:tc>
        <w:tc>
          <w:tcPr>
            <w:tcW w:w="0" w:type="dxa"/>
            <w:vAlign w:val="bottom"/>
          </w:tcPr>
          <w:p>
            <w:pPr>
              <w:spacing w:after="0"/>
              <w:rPr>
                <w:sz w:val="1"/>
                <w:szCs w:val="1"/>
                <w:color w:val="auto"/>
              </w:rPr>
            </w:pPr>
          </w:p>
        </w:tc>
      </w:tr>
      <w:tr>
        <w:trPr>
          <w:trHeight w:val="234"/>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Accounts receivable, net</w:t>
            </w:r>
          </w:p>
        </w:tc>
        <w:tc>
          <w:tcPr>
            <w:tcW w:w="3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188,066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188,423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has Noncurrent receivables in the AEC segment that represent revenue earned, which has extended payment terms. The Noncurrent receivables will be invoiced to the customer over a 10-year period, which began in 2020. As of March 31, 2021 and December 31, 2020, Noncurrent receivables consisted of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March 31,</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5640" w:type="dxa"/>
            <w:vAlign w:val="bottom"/>
            <w:tcBorders>
              <w:bottom w:val="single" w:sz="8" w:color="auto"/>
            </w:tcBorders>
            <w:vMerge w:val="continue"/>
          </w:tcPr>
          <w:p>
            <w:pPr>
              <w:spacing w:after="0"/>
              <w:rPr>
                <w:sz w:val="15"/>
                <w:szCs w:val="15"/>
                <w:color w:val="auto"/>
              </w:rPr>
            </w:pPr>
          </w:p>
        </w:tc>
        <w:tc>
          <w:tcPr>
            <w:tcW w:w="3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receivables</w:t>
            </w:r>
          </w:p>
        </w:tc>
        <w:tc>
          <w:tcPr>
            <w:tcW w:w="32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35,209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36,539</w:t>
            </w:r>
          </w:p>
        </w:tc>
        <w:tc>
          <w:tcPr>
            <w:tcW w:w="0" w:type="dxa"/>
            <w:vAlign w:val="bottom"/>
          </w:tcPr>
          <w:p>
            <w:pPr>
              <w:spacing w:after="0"/>
              <w:rPr>
                <w:sz w:val="1"/>
                <w:szCs w:val="1"/>
                <w:color w:val="auto"/>
              </w:rPr>
            </w:pPr>
          </w:p>
        </w:tc>
      </w:tr>
      <w:tr>
        <w:trPr>
          <w:trHeight w:val="240"/>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expected credit losses</w:t>
            </w:r>
          </w:p>
        </w:tc>
        <w:tc>
          <w:tcPr>
            <w:tcW w:w="3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(264)</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2"/>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Noncurrent receivables, net</w:t>
            </w:r>
          </w:p>
        </w:tc>
        <w:tc>
          <w:tcPr>
            <w:tcW w:w="3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34,945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36,265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Contract Assets and Liabilities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Contract assets includes unbilled amounts typically resulting from sales under contracts when the cost-to-cost method of revenue recognition is utilized, and revenue recognized exceeds the amount billed to the customer. Contract assets are transferred to Accounts receivable, net when the entitlement to pay becomes unconditional. Contract liabilities include advance payments and billings in excess of revenue recognized. Contract liabilities are included in Accrued liabilities in the Consolidated Balance Sheets.</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15" w:name="page16"/>
    <w:bookmarkEnd w:id="1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Contract assets and Contract liabilities are reported on the Consolidated Balance Sheets in a net position on a contract-by-contract basis at the end of each reporting period.</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and December 31, 2020, Contract assets and Contract liabilities consisted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March 31,</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5640" w:type="dxa"/>
            <w:vAlign w:val="bottom"/>
            <w:tcBorders>
              <w:bottom w:val="single" w:sz="8" w:color="auto"/>
            </w:tcBorders>
            <w:vMerge w:val="continue"/>
          </w:tcPr>
          <w:p>
            <w:pPr>
              <w:spacing w:after="0"/>
              <w:rPr>
                <w:sz w:val="15"/>
                <w:szCs w:val="15"/>
                <w:color w:val="auto"/>
              </w:rPr>
            </w:pPr>
          </w:p>
        </w:tc>
        <w:tc>
          <w:tcPr>
            <w:tcW w:w="3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32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122,688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140,348</w:t>
            </w:r>
          </w:p>
        </w:tc>
        <w:tc>
          <w:tcPr>
            <w:tcW w:w="0" w:type="dxa"/>
            <w:vAlign w:val="bottom"/>
          </w:tcPr>
          <w:p>
            <w:pPr>
              <w:spacing w:after="0"/>
              <w:rPr>
                <w:sz w:val="1"/>
                <w:szCs w:val="1"/>
                <w:color w:val="auto"/>
              </w:rPr>
            </w:pPr>
          </w:p>
        </w:tc>
      </w:tr>
      <w:tr>
        <w:trPr>
          <w:trHeight w:val="240"/>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expected credit losses</w:t>
            </w:r>
          </w:p>
        </w:tc>
        <w:tc>
          <w:tcPr>
            <w:tcW w:w="3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(921)</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w:t>
            </w:r>
          </w:p>
        </w:tc>
        <w:tc>
          <w:tcPr>
            <w:tcW w:w="0" w:type="dxa"/>
            <w:vAlign w:val="bottom"/>
          </w:tcPr>
          <w:p>
            <w:pPr>
              <w:spacing w:after="0"/>
              <w:rPr>
                <w:sz w:val="1"/>
                <w:szCs w:val="1"/>
                <w:color w:val="auto"/>
              </w:rPr>
            </w:pPr>
          </w:p>
        </w:tc>
      </w:tr>
      <w:tr>
        <w:trPr>
          <w:trHeight w:val="212"/>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Contract assets, net</w:t>
            </w:r>
          </w:p>
        </w:tc>
        <w:tc>
          <w:tcPr>
            <w:tcW w:w="3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121,767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139,289</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Contract liabilities</w:t>
            </w:r>
          </w:p>
        </w:tc>
        <w:tc>
          <w:tcPr>
            <w:tcW w:w="3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7,899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8,206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Contract assets decreased $17.5 million during the three-month period ended March 31, 2021. The decrease was primarily due to invoicing to customers exceeding revenue recognized for satisfied performance obligations for contracts that were in a contract asset position. There were no impairment losses related to our Contract assets during the three month periods ended March 31, 2021 and March 31, 2020.</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Contract liabilities decreased $0.3 million during the three-month period ended March 31, 2021, primarily due to revenue recognized from satisfied performance obligations exceeding amounts invoiced to customers that were in a contract liability position. Revenue recognized for the three-month periods ended March 31, 2021 and 2020 that was included in the Contract liability balance at the beginning of the year was $4.3 million and $1.9 million, respectively.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Inventories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Costs included in inventories are raw materials, labor, supplies and allocable depreciation and overhead. Raw material inventories are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If actual demand or market conditions are less favorable than those projected by the Company, additional inventory write-downs may be required. Once established, the original cost of the inventory less the related write-down represents the new cost basis of such inventories.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and December 31, 2020, Inventories consisted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8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4920" w:type="dxa"/>
            <w:vAlign w:val="bottom"/>
            <w:tcBorders>
              <w:bottom w:val="single" w:sz="8" w:color="auto"/>
            </w:tcBorders>
            <w:vMerge w:val="continue"/>
          </w:tcPr>
          <w:p>
            <w:pPr>
              <w:spacing w:after="0"/>
              <w:rPr>
                <w:sz w:val="15"/>
                <w:szCs w:val="15"/>
                <w:color w:val="auto"/>
              </w:rPr>
            </w:pPr>
          </w:p>
        </w:tc>
        <w:tc>
          <w:tcPr>
            <w:tcW w:w="38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3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60,391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57,789</w:t>
            </w:r>
          </w:p>
        </w:tc>
        <w:tc>
          <w:tcPr>
            <w:tcW w:w="0" w:type="dxa"/>
            <w:vAlign w:val="bottom"/>
          </w:tcPr>
          <w:p>
            <w:pPr>
              <w:spacing w:after="0"/>
              <w:rPr>
                <w:sz w:val="1"/>
                <w:szCs w:val="1"/>
                <w:color w:val="auto"/>
              </w:rPr>
            </w:pPr>
          </w:p>
        </w:tc>
      </w:tr>
      <w:tr>
        <w:trPr>
          <w:trHeight w:val="240"/>
        </w:trPr>
        <w:tc>
          <w:tcPr>
            <w:tcW w:w="492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38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41,593</w:t>
            </w:r>
          </w:p>
        </w:tc>
        <w:tc>
          <w:tcPr>
            <w:tcW w:w="18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40,416</w:t>
            </w:r>
          </w:p>
        </w:tc>
        <w:tc>
          <w:tcPr>
            <w:tcW w:w="0" w:type="dxa"/>
            <w:vAlign w:val="bottom"/>
          </w:tcPr>
          <w:p>
            <w:pPr>
              <w:spacing w:after="0"/>
              <w:rPr>
                <w:sz w:val="1"/>
                <w:szCs w:val="1"/>
                <w:color w:val="auto"/>
              </w:rPr>
            </w:pPr>
          </w:p>
        </w:tc>
      </w:tr>
      <w:tr>
        <w:trPr>
          <w:trHeight w:val="218"/>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38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15,038</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12,273</w:t>
            </w:r>
          </w:p>
        </w:tc>
        <w:tc>
          <w:tcPr>
            <w:tcW w:w="0" w:type="dxa"/>
            <w:vAlign w:val="bottom"/>
          </w:tcPr>
          <w:p>
            <w:pPr>
              <w:spacing w:after="0"/>
              <w:rPr>
                <w:sz w:val="1"/>
                <w:szCs w:val="1"/>
                <w:color w:val="auto"/>
              </w:rPr>
            </w:pPr>
          </w:p>
        </w:tc>
      </w:tr>
      <w:tr>
        <w:trPr>
          <w:trHeight w:val="234"/>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inventories</w:t>
            </w:r>
          </w:p>
        </w:tc>
        <w:tc>
          <w:tcPr>
            <w:tcW w:w="3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110,478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Goodwill and Other Intangible Assets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reportable segments are consistent with our operating segments.</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16" w:name="page17"/>
    <w:bookmarkEnd w:id="1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which reflects the overall level of inherent risk of a reporting unit and the rate of return an outside investor would expect to earn.</w:t>
      </w:r>
    </w:p>
    <w:p>
      <w:pPr>
        <w:spacing w:after="0" w:line="18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In the second quarter of 2020, management applied the quantitative assessment approach in performing its annual evaluation of goodwill and concluded that no impairment provision was required. As part of this evaluation, the Company considered projected cash flows and market multiples for the Company’s Machine Clothing reporting unit and three AEC reporting units. Management performed these quantitative assessments and concluded that each reporting unit’s fair value continued to exceed its carrying value. In addition, there were no amounts at risk due to the estimated spread between the fair and carrying values. Accordingly, no impairment charges were recorded. Management is scheduled to perform the 2021 annual goodwill impairment test during the second quarter.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Financial Instruments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principally to banks and noteholders, consists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interest rates)</w:t>
            </w: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11"/>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Revolving credit agreement with borrowings outstanding at an end of period interest rate of 3.56% in 2021</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3.50% in 2020 (including the effect of interest rate hedging transactions, as described below), due</w:t>
            </w:r>
          </w:p>
        </w:tc>
        <w:tc>
          <w:tcPr>
            <w:tcW w:w="3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384,000</w:t>
            </w:r>
          </w:p>
        </w:tc>
        <w:tc>
          <w:tcPr>
            <w:tcW w:w="1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2024</w:t>
            </w:r>
          </w:p>
        </w:tc>
        <w:tc>
          <w:tcPr>
            <w:tcW w:w="320" w:type="dxa"/>
            <w:vAlign w:val="bottom"/>
            <w:vMerge w:val="continue"/>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398,000</w:t>
            </w:r>
          </w:p>
        </w:tc>
        <w:tc>
          <w:tcPr>
            <w:tcW w:w="0" w:type="dxa"/>
            <w:vAlign w:val="bottom"/>
          </w:tcPr>
          <w:p>
            <w:pPr>
              <w:spacing w:after="0"/>
              <w:rPr>
                <w:sz w:val="1"/>
                <w:szCs w:val="1"/>
                <w:color w:val="auto"/>
              </w:rPr>
            </w:pPr>
          </w:p>
        </w:tc>
      </w:tr>
      <w:tr>
        <w:trPr>
          <w:trHeight w:val="218"/>
        </w:trPr>
        <w:tc>
          <w:tcPr>
            <w:tcW w:w="7720" w:type="dxa"/>
            <w:vAlign w:val="bottom"/>
          </w:tcPr>
          <w:p>
            <w:pPr>
              <w:ind w:left="20"/>
              <w:spacing w:after="0"/>
              <w:rPr>
                <w:sz w:val="20"/>
                <w:szCs w:val="20"/>
                <w:color w:val="auto"/>
              </w:rPr>
            </w:pPr>
            <w:r>
              <w:rPr>
                <w:rFonts w:ascii="Arial" w:cs="Arial" w:eastAsia="Arial" w:hAnsi="Arial"/>
                <w:sz w:val="16"/>
                <w:szCs w:val="16"/>
                <w:color w:val="auto"/>
              </w:rPr>
              <w:t>Other debt, at an average end of period rate of 5.50% in both 2021 and 2020, due in varying amounts</w:t>
            </w:r>
          </w:p>
        </w:tc>
        <w:tc>
          <w:tcPr>
            <w:tcW w:w="320" w:type="dxa"/>
            <w:vAlign w:val="bottom"/>
          </w:tcPr>
          <w:p>
            <w:pPr>
              <w:spacing w:after="0"/>
              <w:rPr>
                <w:sz w:val="18"/>
                <w:szCs w:val="18"/>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through 2021</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384,002</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398,009</w:t>
            </w:r>
          </w:p>
        </w:tc>
        <w:tc>
          <w:tcPr>
            <w:tcW w:w="0" w:type="dxa"/>
            <w:vAlign w:val="bottom"/>
          </w:tcPr>
          <w:p>
            <w:pPr>
              <w:spacing w:after="0"/>
              <w:rPr>
                <w:sz w:val="1"/>
                <w:szCs w:val="1"/>
                <w:color w:val="auto"/>
              </w:rPr>
            </w:pPr>
          </w:p>
        </w:tc>
      </w:tr>
      <w:tr>
        <w:trPr>
          <w:trHeight w:val="240"/>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current portion</w:t>
            </w: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2"/>
        </w:trPr>
        <w:tc>
          <w:tcPr>
            <w:tcW w:w="7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Long-term debt, net of current portion</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384,000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398,000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October 27, 2020, we entered into a $700 million unsecured Four-Year Revolving Credit Facility Agreement (the “Credit Agreement”) which amended and restated the prior amended and restated $685 million Five-Year Revolving Credit Facility Agreement, which we had entered into on November 7, 2017 (the “Prior Agreement”). Under the Credit Agreement, $384 million of borrowings were outstanding as of March 31, 2021. The applicable interest rate for borrowings was LIBOR plus a spread, based on our leverage ratio at the time of borrowing. At the time of the last borrowing on March 31, 2021, the spread was 1.625%. The spread was based on a pricing grid, which ranged from 1.500% to 2.000%, based on our leverage ratio. Based on our maximum leverage ratio and our Consolidated EBITDA, and without modification to any other credit agreements, as of March 31, 2021, we would have been able to borrow an additional $316 million under the Agreement.</w:t>
      </w:r>
    </w:p>
    <w:p>
      <w:pPr>
        <w:spacing w:after="0" w:line="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Credit Agreement contains customary terms, as well as affirmative covenants, negative covenants and events of default that are comparable to those in the Prior Agreement. The Borrowings are guaranteed by certain of the Company’s subsidiaries.</w:t>
      </w:r>
    </w:p>
    <w:p>
      <w:pPr>
        <w:spacing w:after="0" w:line="9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(as defined in the Credit Agreement).</w:t>
      </w:r>
    </w:p>
    <w:p>
      <w:pPr>
        <w:spacing w:after="0" w:line="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November 27, 2017, we terminated our interest rate swap agreements, originally entered into on May 9, 2016, that had effectively fixed the interest rate on $300 million of revolving credit borrowings, in order to enter into a new interest rate swap with a greater notional amount, and the same maturity as the Credit Agreement. We received $6.3 million when the swap agreements were terminated, which has been fully amortized into interest expense through March 2021.</w:t>
      </w:r>
    </w:p>
    <w:p>
      <w:pPr>
        <w:spacing w:after="0" w:line="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November 28, 2017, we entered into interest rate swap agreements for the period December 18, 2017 through October 17, 2022. These transactions have the effect of fixing the LIBOR portion of the effective interest rate (before addition of the spread) on $350 million of indebtedness drawn under the Credit Agreement at the rate of 2.11% during the period. Under the terms of these transactions, we pay the fixed rate of 2.11% and the counterparties pay a floating rate based on the one-month LIBOR rate at each monthly calculation date, which on March 16, 2021 was 0.11%, during the swap period. On March 16, 2021, the all-in-rate on the $350 million of debt was 3.735%.</w:t>
      </w:r>
    </w:p>
    <w:p>
      <w:pPr>
        <w:spacing w:after="0" w:line="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15. No cash collateral was received or pledged in relation to the swap agreements.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Under the Credit Agreement, we are currently required to maintain a leverage ratio (as defined in the agreement) of not greater than 3.50 to 1.00 and minimum interest coverage (as defined) of 3.00 to 1.00.</w:t>
      </w:r>
    </w:p>
    <w:p>
      <w:pPr>
        <w:spacing w:after="0" w:line="9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March 31, 2021, our leverage ratio was 1.20 to 1.00 and our interest coverage ratio was 15.72 to 1.00. We may purchase our Common Stock or pay dividends to the extent our leverage ratio remains at or below 3.50 to 1.00, and may make acquisitions with cash, provided our leverage ratio does not exceed the limits noted above.</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Indebtedness under the Credit Agreement is ranked equally in right of payment to all unsecured senior debt.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were in compliance with all debt covenants as of March 31, 2021.</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Fair-Value Measurements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We had no Level 3 financial assets or liabilities at March 31, 2021, or at December 31, 2020.</w:t>
      </w:r>
    </w:p>
    <w:p>
      <w:pPr>
        <w:spacing w:after="0" w:line="10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presents the fair-value hierarchy for our Level 1 and Level 2 financial and non-financial assets and liabilities, which are measured at fair value on a recurring basis: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820" w:type="dxa"/>
            <w:vAlign w:val="bottom"/>
            <w:tcBorders>
              <w:top w:val="single" w:sz="8" w:color="auto"/>
              <w:bottom w:val="single" w:sz="8" w:color="auto"/>
            </w:tcBorders>
            <w:gridSpan w:val="3"/>
          </w:tcPr>
          <w:p>
            <w:pPr>
              <w:jc w:val="right"/>
              <w:ind w:right="1105"/>
              <w:spacing w:after="0"/>
              <w:rPr>
                <w:sz w:val="20"/>
                <w:szCs w:val="20"/>
                <w:color w:val="auto"/>
              </w:rPr>
            </w:pPr>
            <w:r>
              <w:rPr>
                <w:rFonts w:ascii="Arial" w:cs="Arial" w:eastAsia="Arial" w:hAnsi="Arial"/>
                <w:sz w:val="14"/>
                <w:szCs w:val="14"/>
                <w:b w:val="1"/>
                <w:bCs w:val="1"/>
                <w:color w:val="auto"/>
              </w:rPr>
              <w:t>March 31, 2021</w:t>
            </w:r>
          </w:p>
        </w:tc>
        <w:tc>
          <w:tcPr>
            <w:tcW w:w="2500" w:type="dxa"/>
            <w:vAlign w:val="bottom"/>
            <w:tcBorders>
              <w:top w:val="single" w:sz="8" w:color="auto"/>
              <w:bottom w:val="single" w:sz="8" w:color="auto"/>
            </w:tcBorders>
            <w:gridSpan w:val="3"/>
          </w:tcPr>
          <w:p>
            <w:pPr>
              <w:jc w:val="right"/>
              <w:ind w:right="645"/>
              <w:spacing w:after="0"/>
              <w:rPr>
                <w:sz w:val="20"/>
                <w:szCs w:val="20"/>
                <w:color w:val="auto"/>
              </w:rPr>
            </w:pPr>
            <w:r>
              <w:rPr>
                <w:rFonts w:ascii="Arial" w:cs="Arial" w:eastAsia="Arial" w:hAnsi="Arial"/>
                <w:sz w:val="14"/>
                <w:szCs w:val="14"/>
                <w:b w:val="1"/>
                <w:bCs w:val="1"/>
                <w:color w:val="auto"/>
              </w:rPr>
              <w:t>December 31, 2020</w:t>
            </w:r>
          </w:p>
        </w:tc>
      </w:tr>
      <w:tr>
        <w:trPr>
          <w:trHeight w:val="169"/>
        </w:trPr>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65"/>
              <w:spacing w:after="0"/>
              <w:rPr>
                <w:sz w:val="20"/>
                <w:szCs w:val="20"/>
                <w:color w:val="auto"/>
              </w:rPr>
            </w:pPr>
            <w:r>
              <w:rPr>
                <w:rFonts w:ascii="Arial" w:cs="Arial" w:eastAsia="Arial" w:hAnsi="Arial"/>
                <w:sz w:val="14"/>
                <w:szCs w:val="14"/>
                <w:b w:val="1"/>
                <w:bCs w:val="1"/>
                <w:color w:val="auto"/>
              </w:rPr>
              <w:t>Quoted</w:t>
            </w:r>
          </w:p>
        </w:tc>
        <w:tc>
          <w:tcPr>
            <w:tcW w:w="280" w:type="dxa"/>
            <w:vAlign w:val="bottom"/>
          </w:tcPr>
          <w:p>
            <w:pPr>
              <w:spacing w:after="0"/>
              <w:rPr>
                <w:sz w:val="14"/>
                <w:szCs w:val="14"/>
                <w:color w:val="auto"/>
              </w:rPr>
            </w:pPr>
          </w:p>
        </w:tc>
        <w:tc>
          <w:tcPr>
            <w:tcW w:w="1440" w:type="dxa"/>
            <w:vAlign w:val="bottom"/>
          </w:tcPr>
          <w:p>
            <w:pPr>
              <w:jc w:val="center"/>
              <w:ind w:right="465"/>
              <w:spacing w:after="0"/>
              <w:rPr>
                <w:sz w:val="20"/>
                <w:szCs w:val="20"/>
                <w:color w:val="auto"/>
              </w:rPr>
            </w:pPr>
            <w:r>
              <w:rPr>
                <w:rFonts w:ascii="Arial" w:cs="Arial" w:eastAsia="Arial" w:hAnsi="Arial"/>
                <w:sz w:val="14"/>
                <w:szCs w:val="14"/>
                <w:b w:val="1"/>
                <w:bCs w:val="1"/>
                <w:color w:val="auto"/>
              </w:rPr>
              <w:t>Significant</w:t>
            </w:r>
          </w:p>
        </w:tc>
        <w:tc>
          <w:tcPr>
            <w:tcW w:w="1100" w:type="dxa"/>
            <w:vAlign w:val="bottom"/>
          </w:tcPr>
          <w:p>
            <w:pPr>
              <w:jc w:val="center"/>
              <w:ind w:right="165"/>
              <w:spacing w:after="0"/>
              <w:rPr>
                <w:sz w:val="20"/>
                <w:szCs w:val="20"/>
                <w:color w:val="auto"/>
              </w:rPr>
            </w:pPr>
            <w:r>
              <w:rPr>
                <w:rFonts w:ascii="Arial" w:cs="Arial" w:eastAsia="Arial" w:hAnsi="Arial"/>
                <w:sz w:val="14"/>
                <w:szCs w:val="14"/>
                <w:b w:val="1"/>
                <w:bCs w:val="1"/>
                <w:color w:val="auto"/>
              </w:rPr>
              <w:t>Quoted</w:t>
            </w:r>
          </w:p>
        </w:tc>
        <w:tc>
          <w:tcPr>
            <w:tcW w:w="280" w:type="dxa"/>
            <w:vAlign w:val="bottom"/>
          </w:tcPr>
          <w:p>
            <w:pPr>
              <w:spacing w:after="0"/>
              <w:rPr>
                <w:sz w:val="14"/>
                <w:szCs w:val="14"/>
                <w:color w:val="auto"/>
              </w:rPr>
            </w:pPr>
          </w:p>
        </w:tc>
        <w:tc>
          <w:tcPr>
            <w:tcW w:w="1120" w:type="dxa"/>
            <w:vAlign w:val="bottom"/>
          </w:tcPr>
          <w:p>
            <w:pPr>
              <w:jc w:val="center"/>
              <w:ind w:right="125"/>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65"/>
              <w:spacing w:after="0"/>
              <w:rPr>
                <w:sz w:val="20"/>
                <w:szCs w:val="20"/>
                <w:color w:val="auto"/>
              </w:rPr>
            </w:pPr>
            <w:r>
              <w:rPr>
                <w:rFonts w:ascii="Arial" w:cs="Arial" w:eastAsia="Arial" w:hAnsi="Arial"/>
                <w:sz w:val="14"/>
                <w:szCs w:val="14"/>
                <w:b w:val="1"/>
                <w:bCs w:val="1"/>
                <w:color w:val="auto"/>
              </w:rPr>
              <w:t>prices in</w:t>
            </w:r>
          </w:p>
        </w:tc>
        <w:tc>
          <w:tcPr>
            <w:tcW w:w="280" w:type="dxa"/>
            <w:vAlign w:val="bottom"/>
          </w:tcPr>
          <w:p>
            <w:pPr>
              <w:spacing w:after="0"/>
              <w:rPr>
                <w:sz w:val="14"/>
                <w:szCs w:val="14"/>
                <w:color w:val="auto"/>
              </w:rPr>
            </w:pPr>
          </w:p>
        </w:tc>
        <w:tc>
          <w:tcPr>
            <w:tcW w:w="1440" w:type="dxa"/>
            <w:vAlign w:val="bottom"/>
          </w:tcPr>
          <w:p>
            <w:pPr>
              <w:jc w:val="center"/>
              <w:ind w:right="445"/>
              <w:spacing w:after="0"/>
              <w:rPr>
                <w:sz w:val="20"/>
                <w:szCs w:val="20"/>
                <w:color w:val="auto"/>
              </w:rPr>
            </w:pPr>
            <w:r>
              <w:rPr>
                <w:rFonts w:ascii="Arial" w:cs="Arial" w:eastAsia="Arial" w:hAnsi="Arial"/>
                <w:sz w:val="14"/>
                <w:szCs w:val="14"/>
                <w:b w:val="1"/>
                <w:bCs w:val="1"/>
                <w:color w:val="auto"/>
              </w:rPr>
              <w:t>other</w:t>
            </w:r>
          </w:p>
        </w:tc>
        <w:tc>
          <w:tcPr>
            <w:tcW w:w="1100" w:type="dxa"/>
            <w:vAlign w:val="bottom"/>
          </w:tcPr>
          <w:p>
            <w:pPr>
              <w:jc w:val="center"/>
              <w:ind w:right="165"/>
              <w:spacing w:after="0"/>
              <w:rPr>
                <w:sz w:val="20"/>
                <w:szCs w:val="20"/>
                <w:color w:val="auto"/>
              </w:rPr>
            </w:pPr>
            <w:r>
              <w:rPr>
                <w:rFonts w:ascii="Arial" w:cs="Arial" w:eastAsia="Arial" w:hAnsi="Arial"/>
                <w:sz w:val="14"/>
                <w:szCs w:val="14"/>
                <w:b w:val="1"/>
                <w:bCs w:val="1"/>
                <w:color w:val="auto"/>
              </w:rPr>
              <w:t>prices in</w:t>
            </w:r>
          </w:p>
        </w:tc>
        <w:tc>
          <w:tcPr>
            <w:tcW w:w="280" w:type="dxa"/>
            <w:vAlign w:val="bottom"/>
          </w:tcPr>
          <w:p>
            <w:pPr>
              <w:spacing w:after="0"/>
              <w:rPr>
                <w:sz w:val="14"/>
                <w:szCs w:val="14"/>
                <w:color w:val="auto"/>
              </w:rPr>
            </w:pPr>
          </w:p>
        </w:tc>
        <w:tc>
          <w:tcPr>
            <w:tcW w:w="1120" w:type="dxa"/>
            <w:vAlign w:val="bottom"/>
          </w:tcPr>
          <w:p>
            <w:pPr>
              <w:jc w:val="center"/>
              <w:ind w:right="125"/>
              <w:spacing w:after="0"/>
              <w:rPr>
                <w:sz w:val="20"/>
                <w:szCs w:val="20"/>
                <w:color w:val="auto"/>
              </w:rPr>
            </w:pPr>
            <w:r>
              <w:rPr>
                <w:rFonts w:ascii="Arial" w:cs="Arial" w:eastAsia="Arial" w:hAnsi="Arial"/>
                <w:sz w:val="14"/>
                <w:szCs w:val="14"/>
                <w:b w:val="1"/>
                <w:bCs w:val="1"/>
                <w:color w:val="auto"/>
              </w:rPr>
              <w:t>other</w:t>
            </w:r>
          </w:p>
        </w:tc>
      </w:tr>
      <w:tr>
        <w:trPr>
          <w:trHeight w:val="162"/>
        </w:trPr>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65"/>
              <w:spacing w:after="0"/>
              <w:rPr>
                <w:sz w:val="20"/>
                <w:szCs w:val="20"/>
                <w:color w:val="auto"/>
              </w:rPr>
            </w:pPr>
            <w:r>
              <w:rPr>
                <w:rFonts w:ascii="Arial" w:cs="Arial" w:eastAsia="Arial" w:hAnsi="Arial"/>
                <w:sz w:val="14"/>
                <w:szCs w:val="14"/>
                <w:b w:val="1"/>
                <w:bCs w:val="1"/>
                <w:color w:val="auto"/>
              </w:rPr>
              <w:t>active</w:t>
            </w:r>
          </w:p>
        </w:tc>
        <w:tc>
          <w:tcPr>
            <w:tcW w:w="280" w:type="dxa"/>
            <w:vAlign w:val="bottom"/>
          </w:tcPr>
          <w:p>
            <w:pPr>
              <w:spacing w:after="0"/>
              <w:rPr>
                <w:sz w:val="14"/>
                <w:szCs w:val="14"/>
                <w:color w:val="auto"/>
              </w:rPr>
            </w:pPr>
          </w:p>
        </w:tc>
        <w:tc>
          <w:tcPr>
            <w:tcW w:w="1440" w:type="dxa"/>
            <w:vAlign w:val="bottom"/>
          </w:tcPr>
          <w:p>
            <w:pPr>
              <w:jc w:val="center"/>
              <w:ind w:right="445"/>
              <w:spacing w:after="0"/>
              <w:rPr>
                <w:sz w:val="20"/>
                <w:szCs w:val="20"/>
                <w:color w:val="auto"/>
              </w:rPr>
            </w:pPr>
            <w:r>
              <w:rPr>
                <w:rFonts w:ascii="Arial" w:cs="Arial" w:eastAsia="Arial" w:hAnsi="Arial"/>
                <w:sz w:val="14"/>
                <w:szCs w:val="14"/>
                <w:b w:val="1"/>
                <w:bCs w:val="1"/>
                <w:color w:val="auto"/>
              </w:rPr>
              <w:t>observable</w:t>
            </w:r>
          </w:p>
        </w:tc>
        <w:tc>
          <w:tcPr>
            <w:tcW w:w="1100" w:type="dxa"/>
            <w:vAlign w:val="bottom"/>
          </w:tcPr>
          <w:p>
            <w:pPr>
              <w:jc w:val="center"/>
              <w:ind w:right="165"/>
              <w:spacing w:after="0"/>
              <w:rPr>
                <w:sz w:val="20"/>
                <w:szCs w:val="20"/>
                <w:color w:val="auto"/>
              </w:rPr>
            </w:pPr>
            <w:r>
              <w:rPr>
                <w:rFonts w:ascii="Arial" w:cs="Arial" w:eastAsia="Arial" w:hAnsi="Arial"/>
                <w:sz w:val="14"/>
                <w:szCs w:val="14"/>
                <w:b w:val="1"/>
                <w:bCs w:val="1"/>
                <w:color w:val="auto"/>
              </w:rPr>
              <w:t>active</w:t>
            </w:r>
          </w:p>
        </w:tc>
        <w:tc>
          <w:tcPr>
            <w:tcW w:w="280" w:type="dxa"/>
            <w:vAlign w:val="bottom"/>
          </w:tcPr>
          <w:p>
            <w:pPr>
              <w:spacing w:after="0"/>
              <w:rPr>
                <w:sz w:val="14"/>
                <w:szCs w:val="14"/>
                <w:color w:val="auto"/>
              </w:rPr>
            </w:pPr>
          </w:p>
        </w:tc>
        <w:tc>
          <w:tcPr>
            <w:tcW w:w="1120" w:type="dxa"/>
            <w:vAlign w:val="bottom"/>
          </w:tcPr>
          <w:p>
            <w:pPr>
              <w:jc w:val="center"/>
              <w:ind w:right="125"/>
              <w:spacing w:after="0"/>
              <w:rPr>
                <w:sz w:val="20"/>
                <w:szCs w:val="20"/>
                <w:color w:val="auto"/>
              </w:rPr>
            </w:pPr>
            <w:r>
              <w:rPr>
                <w:rFonts w:ascii="Arial" w:cs="Arial" w:eastAsia="Arial" w:hAnsi="Arial"/>
                <w:sz w:val="14"/>
                <w:szCs w:val="14"/>
                <w:b w:val="1"/>
                <w:bCs w:val="1"/>
                <w:color w:val="auto"/>
              </w:rPr>
              <w:t>observable</w:t>
            </w:r>
          </w:p>
        </w:tc>
      </w:tr>
      <w:tr>
        <w:trPr>
          <w:trHeight w:val="190"/>
        </w:trPr>
        <w:tc>
          <w:tcPr>
            <w:tcW w:w="5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65"/>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6"/>
                <w:szCs w:val="16"/>
                <w:color w:val="auto"/>
              </w:rPr>
            </w:pPr>
          </w:p>
        </w:tc>
        <w:tc>
          <w:tcPr>
            <w:tcW w:w="1440" w:type="dxa"/>
            <w:vAlign w:val="bottom"/>
          </w:tcPr>
          <w:p>
            <w:pPr>
              <w:jc w:val="center"/>
              <w:ind w:right="445"/>
              <w:spacing w:after="0"/>
              <w:rPr>
                <w:sz w:val="20"/>
                <w:szCs w:val="20"/>
                <w:color w:val="auto"/>
              </w:rPr>
            </w:pPr>
            <w:r>
              <w:rPr>
                <w:rFonts w:ascii="Arial" w:cs="Arial" w:eastAsia="Arial" w:hAnsi="Arial"/>
                <w:sz w:val="14"/>
                <w:szCs w:val="14"/>
                <w:b w:val="1"/>
                <w:bCs w:val="1"/>
                <w:color w:val="auto"/>
              </w:rPr>
              <w:t>inputs</w:t>
            </w:r>
          </w:p>
        </w:tc>
        <w:tc>
          <w:tcPr>
            <w:tcW w:w="1100" w:type="dxa"/>
            <w:vAlign w:val="bottom"/>
          </w:tcPr>
          <w:p>
            <w:pPr>
              <w:jc w:val="center"/>
              <w:ind w:right="165"/>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6"/>
                <w:szCs w:val="16"/>
                <w:color w:val="auto"/>
              </w:rPr>
            </w:pPr>
          </w:p>
        </w:tc>
        <w:tc>
          <w:tcPr>
            <w:tcW w:w="1120" w:type="dxa"/>
            <w:vAlign w:val="bottom"/>
          </w:tcPr>
          <w:p>
            <w:pPr>
              <w:jc w:val="center"/>
              <w:ind w:right="125"/>
              <w:spacing w:after="0"/>
              <w:rPr>
                <w:sz w:val="20"/>
                <w:szCs w:val="20"/>
                <w:color w:val="auto"/>
              </w:rPr>
            </w:pPr>
            <w:r>
              <w:rPr>
                <w:rFonts w:ascii="Arial" w:cs="Arial" w:eastAsia="Arial" w:hAnsi="Arial"/>
                <w:sz w:val="14"/>
                <w:szCs w:val="14"/>
                <w:b w:val="1"/>
                <w:bCs w:val="1"/>
                <w:color w:val="auto"/>
              </w:rPr>
              <w:t>inputs</w:t>
            </w:r>
          </w:p>
        </w:tc>
      </w:tr>
      <w:tr>
        <w:trPr>
          <w:trHeight w:val="222"/>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465"/>
              <w:spacing w:after="0"/>
              <w:rPr>
                <w:sz w:val="20"/>
                <w:szCs w:val="20"/>
                <w:color w:val="auto"/>
              </w:rPr>
            </w:pPr>
            <w:r>
              <w:rPr>
                <w:rFonts w:ascii="Arial" w:cs="Arial" w:eastAsia="Arial" w:hAnsi="Arial"/>
                <w:sz w:val="14"/>
                <w:szCs w:val="14"/>
                <w:b w:val="1"/>
                <w:bCs w:val="1"/>
                <w:color w:val="auto"/>
              </w:rPr>
              <w:t>(Level 2)</w:t>
            </w:r>
          </w:p>
        </w:tc>
        <w:tc>
          <w:tcPr>
            <w:tcW w:w="110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rPr>
              <w:t>(Level 2)</w:t>
            </w:r>
          </w:p>
        </w:tc>
      </w:tr>
      <w:tr>
        <w:trPr>
          <w:trHeight w:val="215"/>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Fair Value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3"/>
        </w:trPr>
        <w:tc>
          <w:tcPr>
            <w:tcW w:w="5680" w:type="dxa"/>
            <w:vAlign w:val="bottom"/>
          </w:tcPr>
          <w:p>
            <w:pPr>
              <w:ind w:left="20"/>
              <w:spacing w:after="0"/>
              <w:rPr>
                <w:sz w:val="20"/>
                <w:szCs w:val="20"/>
                <w:color w:val="auto"/>
              </w:rPr>
            </w:pPr>
            <w:r>
              <w:rPr>
                <w:rFonts w:ascii="Arial" w:cs="Arial" w:eastAsia="Arial" w:hAnsi="Arial"/>
                <w:sz w:val="16"/>
                <w:szCs w:val="16"/>
                <w:i w:val="1"/>
                <w:iCs w:val="1"/>
                <w:color w:val="auto"/>
              </w:rPr>
              <w:t>Assets: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6"/>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14,390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ind w:left="880"/>
              <w:spacing w:after="0"/>
              <w:rPr>
                <w:sz w:val="20"/>
                <w:szCs w:val="20"/>
                <w:color w:val="auto"/>
              </w:rPr>
            </w:pPr>
            <w:r>
              <w:rPr>
                <w:rFonts w:ascii="Arial" w:cs="Arial" w:eastAsia="Arial" w:hAnsi="Arial"/>
                <w:sz w:val="16"/>
                <w:szCs w:val="16"/>
                <w:color w:val="auto"/>
              </w:rPr>
              <w:t>—  $</w:t>
            </w:r>
          </w:p>
        </w:tc>
        <w:tc>
          <w:tcPr>
            <w:tcW w:w="11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17,508</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r>
      <w:tr>
        <w:trPr>
          <w:trHeight w:val="233"/>
        </w:trPr>
        <w:tc>
          <w:tcPr>
            <w:tcW w:w="5680" w:type="dxa"/>
            <w:vAlign w:val="bottom"/>
          </w:tcPr>
          <w:p>
            <w:pPr>
              <w:ind w:left="140"/>
              <w:spacing w:after="0"/>
              <w:rPr>
                <w:sz w:val="20"/>
                <w:szCs w:val="20"/>
                <w:color w:val="auto"/>
              </w:rPr>
            </w:pPr>
            <w:r>
              <w:rPr>
                <w:rFonts w:ascii="Arial" w:cs="Arial" w:eastAsia="Arial" w:hAnsi="Arial"/>
                <w:sz w:val="16"/>
                <w:szCs w:val="16"/>
                <w:i w:val="1"/>
                <w:iCs w:val="1"/>
                <w:color w:val="auto"/>
              </w:rPr>
              <w:t>Other Assets: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6"/>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of unaffiliated foreign public company (a)</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762</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748</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i w:val="1"/>
                <w:iCs w:val="1"/>
                <w:color w:val="auto"/>
              </w:rPr>
              <w:t>Liabilities: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Other noncurrent liabilities: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56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color w:val="auto"/>
              </w:rPr>
              <w:t>(10,918)</w:t>
            </w:r>
          </w:p>
        </w:tc>
        <w:tc>
          <w:tcPr>
            <w:tcW w:w="11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(12,714)</w:t>
            </w:r>
          </w:p>
        </w:tc>
      </w:tr>
    </w:tbl>
    <w:p>
      <w:pPr>
        <w:spacing w:after="0" w:line="80"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Original cost basis $0.5 million.</w:t>
      </w:r>
    </w:p>
    <w:p>
      <w:pPr>
        <w:spacing w:after="0" w:line="252"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9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and/or Other noncurrent liabilities in the Consolidated Balance Sheets. Unrealized gains and losses on the swaps flow through the caption Derivative valuation adjustment in the Shareholders’ equity section of the Consolidated Balance Sheets. As of March 31, 2021, these interest rate swaps were determined to be highly effective hedges of interest rate cash flow risk. Amounts accumulated in Other comprehensive income are reclassified as Interest expense, net when the related interest payments (that is, the hedged forecasted transactions), and amortization related to the swap buyouts, affect earnings. Interest (income)/expense related to payments under the active swap agreements totaled $1.7 million for the three month period ended March 31, 2021, and $0.5 million for the three month period ended March 31, 2020. Additionally, non-cash interest income related to the amortization of swap buyouts totaled $0.3 million for the three month period ended March 31, 2021 and $0.1 million for the three month period ended March 31, 2020.</w:t>
      </w:r>
    </w:p>
    <w:p>
      <w:pPr>
        <w:spacing w:after="0" w:line="200" w:lineRule="exact"/>
        <w:rPr>
          <w:sz w:val="20"/>
          <w:szCs w:val="20"/>
          <w:color w:val="auto"/>
        </w:rPr>
      </w:pPr>
    </w:p>
    <w:p>
      <w:pPr>
        <w:spacing w:after="0" w:line="232" w:lineRule="exact"/>
        <w:rPr>
          <w:sz w:val="20"/>
          <w:szCs w:val="20"/>
          <w:color w:val="auto"/>
        </w:rPr>
      </w:pPr>
    </w:p>
    <w:p>
      <w:pPr>
        <w:ind w:right="9560" w:firstLine="8"/>
        <w:spacing w:after="0" w:line="412" w:lineRule="auto"/>
        <w:tabs>
          <w:tab w:leader="none" w:pos="30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b w:val="1"/>
          <w:bCs w:val="1"/>
          <w:color w:val="auto"/>
        </w:rPr>
        <w:t>Asbestos Litigation</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18" w:name="page19"/>
    <w:bookmarkEnd w:id="1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were defending 3,617 claims as of March 31, 2021.</w:t>
      </w:r>
    </w:p>
    <w:p>
      <w:pPr>
        <w:spacing w:after="0" w:line="11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062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0" w:type="dxa"/>
            <w:vAlign w:val="bottom"/>
          </w:tcPr>
          <w:p>
            <w:pPr>
              <w:jc w:val="center"/>
              <w:ind w:left="128"/>
              <w:spacing w:after="0"/>
              <w:rPr>
                <w:sz w:val="20"/>
                <w:szCs w:val="20"/>
                <w:color w:val="auto"/>
              </w:rPr>
            </w:pPr>
            <w:r>
              <w:rPr>
                <w:rFonts w:ascii="Arial" w:cs="Arial" w:eastAsia="Arial" w:hAnsi="Arial"/>
                <w:sz w:val="14"/>
                <w:szCs w:val="14"/>
                <w:b w:val="1"/>
                <w:bCs w:val="1"/>
                <w:color w:val="auto"/>
              </w:rPr>
              <w:t>Claims</w:t>
            </w:r>
          </w:p>
        </w:tc>
        <w:tc>
          <w:tcPr>
            <w:tcW w:w="1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103"/>
              <w:spacing w:after="0"/>
              <w:rPr>
                <w:sz w:val="20"/>
                <w:szCs w:val="20"/>
                <w:color w:val="auto"/>
              </w:rPr>
            </w:pPr>
            <w:r>
              <w:rPr>
                <w:rFonts w:ascii="Arial" w:cs="Arial" w:eastAsia="Arial" w:hAnsi="Arial"/>
                <w:sz w:val="14"/>
                <w:szCs w:val="14"/>
                <w:b w:val="1"/>
                <w:bCs w:val="1"/>
                <w:color w:val="auto"/>
              </w:rPr>
              <w:t>Amounts Paid</w:t>
            </w:r>
          </w:p>
        </w:tc>
      </w:tr>
      <w:tr>
        <w:trPr>
          <w:trHeight w:val="162"/>
        </w:trPr>
        <w:tc>
          <w:tcPr>
            <w:tcW w:w="2920" w:type="dxa"/>
            <w:vAlign w:val="bottom"/>
          </w:tcPr>
          <w:p>
            <w:pPr>
              <w:spacing w:after="0"/>
              <w:rPr>
                <w:sz w:val="14"/>
                <w:szCs w:val="14"/>
                <w:color w:val="auto"/>
              </w:rPr>
            </w:pPr>
          </w:p>
        </w:tc>
        <w:tc>
          <w:tcPr>
            <w:tcW w:w="2420" w:type="dxa"/>
            <w:vAlign w:val="bottom"/>
          </w:tcPr>
          <w:p>
            <w:pPr>
              <w:jc w:val="center"/>
              <w:ind w:left="562"/>
              <w:spacing w:after="0"/>
              <w:rPr>
                <w:sz w:val="20"/>
                <w:szCs w:val="20"/>
                <w:color w:val="auto"/>
              </w:rPr>
            </w:pPr>
            <w:r>
              <w:rPr>
                <w:rFonts w:ascii="Arial" w:cs="Arial" w:eastAsia="Arial" w:hAnsi="Arial"/>
                <w:sz w:val="14"/>
                <w:szCs w:val="14"/>
                <w:b w:val="1"/>
                <w:bCs w:val="1"/>
                <w:color w:val="auto"/>
              </w:rPr>
              <w:t>Opening</w:t>
            </w:r>
          </w:p>
        </w:tc>
        <w:tc>
          <w:tcPr>
            <w:tcW w:w="1000" w:type="dxa"/>
            <w:vAlign w:val="bottom"/>
          </w:tcPr>
          <w:p>
            <w:pPr>
              <w:jc w:val="center"/>
              <w:ind w:left="128"/>
              <w:spacing w:after="0"/>
              <w:rPr>
                <w:sz w:val="20"/>
                <w:szCs w:val="20"/>
                <w:color w:val="auto"/>
              </w:rPr>
            </w:pPr>
            <w:r>
              <w:rPr>
                <w:rFonts w:ascii="Arial" w:cs="Arial" w:eastAsia="Arial" w:hAnsi="Arial"/>
                <w:sz w:val="14"/>
                <w:szCs w:val="14"/>
                <w:b w:val="1"/>
                <w:bCs w:val="1"/>
                <w:color w:val="auto"/>
              </w:rPr>
              <w:t>Dismissed,</w:t>
            </w:r>
          </w:p>
        </w:tc>
        <w:tc>
          <w:tcPr>
            <w:tcW w:w="1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jc w:val="center"/>
              <w:ind w:right="42"/>
              <w:spacing w:after="0"/>
              <w:rPr>
                <w:sz w:val="20"/>
                <w:szCs w:val="20"/>
                <w:color w:val="auto"/>
              </w:rPr>
            </w:pPr>
            <w:r>
              <w:rPr>
                <w:rFonts w:ascii="Arial" w:cs="Arial" w:eastAsia="Arial" w:hAnsi="Arial"/>
                <w:sz w:val="14"/>
                <w:szCs w:val="14"/>
                <w:b w:val="1"/>
                <w:bCs w:val="1"/>
                <w:color w:val="auto"/>
              </w:rPr>
              <w:t>Closing</w:t>
            </w:r>
          </w:p>
        </w:tc>
        <w:tc>
          <w:tcPr>
            <w:tcW w:w="200" w:type="dxa"/>
            <w:vAlign w:val="bottom"/>
          </w:tcPr>
          <w:p>
            <w:pPr>
              <w:spacing w:after="0"/>
              <w:rPr>
                <w:sz w:val="14"/>
                <w:szCs w:val="14"/>
                <w:color w:val="auto"/>
              </w:rPr>
            </w:pPr>
          </w:p>
        </w:tc>
        <w:tc>
          <w:tcPr>
            <w:tcW w:w="1340" w:type="dxa"/>
            <w:vAlign w:val="bottom"/>
          </w:tcPr>
          <w:p>
            <w:pPr>
              <w:jc w:val="center"/>
              <w:ind w:right="103"/>
              <w:spacing w:after="0"/>
              <w:rPr>
                <w:sz w:val="20"/>
                <w:szCs w:val="20"/>
                <w:color w:val="auto"/>
              </w:rPr>
            </w:pPr>
            <w:r>
              <w:rPr>
                <w:rFonts w:ascii="Arial" w:cs="Arial" w:eastAsia="Arial" w:hAnsi="Arial"/>
                <w:sz w:val="14"/>
                <w:szCs w:val="14"/>
                <w:b w:val="1"/>
                <w:bCs w:val="1"/>
                <w:color w:val="auto"/>
              </w:rPr>
              <w:t>(thousands) to</w:t>
            </w:r>
          </w:p>
        </w:tc>
      </w:tr>
      <w:tr>
        <w:trPr>
          <w:trHeight w:val="162"/>
        </w:trPr>
        <w:tc>
          <w:tcPr>
            <w:tcW w:w="2920" w:type="dxa"/>
            <w:vAlign w:val="bottom"/>
          </w:tcPr>
          <w:p>
            <w:pPr>
              <w:spacing w:after="0"/>
              <w:rPr>
                <w:sz w:val="14"/>
                <w:szCs w:val="14"/>
                <w:color w:val="auto"/>
              </w:rPr>
            </w:pPr>
          </w:p>
        </w:tc>
        <w:tc>
          <w:tcPr>
            <w:tcW w:w="2420" w:type="dxa"/>
            <w:vAlign w:val="bottom"/>
          </w:tcPr>
          <w:p>
            <w:pPr>
              <w:jc w:val="center"/>
              <w:ind w:left="542"/>
              <w:spacing w:after="0"/>
              <w:rPr>
                <w:sz w:val="20"/>
                <w:szCs w:val="20"/>
                <w:color w:val="auto"/>
              </w:rPr>
            </w:pPr>
            <w:r>
              <w:rPr>
                <w:rFonts w:ascii="Arial" w:cs="Arial" w:eastAsia="Arial" w:hAnsi="Arial"/>
                <w:sz w:val="14"/>
                <w:szCs w:val="14"/>
                <w:b w:val="1"/>
                <w:bCs w:val="1"/>
                <w:color w:val="auto"/>
              </w:rPr>
              <w:t>Number of</w:t>
            </w:r>
          </w:p>
        </w:tc>
        <w:tc>
          <w:tcPr>
            <w:tcW w:w="1000" w:type="dxa"/>
            <w:vAlign w:val="bottom"/>
          </w:tcPr>
          <w:p>
            <w:pPr>
              <w:jc w:val="center"/>
              <w:ind w:left="128"/>
              <w:spacing w:after="0"/>
              <w:rPr>
                <w:sz w:val="20"/>
                <w:szCs w:val="20"/>
                <w:color w:val="auto"/>
              </w:rPr>
            </w:pPr>
            <w:r>
              <w:rPr>
                <w:rFonts w:ascii="Arial" w:cs="Arial" w:eastAsia="Arial" w:hAnsi="Arial"/>
                <w:sz w:val="14"/>
                <w:szCs w:val="14"/>
                <w:b w:val="1"/>
                <w:bCs w:val="1"/>
                <w:color w:val="auto"/>
              </w:rPr>
              <w:t>Settled, or</w:t>
            </w:r>
          </w:p>
        </w:tc>
        <w:tc>
          <w:tcPr>
            <w:tcW w:w="1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jc w:val="center"/>
              <w:ind w:right="42"/>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340" w:type="dxa"/>
            <w:vAlign w:val="bottom"/>
          </w:tcPr>
          <w:p>
            <w:pPr>
              <w:jc w:val="center"/>
              <w:ind w:right="83"/>
              <w:spacing w:after="0"/>
              <w:rPr>
                <w:sz w:val="20"/>
                <w:szCs w:val="20"/>
                <w:color w:val="auto"/>
              </w:rPr>
            </w:pPr>
            <w:r>
              <w:rPr>
                <w:rFonts w:ascii="Arial" w:cs="Arial" w:eastAsia="Arial" w:hAnsi="Arial"/>
                <w:sz w:val="14"/>
                <w:szCs w:val="14"/>
                <w:b w:val="1"/>
                <w:bCs w:val="1"/>
                <w:color w:val="auto"/>
              </w:rPr>
              <w:t>Settle or</w:t>
            </w:r>
          </w:p>
        </w:tc>
      </w:tr>
      <w:tr>
        <w:trPr>
          <w:trHeight w:val="202"/>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420" w:type="dxa"/>
            <w:vAlign w:val="bottom"/>
            <w:tcBorders>
              <w:bottom w:val="single" w:sz="8" w:color="auto"/>
            </w:tcBorders>
          </w:tcPr>
          <w:p>
            <w:pPr>
              <w:jc w:val="center"/>
              <w:ind w:left="542"/>
              <w:spacing w:after="0"/>
              <w:rPr>
                <w:sz w:val="20"/>
                <w:szCs w:val="20"/>
                <w:color w:val="auto"/>
              </w:rPr>
            </w:pPr>
            <w:r>
              <w:rPr>
                <w:rFonts w:ascii="Arial" w:cs="Arial" w:eastAsia="Arial" w:hAnsi="Arial"/>
                <w:sz w:val="14"/>
                <w:szCs w:val="14"/>
                <w:b w:val="1"/>
                <w:bCs w:val="1"/>
                <w:color w:val="auto"/>
              </w:rPr>
              <w:t>Claims</w:t>
            </w:r>
          </w:p>
        </w:tc>
        <w:tc>
          <w:tcPr>
            <w:tcW w:w="100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Resolved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New Claims</w:t>
            </w:r>
          </w:p>
        </w:tc>
        <w:tc>
          <w:tcPr>
            <w:tcW w:w="5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Claims</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Resolve</w:t>
            </w:r>
          </w:p>
        </w:tc>
      </w:tr>
      <w:tr>
        <w:trPr>
          <w:trHeight w:val="210"/>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24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3,791</w:t>
            </w:r>
          </w:p>
        </w:tc>
        <w:tc>
          <w:tcPr>
            <w:tcW w:w="10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40"/>
              <w:spacing w:after="0"/>
              <w:rPr>
                <w:sz w:val="20"/>
                <w:szCs w:val="20"/>
                <w:color w:val="auto"/>
              </w:rPr>
            </w:pPr>
            <w:r>
              <w:rPr>
                <w:rFonts w:ascii="Arial" w:cs="Arial" w:eastAsia="Arial" w:hAnsi="Arial"/>
                <w:sz w:val="16"/>
                <w:szCs w:val="16"/>
                <w:color w:val="auto"/>
                <w:w w:val="97"/>
              </w:rPr>
              <w:t>148</w:t>
            </w:r>
          </w:p>
        </w:tc>
        <w:tc>
          <w:tcPr>
            <w:tcW w:w="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7"/>
              </w:rPr>
              <w:t>102</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758</w:t>
            </w: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2017</w:t>
            </w:r>
          </w:p>
        </w:tc>
        <w:tc>
          <w:tcPr>
            <w:tcW w:w="2420" w:type="dxa"/>
            <w:vAlign w:val="bottom"/>
          </w:tcPr>
          <w:p>
            <w:pPr>
              <w:jc w:val="right"/>
              <w:ind w:right="142"/>
              <w:spacing w:after="0"/>
              <w:rPr>
                <w:sz w:val="20"/>
                <w:szCs w:val="20"/>
                <w:color w:val="auto"/>
              </w:rPr>
            </w:pPr>
            <w:r>
              <w:rPr>
                <w:rFonts w:ascii="Arial" w:cs="Arial" w:eastAsia="Arial" w:hAnsi="Arial"/>
                <w:sz w:val="16"/>
                <w:szCs w:val="16"/>
                <w:color w:val="auto"/>
              </w:rPr>
              <w:t>3,745</w:t>
            </w:r>
          </w:p>
        </w:tc>
        <w:tc>
          <w:tcPr>
            <w:tcW w:w="1000" w:type="dxa"/>
            <w:vAlign w:val="bottom"/>
          </w:tcPr>
          <w:p>
            <w:pPr>
              <w:spacing w:after="0"/>
              <w:rPr>
                <w:sz w:val="18"/>
                <w:szCs w:val="18"/>
                <w:color w:val="auto"/>
              </w:rPr>
            </w:pPr>
          </w:p>
        </w:tc>
        <w:tc>
          <w:tcPr>
            <w:tcW w:w="1500" w:type="dxa"/>
            <w:vAlign w:val="bottom"/>
          </w:tcPr>
          <w:p>
            <w:pPr>
              <w:jc w:val="right"/>
              <w:ind w:right="1140"/>
              <w:spacing w:after="0"/>
              <w:rPr>
                <w:sz w:val="20"/>
                <w:szCs w:val="20"/>
                <w:color w:val="auto"/>
              </w:rPr>
            </w:pPr>
            <w:r>
              <w:rPr>
                <w:rFonts w:ascii="Arial" w:cs="Arial" w:eastAsia="Arial" w:hAnsi="Arial"/>
                <w:sz w:val="16"/>
                <w:szCs w:val="16"/>
                <w:color w:val="auto"/>
                <w:w w:val="97"/>
              </w:rPr>
              <w:t>105</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90</w:t>
            </w:r>
          </w:p>
        </w:tc>
        <w:tc>
          <w:tcPr>
            <w:tcW w:w="1320" w:type="dxa"/>
            <w:vAlign w:val="bottom"/>
          </w:tcPr>
          <w:p>
            <w:pPr>
              <w:jc w:val="right"/>
              <w:spacing w:after="0"/>
              <w:rPr>
                <w:sz w:val="20"/>
                <w:szCs w:val="20"/>
                <w:color w:val="auto"/>
              </w:rPr>
            </w:pPr>
            <w:r>
              <w:rPr>
                <w:rFonts w:ascii="Arial" w:cs="Arial" w:eastAsia="Arial" w:hAnsi="Arial"/>
                <w:sz w:val="16"/>
                <w:szCs w:val="16"/>
                <w:color w:val="auto"/>
              </w:rPr>
              <w:t>3,730</w:t>
            </w:r>
          </w:p>
        </w:tc>
        <w:tc>
          <w:tcPr>
            <w:tcW w:w="200" w:type="dxa"/>
            <w:vAlign w:val="bottom"/>
          </w:tcPr>
          <w:p>
            <w:pPr>
              <w:spacing w:after="0"/>
              <w:rPr>
                <w:sz w:val="18"/>
                <w:szCs w:val="18"/>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55</w:t>
            </w: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24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3,730</w:t>
            </w:r>
          </w:p>
        </w:tc>
        <w:tc>
          <w:tcPr>
            <w:tcW w:w="10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40"/>
              <w:spacing w:after="0"/>
              <w:rPr>
                <w:sz w:val="20"/>
                <w:szCs w:val="20"/>
                <w:color w:val="auto"/>
              </w:rPr>
            </w:pPr>
            <w:r>
              <w:rPr>
                <w:rFonts w:ascii="Arial" w:cs="Arial" w:eastAsia="Arial" w:hAnsi="Arial"/>
                <w:sz w:val="16"/>
                <w:szCs w:val="16"/>
                <w:color w:val="auto"/>
                <w:w w:val="97"/>
              </w:rPr>
              <w:t>152</w:t>
            </w:r>
          </w:p>
        </w:tc>
        <w:tc>
          <w:tcPr>
            <w:tcW w:w="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7"/>
              </w:rPr>
              <w:t>106</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3,684</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100</w:t>
            </w: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2019</w:t>
            </w:r>
          </w:p>
        </w:tc>
        <w:tc>
          <w:tcPr>
            <w:tcW w:w="2420" w:type="dxa"/>
            <w:vAlign w:val="bottom"/>
          </w:tcPr>
          <w:p>
            <w:pPr>
              <w:jc w:val="right"/>
              <w:ind w:right="142"/>
              <w:spacing w:after="0"/>
              <w:rPr>
                <w:sz w:val="20"/>
                <w:szCs w:val="20"/>
                <w:color w:val="auto"/>
              </w:rPr>
            </w:pPr>
            <w:r>
              <w:rPr>
                <w:rFonts w:ascii="Arial" w:cs="Arial" w:eastAsia="Arial" w:hAnsi="Arial"/>
                <w:sz w:val="16"/>
                <w:szCs w:val="16"/>
                <w:color w:val="auto"/>
              </w:rPr>
              <w:t>3,684</w:t>
            </w:r>
          </w:p>
        </w:tc>
        <w:tc>
          <w:tcPr>
            <w:tcW w:w="1000" w:type="dxa"/>
            <w:vAlign w:val="bottom"/>
          </w:tcPr>
          <w:p>
            <w:pPr>
              <w:spacing w:after="0"/>
              <w:rPr>
                <w:sz w:val="18"/>
                <w:szCs w:val="18"/>
                <w:color w:val="auto"/>
              </w:rPr>
            </w:pPr>
          </w:p>
        </w:tc>
        <w:tc>
          <w:tcPr>
            <w:tcW w:w="1500" w:type="dxa"/>
            <w:vAlign w:val="bottom"/>
          </w:tcPr>
          <w:p>
            <w:pPr>
              <w:jc w:val="right"/>
              <w:ind w:right="1140"/>
              <w:spacing w:after="0"/>
              <w:rPr>
                <w:sz w:val="20"/>
                <w:szCs w:val="20"/>
                <w:color w:val="auto"/>
              </w:rPr>
            </w:pPr>
            <w:r>
              <w:rPr>
                <w:rFonts w:ascii="Arial" w:cs="Arial" w:eastAsia="Arial" w:hAnsi="Arial"/>
                <w:sz w:val="16"/>
                <w:szCs w:val="16"/>
                <w:color w:val="auto"/>
              </w:rPr>
              <w:t>51</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75</w:t>
            </w:r>
          </w:p>
        </w:tc>
        <w:tc>
          <w:tcPr>
            <w:tcW w:w="1320" w:type="dxa"/>
            <w:vAlign w:val="bottom"/>
          </w:tcPr>
          <w:p>
            <w:pPr>
              <w:jc w:val="right"/>
              <w:spacing w:after="0"/>
              <w:rPr>
                <w:sz w:val="20"/>
                <w:szCs w:val="20"/>
                <w:color w:val="auto"/>
              </w:rPr>
            </w:pPr>
            <w:r>
              <w:rPr>
                <w:rFonts w:ascii="Arial" w:cs="Arial" w:eastAsia="Arial" w:hAnsi="Arial"/>
                <w:sz w:val="16"/>
                <w:szCs w:val="16"/>
                <w:color w:val="auto"/>
              </w:rPr>
              <w:t>3,708</w:t>
            </w:r>
          </w:p>
        </w:tc>
        <w:tc>
          <w:tcPr>
            <w:tcW w:w="200" w:type="dxa"/>
            <w:vAlign w:val="bottom"/>
          </w:tcPr>
          <w:p>
            <w:pPr>
              <w:spacing w:after="0"/>
              <w:rPr>
                <w:sz w:val="18"/>
                <w:szCs w:val="18"/>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25</w:t>
            </w: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24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3,708</w:t>
            </w:r>
          </w:p>
        </w:tc>
        <w:tc>
          <w:tcPr>
            <w:tcW w:w="10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40"/>
              <w:spacing w:after="0"/>
              <w:rPr>
                <w:sz w:val="20"/>
                <w:szCs w:val="20"/>
                <w:color w:val="auto"/>
              </w:rPr>
            </w:pPr>
            <w:r>
              <w:rPr>
                <w:rFonts w:ascii="Arial" w:cs="Arial" w:eastAsia="Arial" w:hAnsi="Arial"/>
                <w:sz w:val="16"/>
                <w:szCs w:val="16"/>
                <w:color w:val="auto"/>
                <w:w w:val="97"/>
              </w:rPr>
              <w:t>152</w:t>
            </w:r>
          </w:p>
        </w:tc>
        <w:tc>
          <w:tcPr>
            <w:tcW w:w="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59</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3,615</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57</w:t>
            </w:r>
          </w:p>
        </w:tc>
      </w:tr>
      <w:tr>
        <w:trPr>
          <w:trHeight w:val="215"/>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2021 (As of March 31)</w:t>
            </w:r>
          </w:p>
        </w:tc>
        <w:tc>
          <w:tcPr>
            <w:tcW w:w="24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3,615</w:t>
            </w:r>
          </w:p>
        </w:tc>
        <w:tc>
          <w:tcPr>
            <w:tcW w:w="10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40"/>
              <w:spacing w:after="0"/>
              <w:rPr>
                <w:sz w:val="20"/>
                <w:szCs w:val="20"/>
                <w:color w:val="auto"/>
              </w:rPr>
            </w:pPr>
            <w:r>
              <w:rPr>
                <w:rFonts w:ascii="Arial" w:cs="Arial" w:eastAsia="Arial" w:hAnsi="Arial"/>
                <w:sz w:val="16"/>
                <w:szCs w:val="16"/>
                <w:b w:val="1"/>
                <w:bCs w:val="1"/>
                <w:color w:val="auto"/>
              </w:rPr>
              <w:t>5</w:t>
            </w: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7</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3,617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w:t>
            </w: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March 31, 2021, we had resolved, by means of settlement or dismissal, 37,954 claims. The total cost of resolving all claims was $10.4 million. Of this amount, almost 100% was paid by our insurance carrier, who has confirmed that we have approximately $140 million of remaining coverage under primary and excess policies that should be available with respect to current and future asbestos claims.</w:t>
      </w:r>
    </w:p>
    <w:p>
      <w:pPr>
        <w:spacing w:after="0" w:line="10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Company’s subsidiary, Brandon Drying Fabrics, Inc. (“Brandon”), is also a separate defendant in many of the asbestos cases in which Albany is named as a defendant, despite never having manufactured any fabrics containing asbestos. While Brandon was defending against 7,709 claims as of March 31, 2021, only twelve claims have been filed against Brandon since January 1, 2012, and a negligible amount of settlement costs have been incurred since 2001. Brandon was acquired by the Company in 1999, and has its own insurance policies covering periods prior to 1999. Since 2004, Brandon’s insurance carriers have covered 100% of indemnification and defense costs, subject to policy limits and a standard reservation of rights.</w:t>
      </w:r>
    </w:p>
    <w:p>
      <w:pPr>
        <w:spacing w:after="0" w:line="10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10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 Changes in Shareholders’ Equity</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changes in Shareholders’ Equity for the period December 31, 2020 to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40" w:type="dxa"/>
            <w:vAlign w:val="bottom"/>
          </w:tcPr>
          <w:p>
            <w:pPr>
              <w:spacing w:after="0"/>
              <w:rPr>
                <w:sz w:val="10"/>
                <w:szCs w:val="10"/>
                <w:color w:val="auto"/>
              </w:rPr>
            </w:pPr>
          </w:p>
        </w:tc>
        <w:tc>
          <w:tcPr>
            <w:tcW w:w="1620" w:type="dxa"/>
            <w:vAlign w:val="bottom"/>
            <w:gridSpan w:val="3"/>
          </w:tcPr>
          <w:p>
            <w:pPr>
              <w:jc w:val="right"/>
              <w:ind w:right="606"/>
              <w:spacing w:after="0"/>
              <w:rPr>
                <w:sz w:val="20"/>
                <w:szCs w:val="20"/>
                <w:color w:val="auto"/>
              </w:rPr>
            </w:pPr>
            <w:r>
              <w:rPr>
                <w:rFonts w:ascii="Arial" w:cs="Arial" w:eastAsia="Arial" w:hAnsi="Arial"/>
                <w:sz w:val="11"/>
                <w:szCs w:val="11"/>
                <w:b w:val="1"/>
                <w:bCs w:val="1"/>
                <w:color w:val="auto"/>
              </w:rPr>
              <w:t>Class A</w:t>
            </w:r>
          </w:p>
        </w:tc>
        <w:tc>
          <w:tcPr>
            <w:tcW w:w="1380" w:type="dxa"/>
            <w:vAlign w:val="bottom"/>
            <w:gridSpan w:val="3"/>
          </w:tcPr>
          <w:p>
            <w:pPr>
              <w:jc w:val="right"/>
              <w:ind w:right="486"/>
              <w:spacing w:after="0"/>
              <w:rPr>
                <w:sz w:val="20"/>
                <w:szCs w:val="20"/>
                <w:color w:val="auto"/>
              </w:rPr>
            </w:pPr>
            <w:r>
              <w:rPr>
                <w:rFonts w:ascii="Arial" w:cs="Arial" w:eastAsia="Arial" w:hAnsi="Arial"/>
                <w:sz w:val="11"/>
                <w:szCs w:val="11"/>
                <w:b w:val="1"/>
                <w:bCs w:val="1"/>
                <w:color w:val="auto"/>
              </w:rPr>
              <w:t>Class B</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80" w:type="dxa"/>
            <w:vAlign w:val="bottom"/>
            <w:gridSpan w:val="3"/>
          </w:tcPr>
          <w:p>
            <w:pPr>
              <w:jc w:val="right"/>
              <w:ind w:right="446"/>
              <w:spacing w:after="0"/>
              <w:rPr>
                <w:sz w:val="20"/>
                <w:szCs w:val="20"/>
                <w:color w:val="auto"/>
              </w:rPr>
            </w:pPr>
            <w:r>
              <w:rPr>
                <w:rFonts w:ascii="Arial" w:cs="Arial" w:eastAsia="Arial" w:hAnsi="Arial"/>
                <w:sz w:val="11"/>
                <w:szCs w:val="11"/>
                <w:b w:val="1"/>
                <w:bCs w:val="1"/>
                <w:color w:val="auto"/>
              </w:rPr>
              <w:t>Class A</w:t>
            </w: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1620" w:type="dxa"/>
            <w:vAlign w:val="bottom"/>
            <w:gridSpan w:val="3"/>
          </w:tcPr>
          <w:p>
            <w:pPr>
              <w:jc w:val="right"/>
              <w:ind w:right="406"/>
              <w:spacing w:after="0"/>
              <w:rPr>
                <w:sz w:val="20"/>
                <w:szCs w:val="20"/>
                <w:color w:val="auto"/>
              </w:rPr>
            </w:pPr>
            <w:r>
              <w:rPr>
                <w:rFonts w:ascii="Arial" w:cs="Arial" w:eastAsia="Arial" w:hAnsi="Arial"/>
                <w:sz w:val="11"/>
                <w:szCs w:val="11"/>
                <w:b w:val="1"/>
                <w:bCs w:val="1"/>
                <w:color w:val="auto"/>
              </w:rPr>
              <w:t>Common Stock</w:t>
            </w:r>
          </w:p>
        </w:tc>
        <w:tc>
          <w:tcPr>
            <w:tcW w:w="1380" w:type="dxa"/>
            <w:vAlign w:val="bottom"/>
            <w:gridSpan w:val="3"/>
          </w:tcPr>
          <w:p>
            <w:pPr>
              <w:jc w:val="right"/>
              <w:ind w:right="286"/>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w w:val="97"/>
              </w:rPr>
              <w:t>Accumulated items of</w:t>
            </w:r>
          </w:p>
        </w:tc>
        <w:tc>
          <w:tcPr>
            <w:tcW w:w="1380" w:type="dxa"/>
            <w:vAlign w:val="bottom"/>
            <w:gridSpan w:val="3"/>
          </w:tcPr>
          <w:p>
            <w:pPr>
              <w:jc w:val="right"/>
              <w:ind w:right="246"/>
              <w:spacing w:after="0"/>
              <w:rPr>
                <w:sz w:val="20"/>
                <w:szCs w:val="20"/>
                <w:color w:val="auto"/>
              </w:rPr>
            </w:pPr>
            <w:r>
              <w:rPr>
                <w:rFonts w:ascii="Arial" w:cs="Arial" w:eastAsia="Arial" w:hAnsi="Arial"/>
                <w:sz w:val="11"/>
                <w:szCs w:val="11"/>
                <w:b w:val="1"/>
                <w:bCs w:val="1"/>
                <w:color w:val="auto"/>
              </w:rPr>
              <w:t>Treasury Stock</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154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98"/>
              </w:rPr>
              <w:t>Additional paid-</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auto"/>
                <w:w w:val="98"/>
              </w:rPr>
              <w:t>other comprehensive</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540" w:type="dxa"/>
            <w:vAlign w:val="bottom"/>
          </w:tcPr>
          <w:p>
            <w:pPr>
              <w:ind w:left="400"/>
              <w:spacing w:after="0"/>
              <w:rPr>
                <w:sz w:val="20"/>
                <w:szCs w:val="20"/>
                <w:color w:val="auto"/>
              </w:rPr>
            </w:pPr>
            <w:r>
              <w:rPr>
                <w:rFonts w:ascii="Arial" w:cs="Arial" w:eastAsia="Arial" w:hAnsi="Arial"/>
                <w:sz w:val="11"/>
                <w:szCs w:val="11"/>
                <w:b w:val="1"/>
                <w:bCs w:val="1"/>
                <w:color w:val="auto"/>
              </w:rPr>
              <w:t>(in thousands)</w:t>
            </w:r>
          </w:p>
        </w:tc>
        <w:tc>
          <w:tcPr>
            <w:tcW w:w="780" w:type="dxa"/>
            <w:vAlign w:val="bottom"/>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720" w:type="dxa"/>
            <w:vAlign w:val="bottom"/>
          </w:tcPr>
          <w:p>
            <w:pPr>
              <w:jc w:val="right"/>
              <w:ind w:right="206"/>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2"/>
                <w:szCs w:val="12"/>
                <w:color w:val="auto"/>
              </w:rPr>
            </w:pPr>
          </w:p>
        </w:tc>
        <w:tc>
          <w:tcPr>
            <w:tcW w:w="740" w:type="dxa"/>
            <w:vAlign w:val="bottom"/>
          </w:tcPr>
          <w:p>
            <w:pPr>
              <w:jc w:val="right"/>
              <w:ind w:right="146"/>
              <w:spacing w:after="0"/>
              <w:rPr>
                <w:sz w:val="20"/>
                <w:szCs w:val="20"/>
                <w:color w:val="auto"/>
              </w:rPr>
            </w:pPr>
            <w:r>
              <w:rPr>
                <w:rFonts w:ascii="Arial" w:cs="Arial" w:eastAsia="Arial" w:hAnsi="Arial"/>
                <w:sz w:val="11"/>
                <w:szCs w:val="11"/>
                <w:b w:val="1"/>
                <w:bCs w:val="1"/>
                <w:color w:val="auto"/>
              </w:rPr>
              <w:t>in capital</w:t>
            </w: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Retained earnings</w:t>
            </w:r>
          </w:p>
        </w:tc>
        <w:tc>
          <w:tcPr>
            <w:tcW w:w="120" w:type="dxa"/>
            <w:vAlign w:val="bottom"/>
          </w:tcPr>
          <w:p>
            <w:pPr>
              <w:spacing w:after="0"/>
              <w:rPr>
                <w:sz w:val="12"/>
                <w:szCs w:val="12"/>
                <w:color w:val="auto"/>
              </w:rPr>
            </w:pPr>
          </w:p>
        </w:tc>
        <w:tc>
          <w:tcPr>
            <w:tcW w:w="1300" w:type="dxa"/>
            <w:vAlign w:val="bottom"/>
          </w:tcPr>
          <w:p>
            <w:pPr>
              <w:jc w:val="center"/>
              <w:ind w:right="66"/>
              <w:spacing w:after="0"/>
              <w:rPr>
                <w:sz w:val="20"/>
                <w:szCs w:val="20"/>
                <w:color w:val="auto"/>
              </w:rPr>
            </w:pPr>
            <w:r>
              <w:rPr>
                <w:rFonts w:ascii="Arial" w:cs="Arial" w:eastAsia="Arial" w:hAnsi="Arial"/>
                <w:sz w:val="11"/>
                <w:szCs w:val="11"/>
                <w:b w:val="1"/>
                <w:bCs w:val="1"/>
                <w:color w:val="auto"/>
                <w:w w:val="98"/>
              </w:rPr>
              <w:t>income</w:t>
            </w:r>
          </w:p>
        </w:tc>
        <w:tc>
          <w:tcPr>
            <w:tcW w:w="66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600" w:type="dxa"/>
            <w:vAlign w:val="bottom"/>
          </w:tcPr>
          <w:p>
            <w:pPr>
              <w:jc w:val="right"/>
              <w:ind w:right="106"/>
              <w:spacing w:after="0"/>
              <w:rPr>
                <w:sz w:val="20"/>
                <w:szCs w:val="20"/>
                <w:color w:val="auto"/>
              </w:rPr>
            </w:pPr>
            <w:r>
              <w:rPr>
                <w:rFonts w:ascii="Arial" w:cs="Arial" w:eastAsia="Arial" w:hAnsi="Arial"/>
                <w:sz w:val="11"/>
                <w:szCs w:val="11"/>
                <w:b w:val="1"/>
                <w:bCs w:val="1"/>
                <w:color w:val="auto"/>
              </w:rPr>
              <w:t>Amount</w:t>
            </w: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w w:val="97"/>
              </w:rPr>
              <w:t>Noncontrolling Interest</w:t>
            </w:r>
          </w:p>
        </w:tc>
        <w:tc>
          <w:tcPr>
            <w:tcW w:w="100" w:type="dxa"/>
            <w:vAlign w:val="bottom"/>
          </w:tcPr>
          <w:p>
            <w:pPr>
              <w:spacing w:after="0"/>
              <w:rPr>
                <w:sz w:val="12"/>
                <w:szCs w:val="12"/>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b w:val="1"/>
                <w:bCs w:val="1"/>
                <w:color w:val="auto"/>
                <w:w w:val="95"/>
              </w:rPr>
              <w:t>Total Equity</w:t>
            </w:r>
          </w:p>
        </w:tc>
        <w:tc>
          <w:tcPr>
            <w:tcW w:w="0" w:type="dxa"/>
            <w:vAlign w:val="bottom"/>
          </w:tcPr>
          <w:p>
            <w:pPr>
              <w:spacing w:after="0"/>
              <w:rPr>
                <w:sz w:val="1"/>
                <w:szCs w:val="1"/>
                <w:color w:val="auto"/>
              </w:rPr>
            </w:pPr>
          </w:p>
        </w:tc>
      </w:tr>
      <w:tr>
        <w:trPr>
          <w:trHeight w:val="22"/>
        </w:trPr>
        <w:tc>
          <w:tcPr>
            <w:tcW w:w="1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2020</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39,115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39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433,696</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770,746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(132,408)</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8,391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(256,009)</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3,799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819,865</w:t>
            </w:r>
          </w:p>
        </w:tc>
        <w:tc>
          <w:tcPr>
            <w:tcW w:w="0" w:type="dxa"/>
            <w:vAlign w:val="bottom"/>
          </w:tcPr>
          <w:p>
            <w:pPr>
              <w:spacing w:after="0"/>
              <w:rPr>
                <w:sz w:val="1"/>
                <w:szCs w:val="1"/>
                <w:color w:val="auto"/>
              </w:rPr>
            </w:pPr>
          </w:p>
        </w:tc>
      </w:tr>
      <w:tr>
        <w:trPr>
          <w:trHeight w:val="133"/>
        </w:trPr>
        <w:tc>
          <w:tcPr>
            <w:tcW w:w="154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Net income</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27,582</w:t>
            </w: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27</w:t>
            </w: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27,609</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54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Compensation and benefits</w:t>
            </w: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paid or payable in shares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40"/>
        </w:trPr>
        <w:tc>
          <w:tcPr>
            <w:tcW w:w="154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780" w:type="dxa"/>
            <w:vAlign w:val="bottom"/>
          </w:tcPr>
          <w:p>
            <w:pPr>
              <w:jc w:val="right"/>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2"/>
                <w:szCs w:val="12"/>
                <w:color w:val="auto"/>
              </w:rPr>
            </w:pPr>
          </w:p>
        </w:tc>
        <w:tc>
          <w:tcPr>
            <w:tcW w:w="7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128</w:t>
            </w:r>
          </w:p>
        </w:tc>
        <w:tc>
          <w:tcPr>
            <w:tcW w:w="3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128</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Shares issued to Directors'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540" w:type="dxa"/>
            <w:vAlign w:val="bottom"/>
          </w:tcPr>
          <w:p>
            <w:pPr>
              <w:ind w:left="20"/>
              <w:spacing w:after="0"/>
              <w:rPr>
                <w:sz w:val="20"/>
                <w:szCs w:val="20"/>
                <w:color w:val="auto"/>
              </w:rPr>
            </w:pPr>
            <w:r>
              <w:rPr>
                <w:rFonts w:ascii="Arial" w:cs="Arial" w:eastAsia="Arial" w:hAnsi="Arial"/>
                <w:sz w:val="11"/>
                <w:szCs w:val="11"/>
                <w:color w:val="auto"/>
              </w:rPr>
              <w:t>Dividends declared</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54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Class A Common Stock,</w:t>
            </w: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$0.20 per share</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(6,150)</w:t>
            </w:r>
          </w:p>
        </w:tc>
        <w:tc>
          <w:tcPr>
            <w:tcW w:w="120" w:type="dxa"/>
            <w:vAlign w:val="bottom"/>
            <w:tcBorders>
              <w:bottom w:val="single" w:sz="8" w:color="CCEEFF"/>
            </w:tcBorders>
            <w:shd w:val="clear" w:color="auto" w:fill="CCEEFF"/>
          </w:tcPr>
          <w:p>
            <w:pPr>
              <w:spacing w:after="0"/>
              <w:rPr>
                <w:sz w:val="11"/>
                <w:szCs w:val="11"/>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(6,150)</w:t>
            </w:r>
          </w:p>
        </w:tc>
        <w:tc>
          <w:tcPr>
            <w:tcW w:w="0" w:type="dxa"/>
            <w:vAlign w:val="bottom"/>
          </w:tcPr>
          <w:p>
            <w:pPr>
              <w:spacing w:after="0"/>
              <w:rPr>
                <w:sz w:val="1"/>
                <w:szCs w:val="1"/>
                <w:color w:val="auto"/>
              </w:rPr>
            </w:pPr>
          </w:p>
        </w:tc>
      </w:tr>
      <w:tr>
        <w:trPr>
          <w:trHeight w:val="118"/>
        </w:trPr>
        <w:tc>
          <w:tcPr>
            <w:tcW w:w="1540" w:type="dxa"/>
            <w:vAlign w:val="bottom"/>
          </w:tcPr>
          <w:p>
            <w:pPr>
              <w:ind w:left="20"/>
              <w:spacing w:after="0" w:line="119" w:lineRule="exact"/>
              <w:rPr>
                <w:sz w:val="20"/>
                <w:szCs w:val="20"/>
                <w:color w:val="auto"/>
              </w:rPr>
            </w:pPr>
            <w:r>
              <w:rPr>
                <w:rFonts w:ascii="Arial" w:cs="Arial" w:eastAsia="Arial" w:hAnsi="Arial"/>
                <w:sz w:val="11"/>
                <w:szCs w:val="11"/>
                <w:color w:val="auto"/>
              </w:rPr>
              <w:t>Class B Common Stock,</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40" w:type="dxa"/>
            <w:vAlign w:val="bottom"/>
          </w:tcPr>
          <w:p>
            <w:pPr>
              <w:ind w:left="20"/>
              <w:spacing w:after="0"/>
              <w:rPr>
                <w:sz w:val="20"/>
                <w:szCs w:val="20"/>
                <w:color w:val="auto"/>
              </w:rPr>
            </w:pPr>
            <w:r>
              <w:rPr>
                <w:rFonts w:ascii="Arial" w:cs="Arial" w:eastAsia="Arial" w:hAnsi="Arial"/>
                <w:sz w:val="11"/>
                <w:szCs w:val="11"/>
                <w:color w:val="auto"/>
              </w:rPr>
              <w:t>$0.20 per share</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(324)</w:t>
            </w:r>
          </w:p>
        </w:tc>
        <w:tc>
          <w:tcPr>
            <w:tcW w:w="120" w:type="dxa"/>
            <w:vAlign w:val="bottom"/>
          </w:tcPr>
          <w:p>
            <w:pPr>
              <w:spacing w:after="0"/>
              <w:rPr>
                <w:sz w:val="11"/>
                <w:szCs w:val="11"/>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(324)</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54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Cumulative translation</w:t>
            </w: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(15,955)</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(210)</w:t>
            </w: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(16,165)</w:t>
            </w:r>
          </w:p>
        </w:tc>
        <w:tc>
          <w:tcPr>
            <w:tcW w:w="0" w:type="dxa"/>
            <w:vAlign w:val="bottom"/>
          </w:tcPr>
          <w:p>
            <w:pPr>
              <w:spacing w:after="0"/>
              <w:rPr>
                <w:sz w:val="1"/>
                <w:szCs w:val="1"/>
                <w:color w:val="auto"/>
              </w:rPr>
            </w:pPr>
          </w:p>
        </w:tc>
      </w:tr>
      <w:tr>
        <w:trPr>
          <w:trHeight w:val="118"/>
        </w:trPr>
        <w:tc>
          <w:tcPr>
            <w:tcW w:w="1540" w:type="dxa"/>
            <w:vAlign w:val="bottom"/>
          </w:tcPr>
          <w:p>
            <w:pPr>
              <w:ind w:left="20"/>
              <w:spacing w:after="0" w:line="119" w:lineRule="exact"/>
              <w:rPr>
                <w:sz w:val="20"/>
                <w:szCs w:val="20"/>
                <w:color w:val="auto"/>
              </w:rPr>
            </w:pPr>
            <w:r>
              <w:rPr>
                <w:rFonts w:ascii="Arial" w:cs="Arial" w:eastAsia="Arial" w:hAnsi="Arial"/>
                <w:sz w:val="11"/>
                <w:szCs w:val="11"/>
                <w:color w:val="auto"/>
              </w:rPr>
              <w:t>Pension and postretirement</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40" w:type="dxa"/>
            <w:vAlign w:val="bottom"/>
          </w:tcPr>
          <w:p>
            <w:pPr>
              <w:ind w:left="20"/>
              <w:spacing w:after="0"/>
              <w:rPr>
                <w:sz w:val="20"/>
                <w:szCs w:val="20"/>
                <w:color w:val="auto"/>
              </w:rPr>
            </w:pPr>
            <w:r>
              <w:rPr>
                <w:rFonts w:ascii="Arial" w:cs="Arial" w:eastAsia="Arial" w:hAnsi="Arial"/>
                <w:sz w:val="11"/>
                <w:szCs w:val="11"/>
                <w:color w:val="auto"/>
              </w:rPr>
              <w:t>liability adjustments</w:t>
            </w: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509</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509</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8"/>
              </w:rPr>
              <w:t>Derivative valuation adjustment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752</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752</w:t>
            </w:r>
          </w:p>
        </w:tc>
        <w:tc>
          <w:tcPr>
            <w:tcW w:w="0" w:type="dxa"/>
            <w:vAlign w:val="bottom"/>
          </w:tcPr>
          <w:p>
            <w:pPr>
              <w:spacing w:after="0"/>
              <w:rPr>
                <w:sz w:val="1"/>
                <w:szCs w:val="1"/>
                <w:color w:val="auto"/>
              </w:rPr>
            </w:pPr>
          </w:p>
        </w:tc>
      </w:tr>
      <w:tr>
        <w:trPr>
          <w:trHeight w:val="135"/>
        </w:trPr>
        <w:tc>
          <w:tcPr>
            <w:tcW w:w="154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March 31, 2021</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39,141</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39</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1,618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w:t>
            </w:r>
          </w:p>
        </w:tc>
        <w:tc>
          <w:tcPr>
            <w:tcW w:w="12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w:t>
            </w:r>
          </w:p>
        </w:tc>
        <w:tc>
          <w:tcPr>
            <w:tcW w:w="7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433,811</w:t>
            </w: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791,854</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(147,102)</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8,391</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(256,009)</w:t>
            </w: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3,616</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826,211</w:t>
            </w:r>
          </w:p>
        </w:tc>
        <w:tc>
          <w:tcPr>
            <w:tcW w:w="0" w:type="dxa"/>
            <w:vAlign w:val="bottom"/>
          </w:tcPr>
          <w:p>
            <w:pPr>
              <w:spacing w:after="0"/>
              <w:rPr>
                <w:sz w:val="1"/>
                <w:szCs w:val="1"/>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changes in Shareholders’ Equity for the period December 31, 2019 to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00" w:type="dxa"/>
            <w:vAlign w:val="bottom"/>
          </w:tcPr>
          <w:p>
            <w:pPr>
              <w:spacing w:after="0"/>
              <w:rPr>
                <w:sz w:val="10"/>
                <w:szCs w:val="10"/>
                <w:color w:val="auto"/>
              </w:rPr>
            </w:pPr>
          </w:p>
        </w:tc>
        <w:tc>
          <w:tcPr>
            <w:tcW w:w="1580" w:type="dxa"/>
            <w:vAlign w:val="bottom"/>
            <w:gridSpan w:val="3"/>
          </w:tcPr>
          <w:p>
            <w:pPr>
              <w:jc w:val="right"/>
              <w:ind w:right="586"/>
              <w:spacing w:after="0"/>
              <w:rPr>
                <w:sz w:val="20"/>
                <w:szCs w:val="20"/>
                <w:color w:val="auto"/>
              </w:rPr>
            </w:pPr>
            <w:r>
              <w:rPr>
                <w:rFonts w:ascii="Arial" w:cs="Arial" w:eastAsia="Arial" w:hAnsi="Arial"/>
                <w:sz w:val="11"/>
                <w:szCs w:val="11"/>
                <w:b w:val="1"/>
                <w:bCs w:val="1"/>
                <w:color w:val="auto"/>
              </w:rPr>
              <w:t>Class A</w:t>
            </w:r>
          </w:p>
        </w:tc>
        <w:tc>
          <w:tcPr>
            <w:tcW w:w="1360" w:type="dxa"/>
            <w:vAlign w:val="bottom"/>
            <w:gridSpan w:val="3"/>
          </w:tcPr>
          <w:p>
            <w:pPr>
              <w:jc w:val="right"/>
              <w:ind w:right="466"/>
              <w:spacing w:after="0"/>
              <w:rPr>
                <w:sz w:val="20"/>
                <w:szCs w:val="20"/>
                <w:color w:val="auto"/>
              </w:rPr>
            </w:pPr>
            <w:r>
              <w:rPr>
                <w:rFonts w:ascii="Arial" w:cs="Arial" w:eastAsia="Arial" w:hAnsi="Arial"/>
                <w:sz w:val="11"/>
                <w:szCs w:val="11"/>
                <w:b w:val="1"/>
                <w:bCs w:val="1"/>
                <w:color w:val="auto"/>
              </w:rPr>
              <w:t>Class B</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60" w:type="dxa"/>
            <w:vAlign w:val="bottom"/>
            <w:gridSpan w:val="3"/>
          </w:tcPr>
          <w:p>
            <w:pPr>
              <w:jc w:val="right"/>
              <w:ind w:right="426"/>
              <w:spacing w:after="0"/>
              <w:rPr>
                <w:sz w:val="20"/>
                <w:szCs w:val="20"/>
                <w:color w:val="auto"/>
              </w:rPr>
            </w:pPr>
            <w:r>
              <w:rPr>
                <w:rFonts w:ascii="Arial" w:cs="Arial" w:eastAsia="Arial" w:hAnsi="Arial"/>
                <w:sz w:val="11"/>
                <w:szCs w:val="11"/>
                <w:b w:val="1"/>
                <w:bCs w:val="1"/>
                <w:color w:val="auto"/>
              </w:rPr>
              <w:t>Class A</w:t>
            </w: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57"/>
        </w:trPr>
        <w:tc>
          <w:tcPr>
            <w:tcW w:w="1500" w:type="dxa"/>
            <w:vAlign w:val="bottom"/>
          </w:tcPr>
          <w:p>
            <w:pPr>
              <w:spacing w:after="0"/>
              <w:rPr>
                <w:sz w:val="13"/>
                <w:szCs w:val="13"/>
                <w:color w:val="auto"/>
              </w:rPr>
            </w:pPr>
          </w:p>
        </w:tc>
        <w:tc>
          <w:tcPr>
            <w:tcW w:w="1580" w:type="dxa"/>
            <w:vAlign w:val="bottom"/>
            <w:tcBorders>
              <w:bottom w:val="single" w:sz="8" w:color="auto"/>
            </w:tcBorders>
            <w:gridSpan w:val="3"/>
          </w:tcPr>
          <w:p>
            <w:pPr>
              <w:jc w:val="right"/>
              <w:ind w:right="386"/>
              <w:spacing w:after="0"/>
              <w:rPr>
                <w:sz w:val="20"/>
                <w:szCs w:val="20"/>
                <w:color w:val="auto"/>
              </w:rPr>
            </w:pPr>
            <w:r>
              <w:rPr>
                <w:rFonts w:ascii="Arial" w:cs="Arial" w:eastAsia="Arial" w:hAnsi="Arial"/>
                <w:sz w:val="11"/>
                <w:szCs w:val="11"/>
                <w:b w:val="1"/>
                <w:bCs w:val="1"/>
                <w:color w:val="auto"/>
              </w:rPr>
              <w:t>Common Stock</w:t>
            </w:r>
          </w:p>
        </w:tc>
        <w:tc>
          <w:tcPr>
            <w:tcW w:w="1360" w:type="dxa"/>
            <w:vAlign w:val="bottom"/>
            <w:tcBorders>
              <w:bottom w:val="single" w:sz="8" w:color="auto"/>
            </w:tcBorders>
            <w:gridSpan w:val="3"/>
          </w:tcPr>
          <w:p>
            <w:pPr>
              <w:jc w:val="right"/>
              <w:ind w:right="286"/>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right"/>
              <w:ind w:right="386"/>
              <w:spacing w:after="0"/>
              <w:rPr>
                <w:sz w:val="20"/>
                <w:szCs w:val="20"/>
                <w:color w:val="auto"/>
              </w:rPr>
            </w:pPr>
            <w:r>
              <w:rPr>
                <w:rFonts w:ascii="Arial" w:cs="Arial" w:eastAsia="Arial" w:hAnsi="Arial"/>
                <w:sz w:val="11"/>
                <w:szCs w:val="11"/>
                <w:b w:val="1"/>
                <w:bCs w:val="1"/>
                <w:color w:val="auto"/>
              </w:rPr>
              <w:t>Accumulated</w:t>
            </w:r>
          </w:p>
        </w:tc>
        <w:tc>
          <w:tcPr>
            <w:tcW w:w="136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1"/>
                <w:szCs w:val="11"/>
                <w:b w:val="1"/>
                <w:bCs w:val="1"/>
                <w:color w:val="auto"/>
              </w:rPr>
              <w:t>Treasury Stock</w:t>
            </w: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93"/>
        </w:trPr>
        <w:tc>
          <w:tcPr>
            <w:tcW w:w="1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gridSpan w:val="2"/>
          </w:tcPr>
          <w:p>
            <w:pPr>
              <w:ind w:left="20"/>
              <w:spacing w:after="0" w:line="93" w:lineRule="exact"/>
              <w:rPr>
                <w:sz w:val="20"/>
                <w:szCs w:val="20"/>
                <w:color w:val="auto"/>
              </w:rPr>
            </w:pPr>
            <w:r>
              <w:rPr>
                <w:rFonts w:ascii="Arial" w:cs="Arial" w:eastAsia="Arial" w:hAnsi="Arial"/>
                <w:sz w:val="10"/>
                <w:szCs w:val="10"/>
                <w:b w:val="1"/>
                <w:bCs w:val="1"/>
                <w:color w:val="auto"/>
              </w:rPr>
              <w:t>Additional paid-</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tcPr>
          <w:p>
            <w:pPr>
              <w:jc w:val="right"/>
              <w:ind w:right="506"/>
              <w:spacing w:after="0" w:line="93" w:lineRule="exact"/>
              <w:rPr>
                <w:sz w:val="20"/>
                <w:szCs w:val="20"/>
                <w:color w:val="auto"/>
              </w:rPr>
            </w:pPr>
            <w:r>
              <w:rPr>
                <w:rFonts w:ascii="Arial" w:cs="Arial" w:eastAsia="Arial" w:hAnsi="Arial"/>
                <w:sz w:val="10"/>
                <w:szCs w:val="10"/>
                <w:b w:val="1"/>
                <w:bCs w:val="1"/>
                <w:color w:val="auto"/>
              </w:rPr>
              <w:t>items of</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142"/>
        </w:trPr>
        <w:tc>
          <w:tcPr>
            <w:tcW w:w="1500" w:type="dxa"/>
            <w:vAlign w:val="bottom"/>
          </w:tcPr>
          <w:p>
            <w:pPr>
              <w:ind w:left="20"/>
              <w:spacing w:after="0"/>
              <w:rPr>
                <w:sz w:val="20"/>
                <w:szCs w:val="20"/>
                <w:color w:val="auto"/>
              </w:rPr>
            </w:pPr>
            <w:r>
              <w:rPr>
                <w:rFonts w:ascii="Arial" w:cs="Arial" w:eastAsia="Arial" w:hAnsi="Arial"/>
                <w:sz w:val="11"/>
                <w:szCs w:val="11"/>
                <w:b w:val="1"/>
                <w:bCs w:val="1"/>
                <w:color w:val="auto"/>
              </w:rPr>
              <w:t>(in thousands)</w:t>
            </w:r>
          </w:p>
        </w:tc>
        <w:tc>
          <w:tcPr>
            <w:tcW w:w="74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700" w:type="dxa"/>
            <w:vAlign w:val="bottom"/>
          </w:tcPr>
          <w:p>
            <w:pPr>
              <w:jc w:val="right"/>
              <w:ind w:right="186"/>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w w:val="96"/>
              </w:rPr>
              <w:t>Amount</w:t>
            </w:r>
          </w:p>
        </w:tc>
        <w:tc>
          <w:tcPr>
            <w:tcW w:w="140" w:type="dxa"/>
            <w:vAlign w:val="bottom"/>
          </w:tcPr>
          <w:p>
            <w:pPr>
              <w:spacing w:after="0"/>
              <w:rPr>
                <w:sz w:val="12"/>
                <w:szCs w:val="12"/>
                <w:color w:val="auto"/>
              </w:rPr>
            </w:pPr>
          </w:p>
        </w:tc>
        <w:tc>
          <w:tcPr>
            <w:tcW w:w="720" w:type="dxa"/>
            <w:vAlign w:val="bottom"/>
          </w:tcPr>
          <w:p>
            <w:pPr>
              <w:jc w:val="right"/>
              <w:ind w:right="146"/>
              <w:spacing w:after="0"/>
              <w:rPr>
                <w:sz w:val="20"/>
                <w:szCs w:val="20"/>
                <w:color w:val="auto"/>
              </w:rPr>
            </w:pPr>
            <w:r>
              <w:rPr>
                <w:rFonts w:ascii="Arial" w:cs="Arial" w:eastAsia="Arial" w:hAnsi="Arial"/>
                <w:sz w:val="11"/>
                <w:szCs w:val="11"/>
                <w:b w:val="1"/>
                <w:bCs w:val="1"/>
                <w:color w:val="auto"/>
              </w:rPr>
              <w:t>in capital</w:t>
            </w:r>
          </w:p>
        </w:tc>
        <w:tc>
          <w:tcPr>
            <w:tcW w:w="2520" w:type="dxa"/>
            <w:vAlign w:val="bottom"/>
            <w:gridSpan w:val="4"/>
          </w:tcPr>
          <w:p>
            <w:pPr>
              <w:ind w:left="20"/>
              <w:spacing w:after="0"/>
              <w:rPr>
                <w:sz w:val="20"/>
                <w:szCs w:val="20"/>
                <w:color w:val="auto"/>
              </w:rPr>
            </w:pPr>
            <w:r>
              <w:rPr>
                <w:rFonts w:ascii="Arial" w:cs="Arial" w:eastAsia="Arial" w:hAnsi="Arial"/>
                <w:sz w:val="11"/>
                <w:szCs w:val="11"/>
                <w:b w:val="1"/>
                <w:bCs w:val="1"/>
                <w:color w:val="auto"/>
                <w:w w:val="98"/>
              </w:rPr>
              <w:t>Retained earnings other comprehensive income</w:t>
            </w:r>
          </w:p>
        </w:tc>
        <w:tc>
          <w:tcPr>
            <w:tcW w:w="640" w:type="dxa"/>
            <w:vAlign w:val="bottom"/>
          </w:tcPr>
          <w:p>
            <w:pPr>
              <w:jc w:val="right"/>
              <w:ind w:right="66"/>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b w:val="1"/>
                <w:bCs w:val="1"/>
                <w:color w:val="auto"/>
              </w:rPr>
              <w:t>Amount</w:t>
            </w:r>
          </w:p>
        </w:tc>
        <w:tc>
          <w:tcPr>
            <w:tcW w:w="1240" w:type="dxa"/>
            <w:vAlign w:val="bottom"/>
            <w:gridSpan w:val="2"/>
          </w:tcPr>
          <w:p>
            <w:pPr>
              <w:ind w:left="20"/>
              <w:spacing w:after="0"/>
              <w:rPr>
                <w:sz w:val="20"/>
                <w:szCs w:val="20"/>
                <w:color w:val="auto"/>
              </w:rPr>
            </w:pPr>
            <w:r>
              <w:rPr>
                <w:rFonts w:ascii="Arial" w:cs="Arial" w:eastAsia="Arial" w:hAnsi="Arial"/>
                <w:sz w:val="11"/>
                <w:szCs w:val="11"/>
                <w:b w:val="1"/>
                <w:bCs w:val="1"/>
                <w:color w:val="auto"/>
                <w:w w:val="99"/>
              </w:rPr>
              <w:t>Noncontrolling Interest</w:t>
            </w:r>
          </w:p>
        </w:tc>
        <w:tc>
          <w:tcPr>
            <w:tcW w:w="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b w:val="1"/>
                <w:bCs w:val="1"/>
                <w:color w:val="auto"/>
                <w:w w:val="98"/>
              </w:rPr>
              <w:t>Total Equity</w:t>
            </w:r>
          </w:p>
        </w:tc>
      </w:tr>
      <w:tr>
        <w:trPr>
          <w:trHeight w:val="22"/>
        </w:trPr>
        <w:tc>
          <w:tcPr>
            <w:tcW w:w="1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60"/>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2019</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39,099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39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432,518</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698,496</w:t>
            </w:r>
          </w:p>
        </w:tc>
        <w:tc>
          <w:tcPr>
            <w:tcW w:w="26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(175,981)</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8,409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(256,391)</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4,006</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702,689</w:t>
            </w:r>
          </w:p>
        </w:tc>
      </w:tr>
      <w:tr>
        <w:trPr>
          <w:trHeight w:val="139"/>
        </w:trPr>
        <w:tc>
          <w:tcPr>
            <w:tcW w:w="150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Adoption of accounting</w:t>
            </w: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r>
      <w:tr>
        <w:trPr>
          <w:trHeight w:val="130"/>
        </w:trPr>
        <w:tc>
          <w:tcPr>
            <w:tcW w:w="1500" w:type="dxa"/>
            <w:vAlign w:val="bottom"/>
          </w:tcPr>
          <w:p>
            <w:pPr>
              <w:ind w:left="20"/>
              <w:spacing w:after="0"/>
              <w:rPr>
                <w:sz w:val="20"/>
                <w:szCs w:val="20"/>
                <w:color w:val="auto"/>
              </w:rPr>
            </w:pPr>
            <w:r>
              <w:rPr>
                <w:rFonts w:ascii="Arial" w:cs="Arial" w:eastAsia="Arial" w:hAnsi="Arial"/>
                <w:sz w:val="11"/>
                <w:szCs w:val="11"/>
                <w:color w:val="auto"/>
              </w:rPr>
              <w:t>standards (a)</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(1,443)</w:t>
            </w:r>
          </w:p>
        </w:tc>
        <w:tc>
          <w:tcPr>
            <w:tcW w:w="260" w:type="dxa"/>
            <w:vAlign w:val="bottom"/>
          </w:tcPr>
          <w:p>
            <w:pPr>
              <w:spacing w:after="0"/>
              <w:rPr>
                <w:sz w:val="11"/>
                <w:szCs w:val="11"/>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(1,443)</w:t>
            </w:r>
          </w:p>
        </w:tc>
      </w:tr>
      <w:tr>
        <w:trPr>
          <w:trHeight w:val="22"/>
        </w:trPr>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42"/>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9,109</w:t>
            </w:r>
          </w:p>
        </w:tc>
        <w:tc>
          <w:tcPr>
            <w:tcW w:w="26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(1,515)</w:t>
            </w: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7,594</w:t>
            </w:r>
          </w:p>
        </w:tc>
      </w:tr>
      <w:tr>
        <w:trPr>
          <w:trHeight w:val="145"/>
        </w:trPr>
        <w:tc>
          <w:tcPr>
            <w:tcW w:w="1500" w:type="dxa"/>
            <w:vAlign w:val="bottom"/>
          </w:tcPr>
          <w:p>
            <w:pPr>
              <w:ind w:left="20"/>
              <w:spacing w:after="0"/>
              <w:rPr>
                <w:sz w:val="20"/>
                <w:szCs w:val="20"/>
                <w:color w:val="auto"/>
              </w:rPr>
            </w:pPr>
            <w:r>
              <w:rPr>
                <w:rFonts w:ascii="Arial" w:cs="Arial" w:eastAsia="Arial" w:hAnsi="Arial"/>
                <w:sz w:val="11"/>
                <w:szCs w:val="11"/>
                <w:color w:val="auto"/>
              </w:rPr>
              <w:t>Compensation and benefits</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30"/>
        </w:trPr>
        <w:tc>
          <w:tcPr>
            <w:tcW w:w="1500" w:type="dxa"/>
            <w:vAlign w:val="bottom"/>
          </w:tcPr>
          <w:p>
            <w:pPr>
              <w:ind w:left="20"/>
              <w:spacing w:after="0"/>
              <w:rPr>
                <w:sz w:val="20"/>
                <w:szCs w:val="20"/>
                <w:color w:val="auto"/>
              </w:rPr>
            </w:pPr>
            <w:r>
              <w:rPr>
                <w:rFonts w:ascii="Arial" w:cs="Arial" w:eastAsia="Arial" w:hAnsi="Arial"/>
                <w:sz w:val="11"/>
                <w:szCs w:val="11"/>
                <w:color w:val="auto"/>
              </w:rPr>
              <w:t>paid or payable in shares</w:t>
            </w:r>
          </w:p>
        </w:tc>
        <w:tc>
          <w:tcPr>
            <w:tcW w:w="740" w:type="dxa"/>
            <w:vAlign w:val="bottom"/>
          </w:tcPr>
          <w:p>
            <w:pPr>
              <w:jc w:val="right"/>
              <w:spacing w:after="0"/>
              <w:rPr>
                <w:sz w:val="20"/>
                <w:szCs w:val="20"/>
                <w:color w:val="auto"/>
              </w:rPr>
            </w:pPr>
            <w:r>
              <w:rPr>
                <w:rFonts w:ascii="Arial" w:cs="Arial" w:eastAsia="Arial" w:hAnsi="Arial"/>
                <w:sz w:val="11"/>
                <w:szCs w:val="11"/>
                <w:color w:val="auto"/>
              </w:rPr>
              <w:t>13</w:t>
            </w:r>
          </w:p>
        </w:tc>
        <w:tc>
          <w:tcPr>
            <w:tcW w:w="140" w:type="dxa"/>
            <w:vAlign w:val="bottom"/>
          </w:tcPr>
          <w:p>
            <w:pPr>
              <w:spacing w:after="0"/>
              <w:rPr>
                <w:sz w:val="11"/>
                <w:szCs w:val="11"/>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(682)</w:t>
            </w:r>
          </w:p>
        </w:tc>
        <w:tc>
          <w:tcPr>
            <w:tcW w:w="3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(682)</w:t>
            </w:r>
          </w:p>
        </w:tc>
      </w:tr>
      <w:tr>
        <w:trPr>
          <w:trHeight w:val="22"/>
        </w:trPr>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42"/>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Options exercised</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53"/>
        </w:trPr>
        <w:tc>
          <w:tcPr>
            <w:tcW w:w="1500" w:type="dxa"/>
            <w:vAlign w:val="bottom"/>
          </w:tcPr>
          <w:p>
            <w:pPr>
              <w:ind w:left="20"/>
              <w:spacing w:after="0"/>
              <w:rPr>
                <w:sz w:val="20"/>
                <w:szCs w:val="20"/>
                <w:color w:val="auto"/>
              </w:rPr>
            </w:pPr>
            <w:r>
              <w:rPr>
                <w:rFonts w:ascii="Arial" w:cs="Arial" w:eastAsia="Arial" w:hAnsi="Arial"/>
                <w:sz w:val="11"/>
                <w:szCs w:val="11"/>
                <w:color w:val="auto"/>
              </w:rPr>
              <w:t>Shares issued to Directors'</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22"/>
        </w:trPr>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42"/>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Dividends declared</w:t>
            </w:r>
          </w:p>
        </w:tc>
        <w:tc>
          <w:tcPr>
            <w:tcW w:w="7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r>
      <w:tr>
        <w:trPr>
          <w:trHeight w:val="118"/>
        </w:trPr>
        <w:tc>
          <w:tcPr>
            <w:tcW w:w="1500" w:type="dxa"/>
            <w:vAlign w:val="bottom"/>
          </w:tcPr>
          <w:p>
            <w:pPr>
              <w:ind w:left="20"/>
              <w:spacing w:after="0" w:line="119" w:lineRule="exact"/>
              <w:rPr>
                <w:sz w:val="20"/>
                <w:szCs w:val="20"/>
                <w:color w:val="auto"/>
              </w:rPr>
            </w:pPr>
            <w:r>
              <w:rPr>
                <w:rFonts w:ascii="Arial" w:cs="Arial" w:eastAsia="Arial" w:hAnsi="Arial"/>
                <w:sz w:val="11"/>
                <w:szCs w:val="11"/>
                <w:color w:val="auto"/>
              </w:rPr>
              <w:t>Class A Common Stock,</w:t>
            </w: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30"/>
        </w:trPr>
        <w:tc>
          <w:tcPr>
            <w:tcW w:w="1500" w:type="dxa"/>
            <w:vAlign w:val="bottom"/>
          </w:tcPr>
          <w:p>
            <w:pPr>
              <w:ind w:left="20"/>
              <w:spacing w:after="0"/>
              <w:rPr>
                <w:sz w:val="20"/>
                <w:szCs w:val="20"/>
                <w:color w:val="auto"/>
              </w:rPr>
            </w:pPr>
            <w:r>
              <w:rPr>
                <w:rFonts w:ascii="Arial" w:cs="Arial" w:eastAsia="Arial" w:hAnsi="Arial"/>
                <w:sz w:val="11"/>
                <w:szCs w:val="11"/>
                <w:color w:val="auto"/>
              </w:rPr>
              <w:t>$0.19 per share</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(5,834)</w:t>
            </w:r>
          </w:p>
        </w:tc>
        <w:tc>
          <w:tcPr>
            <w:tcW w:w="260" w:type="dxa"/>
            <w:vAlign w:val="bottom"/>
          </w:tcPr>
          <w:p>
            <w:pPr>
              <w:spacing w:after="0"/>
              <w:rPr>
                <w:sz w:val="11"/>
                <w:szCs w:val="11"/>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(5,834)</w:t>
            </w:r>
          </w:p>
        </w:tc>
      </w:tr>
      <w:tr>
        <w:trPr>
          <w:trHeight w:val="22"/>
        </w:trPr>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18"/>
        </w:trPr>
        <w:tc>
          <w:tcPr>
            <w:tcW w:w="15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Class B Common Stock,</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r>
      <w:tr>
        <w:trPr>
          <w:trHeight w:val="132"/>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$0.19 per share</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(307)</w:t>
            </w:r>
          </w:p>
        </w:tc>
        <w:tc>
          <w:tcPr>
            <w:tcW w:w="26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(307)</w:t>
            </w:r>
          </w:p>
        </w:tc>
      </w:tr>
      <w:tr>
        <w:trPr>
          <w:trHeight w:val="145"/>
        </w:trPr>
        <w:tc>
          <w:tcPr>
            <w:tcW w:w="1500" w:type="dxa"/>
            <w:vAlign w:val="bottom"/>
          </w:tcPr>
          <w:p>
            <w:pPr>
              <w:ind w:left="20"/>
              <w:spacing w:after="0"/>
              <w:rPr>
                <w:sz w:val="20"/>
                <w:szCs w:val="20"/>
                <w:color w:val="auto"/>
              </w:rPr>
            </w:pPr>
            <w:r>
              <w:rPr>
                <w:rFonts w:ascii="Arial" w:cs="Arial" w:eastAsia="Arial" w:hAnsi="Arial"/>
                <w:sz w:val="11"/>
                <w:szCs w:val="11"/>
                <w:color w:val="auto"/>
              </w:rPr>
              <w:t>Cumulative translation</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30"/>
        </w:trPr>
        <w:tc>
          <w:tcPr>
            <w:tcW w:w="150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(25,747)</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109</w:t>
            </w: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(25,638)</w:t>
            </w:r>
          </w:p>
        </w:tc>
      </w:tr>
      <w:tr>
        <w:trPr>
          <w:trHeight w:val="22"/>
        </w:trPr>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18"/>
        </w:trPr>
        <w:tc>
          <w:tcPr>
            <w:tcW w:w="15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Pension and postretirement</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r>
      <w:tr>
        <w:trPr>
          <w:trHeight w:val="132"/>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liability adjustments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890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890</w:t>
            </w:r>
          </w:p>
        </w:tc>
      </w:tr>
      <w:tr>
        <w:trPr>
          <w:trHeight w:val="145"/>
        </w:trPr>
        <w:tc>
          <w:tcPr>
            <w:tcW w:w="1500" w:type="dxa"/>
            <w:vAlign w:val="bottom"/>
          </w:tcPr>
          <w:p>
            <w:pPr>
              <w:ind w:left="20"/>
              <w:spacing w:after="0"/>
              <w:rPr>
                <w:sz w:val="20"/>
                <w:szCs w:val="20"/>
                <w:color w:val="auto"/>
              </w:rPr>
            </w:pPr>
            <w:r>
              <w:rPr>
                <w:rFonts w:ascii="Arial" w:cs="Arial" w:eastAsia="Arial" w:hAnsi="Arial"/>
                <w:sz w:val="11"/>
                <w:szCs w:val="11"/>
                <w:color w:val="auto"/>
              </w:rPr>
              <w:t>Derivative valuation</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30"/>
        </w:trPr>
        <w:tc>
          <w:tcPr>
            <w:tcW w:w="1500" w:type="dxa"/>
            <w:vAlign w:val="bottom"/>
          </w:tcPr>
          <w:p>
            <w:pPr>
              <w:ind w:left="20"/>
              <w:spacing w:after="0"/>
              <w:rPr>
                <w:sz w:val="20"/>
                <w:szCs w:val="20"/>
                <w:color w:val="auto"/>
              </w:rPr>
            </w:pPr>
            <w:r>
              <w:rPr>
                <w:rFonts w:ascii="Arial" w:cs="Arial" w:eastAsia="Arial" w:hAnsi="Arial"/>
                <w:sz w:val="11"/>
                <w:szCs w:val="11"/>
                <w:color w:val="auto"/>
              </w:rPr>
              <w:t>adjustment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(7,708)</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(7,708)</w:t>
            </w:r>
          </w:p>
        </w:tc>
      </w:tr>
      <w:tr>
        <w:trPr>
          <w:trHeight w:val="22"/>
        </w:trPr>
        <w:tc>
          <w:tcPr>
            <w:tcW w:w="1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35"/>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March 31, 2020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39,112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7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39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431,836</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700,021</w:t>
            </w:r>
          </w:p>
        </w:tc>
        <w:tc>
          <w:tcPr>
            <w:tcW w:w="26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(208,546)</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8,409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(256,391)</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2,600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669,561</w:t>
            </w:r>
          </w:p>
        </w:tc>
      </w:tr>
      <w:tr>
        <w:trPr>
          <w:trHeight w:val="20"/>
        </w:trPr>
        <w:tc>
          <w:tcPr>
            <w:tcW w:w="1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107" w:lineRule="exact"/>
        <w:rPr>
          <w:sz w:val="20"/>
          <w:szCs w:val="20"/>
          <w:color w:val="auto"/>
        </w:rPr>
      </w:pPr>
    </w:p>
    <w:p>
      <w:pPr>
        <w:ind w:left="340" w:hanging="332"/>
        <w:spacing w:after="0" w:line="261" w:lineRule="auto"/>
        <w:tabs>
          <w:tab w:leader="none" w:pos="33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adopted the provisions of ASC 326, Current Expected Credit Losses (CECL) effective January 1, 2020, which resulted in a decrease to Retained earnings of $1.4 million.</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Recent Accounting Pronouncements</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March 2020, an accounting update was issued which provides optional guidance for a limited time to ease the potential accounting burden associated with transitioning away from reference rates such as LIBOR. In January 2021, an additional accounting update was issued to extend certain optional expedients to derivative contracts modified as a result of rate reform, including certain derivatives that do not reference LIBOR or other reference rates that are expected to be discontinued. The expedients and exceptions provided by this update will not be available after December 31, 2022. We are currently assessing the potential impact on our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“anticipate,” “intend,” “estimate,” “project,” ”look for,” “will,” “should,” “guidance,” “guide” and similar expressions identify forward-looking statements, which generally are not historical in nature. Because forward-looking statements are subject to certain risks and uncertainties, (including, without limitation, those set forth in the Company’s most recent Annual Report on Form 10-K or prior Quarterly Reports on Form 10-Q) actual results may differ materially from those expressed or implied by such forward-looking statements.</w:t>
      </w:r>
    </w:p>
    <w:p>
      <w:pPr>
        <w:spacing w:after="0" w:line="9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90" w:lineRule="exact"/>
        <w:rPr>
          <w:sz w:val="20"/>
          <w:szCs w:val="20"/>
          <w:color w:val="auto"/>
        </w:rPr>
      </w:pPr>
    </w:p>
    <w:p>
      <w:pPr>
        <w:jc w:val="both"/>
        <w:ind w:left="980" w:hanging="324"/>
        <w:spacing w:after="0" w:line="256"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and Albany Engineered Composites segments compete, along with the general risks associated with macroeconomic conditions, including continuation of COVID-19 pandemic effects for an extended period of time;</w:t>
      </w:r>
    </w:p>
    <w:p>
      <w:pPr>
        <w:spacing w:after="0" w:line="93" w:lineRule="exact"/>
        <w:rPr>
          <w:rFonts w:ascii="Arial" w:cs="Arial" w:eastAsia="Arial" w:hAnsi="Arial"/>
          <w:sz w:val="18"/>
          <w:szCs w:val="18"/>
          <w:color w:val="auto"/>
        </w:rPr>
      </w:pPr>
    </w:p>
    <w:p>
      <w:pPr>
        <w:ind w:left="980" w:right="20" w:hanging="324"/>
        <w:spacing w:after="0" w:line="261"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Machine Clothing segment, greater than anticipated declines in the demand for publication grades of paper, or lower than anticipated growth in other paper grades;</w:t>
      </w:r>
    </w:p>
    <w:p>
      <w:pPr>
        <w:spacing w:after="0" w:line="89" w:lineRule="exact"/>
        <w:rPr>
          <w:rFonts w:ascii="Arial" w:cs="Arial" w:eastAsia="Arial" w:hAnsi="Arial"/>
          <w:sz w:val="18"/>
          <w:szCs w:val="18"/>
          <w:color w:val="auto"/>
        </w:rPr>
      </w:pPr>
    </w:p>
    <w:p>
      <w:pPr>
        <w:jc w:val="both"/>
        <w:ind w:left="980" w:hanging="324"/>
        <w:spacing w:after="0" w:line="256"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Albany Engineered Composites segment, longer than expected timeframe for the aerospace industry to utilize existing inventories, and unanticipated reductions in demand, delays, technical difficulties, or cancellations in aerospace programs that are expected to generate revenue and drive long-term growth;</w:t>
      </w:r>
    </w:p>
    <w:p>
      <w:pPr>
        <w:spacing w:after="0" w:line="9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achieve or maintain anticipated profitable growth in our Albany Engineered Composites segment;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w:t>
      </w:r>
    </w:p>
    <w:p>
      <w:pPr>
        <w:spacing w:after="0" w:line="11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“Business Environment Overview and Trends” sections of this quarterly report, as well as in Item 1A-“Risk Factors” section of our most recent Annual Report on Form 10-K.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 Overview and Trends</w:t>
      </w:r>
    </w:p>
    <w:p>
      <w:pPr>
        <w:spacing w:after="0" w:line="13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Our reportable segments, Machine Clothing (“MC”) and Albany Engineered Composites (“AEC”), draw on the same advanced textiles and materials processing capabilities, and compete on the basis of product-based advantage that is grounded in those core capabilities.</w:t>
      </w:r>
    </w:p>
    <w:p>
      <w:pPr>
        <w:spacing w:after="0" w:line="9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MC segment is the Company’s long-established core business and primary generator of cash. While it has been negatively impacted by well-documented declines in publication grades in the Company’s traditional markets, there has been some offsetting effect due to growth in demand for packaging and tissue grades, as well as the expansion of paper consumption and production in Asia and South America. We feel we are well-positioned in key markets, with high-quality, low-cost production in growth markets, substantially lower fixed costs in mature markets,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and continued strength in new product development, technical product support, and manufacturing technology. Some of the markets in which our products are sold are expected to have low levels of growth and we face pricing pressures in all markets. Despite these market pressures on revenue, the MC business retains the potential for maintaining stable earnings in the future. MC has been a significant generator of cash, and we seek to maintain the cash-generating potential of this business by maintaining the low costs that we have achieved through continuous focus on cost-reduction initiatives, and competing vigorously by using our differentiated and technically superior products to reduce our customers’ total cost of operation and improve their paper quality.</w:t>
      </w:r>
    </w:p>
    <w:p>
      <w:pPr>
        <w:spacing w:after="0" w:line="10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AEC segment provides significant longer term growth potential for our Company. Our strategy is to grow by focusing our proprietary 3D-woven technology, as well as our non-3D technology capabilities, on high-value aerospace (both commercial and defense) applications, while at the same time performing successfully on our portfolio of growth programs. AEC (including Albany Safran Composites, LLC (“ASC”), in which our customer SAFRAN Group owns a 10 percent noncontrolling interest) supplies a number of customers in the aerospace industry. AEC’s largest aerospace customer is the SAFRAN Group and sales to SAFRAN, through ASC, (consisting primarily of fan blades and cases for CFM’s LEAP engine) accounted for approximately 11 percent of the Company’s consolidated Net sales in 2020. AEC, through ASC, also supplies 3D-woven composite fan cases for the GE9X engine. AEC’s current portfolio of non-3D programs includes components for the F-35, fuselage components for the Boeing 787, components for the CH-53K helicopter, vacuum waste tanks for Boeing 7-Series aircraft, and missile bodies for Lockheed Martin’s JASSM air-to-surface missiles. AEC is actively engaged in research to develop new applications in both commercial and defense aircraft engine and airframe markets. In 2020, approximately 46 percent of AEC sales were related to U.S. government contracts or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580" w:type="dxa"/>
            <w:vAlign w:val="bottom"/>
          </w:tcPr>
          <w:p>
            <w:pPr>
              <w:jc w:val="right"/>
              <w:ind w:right="44"/>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4"/>
                <w:szCs w:val="14"/>
                <w:color w:val="auto"/>
              </w:rPr>
            </w:pPr>
          </w:p>
        </w:tc>
      </w:tr>
      <w:tr>
        <w:trPr>
          <w:trHeight w:val="196"/>
        </w:trPr>
        <w:tc>
          <w:tcPr>
            <w:tcW w:w="508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March 31,</w:t>
            </w:r>
          </w:p>
        </w:tc>
        <w:tc>
          <w:tcPr>
            <w:tcW w:w="1180" w:type="dxa"/>
            <w:vAlign w:val="bottom"/>
            <w:tcBorders>
              <w:bottom w:val="single" w:sz="8" w:color="auto"/>
            </w:tcBorders>
          </w:tcPr>
          <w:p>
            <w:pPr>
              <w:spacing w:after="0"/>
              <w:rPr>
                <w:sz w:val="17"/>
                <w:szCs w:val="17"/>
                <w:color w:val="auto"/>
              </w:rPr>
            </w:pPr>
          </w:p>
        </w:tc>
      </w:tr>
      <w:tr>
        <w:trPr>
          <w:trHeight w:val="216"/>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4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1580" w:type="dxa"/>
            <w:vAlign w:val="bottom"/>
            <w:tcBorders>
              <w:bottom w:val="single" w:sz="8" w:color="auto"/>
            </w:tcBorders>
          </w:tcPr>
          <w:p>
            <w:pPr>
              <w:jc w:val="right"/>
              <w:ind w:right="664"/>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 Change</w:t>
            </w:r>
          </w:p>
        </w:tc>
      </w:tr>
      <w:tr>
        <w:trPr>
          <w:trHeight w:val="20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3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$148,206</w:t>
            </w:r>
          </w:p>
        </w:tc>
        <w:tc>
          <w:tcPr>
            <w:tcW w:w="158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$136,602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8.5 %</w:t>
            </w:r>
          </w:p>
        </w:tc>
      </w:tr>
      <w:tr>
        <w:trPr>
          <w:trHeight w:val="240"/>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74,156</w:t>
            </w:r>
          </w:p>
        </w:tc>
        <w:tc>
          <w:tcPr>
            <w:tcW w:w="158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color w:val="auto"/>
              </w:rPr>
              <w:t>99,162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-25.2 %</w:t>
            </w:r>
          </w:p>
        </w:tc>
      </w:tr>
      <w:tr>
        <w:trPr>
          <w:trHeight w:val="212"/>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$222,362</w:t>
            </w:r>
          </w:p>
        </w:tc>
        <w:tc>
          <w:tcPr>
            <w:tcW w:w="158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6"/>
                <w:szCs w:val="16"/>
                <w:color w:val="auto"/>
              </w:rPr>
              <w:t>$235,764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-5.7 %</w:t>
            </w: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provide a comparison of 2021 Net sales, excluding the impact of currency translation effects, to 2020 Net sales: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vMerge w:val="restart"/>
          </w:tcPr>
          <w:p>
            <w:pPr>
              <w:jc w:val="center"/>
              <w:ind w:right="43"/>
              <w:spacing w:after="0"/>
              <w:rPr>
                <w:sz w:val="20"/>
                <w:szCs w:val="20"/>
                <w:color w:val="auto"/>
              </w:rPr>
            </w:pPr>
            <w:r>
              <w:rPr>
                <w:rFonts w:ascii="Arial" w:cs="Arial" w:eastAsia="Arial" w:hAnsi="Arial"/>
                <w:sz w:val="14"/>
                <w:szCs w:val="14"/>
                <w:b w:val="1"/>
                <w:bCs w:val="1"/>
                <w:color w:val="auto"/>
              </w:rPr>
              <w:t>Increase due to</w:t>
            </w: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Q1 2021 sales on</w:t>
            </w:r>
          </w:p>
        </w:tc>
        <w:tc>
          <w:tcPr>
            <w:tcW w:w="1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 Change compared</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Net sales as</w:t>
            </w:r>
          </w:p>
        </w:tc>
        <w:tc>
          <w:tcPr>
            <w:tcW w:w="18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rPr>
              <w:t>same basis as Q1</w:t>
            </w:r>
          </w:p>
        </w:tc>
        <w:tc>
          <w:tcPr>
            <w:tcW w:w="140" w:type="dxa"/>
            <w:vAlign w:val="bottom"/>
          </w:tcPr>
          <w:p>
            <w:pPr>
              <w:spacing w:after="0"/>
              <w:rPr>
                <w:sz w:val="11"/>
                <w:szCs w:val="11"/>
                <w:color w:val="auto"/>
              </w:rPr>
            </w:pPr>
          </w:p>
        </w:tc>
        <w:tc>
          <w:tcPr>
            <w:tcW w:w="1380" w:type="dxa"/>
            <w:vAlign w:val="bottom"/>
            <w:vMerge w:val="restart"/>
          </w:tcPr>
          <w:p>
            <w:pPr>
              <w:jc w:val="right"/>
              <w:ind w:right="263"/>
              <w:spacing w:after="0"/>
              <w:rPr>
                <w:sz w:val="20"/>
                <w:szCs w:val="20"/>
                <w:color w:val="auto"/>
              </w:rPr>
            </w:pPr>
            <w:r>
              <w:rPr>
                <w:rFonts w:ascii="Arial" w:cs="Arial" w:eastAsia="Arial" w:hAnsi="Arial"/>
                <w:sz w:val="14"/>
                <w:szCs w:val="14"/>
                <w:b w:val="1"/>
                <w:bCs w:val="1"/>
                <w:color w:val="auto"/>
              </w:rPr>
              <w:t>Net sales as</w:t>
            </w: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7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5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changes in currency</w:t>
            </w:r>
          </w:p>
        </w:tc>
        <w:tc>
          <w:tcPr>
            <w:tcW w:w="140" w:type="dxa"/>
            <w:vAlign w:val="bottom"/>
          </w:tcPr>
          <w:p>
            <w:pPr>
              <w:spacing w:after="0"/>
              <w:rPr>
                <w:sz w:val="11"/>
                <w:szCs w:val="11"/>
                <w:color w:val="auto"/>
              </w:rPr>
            </w:pPr>
          </w:p>
        </w:tc>
        <w:tc>
          <w:tcPr>
            <w:tcW w:w="136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rPr>
              <w:t>2020 currency</w:t>
            </w:r>
          </w:p>
        </w:tc>
        <w:tc>
          <w:tcPr>
            <w:tcW w:w="14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to Q1 2020, excluding</w:t>
            </w:r>
          </w:p>
        </w:tc>
        <w:tc>
          <w:tcPr>
            <w:tcW w:w="0" w:type="dxa"/>
            <w:vAlign w:val="bottom"/>
          </w:tcPr>
          <w:p>
            <w:pPr>
              <w:spacing w:after="0"/>
              <w:rPr>
                <w:sz w:val="1"/>
                <w:szCs w:val="1"/>
                <w:color w:val="auto"/>
              </w:rPr>
            </w:pPr>
          </w:p>
        </w:tc>
      </w:tr>
      <w:tr>
        <w:trPr>
          <w:trHeight w:val="175"/>
        </w:trPr>
        <w:tc>
          <w:tcPr>
            <w:tcW w:w="304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reported, Q1 2021</w:t>
            </w: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translation rates</w:t>
            </w: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rPr>
              <w:t>translation rates</w:t>
            </w: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reported, Q1 2020</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currency rate effects</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148,206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143,345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136,602</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r>
        <w:trPr>
          <w:trHeight w:val="24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7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74,156</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72,978</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99,162</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-26.4 %</w:t>
            </w:r>
          </w:p>
        </w:tc>
        <w:tc>
          <w:tcPr>
            <w:tcW w:w="0" w:type="dxa"/>
            <w:vAlign w:val="bottom"/>
          </w:tcPr>
          <w:p>
            <w:pPr>
              <w:spacing w:after="0"/>
              <w:rPr>
                <w:sz w:val="1"/>
                <w:szCs w:val="1"/>
                <w:color w:val="auto"/>
              </w:rPr>
            </w:pPr>
          </w:p>
        </w:tc>
      </w:tr>
      <w:tr>
        <w:trPr>
          <w:trHeight w:val="212"/>
        </w:trPr>
        <w:tc>
          <w:tcPr>
            <w:tcW w:w="3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222,362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216,323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235,764</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39" w:lineRule="exact"/>
        <w:rPr>
          <w:sz w:val="20"/>
          <w:szCs w:val="20"/>
          <w:color w:val="auto"/>
        </w:rPr>
      </w:pPr>
    </w:p>
    <w:p>
      <w:pPr>
        <w:ind w:left="980" w:hanging="324"/>
        <w:spacing w:after="0" w:line="261"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Net sales by $6.0 million during the first quarter of 2021, as compared to 2020, principally due to the stronger euro in 2021.</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Net sales decreased 8.2% compared to the same period in 2020.</w:t>
      </w:r>
    </w:p>
    <w:p>
      <w:pPr>
        <w:spacing w:after="0" w:line="117" w:lineRule="exact"/>
        <w:rPr>
          <w:rFonts w:ascii="Arial" w:cs="Arial" w:eastAsia="Arial" w:hAnsi="Arial"/>
          <w:sz w:val="18"/>
          <w:szCs w:val="18"/>
          <w:color w:val="auto"/>
        </w:rPr>
      </w:pPr>
    </w:p>
    <w:p>
      <w:pPr>
        <w:ind w:left="1300" w:hanging="320"/>
        <w:spacing w:after="0" w:line="261" w:lineRule="auto"/>
        <w:tabs>
          <w:tab w:leader="none" w:pos="1295" w:val="left"/>
        </w:tabs>
        <w:numPr>
          <w:ilvl w:val="1"/>
          <w:numId w:val="9"/>
        </w:numPr>
        <w:rPr>
          <w:rFonts w:ascii="Arial" w:cs="Arial" w:eastAsia="Arial" w:hAnsi="Arial"/>
          <w:sz w:val="18"/>
          <w:szCs w:val="18"/>
          <w:color w:val="auto"/>
        </w:rPr>
      </w:pPr>
      <w:r>
        <w:rPr>
          <w:rFonts w:ascii="Arial" w:cs="Arial" w:eastAsia="Arial" w:hAnsi="Arial"/>
          <w:sz w:val="18"/>
          <w:szCs w:val="18"/>
          <w:color w:val="auto"/>
        </w:rPr>
        <w:t>Net sales in MC increased 4.9% compared to the first quarter of 2020, principally due to growth in sales for packaging and other grades, which more than offset decreases in sales for publication grades.</w:t>
      </w:r>
    </w:p>
    <w:p>
      <w:pPr>
        <w:spacing w:after="0" w:line="89"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Net sales in AEC decreased 26.4% principally due to declines in sales for the LEAP and Boeing 787 programs.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3"/>
          </w:tcPr>
          <w:p>
            <w:pPr>
              <w:jc w:val="right"/>
              <w:ind w:right="641"/>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r>
      <w:tr>
        <w:trPr>
          <w:trHeight w:val="203"/>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210"/>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123"/>
              <w:spacing w:after="0"/>
              <w:rPr>
                <w:sz w:val="20"/>
                <w:szCs w:val="20"/>
                <w:color w:val="auto"/>
              </w:rPr>
            </w:pPr>
            <w:r>
              <w:rPr>
                <w:rFonts w:ascii="Arial" w:cs="Arial" w:eastAsia="Arial" w:hAnsi="Arial"/>
                <w:sz w:val="16"/>
                <w:szCs w:val="16"/>
                <w:b w:val="1"/>
                <w:bCs w:val="1"/>
                <w:color w:val="auto"/>
              </w:rPr>
              <w:t>76,393</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72,652</w:t>
            </w:r>
          </w:p>
        </w:tc>
      </w:tr>
      <w:tr>
        <w:trPr>
          <w:trHeight w:val="240"/>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b w:val="1"/>
                <w:bCs w:val="1"/>
                <w:color w:val="auto"/>
              </w:rPr>
              <w:t>12,153</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16,820</w:t>
            </w:r>
          </w:p>
        </w:tc>
      </w:tr>
      <w:tr>
        <w:trPr>
          <w:trHeight w:val="212"/>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b w:val="1"/>
                <w:bCs w:val="1"/>
                <w:color w:val="auto"/>
              </w:rPr>
              <w:t>88,546</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89,472</w:t>
            </w:r>
          </w:p>
        </w:tc>
      </w:tr>
      <w:tr>
        <w:trPr>
          <w:trHeight w:val="234"/>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of Net sales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39.8 %</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37.9 %</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3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decrease in 2021 Gross profit, as compared to the same period in 2020, was principally due to the effect of lower Net sales in AEC, partially offset by an increase in Machine Clothing Net sales. Gross profit as a percentage of sales:</w:t>
      </w:r>
    </w:p>
    <w:p>
      <w:pPr>
        <w:spacing w:after="0" w:line="90" w:lineRule="exact"/>
        <w:rPr>
          <w:sz w:val="20"/>
          <w:szCs w:val="20"/>
          <w:color w:val="auto"/>
        </w:rPr>
      </w:pPr>
    </w:p>
    <w:p>
      <w:pPr>
        <w:ind w:left="980" w:hanging="324"/>
        <w:spacing w:after="0" w:line="261"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from 53.2% in 2020 to 51.5% in 2021 in Machine Clothing, principally due to an increase in production costs and lower cost absorption.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left="980" w:hanging="324"/>
        <w:spacing w:after="0" w:line="256"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Decreased from 17.0% in 2020 to 16.4% in 2021 in AEC, principally due to changes in the estimated profitability of long-term contracts, which increased Gross profit by $0.9 million in the first quarter of 2020, but had an insignificant effect on gross profit for the same period of 2021.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Selling, Technical, General and Research (STG&amp;R) expenses include; selling, general, administrative, technical and research expenses.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STG&amp;R expenses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3"/>
          </w:tcPr>
          <w:p>
            <w:pPr>
              <w:jc w:val="right"/>
              <w:ind w:right="641"/>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r>
      <w:tr>
        <w:trPr>
          <w:trHeight w:val="203"/>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209"/>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26,099</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24,835</w:t>
            </w:r>
          </w:p>
        </w:tc>
      </w:tr>
      <w:tr>
        <w:trPr>
          <w:trHeight w:val="240"/>
        </w:trPr>
        <w:tc>
          <w:tcPr>
            <w:tcW w:w="838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320" w:type="dxa"/>
            <w:vAlign w:val="bottom"/>
          </w:tcPr>
          <w:p>
            <w:pPr>
              <w:spacing w:after="0"/>
              <w:rPr>
                <w:sz w:val="20"/>
                <w:szCs w:val="20"/>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9,126</w:t>
            </w:r>
          </w:p>
        </w:tc>
        <w:tc>
          <w:tcPr>
            <w:tcW w:w="460" w:type="dxa"/>
            <w:vAlign w:val="bottom"/>
          </w:tcPr>
          <w:p>
            <w:pPr>
              <w:spacing w:after="0"/>
              <w:rPr>
                <w:sz w:val="20"/>
                <w:szCs w:val="20"/>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9,197</w:t>
            </w:r>
          </w:p>
        </w:tc>
      </w:tr>
      <w:tr>
        <w:trPr>
          <w:trHeight w:val="218"/>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11,451</w:t>
            </w: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15,204</w:t>
            </w:r>
          </w:p>
        </w:tc>
      </w:tr>
      <w:tr>
        <w:trPr>
          <w:trHeight w:val="234"/>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46,676</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49,236</w:t>
            </w:r>
          </w:p>
        </w:tc>
      </w:tr>
      <w:tr>
        <w:trPr>
          <w:trHeight w:val="212"/>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of Net sales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21.0 %</w:t>
            </w: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20.9 %</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overall decrease in STG&amp;R expenses in the first quarter of 2021, compared to the same period in 2020, was principally due to the net effect of the following individually significant items:</w:t>
      </w:r>
    </w:p>
    <w:p>
      <w:pPr>
        <w:spacing w:after="0" w:line="90" w:lineRule="exact"/>
        <w:rPr>
          <w:sz w:val="20"/>
          <w:szCs w:val="20"/>
          <w:color w:val="auto"/>
        </w:rPr>
      </w:pPr>
    </w:p>
    <w:p>
      <w:pPr>
        <w:jc w:val="both"/>
        <w:ind w:left="980" w:hanging="324"/>
        <w:spacing w:after="0" w:line="256"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MC, STG&amp;R expenses increased due to revaluation of nonfunctional currency assets and liabilities which resulted in a first-quarter gain of $0.5 million in 2021, compared to a gain of $3.7 million in 2020. That effect was partially offset by lower travel costs and effects of cost reduction initiatives in 2020.</w:t>
      </w:r>
    </w:p>
    <w:p>
      <w:pPr>
        <w:spacing w:after="0" w:line="9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Corporate, STG&amp;R expenses decreased principally due to former CEO termination costs recorded in the first quarter of 2020.</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 net</w:t>
      </w:r>
    </w:p>
    <w:p>
      <w:pPr>
        <w:spacing w:after="0" w:line="13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In addition to the items discussed above affecting Gross profit, and STG&amp;R expenses, operating income was affected by restructuring costs of $0.1 million in the first three months of 2021, and $0.6 million for the same period in 2020.</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Restructuring expenses, net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jc w:val="right"/>
              <w:ind w:right="521"/>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189"/>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r>
      <w:tr>
        <w:trPr>
          <w:trHeight w:val="210"/>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center"/>
              <w:ind w:left="603"/>
              <w:spacing w:after="0"/>
              <w:rPr>
                <w:sz w:val="20"/>
                <w:szCs w:val="20"/>
                <w:color w:val="auto"/>
              </w:rPr>
            </w:pPr>
            <w:r>
              <w:rPr>
                <w:rFonts w:ascii="Arial" w:cs="Arial" w:eastAsia="Arial" w:hAnsi="Arial"/>
                <w:sz w:val="16"/>
                <w:szCs w:val="16"/>
                <w:b w:val="1"/>
                <w:bCs w:val="1"/>
                <w:color w:val="auto"/>
                <w:w w:val="98"/>
              </w:rPr>
              <w:t>(69)</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642</w:t>
            </w:r>
          </w:p>
        </w:tc>
      </w:tr>
      <w:tr>
        <w:trPr>
          <w:trHeight w:val="215"/>
        </w:trPr>
        <w:tc>
          <w:tcPr>
            <w:tcW w:w="862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300" w:type="dxa"/>
            <w:vAlign w:val="bottom"/>
          </w:tcPr>
          <w:p>
            <w:pPr>
              <w:spacing w:after="0"/>
              <w:rPr>
                <w:sz w:val="18"/>
                <w:szCs w:val="18"/>
                <w:color w:val="auto"/>
              </w:rPr>
            </w:pPr>
          </w:p>
        </w:tc>
        <w:tc>
          <w:tcPr>
            <w:tcW w:w="1000" w:type="dxa"/>
            <w:vAlign w:val="bottom"/>
          </w:tcPr>
          <w:p>
            <w:pPr>
              <w:jc w:val="center"/>
              <w:ind w:left="623"/>
              <w:spacing w:after="0"/>
              <w:rPr>
                <w:sz w:val="20"/>
                <w:szCs w:val="20"/>
                <w:color w:val="auto"/>
              </w:rPr>
            </w:pPr>
            <w:r>
              <w:rPr>
                <w:rFonts w:ascii="Arial" w:cs="Arial" w:eastAsia="Arial" w:hAnsi="Arial"/>
                <w:sz w:val="16"/>
                <w:szCs w:val="16"/>
                <w:b w:val="1"/>
                <w:bCs w:val="1"/>
                <w:color w:val="auto"/>
              </w:rPr>
              <w:t>89</w:t>
            </w:r>
          </w:p>
        </w:tc>
        <w:tc>
          <w:tcPr>
            <w:tcW w:w="4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6"/>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ind w:left="623"/>
              <w:spacing w:after="0"/>
              <w:rPr>
                <w:sz w:val="20"/>
                <w:szCs w:val="20"/>
                <w:color w:val="auto"/>
              </w:rPr>
            </w:pPr>
            <w:r>
              <w:rPr>
                <w:rFonts w:ascii="Arial" w:cs="Arial" w:eastAsia="Arial" w:hAnsi="Arial"/>
                <w:sz w:val="16"/>
                <w:szCs w:val="16"/>
                <w:b w:val="1"/>
                <w:bCs w:val="1"/>
                <w:color w:val="auto"/>
              </w:rPr>
              <w:t>32</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9"/>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center"/>
              <w:ind w:left="623"/>
              <w:spacing w:after="0"/>
              <w:rPr>
                <w:sz w:val="20"/>
                <w:szCs w:val="20"/>
                <w:color w:val="auto"/>
              </w:rPr>
            </w:pPr>
            <w:r>
              <w:rPr>
                <w:rFonts w:ascii="Arial" w:cs="Arial" w:eastAsia="Arial" w:hAnsi="Arial"/>
                <w:sz w:val="16"/>
                <w:szCs w:val="16"/>
                <w:b w:val="1"/>
                <w:bCs w:val="1"/>
                <w:color w:val="auto"/>
              </w:rPr>
              <w:t>52</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642</w:t>
            </w: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Machine Clothing restructuring charges or credits in both years principally related to discontinued operations at its production facility in Sélestat, France announced in 2017. The restructuring program was driven by the Company’s need to balance manufacturing capacity with demand. Since 2017, we have recorded $13.9 million of restructuring charges related to this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jc w:val="right"/>
              <w:ind w:right="521"/>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189"/>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r>
      <w:tr>
        <w:trPr>
          <w:trHeight w:val="20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50,363</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47,175</w:t>
            </w:r>
          </w:p>
        </w:tc>
      </w:tr>
      <w:tr>
        <w:trPr>
          <w:trHeight w:val="215"/>
        </w:trPr>
        <w:tc>
          <w:tcPr>
            <w:tcW w:w="862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2,938</w:t>
            </w:r>
          </w:p>
        </w:tc>
        <w:tc>
          <w:tcPr>
            <w:tcW w:w="4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7,623</w:t>
            </w:r>
          </w:p>
        </w:tc>
      </w:tr>
      <w:tr>
        <w:trPr>
          <w:trHeight w:val="216"/>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(11,483)</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(15,204)</w:t>
            </w:r>
          </w:p>
        </w:tc>
      </w:tr>
      <w:tr>
        <w:trPr>
          <w:trHeight w:val="209"/>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41,818</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39,594</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Earnings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jc w:val="center"/>
              <w:ind w:right="221"/>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left="523"/>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189"/>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r>
      <w:tr>
        <w:trPr>
          <w:trHeight w:val="210"/>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3,569</w:t>
            </w:r>
          </w:p>
        </w:tc>
        <w:tc>
          <w:tcPr>
            <w:tcW w:w="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3,977</w:t>
            </w:r>
          </w:p>
        </w:tc>
      </w:tr>
      <w:tr>
        <w:trPr>
          <w:trHeight w:val="215"/>
        </w:trPr>
        <w:tc>
          <w:tcPr>
            <w:tcW w:w="8620" w:type="dxa"/>
            <w:vAlign w:val="bottom"/>
          </w:tcPr>
          <w:p>
            <w:pPr>
              <w:ind w:left="20"/>
              <w:spacing w:after="0"/>
              <w:rPr>
                <w:sz w:val="20"/>
                <w:szCs w:val="20"/>
                <w:color w:val="auto"/>
              </w:rPr>
            </w:pPr>
            <w:r>
              <w:rPr>
                <w:rFonts w:ascii="Arial" w:cs="Arial" w:eastAsia="Arial" w:hAnsi="Arial"/>
                <w:sz w:val="16"/>
                <w:szCs w:val="16"/>
                <w:color w:val="auto"/>
              </w:rPr>
              <w:t>Other expense/(income), net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600</w:t>
            </w:r>
          </w:p>
        </w:tc>
        <w:tc>
          <w:tcPr>
            <w:tcW w:w="44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15,569</w:t>
            </w:r>
          </w:p>
        </w:tc>
      </w:tr>
      <w:tr>
        <w:trPr>
          <w:trHeight w:val="217"/>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10,040</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12,454</w:t>
            </w:r>
          </w:p>
        </w:tc>
      </w:tr>
      <w:tr>
        <w:trPr>
          <w:trHeight w:val="215"/>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income/(loss) attributable to the noncontrolling interest</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w:t>
            </w: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w:t>
            </w: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Year-to-date 2021 Interest expense, net, was lower as compared to 2020, principally due to lower average debt. See the Capital Resources section for further discussion of borrowings and interest rates.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Other (income)/expense, net included the following individually significant items:</w:t>
      </w:r>
    </w:p>
    <w:p>
      <w:pPr>
        <w:spacing w:after="0" w:line="117" w:lineRule="exact"/>
        <w:rPr>
          <w:sz w:val="20"/>
          <w:szCs w:val="20"/>
          <w:color w:val="auto"/>
        </w:rPr>
      </w:pPr>
    </w:p>
    <w:p>
      <w:pPr>
        <w:jc w:val="both"/>
        <w:ind w:left="980" w:hanging="324"/>
        <w:spacing w:after="0" w:line="256"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first quarter of each year, revaluation of nonfunctional currency cash and intercompany balances resulted in a loss of $0.2 million in 2021, compared to a loss of $14.8 million in 2020. The loss in 2020 principally resulted from an intercompany demand loan payable by a Mexican subsidiary.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has operations, which constitute a taxable presence in 18 countries outside of the United States. The majority of these countries had income tax rates that are above the United States federal tax rate of 21 percent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Company’s effective tax rates for the first quarter of 2021 and 2020 were 26.7% and 62.1%, respectively. The tax rate is affected by recurring items, such as the income tax rate in the U.S. and non-U.S. jurisdictions and the mix of income earned in those jurisdictions. The tax rate is also affected by U.S. tax costs on foreign earnings, and by discrete items that may occur in any given year but are not consistent from year to year. It should be noted that the effective tax rate for the first quarter of 2020 was significantly affected by a non-recurring tax adjustment due to non-deductible foreign exchange losses, as illustrated in the table below.</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Significant items that impacted the effective tax rate in the first quarter of 2021 and 2020 included the following (percentages reflect the effect of each item as a percentage of 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40" w:type="dxa"/>
            <w:vAlign w:val="bottom"/>
            <w:gridSpan w:val="2"/>
          </w:tcPr>
          <w:p>
            <w:pPr>
              <w:jc w:val="right"/>
              <w:ind w:right="941"/>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r>
      <w:tr>
        <w:trPr>
          <w:trHeight w:val="196"/>
        </w:trPr>
        <w:tc>
          <w:tcPr>
            <w:tcW w:w="6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2"/>
          </w:tcPr>
          <w:p>
            <w:pPr>
              <w:jc w:val="right"/>
              <w:ind w:right="1301"/>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188"/>
        </w:trPr>
        <w:tc>
          <w:tcPr>
            <w:tcW w:w="6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6"/>
                <w:szCs w:val="16"/>
                <w:color w:val="auto"/>
              </w:rPr>
            </w:pPr>
          </w:p>
        </w:tc>
      </w:tr>
      <w:tr>
        <w:trPr>
          <w:trHeight w:val="20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Tax amount</w:t>
            </w:r>
          </w:p>
        </w:tc>
        <w:tc>
          <w:tcPr>
            <w:tcW w:w="1160" w:type="dxa"/>
            <w:vAlign w:val="bottom"/>
            <w:tcBorders>
              <w:bottom w:val="single" w:sz="8" w:color="auto"/>
            </w:tcBorders>
          </w:tcPr>
          <w:p>
            <w:pPr>
              <w:jc w:val="right"/>
              <w:ind w:right="722"/>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Tax amount</w:t>
            </w:r>
          </w:p>
        </w:tc>
        <w:tc>
          <w:tcPr>
            <w:tcW w:w="9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Continuing operations (excluding discrete items)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shd w:val="clear" w:color="auto" w:fill="CCEEFF"/>
          </w:tcPr>
          <w:p>
            <w:pPr>
              <w:jc w:val="right"/>
              <w:ind w:right="401"/>
              <w:spacing w:after="0"/>
              <w:rPr>
                <w:sz w:val="20"/>
                <w:szCs w:val="20"/>
                <w:color w:val="auto"/>
              </w:rPr>
            </w:pPr>
            <w:r>
              <w:rPr>
                <w:rFonts w:ascii="Arial" w:cs="Arial" w:eastAsia="Arial" w:hAnsi="Arial"/>
                <w:sz w:val="16"/>
                <w:szCs w:val="16"/>
                <w:b w:val="1"/>
                <w:bCs w:val="1"/>
                <w:color w:val="auto"/>
              </w:rPr>
              <w:t>11,332</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 xml:space="preserve">30.1 % </w:t>
            </w:r>
            <w:r>
              <w:rPr>
                <w:rFonts w:ascii="Arial" w:cs="Arial" w:eastAsia="Arial" w:hAnsi="Arial"/>
                <w:sz w:val="16"/>
                <w:szCs w:val="16"/>
                <w:color w:val="auto"/>
              </w:rPr>
              <w:t>$</w:t>
            </w:r>
          </w:p>
        </w:tc>
        <w:tc>
          <w:tcPr>
            <w:tcW w:w="148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7,309</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36.5 %</w:t>
            </w:r>
          </w:p>
        </w:tc>
      </w:tr>
      <w:tr>
        <w:trPr>
          <w:trHeight w:val="257"/>
        </w:trPr>
        <w:tc>
          <w:tcPr>
            <w:tcW w:w="6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for/resolution of tax audits and contingencies, net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401"/>
              <w:spacing w:after="0"/>
              <w:rPr>
                <w:sz w:val="20"/>
                <w:szCs w:val="20"/>
                <w:color w:val="auto"/>
              </w:rPr>
            </w:pPr>
            <w:r>
              <w:rPr>
                <w:rFonts w:ascii="Arial" w:cs="Arial" w:eastAsia="Arial" w:hAnsi="Arial"/>
                <w:sz w:val="16"/>
                <w:szCs w:val="16"/>
                <w:b w:val="1"/>
                <w:bCs w:val="1"/>
                <w:color w:val="auto"/>
              </w:rPr>
              <w:t>278</w:t>
            </w:r>
          </w:p>
        </w:tc>
        <w:tc>
          <w:tcPr>
            <w:tcW w:w="116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0.7 %</w:t>
            </w:r>
          </w:p>
        </w:tc>
        <w:tc>
          <w:tcPr>
            <w:tcW w:w="148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(244)</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6000" w:type="dxa"/>
            <w:vAlign w:val="bottom"/>
          </w:tcPr>
          <w:p>
            <w:pPr>
              <w:ind w:left="20"/>
              <w:spacing w:after="0"/>
              <w:rPr>
                <w:sz w:val="20"/>
                <w:szCs w:val="20"/>
                <w:color w:val="auto"/>
              </w:rPr>
            </w:pPr>
            <w:r>
              <w:rPr>
                <w:rFonts w:ascii="Arial" w:cs="Arial" w:eastAsia="Arial" w:hAnsi="Arial"/>
                <w:sz w:val="16"/>
                <w:szCs w:val="16"/>
                <w:color w:val="auto"/>
              </w:rPr>
              <w:t>Adjustments to prior period tax liabilities</w:t>
            </w:r>
          </w:p>
        </w:tc>
        <w:tc>
          <w:tcPr>
            <w:tcW w:w="180" w:type="dxa"/>
            <w:vAlign w:val="bottom"/>
          </w:tcPr>
          <w:p>
            <w:pPr>
              <w:spacing w:after="0"/>
              <w:rPr>
                <w:sz w:val="18"/>
                <w:szCs w:val="18"/>
                <w:color w:val="auto"/>
              </w:rPr>
            </w:pPr>
          </w:p>
        </w:tc>
        <w:tc>
          <w:tcPr>
            <w:tcW w:w="1520" w:type="dxa"/>
            <w:vAlign w:val="bottom"/>
          </w:tcPr>
          <w:p>
            <w:pPr>
              <w:jc w:val="right"/>
              <w:ind w:right="361"/>
              <w:spacing w:after="0"/>
              <w:rPr>
                <w:sz w:val="20"/>
                <w:szCs w:val="20"/>
                <w:color w:val="auto"/>
              </w:rPr>
            </w:pPr>
            <w:r>
              <w:rPr>
                <w:rFonts w:ascii="Arial" w:cs="Arial" w:eastAsia="Arial" w:hAnsi="Arial"/>
                <w:sz w:val="16"/>
                <w:szCs w:val="16"/>
                <w:b w:val="1"/>
                <w:bCs w:val="1"/>
                <w:color w:val="auto"/>
              </w:rPr>
              <w:t>(1,443)</w:t>
            </w:r>
          </w:p>
        </w:tc>
        <w:tc>
          <w:tcPr>
            <w:tcW w:w="1160" w:type="dxa"/>
            <w:vAlign w:val="bottom"/>
          </w:tcPr>
          <w:p>
            <w:pPr>
              <w:jc w:val="right"/>
              <w:ind w:right="102"/>
              <w:spacing w:after="0"/>
              <w:rPr>
                <w:sz w:val="20"/>
                <w:szCs w:val="20"/>
                <w:color w:val="auto"/>
              </w:rPr>
            </w:pPr>
            <w:r>
              <w:rPr>
                <w:rFonts w:ascii="Arial" w:cs="Arial" w:eastAsia="Arial" w:hAnsi="Arial"/>
                <w:sz w:val="16"/>
                <w:szCs w:val="16"/>
                <w:b w:val="1"/>
                <w:bCs w:val="1"/>
                <w:color w:val="auto"/>
              </w:rPr>
              <w:t>(3.8)%</w:t>
            </w:r>
          </w:p>
        </w:tc>
        <w:tc>
          <w:tcPr>
            <w:tcW w:w="1480" w:type="dxa"/>
            <w:vAlign w:val="bottom"/>
          </w:tcPr>
          <w:p>
            <w:pPr>
              <w:jc w:val="right"/>
              <w:ind w:right="321"/>
              <w:spacing w:after="0"/>
              <w:rPr>
                <w:sz w:val="20"/>
                <w:szCs w:val="20"/>
                <w:color w:val="auto"/>
              </w:rPr>
            </w:pPr>
            <w:r>
              <w:rPr>
                <w:rFonts w:ascii="Arial" w:cs="Arial" w:eastAsia="Arial" w:hAnsi="Arial"/>
                <w:sz w:val="16"/>
                <w:szCs w:val="16"/>
                <w:color w:val="auto"/>
              </w:rPr>
              <w:t>(112)</w:t>
            </w:r>
          </w:p>
        </w:tc>
        <w:tc>
          <w:tcPr>
            <w:tcW w:w="90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7"/>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Out-of-period adjustments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401"/>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 %</w:t>
            </w:r>
          </w:p>
        </w:tc>
        <w:tc>
          <w:tcPr>
            <w:tcW w:w="148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1,830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9.1 %</w:t>
            </w:r>
          </w:p>
        </w:tc>
      </w:tr>
      <w:tr>
        <w:trPr>
          <w:trHeight w:val="215"/>
        </w:trPr>
        <w:tc>
          <w:tcPr>
            <w:tcW w:w="6000" w:type="dxa"/>
            <w:vAlign w:val="bottom"/>
          </w:tcPr>
          <w:p>
            <w:pPr>
              <w:ind w:left="20"/>
              <w:spacing w:after="0"/>
              <w:rPr>
                <w:sz w:val="20"/>
                <w:szCs w:val="20"/>
                <w:color w:val="auto"/>
              </w:rPr>
            </w:pPr>
            <w:r>
              <w:rPr>
                <w:rFonts w:ascii="Arial" w:cs="Arial" w:eastAsia="Arial" w:hAnsi="Arial"/>
                <w:sz w:val="16"/>
                <w:szCs w:val="16"/>
                <w:color w:val="auto"/>
              </w:rPr>
              <w:t>Tax effect of non-deductible foreign exchange loss on intercompany loan</w:t>
            </w:r>
          </w:p>
        </w:tc>
        <w:tc>
          <w:tcPr>
            <w:tcW w:w="180" w:type="dxa"/>
            <w:vAlign w:val="bottom"/>
          </w:tcPr>
          <w:p>
            <w:pPr>
              <w:spacing w:after="0"/>
              <w:rPr>
                <w:sz w:val="18"/>
                <w:szCs w:val="18"/>
                <w:color w:val="auto"/>
              </w:rPr>
            </w:pPr>
          </w:p>
        </w:tc>
        <w:tc>
          <w:tcPr>
            <w:tcW w:w="1520" w:type="dxa"/>
            <w:vAlign w:val="bottom"/>
          </w:tcPr>
          <w:p>
            <w:pPr>
              <w:jc w:val="right"/>
              <w:ind w:right="401"/>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102"/>
              <w:spacing w:after="0"/>
              <w:rPr>
                <w:sz w:val="20"/>
                <w:szCs w:val="20"/>
                <w:color w:val="auto"/>
              </w:rPr>
            </w:pPr>
            <w:r>
              <w:rPr>
                <w:rFonts w:ascii="Arial" w:cs="Arial" w:eastAsia="Arial" w:hAnsi="Arial"/>
                <w:sz w:val="16"/>
                <w:szCs w:val="16"/>
                <w:b w:val="1"/>
                <w:bCs w:val="1"/>
                <w:color w:val="auto"/>
              </w:rPr>
              <w:t>— %</w:t>
            </w:r>
          </w:p>
        </w:tc>
        <w:tc>
          <w:tcPr>
            <w:tcW w:w="1480" w:type="dxa"/>
            <w:vAlign w:val="bottom"/>
          </w:tcPr>
          <w:p>
            <w:pPr>
              <w:jc w:val="right"/>
              <w:ind w:right="361"/>
              <w:spacing w:after="0"/>
              <w:rPr>
                <w:sz w:val="20"/>
                <w:szCs w:val="20"/>
                <w:color w:val="auto"/>
              </w:rPr>
            </w:pPr>
            <w:r>
              <w:rPr>
                <w:rFonts w:ascii="Arial" w:cs="Arial" w:eastAsia="Arial" w:hAnsi="Arial"/>
                <w:sz w:val="16"/>
                <w:szCs w:val="16"/>
                <w:color w:val="auto"/>
              </w:rPr>
              <w:t>3,668</w:t>
            </w:r>
          </w:p>
        </w:tc>
        <w:tc>
          <w:tcPr>
            <w:tcW w:w="900" w:type="dxa"/>
            <w:vAlign w:val="bottom"/>
          </w:tcPr>
          <w:p>
            <w:pPr>
              <w:jc w:val="right"/>
              <w:spacing w:after="0"/>
              <w:rPr>
                <w:sz w:val="20"/>
                <w:szCs w:val="20"/>
                <w:color w:val="auto"/>
              </w:rPr>
            </w:pPr>
            <w:r>
              <w:rPr>
                <w:rFonts w:ascii="Arial" w:cs="Arial" w:eastAsia="Arial" w:hAnsi="Arial"/>
                <w:sz w:val="16"/>
                <w:szCs w:val="16"/>
                <w:color w:val="auto"/>
              </w:rPr>
              <w:t>18.3 %</w:t>
            </w:r>
          </w:p>
        </w:tc>
      </w:tr>
      <w:tr>
        <w:trPr>
          <w:trHeight w:val="216"/>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b w:val="1"/>
                <w:bCs w:val="1"/>
                <w:color w:val="auto"/>
              </w:rPr>
              <w:t>(127)</w:t>
            </w:r>
          </w:p>
        </w:tc>
        <w:tc>
          <w:tcPr>
            <w:tcW w:w="116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(0.3)%</w:t>
            </w:r>
          </w:p>
        </w:tc>
        <w:tc>
          <w:tcPr>
            <w:tcW w:w="148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0.0 %</w:t>
            </w:r>
          </w:p>
        </w:tc>
      </w:tr>
      <w:tr>
        <w:trPr>
          <w:trHeight w:val="209"/>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Effective tax rate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10,040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xml:space="preserve">26.7 % </w:t>
            </w:r>
            <w:r>
              <w:rPr>
                <w:rFonts w:ascii="Arial" w:cs="Arial" w:eastAsia="Arial" w:hAnsi="Arial"/>
                <w:sz w:val="16"/>
                <w:szCs w:val="16"/>
                <w:color w:val="auto"/>
              </w:rPr>
              <w:t>$</w:t>
            </w:r>
          </w:p>
        </w:tc>
        <w:tc>
          <w:tcPr>
            <w:tcW w:w="14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12,454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62.1 %</w:t>
            </w:r>
          </w:p>
        </w:tc>
      </w:tr>
    </w:tbl>
    <w:p>
      <w:pPr>
        <w:spacing w:after="0" w:line="18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For more information on income tax, see Note 6 to the Consolidated Financial Statements in Item 1, which is incorporated herein by reference.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Machine Clothing is our primary business segment and accounted for 67% of our consolidated revenues during the first three months of 2021. MC products are purchased primarily by manufacturers of paper and paperboard. We feel we are well-positioned in these markets, with high-quality, low-cost production in growth markets, substantially lower fixed costs in mature markets, and continued strength in new product development, technical product support, and manufacturing technology. Recent technological advances in paper machine clothing, while contributing to the papermaking efficiency of customers, have lengthened the useful life of many of our products and had an adverse impact on overall paper machine clothing demand. Additionally, we face pricing pressures in all of our markets.</w:t>
      </w:r>
    </w:p>
    <w:p>
      <w:pPr>
        <w:spacing w:after="0" w:line="10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9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have incurred significant restructuring charges in recent years as we reduced MC manufacturing capacity and administrative positions in various countries.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Review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3"/>
          </w:tcPr>
          <w:p>
            <w:pPr>
              <w:jc w:val="center"/>
              <w:ind w:right="241"/>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left="582"/>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r>
      <w:tr>
        <w:trPr>
          <w:trHeight w:val="203"/>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210"/>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148,206</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136,602</w:t>
            </w:r>
          </w:p>
        </w:tc>
      </w:tr>
      <w:tr>
        <w:trPr>
          <w:trHeight w:val="240"/>
        </w:trPr>
        <w:tc>
          <w:tcPr>
            <w:tcW w:w="83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20"/>
                <w:szCs w:val="20"/>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76,393</w:t>
            </w:r>
          </w:p>
        </w:tc>
        <w:tc>
          <w:tcPr>
            <w:tcW w:w="460" w:type="dxa"/>
            <w:vAlign w:val="bottom"/>
          </w:tcPr>
          <w:p>
            <w:pPr>
              <w:spacing w:after="0"/>
              <w:rPr>
                <w:sz w:val="20"/>
                <w:szCs w:val="20"/>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72,652</w:t>
            </w:r>
          </w:p>
        </w:tc>
      </w:tr>
      <w:tr>
        <w:trPr>
          <w:trHeight w:val="219"/>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of Net sales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51.5 %</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53.2 %</w:t>
            </w:r>
          </w:p>
        </w:tc>
      </w:tr>
      <w:tr>
        <w:trPr>
          <w:trHeight w:val="240"/>
        </w:trPr>
        <w:tc>
          <w:tcPr>
            <w:tcW w:w="8380" w:type="dxa"/>
            <w:vAlign w:val="bottom"/>
          </w:tcPr>
          <w:p>
            <w:pPr>
              <w:ind w:left="20"/>
              <w:spacing w:after="0"/>
              <w:rPr>
                <w:sz w:val="20"/>
                <w:szCs w:val="20"/>
                <w:color w:val="auto"/>
              </w:rPr>
            </w:pPr>
            <w:r>
              <w:rPr>
                <w:rFonts w:ascii="Arial" w:cs="Arial" w:eastAsia="Arial" w:hAnsi="Arial"/>
                <w:sz w:val="16"/>
                <w:szCs w:val="16"/>
                <w:color w:val="auto"/>
              </w:rPr>
              <w:t>STG&amp;R expenses</w:t>
            </w:r>
          </w:p>
        </w:tc>
        <w:tc>
          <w:tcPr>
            <w:tcW w:w="320" w:type="dxa"/>
            <w:vAlign w:val="bottom"/>
          </w:tcPr>
          <w:p>
            <w:pPr>
              <w:spacing w:after="0"/>
              <w:rPr>
                <w:sz w:val="20"/>
                <w:szCs w:val="20"/>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26,099</w:t>
            </w:r>
          </w:p>
        </w:tc>
        <w:tc>
          <w:tcPr>
            <w:tcW w:w="460" w:type="dxa"/>
            <w:vAlign w:val="bottom"/>
          </w:tcPr>
          <w:p>
            <w:pPr>
              <w:spacing w:after="0"/>
              <w:rPr>
                <w:sz w:val="20"/>
                <w:szCs w:val="20"/>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24,835</w:t>
            </w:r>
          </w:p>
        </w:tc>
      </w:tr>
      <w:tr>
        <w:trPr>
          <w:trHeight w:val="218"/>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50,363</w:t>
            </w: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47,175</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39"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sales increased by 8.5%.</w:t>
      </w:r>
    </w:p>
    <w:p>
      <w:pPr>
        <w:spacing w:after="0" w:line="117" w:lineRule="exact"/>
        <w:rPr>
          <w:rFonts w:ascii="Arial" w:cs="Arial" w:eastAsia="Arial" w:hAnsi="Arial"/>
          <w:sz w:val="18"/>
          <w:szCs w:val="18"/>
          <w:color w:val="auto"/>
        </w:rPr>
      </w:pPr>
    </w:p>
    <w:p>
      <w:pPr>
        <w:jc w:val="both"/>
        <w:ind w:left="980" w:right="20" w:hanging="324"/>
        <w:spacing w:after="0" w:line="256"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first-quarter 2021 sales by $4.9 million compared to the same period in 2020. That currency translation effect was principally due to the stronger euro in the first quarter of 2021, compared to 2020.</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26" w:name="page27"/>
    <w:bookmarkEnd w:id="2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980" w:right="20" w:hanging="324"/>
        <w:spacing w:after="0" w:line="261"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Net sales in MC increased 4.9% compared to the first quarter of 2020, as growth in sales for packaging and other grades more than offset declines in publication grades.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39" w:lineRule="exact"/>
        <w:rPr>
          <w:sz w:val="20"/>
          <w:szCs w:val="20"/>
          <w:color w:val="auto"/>
        </w:rPr>
      </w:pPr>
    </w:p>
    <w:p>
      <w:pPr>
        <w:ind w:left="980" w:hanging="324"/>
        <w:spacing w:after="0" w:line="261"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increase in MC Gross profit was principally due to higher sales as noted above, partially offset by a decrease in gross profit percentage that was principally due to an increase in production costs and lower cost absorption compared to 2020.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Operating income was principally due to the net effect of higher sales, partially offset by higher STG&amp;R expenses.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 Segment</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owns a 10 percent noncontrolling interest, provides highly engineered advanced composite structures to customers primarily in the aerospace (both commercial and defense) industry. AEC’s largest program relates to CFM International’s LEAP engine. AEC, through ASC, is the exclusive supplier of advanced composite fan blades and cases for this program under a long-term supply contract. The LEAP engine is used on the Airbus A320neo and Boeing 737 MAX family of jets. Other significant AEC programs include components for the F-35, fuselage frames for the Boeing 787, components for the CH53-K helicopter, and the fan case for the GE9X engine.</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Review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3"/>
          </w:tcPr>
          <w:p>
            <w:pPr>
              <w:jc w:val="center"/>
              <w:ind w:right="241"/>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left="582"/>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r>
      <w:tr>
        <w:trPr>
          <w:trHeight w:val="203"/>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210"/>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74,156</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99,162</w:t>
            </w:r>
          </w:p>
        </w:tc>
      </w:tr>
      <w:tr>
        <w:trPr>
          <w:trHeight w:val="240"/>
        </w:trPr>
        <w:tc>
          <w:tcPr>
            <w:tcW w:w="83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20"/>
                <w:szCs w:val="20"/>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12,153</w:t>
            </w:r>
          </w:p>
        </w:tc>
        <w:tc>
          <w:tcPr>
            <w:tcW w:w="460" w:type="dxa"/>
            <w:vAlign w:val="bottom"/>
          </w:tcPr>
          <w:p>
            <w:pPr>
              <w:spacing w:after="0"/>
              <w:rPr>
                <w:sz w:val="20"/>
                <w:szCs w:val="20"/>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16,820</w:t>
            </w:r>
          </w:p>
        </w:tc>
      </w:tr>
      <w:tr>
        <w:trPr>
          <w:trHeight w:val="219"/>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of Net sales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16.4 %</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17.0 %</w:t>
            </w:r>
          </w:p>
        </w:tc>
      </w:tr>
      <w:tr>
        <w:trPr>
          <w:trHeight w:val="240"/>
        </w:trPr>
        <w:tc>
          <w:tcPr>
            <w:tcW w:w="8380" w:type="dxa"/>
            <w:vAlign w:val="bottom"/>
          </w:tcPr>
          <w:p>
            <w:pPr>
              <w:ind w:left="20"/>
              <w:spacing w:after="0"/>
              <w:rPr>
                <w:sz w:val="20"/>
                <w:szCs w:val="20"/>
                <w:color w:val="auto"/>
              </w:rPr>
            </w:pPr>
            <w:r>
              <w:rPr>
                <w:rFonts w:ascii="Arial" w:cs="Arial" w:eastAsia="Arial" w:hAnsi="Arial"/>
                <w:sz w:val="16"/>
                <w:szCs w:val="16"/>
                <w:color w:val="auto"/>
              </w:rPr>
              <w:t>STG&amp;R expenses</w:t>
            </w:r>
          </w:p>
        </w:tc>
        <w:tc>
          <w:tcPr>
            <w:tcW w:w="320" w:type="dxa"/>
            <w:vAlign w:val="bottom"/>
          </w:tcPr>
          <w:p>
            <w:pPr>
              <w:spacing w:after="0"/>
              <w:rPr>
                <w:sz w:val="20"/>
                <w:szCs w:val="20"/>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9,126</w:t>
            </w:r>
          </w:p>
        </w:tc>
        <w:tc>
          <w:tcPr>
            <w:tcW w:w="460" w:type="dxa"/>
            <w:vAlign w:val="bottom"/>
          </w:tcPr>
          <w:p>
            <w:pPr>
              <w:spacing w:after="0"/>
              <w:rPr>
                <w:sz w:val="20"/>
                <w:szCs w:val="20"/>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9,197</w:t>
            </w:r>
          </w:p>
        </w:tc>
      </w:tr>
      <w:tr>
        <w:trPr>
          <w:trHeight w:val="218"/>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2,938</w:t>
            </w: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7,623</w:t>
            </w: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39"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The decrease in Net sales was principally due to lower sales in the LEAP and Boeing 787 programs, partially offset by growth on the F-35 and CH-53K platforms.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39"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The decrease in Gross profit of $4.7 million was principally due to the decrease in Net sales. Adjustments in the estimated profitability of long-term contracts increased operating income by $0.9 million for the first quarter of 2020, compared to an insignificant effect for the first quarter of 2021.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a cost-plus-fee agreement. Revenue earned under these arrangements accounted for approximately 40 percent of segment revenue for each of the first three months of 2021 and 2020. LEAP engines are currently used on the Boeing 737 MAX, Airbus A320neo and COMAC aircraft.</w:t>
      </w:r>
    </w:p>
    <w:p>
      <w:pPr>
        <w:spacing w:after="0" w:line="9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addition, AEC has long-term contracts in which the selling price is fixed. In accounting for those contracts, we estimate the profit margin expected at the completion of the contract and recognize a pro-rata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 Expected losses on projects include losses on contract options that are probable of exercise, excluding profitable options that often follow.</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3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decrease in Operating income of $4.7 million in the first quarter of 2021 was principally due to the decrease in Net sales, as described above.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203"/>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r>
      <w:tr>
        <w:trPr>
          <w:trHeight w:val="210"/>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27,609</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7,594</w:t>
            </w:r>
          </w:p>
        </w:tc>
      </w:tr>
      <w:tr>
        <w:trPr>
          <w:trHeight w:val="215"/>
        </w:trPr>
        <w:tc>
          <w:tcPr>
            <w:tcW w:w="86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18,882</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18,070</w:t>
            </w:r>
          </w:p>
        </w:tc>
      </w:tr>
      <w:tr>
        <w:trPr>
          <w:trHeight w:val="217"/>
        </w:trPr>
        <w:tc>
          <w:tcPr>
            <w:tcW w:w="8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working capital (a)</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(5,992)</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(48,102)</w:t>
            </w:r>
          </w:p>
        </w:tc>
      </w:tr>
      <w:tr>
        <w:trPr>
          <w:trHeight w:val="215"/>
        </w:trPr>
        <w:tc>
          <w:tcPr>
            <w:tcW w:w="8620" w:type="dxa"/>
            <w:vAlign w:val="bottom"/>
          </w:tcPr>
          <w:p>
            <w:pPr>
              <w:ind w:left="140"/>
              <w:spacing w:after="0"/>
              <w:rPr>
                <w:sz w:val="20"/>
                <w:szCs w:val="20"/>
                <w:color w:val="auto"/>
              </w:rPr>
            </w:pPr>
            <w:r>
              <w:rPr>
                <w:rFonts w:ascii="Arial" w:cs="Arial" w:eastAsia="Arial" w:hAnsi="Arial"/>
                <w:sz w:val="16"/>
                <w:szCs w:val="16"/>
                <w:color w:val="auto"/>
              </w:rPr>
              <w:t>Changes in other noncurrent liabilities and deferred taxes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2,345</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5,757</w:t>
            </w:r>
          </w:p>
        </w:tc>
      </w:tr>
      <w:tr>
        <w:trPr>
          <w:trHeight w:val="216"/>
        </w:trPr>
        <w:tc>
          <w:tcPr>
            <w:tcW w:w="86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operating items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(9,158)</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10,043</w:t>
            </w:r>
          </w:p>
        </w:tc>
      </w:tr>
      <w:tr>
        <w:trPr>
          <w:trHeight w:val="234"/>
        </w:trPr>
        <w:tc>
          <w:tcPr>
            <w:tcW w:w="8620" w:type="dxa"/>
            <w:vAlign w:val="bottom"/>
          </w:tcPr>
          <w:p>
            <w:pPr>
              <w:ind w:left="20"/>
              <w:spacing w:after="0"/>
              <w:rPr>
                <w:sz w:val="20"/>
                <w:szCs w:val="20"/>
                <w:color w:val="auto"/>
              </w:rPr>
            </w:pPr>
            <w:r>
              <w:rPr>
                <w:rFonts w:ascii="Arial" w:cs="Arial" w:eastAsia="Arial" w:hAnsi="Arial"/>
                <w:sz w:val="16"/>
                <w:szCs w:val="16"/>
                <w:color w:val="auto"/>
              </w:rPr>
              <w:t>Net cash provided by/(used in) operating activities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33,686</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(6,638)</w:t>
            </w:r>
          </w:p>
        </w:tc>
      </w:tr>
      <w:tr>
        <w:trPr>
          <w:trHeight w:val="21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(12,536)</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(12,805)</w:t>
            </w:r>
          </w:p>
        </w:tc>
      </w:tr>
      <w:tr>
        <w:trPr>
          <w:trHeight w:val="240"/>
        </w:trPr>
        <w:tc>
          <w:tcPr>
            <w:tcW w:w="8620" w:type="dxa"/>
            <w:vAlign w:val="bottom"/>
          </w:tcPr>
          <w:p>
            <w:pPr>
              <w:ind w:left="20"/>
              <w:spacing w:after="0"/>
              <w:rPr>
                <w:sz w:val="20"/>
                <w:szCs w:val="20"/>
                <w:color w:val="auto"/>
              </w:rPr>
            </w:pPr>
            <w:r>
              <w:rPr>
                <w:rFonts w:ascii="Arial" w:cs="Arial" w:eastAsia="Arial" w:hAnsi="Arial"/>
                <w:sz w:val="16"/>
                <w:szCs w:val="16"/>
                <w:color w:val="auto"/>
              </w:rPr>
              <w:t>Net cash (used in)/provided by financing activities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(21,694)</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54,231</w:t>
            </w:r>
          </w:p>
        </w:tc>
      </w:tr>
      <w:tr>
        <w:trPr>
          <w:trHeight w:val="218"/>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(2,901)</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(7,648)</w:t>
            </w:r>
          </w:p>
        </w:tc>
      </w:tr>
      <w:tr>
        <w:trPr>
          <w:trHeight w:val="234"/>
        </w:trPr>
        <w:tc>
          <w:tcPr>
            <w:tcW w:w="8620" w:type="dxa"/>
            <w:vAlign w:val="bottom"/>
          </w:tcPr>
          <w:p>
            <w:pPr>
              <w:ind w:left="20"/>
              <w:spacing w:after="0"/>
              <w:rPr>
                <w:sz w:val="20"/>
                <w:szCs w:val="20"/>
                <w:color w:val="auto"/>
              </w:rPr>
            </w:pPr>
            <w:r>
              <w:rPr>
                <w:rFonts w:ascii="Arial" w:cs="Arial" w:eastAsia="Arial" w:hAnsi="Arial"/>
                <w:sz w:val="16"/>
                <w:szCs w:val="16"/>
                <w:color w:val="auto"/>
              </w:rPr>
              <w:t>(Decrease)/increase in cash and cash equivalents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(3,445)</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27,140</w:t>
            </w:r>
          </w:p>
        </w:tc>
      </w:tr>
      <w:tr>
        <w:trPr>
          <w:trHeight w:val="218"/>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241,316</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195,540</w:t>
            </w:r>
          </w:p>
        </w:tc>
      </w:tr>
      <w:tr>
        <w:trPr>
          <w:trHeight w:val="234"/>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237,871</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222,680</w:t>
            </w:r>
          </w:p>
        </w:tc>
      </w:tr>
    </w:tbl>
    <w:p>
      <w:pPr>
        <w:spacing w:after="0" w:line="83"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Accounts receivable, Contract assets, Inventories, Accounts payable, and Accrued liabilities.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Cash flow provided by operating activities was $ 33.7 million in the first three months of 2021, compared to cash flow used by operating activities of $6.6 million in the first three months of 2020. The improvement in cash provided by operating activities in 2021 was due to improved working capital cash flows in AEC and an increase in Net income.</w:t>
      </w:r>
    </w:p>
    <w:p>
      <w:pPr>
        <w:spacing w:after="0" w:line="9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Cash paid for income taxes was $15.7 million and $9.6 million for the first three months of 2021 and 2020, respectively. The increase is primarily due to an increase in corporate income tax payments in Brazil, China and Switzerland related to prior year tax liabilities.</w:t>
      </w:r>
    </w:p>
    <w:p>
      <w:pPr>
        <w:spacing w:after="0" w:line="9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At March 31, 2021, we had $237.9 million of cash and cash equivalents, of which $209.0 million was held by subsidiaries outside of the United States.</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28" w:name="page29"/>
    <w:bookmarkEnd w:id="2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and Financing Activities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Capital expenditures for the first three months were $12.5 million in 2021 and $12.8 million in 2020.</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Dividends have been declared each quarter since the fourth quarter of 2001. Decisions with respect to whether a dividend will be paid, and the amount of the dividend, are made by the Board of Directors each quarter. Future cash dividends will also depend on debt covenants and on the Board’s assessment of our ability to generate sufficient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to be insignificant. The majority of our cash balance at March 31, 2021 was held by non-U.S. subsidiaries. Based on cash on hand and credit facilities, we anticipate that the Company has sufficient capital resources to operate for the foreseeable future. We were in compliance with all debt covenants as of March 31, 2021.</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October 27, 2020, we entered into a $700 million unsecured Four-Year Revolving Credit Facility Agreement (the “Credit Agreement”) which amended and restated the prior amended and restated $685 million Five-Year Revolving Credit Facility Agreement, which we had entered into on November 7, 2017 (the “Prior Agreement”). Under the Credit Agreement, $384 million of borrowings were outstanding as of March 31, 2021. The applicable interest rate for borrowings was LIBOR plus a spread, based on our leverage ratio at the time of borrowing. At the time of the last borrowing on March 31, 2021, the spread was 1.625%. The spread was based on a pricing grid, which ranged from 1.500% to 2.000%, based on our leverage ratio. Based on our maximum leverage ratio and our Consolidated EBITDA, and without modification to any other credit agreements, as of March 31, 2021, we would have been able to borrow an additional $316 million under the Agreement.</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see Note 14 to the Consolidated Financial Statements in Item 1, which is incorporated herein by reference.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we have no off-balance sheet arrangements required to be disclosed pursuant to Item 303(a)(4) of Regulation 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information set forth under Note 18 contained in Item 1, “Notes to Consolidated Financial Statements”, which is incorporated herein by reference.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This Form 10-Q contains certain non-GAAP measures, including: Net sales, and percent change in Net sales, excluding the impact of currency translation effects (for each segment and on a consolidated basis); EBITDA and Adjusted EBITDA (for each segment and on a consolidated basis, represented in dollars or as a percentage of net sales); Net debt; and Adjusted earnings per share (or Adjusted EPS). Such items are provided because management believes that they provide additional useful information to investors regarding the Company’s operational performance.</w:t>
      </w:r>
    </w:p>
    <w:p>
      <w:pPr>
        <w:spacing w:after="0" w:line="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Presenting Net sales and increases or decreases in Net sales, after currency effects are excluded, can give management and investors insight into underlying sales trends. EBITDA, Adjusted EBITDA and Adjusted EPS are performance measures that relate to the Company’s continuing operations. EBITDA, or net income with interest, taxes, depreciation, and amortization added back, is a common indicator of financial performance used, among other things, to analyze and compare core profitability between companies and industries because it eliminates effects due to differences in financing, asset bases and taxes. An understanding of the impact in a particular quarter of specific restructuring costs, former CEO termination costs, acquisition/integrations costs, currency revaluation, pension settlement/curtailment charges, inventory write-offs associated with discontinued businesses, or other gains and losses, on net income (absolute as well as on a per-share basis), operating income or EBITDA can give management and investors additional insight into core financial performance, especially when compared to quarters in which such items had a greater or lesser effect, or no effect. Restructuring expenses, while frequent in recent years, are reflective of significant reductions in manufacturing capacity and associated headcount in response to shifting markets, and not of the profitability of the business going forward as restructured.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Net sales, or percent changes in Net sales, excluding currency rate effects, are calculated by converting amounts reported in local currencies into U.S. dollars at the exchange rate of a prior period. These amounts are then compared to the U.S. dollar amount as reported in the current period. The Company calculates EBITDA by removing the following from Net income: Interest expense net, Income tax expense, and Depreciation and amortization expense. Adjusted EBITDA is calculated by: adding to EBITDA costs associated with restructuring, former CEO termination costs, and inventory write-offs associated with discontinued businesses; adding charges and credits related to pension plan settlements and curtailments; adding (or subtracting) revaluation losses (or gains); subtracting (or adding) gains (or losses) from the sale of buildings or investments; adding acquisition/integration costs and subtracting (or adding) Income (or loss) attributable to the non-controlling interest in Albany Safran Composites (ASC). Adjusted earnings per share (Adjusted EPS) is calculated by adding to (or subtracting from) net income attributable to the Company per share, on an after-tax basis: restructuring charges; former CEO severance costs; inventory write-offs associated with discontinued businesses; charges and credits related to pension settlements and curtailments; foreign currency revaluation losses (or gains); and acquisition-related expenses.</w:t>
      </w:r>
    </w:p>
    <w:p>
      <w:pPr>
        <w:spacing w:after="0" w:line="1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EBITDA, Adjusted EBITDA, and Adjusted earnings per share as defined by the Company may not be similar to similarly named measures of other companies. Such measures are not considered measurements under GAAP, and should be considered in addition to, but not as substitutes for, the information contained in the Company’s statements of income.</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Three months ended March 31,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4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1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Albany Engineered</w:t>
            </w:r>
          </w:p>
        </w:tc>
        <w:tc>
          <w:tcPr>
            <w:tcW w:w="32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tcPr>
          <w:p>
            <w:pPr>
              <w:jc w:val="right"/>
              <w:ind w:right="420"/>
              <w:spacing w:after="0" w:line="142" w:lineRule="exact"/>
              <w:rPr>
                <w:sz w:val="20"/>
                <w:szCs w:val="20"/>
                <w:color w:val="auto"/>
              </w:rPr>
            </w:pPr>
            <w:r>
              <w:rPr>
                <w:rFonts w:ascii="Arial" w:cs="Arial" w:eastAsia="Arial" w:hAnsi="Arial"/>
                <w:sz w:val="14"/>
                <w:szCs w:val="14"/>
                <w:b w:val="1"/>
                <w:bCs w:val="1"/>
                <w:color w:val="auto"/>
              </w:rPr>
              <w:t>Corporate expenses</w:t>
            </w:r>
          </w:p>
        </w:tc>
        <w:tc>
          <w:tcPr>
            <w:tcW w:w="2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75"/>
        </w:trPr>
        <w:tc>
          <w:tcPr>
            <w:tcW w:w="34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Composites</w:t>
            </w:r>
          </w:p>
        </w:tc>
        <w:tc>
          <w:tcPr>
            <w:tcW w:w="3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ind w:right="780"/>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 (GAAP)</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50,363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2,938</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(11,483)</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41,818</w:t>
            </w:r>
          </w:p>
        </w:tc>
        <w:tc>
          <w:tcPr>
            <w:tcW w:w="0" w:type="dxa"/>
            <w:vAlign w:val="bottom"/>
          </w:tcPr>
          <w:p>
            <w:pPr>
              <w:spacing w:after="0"/>
              <w:rPr>
                <w:sz w:val="1"/>
                <w:szCs w:val="1"/>
                <w:color w:val="auto"/>
              </w:rPr>
            </w:pPr>
          </w:p>
        </w:tc>
      </w:tr>
      <w:tr>
        <w:trPr>
          <w:trHeight w:val="215"/>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taxes, other income/(expense)</w:t>
            </w: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(14,209)</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(14,209)</w:t>
            </w: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50,363</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2,938</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(25,692)</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27,609</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3,569</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3,569</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10,040</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10,040</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5,122</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12,865</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18,882</w:t>
            </w:r>
          </w:p>
        </w:tc>
        <w:tc>
          <w:tcPr>
            <w:tcW w:w="0" w:type="dxa"/>
            <w:vAlign w:val="bottom"/>
          </w:tcPr>
          <w:p>
            <w:pPr>
              <w:spacing w:after="0"/>
              <w:rPr>
                <w:sz w:val="1"/>
                <w:szCs w:val="1"/>
                <w:color w:val="auto"/>
              </w:rPr>
            </w:pPr>
          </w:p>
        </w:tc>
      </w:tr>
      <w:tr>
        <w:trPr>
          <w:trHeight w:val="212"/>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55,485</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15,803</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(11,188)</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60,100</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(69)</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89</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Acquisition/integration costs</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314</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180"/>
        </w:trPr>
        <w:tc>
          <w:tcPr>
            <w:tcW w:w="34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Pre-tax (income) attributable to noncontrolling</w:t>
            </w:r>
          </w:p>
        </w:tc>
        <w:tc>
          <w:tcPr>
            <w:tcW w:w="3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3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32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2"/>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54,924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16,735</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(10,989)</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60,670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Three months ended March 31, 2020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4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18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jc w:val="right"/>
              <w:ind w:right="120"/>
              <w:spacing w:after="0" w:line="154" w:lineRule="exact"/>
              <w:rPr>
                <w:sz w:val="20"/>
                <w:szCs w:val="20"/>
                <w:color w:val="auto"/>
              </w:rPr>
            </w:pPr>
            <w:r>
              <w:rPr>
                <w:rFonts w:ascii="Arial" w:cs="Arial" w:eastAsia="Arial" w:hAnsi="Arial"/>
                <w:sz w:val="14"/>
                <w:szCs w:val="14"/>
                <w:b w:val="1"/>
                <w:bCs w:val="1"/>
                <w:color w:val="auto"/>
              </w:rPr>
              <w:t>Albany Engineered</w:t>
            </w:r>
          </w:p>
        </w:tc>
        <w:tc>
          <w:tcPr>
            <w:tcW w:w="34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tcPr>
          <w:p>
            <w:pPr>
              <w:jc w:val="right"/>
              <w:ind w:right="420"/>
              <w:spacing w:after="0" w:line="154" w:lineRule="exact"/>
              <w:rPr>
                <w:sz w:val="20"/>
                <w:szCs w:val="20"/>
                <w:color w:val="auto"/>
              </w:rPr>
            </w:pPr>
            <w:r>
              <w:rPr>
                <w:rFonts w:ascii="Arial" w:cs="Arial" w:eastAsia="Arial" w:hAnsi="Arial"/>
                <w:sz w:val="14"/>
                <w:szCs w:val="14"/>
                <w:b w:val="1"/>
                <w:bCs w:val="1"/>
                <w:color w:val="auto"/>
              </w:rPr>
              <w:t>Corporate expenses</w:t>
            </w:r>
          </w:p>
        </w:tc>
        <w:tc>
          <w:tcPr>
            <w:tcW w:w="2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75"/>
        </w:trPr>
        <w:tc>
          <w:tcPr>
            <w:tcW w:w="34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Composites</w:t>
            </w:r>
          </w:p>
        </w:tc>
        <w:tc>
          <w:tcPr>
            <w:tcW w:w="3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ind w:right="780"/>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 (GAAP)</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47,175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7,623</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(15,204)</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39,594</w:t>
            </w:r>
          </w:p>
        </w:tc>
        <w:tc>
          <w:tcPr>
            <w:tcW w:w="0" w:type="dxa"/>
            <w:vAlign w:val="bottom"/>
          </w:tcPr>
          <w:p>
            <w:pPr>
              <w:spacing w:after="0"/>
              <w:rPr>
                <w:sz w:val="1"/>
                <w:szCs w:val="1"/>
                <w:color w:val="auto"/>
              </w:rPr>
            </w:pPr>
          </w:p>
        </w:tc>
      </w:tr>
      <w:tr>
        <w:trPr>
          <w:trHeight w:val="215"/>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taxes, other income/(expense)</w:t>
            </w:r>
          </w:p>
        </w:tc>
        <w:tc>
          <w:tcPr>
            <w:tcW w:w="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(32,000)</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(32,000)</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47,175</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7,623</w:t>
            </w:r>
          </w:p>
        </w:tc>
        <w:tc>
          <w:tcPr>
            <w:tcW w:w="34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(47,204)</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7,594</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3,977</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3,977</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12,454</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12,454</w:t>
            </w:r>
          </w:p>
        </w:tc>
        <w:tc>
          <w:tcPr>
            <w:tcW w:w="0" w:type="dxa"/>
            <w:vAlign w:val="bottom"/>
          </w:tcPr>
          <w:p>
            <w:pPr>
              <w:spacing w:after="0"/>
              <w:rPr>
                <w:sz w:val="1"/>
                <w:szCs w:val="1"/>
                <w:color w:val="auto"/>
              </w:rPr>
            </w:pPr>
          </w:p>
        </w:tc>
      </w:tr>
      <w:tr>
        <w:trPr>
          <w:trHeight w:val="213"/>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5,087</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11,985</w:t>
            </w:r>
          </w:p>
        </w:tc>
        <w:tc>
          <w:tcPr>
            <w:tcW w:w="3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18,070</w:t>
            </w:r>
          </w:p>
        </w:tc>
        <w:tc>
          <w:tcPr>
            <w:tcW w:w="0" w:type="dxa"/>
            <w:vAlign w:val="bottom"/>
          </w:tcPr>
          <w:p>
            <w:pPr>
              <w:spacing w:after="0"/>
              <w:rPr>
                <w:sz w:val="1"/>
                <w:szCs w:val="1"/>
                <w:color w:val="auto"/>
              </w:rPr>
            </w:pPr>
          </w:p>
        </w:tc>
      </w:tr>
      <w:tr>
        <w:trPr>
          <w:trHeight w:val="213"/>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52,262</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19,608</w:t>
            </w:r>
          </w:p>
        </w:tc>
        <w:tc>
          <w:tcPr>
            <w:tcW w:w="34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(29,775)</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42,095</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3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642</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(3,661)</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14,830</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11,866</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color w:val="auto"/>
              </w:rPr>
              <w:t>Former CEO termination costs</w:t>
            </w:r>
          </w:p>
        </w:tc>
        <w:tc>
          <w:tcPr>
            <w:tcW w:w="3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2,742</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2,742</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Acquisition/integration costs</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177"/>
        </w:trPr>
        <w:tc>
          <w:tcPr>
            <w:tcW w:w="3460" w:type="dxa"/>
            <w:vAlign w:val="bottom"/>
          </w:tcPr>
          <w:p>
            <w:pPr>
              <w:ind w:left="20"/>
              <w:spacing w:after="0" w:line="178" w:lineRule="exact"/>
              <w:rPr>
                <w:sz w:val="20"/>
                <w:szCs w:val="20"/>
                <w:color w:val="auto"/>
              </w:rPr>
            </w:pPr>
            <w:r>
              <w:rPr>
                <w:rFonts w:ascii="Arial" w:cs="Arial" w:eastAsia="Arial" w:hAnsi="Arial"/>
                <w:sz w:val="16"/>
                <w:szCs w:val="16"/>
                <w:color w:val="auto"/>
              </w:rPr>
              <w:t>Pre-tax expense attributable to noncontrolling</w:t>
            </w: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w:t>
            </w:r>
          </w:p>
        </w:tc>
        <w:tc>
          <w:tcPr>
            <w:tcW w:w="3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1,492</w:t>
            </w:r>
          </w:p>
        </w:tc>
        <w:tc>
          <w:tcPr>
            <w:tcW w:w="3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2"/>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49,243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22,095</w:t>
            </w:r>
          </w:p>
        </w:tc>
        <w:tc>
          <w:tcPr>
            <w:tcW w:w="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(12,203)</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59,135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discloses certain income and expense items on a per-share basis. The Company believes that such disclosures provide important insight into the underlying quarterly earnings and are financial performance metrics commonly used by investors. The Company calculates the quarterly per-share amount for items included in continuing operations by using the income tax rate based on either the tax rates in specific countries or the estimated tax rate applied to total company results. The after-tax amount is then divided by the weighted-average number of shares outstanding for each period. Year-to-date earnings per-share effects are determined by adding the amounts calculated at each reporting period.</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 March 31, 2021</w:t>
            </w:r>
          </w:p>
        </w:tc>
        <w:tc>
          <w:tcPr>
            <w:tcW w:w="15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Pre tax</w:t>
            </w: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Tax</w:t>
            </w: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After tax</w:t>
            </w: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Per share</w:t>
            </w:r>
          </w:p>
        </w:tc>
      </w:tr>
      <w:tr>
        <w:trPr>
          <w:trHeight w:val="175"/>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Amounts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0.00</w:t>
            </w: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1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250</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(135)</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385</w:t>
            </w:r>
          </w:p>
        </w:tc>
        <w:tc>
          <w:tcPr>
            <w:tcW w:w="2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0.01</w:t>
            </w:r>
          </w:p>
        </w:tc>
      </w:tr>
      <w:tr>
        <w:trPr>
          <w:trHeight w:val="216"/>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Acquisition/integration costs</w:t>
            </w:r>
          </w:p>
        </w:tc>
        <w:tc>
          <w:tcPr>
            <w:tcW w:w="1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94</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0.01</w:t>
            </w:r>
          </w:p>
        </w:tc>
      </w:tr>
      <w:tr>
        <w:trPr>
          <w:trHeight w:val="455"/>
        </w:trPr>
        <w:tc>
          <w:tcPr>
            <w:tcW w:w="47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42"/>
        </w:trPr>
        <w:tc>
          <w:tcPr>
            <w:tcW w:w="47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Three months ended March 31, 2020</w:t>
            </w:r>
          </w:p>
        </w:tc>
        <w:tc>
          <w:tcPr>
            <w:tcW w:w="1520" w:type="dxa"/>
            <w:vAlign w:val="bottom"/>
          </w:tcPr>
          <w:p>
            <w:pPr>
              <w:spacing w:after="0"/>
              <w:rPr>
                <w:sz w:val="12"/>
                <w:szCs w:val="12"/>
                <w:color w:val="auto"/>
              </w:rPr>
            </w:pPr>
          </w:p>
        </w:tc>
        <w:tc>
          <w:tcPr>
            <w:tcW w:w="1060" w:type="dxa"/>
            <w:vAlign w:val="bottom"/>
          </w:tcPr>
          <w:p>
            <w:pPr>
              <w:jc w:val="center"/>
              <w:ind w:right="102"/>
              <w:spacing w:after="0" w:line="142" w:lineRule="exact"/>
              <w:rPr>
                <w:sz w:val="20"/>
                <w:szCs w:val="20"/>
                <w:color w:val="auto"/>
              </w:rPr>
            </w:pPr>
            <w:r>
              <w:rPr>
                <w:rFonts w:ascii="Arial" w:cs="Arial" w:eastAsia="Arial" w:hAnsi="Arial"/>
                <w:sz w:val="14"/>
                <w:szCs w:val="14"/>
                <w:b w:val="1"/>
                <w:bCs w:val="1"/>
                <w:color w:val="auto"/>
              </w:rPr>
              <w:t>Pre tax</w:t>
            </w:r>
          </w:p>
        </w:tc>
        <w:tc>
          <w:tcPr>
            <w:tcW w:w="320" w:type="dxa"/>
            <w:vAlign w:val="bottom"/>
          </w:tcPr>
          <w:p>
            <w:pPr>
              <w:spacing w:after="0"/>
              <w:rPr>
                <w:sz w:val="12"/>
                <w:szCs w:val="12"/>
                <w:color w:val="auto"/>
              </w:rPr>
            </w:pPr>
          </w:p>
        </w:tc>
        <w:tc>
          <w:tcPr>
            <w:tcW w:w="1020" w:type="dxa"/>
            <w:vAlign w:val="bottom"/>
          </w:tcPr>
          <w:p>
            <w:pPr>
              <w:jc w:val="center"/>
              <w:ind w:right="222"/>
              <w:spacing w:after="0" w:line="142" w:lineRule="exact"/>
              <w:rPr>
                <w:sz w:val="20"/>
                <w:szCs w:val="20"/>
                <w:color w:val="auto"/>
              </w:rPr>
            </w:pPr>
            <w:r>
              <w:rPr>
                <w:rFonts w:ascii="Arial" w:cs="Arial" w:eastAsia="Arial" w:hAnsi="Arial"/>
                <w:sz w:val="14"/>
                <w:szCs w:val="14"/>
                <w:b w:val="1"/>
                <w:bCs w:val="1"/>
                <w:color w:val="auto"/>
                <w:w w:val="99"/>
              </w:rPr>
              <w:t>Tax</w:t>
            </w:r>
          </w:p>
        </w:tc>
        <w:tc>
          <w:tcPr>
            <w:tcW w:w="240" w:type="dxa"/>
            <w:vAlign w:val="bottom"/>
          </w:tcPr>
          <w:p>
            <w:pPr>
              <w:spacing w:after="0"/>
              <w:rPr>
                <w:sz w:val="12"/>
                <w:szCs w:val="12"/>
                <w:color w:val="auto"/>
              </w:rPr>
            </w:pPr>
          </w:p>
        </w:tc>
        <w:tc>
          <w:tcPr>
            <w:tcW w:w="1040" w:type="dxa"/>
            <w:vAlign w:val="bottom"/>
          </w:tcPr>
          <w:p>
            <w:pPr>
              <w:jc w:val="center"/>
              <w:ind w:right="142"/>
              <w:spacing w:after="0" w:line="142" w:lineRule="exact"/>
              <w:rPr>
                <w:sz w:val="20"/>
                <w:szCs w:val="20"/>
                <w:color w:val="auto"/>
              </w:rPr>
            </w:pPr>
            <w:r>
              <w:rPr>
                <w:rFonts w:ascii="Arial" w:cs="Arial" w:eastAsia="Arial" w:hAnsi="Arial"/>
                <w:sz w:val="14"/>
                <w:szCs w:val="14"/>
                <w:b w:val="1"/>
                <w:bCs w:val="1"/>
                <w:color w:val="auto"/>
              </w:rPr>
              <w:t>After tax</w:t>
            </w:r>
          </w:p>
        </w:tc>
        <w:tc>
          <w:tcPr>
            <w:tcW w:w="240" w:type="dxa"/>
            <w:vAlign w:val="bottom"/>
          </w:tcPr>
          <w:p>
            <w:pPr>
              <w:spacing w:after="0"/>
              <w:rPr>
                <w:sz w:val="12"/>
                <w:szCs w:val="12"/>
                <w:color w:val="auto"/>
              </w:rPr>
            </w:pPr>
          </w:p>
        </w:tc>
        <w:tc>
          <w:tcPr>
            <w:tcW w:w="1100" w:type="dxa"/>
            <w:vAlign w:val="bottom"/>
          </w:tcPr>
          <w:p>
            <w:pPr>
              <w:jc w:val="center"/>
              <w:ind w:right="122"/>
              <w:spacing w:after="0" w:line="142" w:lineRule="exact"/>
              <w:rPr>
                <w:sz w:val="20"/>
                <w:szCs w:val="20"/>
                <w:color w:val="auto"/>
              </w:rPr>
            </w:pPr>
            <w:r>
              <w:rPr>
                <w:rFonts w:ascii="Arial" w:cs="Arial" w:eastAsia="Arial" w:hAnsi="Arial"/>
                <w:sz w:val="14"/>
                <w:szCs w:val="14"/>
                <w:b w:val="1"/>
                <w:bCs w:val="1"/>
                <w:color w:val="auto"/>
              </w:rPr>
              <w:t>Per share</w:t>
            </w:r>
          </w:p>
        </w:tc>
      </w:tr>
      <w:tr>
        <w:trPr>
          <w:trHeight w:val="175"/>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Amounts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r>
      <w:tr>
        <w:trPr>
          <w:trHeight w:val="210"/>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192</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0.01</w:t>
            </w: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1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11,866</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(1,545)</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13,411</w:t>
            </w:r>
          </w:p>
        </w:tc>
        <w:tc>
          <w:tcPr>
            <w:tcW w:w="2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0.42</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Former CEO termination costs</w:t>
            </w:r>
          </w:p>
        </w:tc>
        <w:tc>
          <w:tcPr>
            <w:tcW w:w="1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713</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0.06</w:t>
            </w:r>
          </w:p>
        </w:tc>
      </w:tr>
      <w:tr>
        <w:trPr>
          <w:trHeight w:val="213"/>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Acquisition/integration costs</w:t>
            </w:r>
          </w:p>
        </w:tc>
        <w:tc>
          <w:tcPr>
            <w:tcW w:w="1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89</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0.01</w:t>
            </w:r>
          </w:p>
        </w:tc>
      </w:tr>
    </w:tbl>
    <w:p>
      <w:pPr>
        <w:spacing w:after="0" w:line="83" w:lineRule="exact"/>
        <w:rPr>
          <w:sz w:val="20"/>
          <w:szCs w:val="20"/>
          <w:color w:val="auto"/>
        </w:rPr>
      </w:pPr>
    </w:p>
    <w:p>
      <w:pPr>
        <w:ind w:left="660" w:right="40" w:hanging="652"/>
        <w:spacing w:after="0" w:line="260"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Q1 2020, the company incurred losses of approximately $17 million in jurisdictions where it cannot record a benefit from the losses, which results in an unusual relationship between the pre-tax and after-tax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the calculation of Adjusted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Three months ended March 31,</w:t>
            </w:r>
          </w:p>
        </w:tc>
      </w:tr>
      <w:tr>
        <w:trPr>
          <w:trHeight w:val="203"/>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 share amounts (Basic)</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r>
      <w:tr>
        <w:trPr>
          <w:trHeight w:val="20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 (GAAP)</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0.85</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r>
      <w:tr>
        <w:trPr>
          <w:trHeight w:val="233"/>
        </w:trPr>
        <w:tc>
          <w:tcPr>
            <w:tcW w:w="8620" w:type="dxa"/>
            <w:vAlign w:val="bottom"/>
          </w:tcPr>
          <w:p>
            <w:pPr>
              <w:ind w:left="20"/>
              <w:spacing w:after="0"/>
              <w:rPr>
                <w:sz w:val="20"/>
                <w:szCs w:val="20"/>
                <w:color w:val="auto"/>
              </w:rPr>
            </w:pPr>
            <w:r>
              <w:rPr>
                <w:rFonts w:ascii="Arial" w:cs="Arial" w:eastAsia="Arial" w:hAnsi="Arial"/>
                <w:sz w:val="16"/>
                <w:szCs w:val="16"/>
                <w:color w:val="auto"/>
              </w:rPr>
              <w:t>Adjustments, after tax:</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6"/>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40"/>
        </w:trPr>
        <w:tc>
          <w:tcPr>
            <w:tcW w:w="862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0.01</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0.42</w:t>
            </w:r>
          </w:p>
        </w:tc>
      </w:tr>
      <w:tr>
        <w:trPr>
          <w:trHeight w:val="21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Former CEO termination costs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r>
      <w:tr>
        <w:trPr>
          <w:trHeight w:val="240"/>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Acquisition/integration costs</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0.01</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r>
      <w:tr>
        <w:trPr>
          <w:trHeight w:val="212"/>
        </w:trPr>
        <w:tc>
          <w:tcPr>
            <w:tcW w:w="8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Adjusted Earnings per share (non-GAAP)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0.87</w:t>
            </w:r>
          </w:p>
        </w:tc>
        <w:tc>
          <w:tcPr>
            <w:tcW w:w="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0.78</w:t>
            </w:r>
          </w:p>
        </w:tc>
      </w:tr>
    </w:tbl>
    <w:p>
      <w:pPr>
        <w:spacing w:after="0" w:line="200" w:lineRule="exact"/>
        <w:rPr>
          <w:sz w:val="20"/>
          <w:szCs w:val="20"/>
          <w:color w:val="auto"/>
        </w:rPr>
      </w:pPr>
    </w:p>
    <w:p>
      <w:pPr>
        <w:spacing w:after="0" w:line="2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Net debt is, in the opinion of the Company, helpful to investors wishing to understand what the Company’s debt position would be if all available cash were applied to pay down indebtedness. The Company calculates Net debt by subtracting Cash and cash equivalents from Total debt. Total debt is calculated by adding Long-term debt, Current maturities of long-term debt, and Notes and loans payable, if any.</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contains the calculation of net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82"/>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6"/>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March 31, 2020</w:t>
            </w: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maturities of long-term debt</w:t>
            </w:r>
          </w:p>
        </w:tc>
        <w:tc>
          <w:tcPr>
            <w:tcW w:w="2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w:t>
            </w:r>
          </w:p>
        </w:tc>
      </w:tr>
      <w:tr>
        <w:trPr>
          <w:trHeight w:val="240"/>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Long-term debt</w:t>
            </w:r>
          </w:p>
        </w:tc>
        <w:tc>
          <w:tcPr>
            <w:tcW w:w="2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384,000</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398,000</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491,002</w:t>
            </w:r>
          </w:p>
        </w:tc>
      </w:tr>
      <w:tr>
        <w:trPr>
          <w:trHeight w:val="212"/>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debt</w:t>
            </w:r>
          </w:p>
        </w:tc>
        <w:tc>
          <w:tcPr>
            <w:tcW w:w="2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384,002</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398,009</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491,022</w:t>
            </w:r>
          </w:p>
        </w:tc>
      </w:tr>
      <w:tr>
        <w:trPr>
          <w:trHeight w:val="234"/>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w:t>
            </w:r>
          </w:p>
        </w:tc>
        <w:tc>
          <w:tcPr>
            <w:tcW w:w="2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237,871</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241,316</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222,680</w:t>
            </w:r>
          </w:p>
        </w:tc>
      </w:tr>
      <w:tr>
        <w:trPr>
          <w:trHeight w:val="212"/>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debt (non GAAP)</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146,131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156,693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268,342</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which is included as an exhibit to this Form 10-Q.</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11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principal executive officer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There was no change in the Company’s internal control over financial reporting (as defined in Rule 13a-15(f) and 15d-15(f) under the Securities Exchange Act of 1934, as amended) during the last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information set forth above under Note 16 in Item 1, “Notes to Consolidated Financial Statements” is incorporated herein by reference.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There have been no material changes in risks since December 31, 2020. For discussion of risk factors, refer to Item 1A of our Annual Report on Form 10-K for the year ended December 31, 2020.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We made no share purchases during the first quarter of 2021. We remain authorized by the Board of Directors to purchase up to 2 million shares of our Class A Common Stock.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260" w:type="dxa"/>
            <w:vAlign w:val="bottom"/>
          </w:tcPr>
          <w:p>
            <w:pPr>
              <w:ind w:left="20"/>
              <w:spacing w:after="0"/>
              <w:rPr>
                <w:sz w:val="20"/>
                <w:szCs w:val="20"/>
                <w:color w:val="auto"/>
              </w:rPr>
            </w:pPr>
            <w:r>
              <w:rPr>
                <w:rFonts w:ascii="Arial" w:cs="Arial" w:eastAsia="Arial" w:hAnsi="Arial"/>
                <w:sz w:val="16"/>
                <w:szCs w:val="16"/>
                <w:color w:val="auto"/>
              </w:rPr>
              <w:t>Exhibit No.</w:t>
            </w:r>
          </w:p>
        </w:tc>
        <w:tc>
          <w:tcPr>
            <w:tcW w:w="9980" w:type="dxa"/>
            <w:vAlign w:val="bottom"/>
            <w:gridSpan w:val="6"/>
          </w:tcPr>
          <w:p>
            <w:pPr>
              <w:spacing w:after="0"/>
              <w:rPr>
                <w:sz w:val="20"/>
                <w:szCs w:val="20"/>
                <w:color w:val="auto"/>
              </w:rPr>
            </w:pPr>
            <w:r>
              <w:rPr>
                <w:rFonts w:ascii="Arial" w:cs="Arial" w:eastAsia="Arial" w:hAnsi="Arial"/>
                <w:sz w:val="16"/>
                <w:szCs w:val="16"/>
                <w:color w:val="auto"/>
              </w:rPr>
              <w:t>Description</w:t>
            </w:r>
          </w:p>
        </w:tc>
      </w:tr>
      <w:tr>
        <w:trPr>
          <w:trHeight w:val="199"/>
        </w:trPr>
        <w:tc>
          <w:tcPr>
            <w:tcW w:w="1260" w:type="dxa"/>
            <w:vAlign w:val="bottom"/>
            <w:tcBorders>
              <w:bottom w:val="single" w:sz="8" w:color="CCEEFF"/>
            </w:tcBorders>
            <w:shd w:val="clear" w:color="auto" w:fill="CCEEFF"/>
          </w:tcPr>
          <w:p>
            <w:pPr>
              <w:ind w:left="20"/>
              <w:spacing w:after="0" w:line="178" w:lineRule="exact"/>
              <w:rPr>
                <w:sz w:val="20"/>
                <w:szCs w:val="20"/>
                <w:color w:val="auto"/>
              </w:rPr>
            </w:pPr>
            <w:r>
              <w:rPr>
                <w:rFonts w:ascii="Arial" w:cs="Arial" w:eastAsia="Arial" w:hAnsi="Arial"/>
                <w:sz w:val="16"/>
                <w:szCs w:val="16"/>
                <w:color w:val="auto"/>
              </w:rPr>
              <w:t>31.1</w:t>
            </w:r>
          </w:p>
        </w:tc>
        <w:tc>
          <w:tcPr>
            <w:tcW w:w="7280" w:type="dxa"/>
            <w:vAlign w:val="bottom"/>
            <w:tcBorders>
              <w:bottom w:val="single" w:sz="8" w:color="0000FF"/>
            </w:tcBorders>
            <w:gridSpan w:val="4"/>
            <w:shd w:val="clear" w:color="auto" w:fill="CCEEFF"/>
          </w:tcPr>
          <w:p>
            <w:pPr>
              <w:spacing w:after="0" w:line="178" w:lineRule="exact"/>
              <w:rPr>
                <w:rFonts w:ascii="Arial" w:cs="Arial" w:eastAsia="Arial" w:hAnsi="Arial"/>
                <w:sz w:val="16"/>
                <w:szCs w:val="16"/>
                <w:color w:val="0000FF"/>
              </w:rPr>
            </w:pPr>
            <w:hyperlink w:anchor="page35">
              <w:r>
                <w:rPr>
                  <w:rFonts w:ascii="Arial" w:cs="Arial" w:eastAsia="Arial" w:hAnsi="Arial"/>
                  <w:sz w:val="16"/>
                  <w:szCs w:val="16"/>
                  <w:color w:val="0000FF"/>
                </w:rPr>
                <w:t>Certification of the Chief Executive Officer pursuant to Rule 13a-14(a)/15d-14(a) of the Exchange Act.</w:t>
              </w:r>
            </w:hyperlink>
          </w:p>
        </w:tc>
        <w:tc>
          <w:tcPr>
            <w:tcW w:w="2700" w:type="dxa"/>
            <w:vAlign w:val="bottom"/>
            <w:tcBorders>
              <w:bottom w:val="single" w:sz="8" w:color="CCEEFF"/>
            </w:tcBorders>
            <w:gridSpan w:val="2"/>
            <w:shd w:val="clear" w:color="auto" w:fill="CCEEFF"/>
          </w:tcPr>
          <w:p>
            <w:pPr>
              <w:spacing w:after="0"/>
              <w:rPr>
                <w:sz w:val="17"/>
                <w:szCs w:val="17"/>
                <w:color w:val="auto"/>
              </w:rPr>
            </w:pPr>
          </w:p>
        </w:tc>
      </w:tr>
      <w:tr>
        <w:trPr>
          <w:trHeight w:val="175"/>
        </w:trPr>
        <w:tc>
          <w:tcPr>
            <w:tcW w:w="1260" w:type="dxa"/>
            <w:vAlign w:val="bottom"/>
          </w:tcPr>
          <w:p>
            <w:pPr>
              <w:ind w:left="20"/>
              <w:spacing w:after="0" w:line="175" w:lineRule="exact"/>
              <w:rPr>
                <w:sz w:val="20"/>
                <w:szCs w:val="20"/>
                <w:color w:val="auto"/>
              </w:rPr>
            </w:pPr>
            <w:r>
              <w:rPr>
                <w:rFonts w:ascii="Arial" w:cs="Arial" w:eastAsia="Arial" w:hAnsi="Arial"/>
                <w:sz w:val="16"/>
                <w:szCs w:val="16"/>
                <w:color w:val="auto"/>
              </w:rPr>
              <w:t>31.2</w:t>
            </w:r>
          </w:p>
        </w:tc>
        <w:tc>
          <w:tcPr>
            <w:tcW w:w="9980" w:type="dxa"/>
            <w:vAlign w:val="bottom"/>
            <w:gridSpan w:val="6"/>
          </w:tcPr>
          <w:p>
            <w:pPr>
              <w:spacing w:after="0" w:line="175" w:lineRule="exact"/>
              <w:rPr>
                <w:rFonts w:ascii="Arial" w:cs="Arial" w:eastAsia="Arial" w:hAnsi="Arial"/>
                <w:sz w:val="16"/>
                <w:szCs w:val="16"/>
                <w:color w:val="0000FF"/>
              </w:rPr>
            </w:pPr>
            <w:hyperlink w:anchor="page36">
              <w:r>
                <w:rPr>
                  <w:rFonts w:ascii="Arial" w:cs="Arial" w:eastAsia="Arial" w:hAnsi="Arial"/>
                  <w:sz w:val="16"/>
                  <w:szCs w:val="16"/>
                  <w:color w:val="0000FF"/>
                </w:rPr>
                <w:t>Certification of the Chief Financial Officer pursuant to Rule 13a-14(a)/15d-14(a) of the Exchange Act.</w:t>
              </w:r>
            </w:hyperlink>
          </w:p>
        </w:tc>
      </w:tr>
      <w:tr>
        <w:trPr>
          <w:trHeight w:val="20"/>
        </w:trPr>
        <w:tc>
          <w:tcPr>
            <w:tcW w:w="126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49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12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32.1</w:t>
            </w:r>
          </w:p>
        </w:tc>
        <w:tc>
          <w:tcPr>
            <w:tcW w:w="9980" w:type="dxa"/>
            <w:vAlign w:val="bottom"/>
            <w:gridSpan w:val="6"/>
            <w:shd w:val="clear" w:color="auto" w:fill="CCEEFF"/>
          </w:tcPr>
          <w:p>
            <w:pPr>
              <w:spacing w:after="0" w:line="175" w:lineRule="exact"/>
              <w:rPr>
                <w:rFonts w:ascii="Arial" w:cs="Arial" w:eastAsia="Arial" w:hAnsi="Arial"/>
                <w:sz w:val="16"/>
                <w:szCs w:val="16"/>
                <w:color w:val="0000FF"/>
              </w:rPr>
            </w:pPr>
            <w:hyperlink w:anchor="page37">
              <w:r>
                <w:rPr>
                  <w:rFonts w:ascii="Arial" w:cs="Arial" w:eastAsia="Arial" w:hAnsi="Arial"/>
                  <w:sz w:val="16"/>
                  <w:szCs w:val="16"/>
                  <w:color w:val="0000FF"/>
                </w:rPr>
                <w:t>Certification pursuant to Section 906 of the Sarbanes-Oxley Act of 2002 (Subsections (a) and (b) of Section 1350, Chapter 63 of Title 18,</w:t>
              </w:r>
            </w:hyperlink>
          </w:p>
        </w:tc>
      </w:tr>
      <w:tr>
        <w:trPr>
          <w:trHeight w:val="163"/>
        </w:trPr>
        <w:tc>
          <w:tcPr>
            <w:tcW w:w="1260" w:type="dxa"/>
            <w:vAlign w:val="bottom"/>
            <w:tcBorders>
              <w:top w:val="single" w:sz="8" w:color="CCEEFF"/>
              <w:bottom w:val="single" w:sz="8" w:color="CCEEFF"/>
            </w:tcBorders>
            <w:shd w:val="clear" w:color="auto" w:fill="CCEEFF"/>
          </w:tcPr>
          <w:p>
            <w:pPr>
              <w:spacing w:after="0"/>
              <w:rPr>
                <w:sz w:val="14"/>
                <w:szCs w:val="14"/>
                <w:color w:val="auto"/>
              </w:rPr>
            </w:pPr>
          </w:p>
        </w:tc>
        <w:tc>
          <w:tcPr>
            <w:tcW w:w="1520" w:type="dxa"/>
            <w:vAlign w:val="bottom"/>
            <w:tcBorders>
              <w:top w:val="single" w:sz="8" w:color="0000FF"/>
              <w:bottom w:val="single" w:sz="8" w:color="0000FF"/>
            </w:tcBorders>
            <w:shd w:val="clear" w:color="auto" w:fill="CCEEFF"/>
          </w:tcPr>
          <w:p>
            <w:pPr>
              <w:spacing w:after="0" w:line="142" w:lineRule="exact"/>
              <w:rPr>
                <w:rFonts w:ascii="Arial" w:cs="Arial" w:eastAsia="Arial" w:hAnsi="Arial"/>
                <w:sz w:val="16"/>
                <w:szCs w:val="16"/>
                <w:color w:val="0000FF"/>
              </w:rPr>
            </w:pPr>
            <w:hyperlink w:anchor="page37">
              <w:r>
                <w:rPr>
                  <w:rFonts w:ascii="Arial" w:cs="Arial" w:eastAsia="Arial" w:hAnsi="Arial"/>
                  <w:sz w:val="16"/>
                  <w:szCs w:val="16"/>
                  <w:color w:val="0000FF"/>
                </w:rPr>
                <w:t>United States Code).</w:t>
              </w:r>
            </w:hyperlink>
          </w:p>
        </w:tc>
        <w:tc>
          <w:tcPr>
            <w:tcW w:w="826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260" w:type="dxa"/>
            <w:vAlign w:val="bottom"/>
          </w:tcPr>
          <w:p>
            <w:pPr>
              <w:ind w:left="20"/>
              <w:spacing w:after="0" w:line="175" w:lineRule="exact"/>
              <w:rPr>
                <w:sz w:val="20"/>
                <w:szCs w:val="20"/>
                <w:color w:val="auto"/>
              </w:rPr>
            </w:pPr>
            <w:r>
              <w:rPr>
                <w:rFonts w:ascii="Arial" w:cs="Arial" w:eastAsia="Arial" w:hAnsi="Arial"/>
                <w:sz w:val="16"/>
                <w:szCs w:val="16"/>
                <w:color w:val="auto"/>
              </w:rPr>
              <w:t>99.1</w:t>
            </w:r>
          </w:p>
        </w:tc>
        <w:tc>
          <w:tcPr>
            <w:tcW w:w="9980" w:type="dxa"/>
            <w:vAlign w:val="bottom"/>
            <w:gridSpan w:val="6"/>
          </w:tcPr>
          <w:p>
            <w:pPr>
              <w:spacing w:after="0" w:line="175" w:lineRule="exact"/>
              <w:rPr>
                <w:rFonts w:ascii="Arial" w:cs="Arial" w:eastAsia="Arial" w:hAnsi="Arial"/>
                <w:sz w:val="16"/>
                <w:szCs w:val="16"/>
                <w:color w:val="0000FF"/>
              </w:rPr>
            </w:pPr>
            <w:hyperlink w:anchor="page38">
              <w:r>
                <w:rPr>
                  <w:rFonts w:ascii="Arial" w:cs="Arial" w:eastAsia="Arial" w:hAnsi="Arial"/>
                  <w:sz w:val="16"/>
                  <w:szCs w:val="16"/>
                  <w:color w:val="0000FF"/>
                </w:rPr>
                <w:t>Quantitative and qualitative disclosures about market risks as reported at March 31, 2021.</w:t>
              </w:r>
            </w:hyperlink>
          </w:p>
        </w:tc>
      </w:tr>
      <w:tr>
        <w:trPr>
          <w:trHeight w:val="20"/>
        </w:trPr>
        <w:tc>
          <w:tcPr>
            <w:tcW w:w="1260" w:type="dxa"/>
            <w:vAlign w:val="bottom"/>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492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7"/>
        </w:trPr>
        <w:tc>
          <w:tcPr>
            <w:tcW w:w="126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101.INS</w:t>
            </w:r>
          </w:p>
        </w:tc>
        <w:tc>
          <w:tcPr>
            <w:tcW w:w="9980" w:type="dxa"/>
            <w:vAlign w:val="bottom"/>
            <w:gridSpan w:val="6"/>
            <w:shd w:val="clear" w:color="auto" w:fill="CCEEFF"/>
          </w:tcPr>
          <w:p>
            <w:pPr>
              <w:spacing w:after="0" w:line="178" w:lineRule="exact"/>
              <w:rPr>
                <w:sz w:val="20"/>
                <w:szCs w:val="20"/>
                <w:color w:val="auto"/>
              </w:rPr>
            </w:pPr>
            <w:r>
              <w:rPr>
                <w:rFonts w:ascii="Arial" w:cs="Arial" w:eastAsia="Arial" w:hAnsi="Arial"/>
                <w:sz w:val="16"/>
                <w:szCs w:val="16"/>
                <w:color w:val="auto"/>
              </w:rPr>
              <w:t>XBRL Instance Document- the instance document does not appear in the Interactive Data File because its XBRL tags are embedded</w:t>
            </w:r>
          </w:p>
        </w:tc>
      </w:tr>
      <w:tr>
        <w:trPr>
          <w:trHeight w:val="201"/>
        </w:trPr>
        <w:tc>
          <w:tcPr>
            <w:tcW w:w="1260" w:type="dxa"/>
            <w:vAlign w:val="bottom"/>
            <w:shd w:val="clear" w:color="auto" w:fill="CCEEFF"/>
          </w:tcPr>
          <w:p>
            <w:pPr>
              <w:spacing w:after="0"/>
              <w:rPr>
                <w:sz w:val="17"/>
                <w:szCs w:val="17"/>
                <w:color w:val="auto"/>
              </w:rPr>
            </w:pPr>
          </w:p>
        </w:tc>
        <w:tc>
          <w:tcPr>
            <w:tcW w:w="998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within the Inline XBRL document.</w:t>
            </w:r>
          </w:p>
        </w:tc>
      </w:tr>
      <w:tr>
        <w:trPr>
          <w:trHeight w:val="213"/>
        </w:trPr>
        <w:tc>
          <w:tcPr>
            <w:tcW w:w="1260" w:type="dxa"/>
            <w:vAlign w:val="bottom"/>
          </w:tcPr>
          <w:p>
            <w:pPr>
              <w:ind w:left="20"/>
              <w:spacing w:after="0"/>
              <w:rPr>
                <w:sz w:val="20"/>
                <w:szCs w:val="20"/>
                <w:color w:val="auto"/>
              </w:rPr>
            </w:pPr>
            <w:r>
              <w:rPr>
                <w:rFonts w:ascii="Arial" w:cs="Arial" w:eastAsia="Arial" w:hAnsi="Arial"/>
                <w:sz w:val="16"/>
                <w:szCs w:val="16"/>
                <w:color w:val="auto"/>
              </w:rPr>
              <w:t>101.SCH</w:t>
            </w:r>
          </w:p>
        </w:tc>
        <w:tc>
          <w:tcPr>
            <w:tcW w:w="9980" w:type="dxa"/>
            <w:vAlign w:val="bottom"/>
            <w:gridSpan w:val="6"/>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9"/>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101.CAL</w:t>
            </w:r>
          </w:p>
        </w:tc>
        <w:tc>
          <w:tcPr>
            <w:tcW w:w="998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3"/>
        </w:trPr>
        <w:tc>
          <w:tcPr>
            <w:tcW w:w="1260" w:type="dxa"/>
            <w:vAlign w:val="bottom"/>
          </w:tcPr>
          <w:p>
            <w:pPr>
              <w:ind w:left="20"/>
              <w:spacing w:after="0"/>
              <w:rPr>
                <w:sz w:val="20"/>
                <w:szCs w:val="20"/>
                <w:color w:val="auto"/>
              </w:rPr>
            </w:pPr>
            <w:r>
              <w:rPr>
                <w:rFonts w:ascii="Arial" w:cs="Arial" w:eastAsia="Arial" w:hAnsi="Arial"/>
                <w:sz w:val="16"/>
                <w:szCs w:val="16"/>
                <w:color w:val="auto"/>
              </w:rPr>
              <w:t>101.DEF</w:t>
            </w:r>
          </w:p>
        </w:tc>
        <w:tc>
          <w:tcPr>
            <w:tcW w:w="9980" w:type="dxa"/>
            <w:vAlign w:val="bottom"/>
            <w:gridSpan w:val="6"/>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9"/>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101.LAB</w:t>
            </w:r>
          </w:p>
        </w:tc>
        <w:tc>
          <w:tcPr>
            <w:tcW w:w="998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10"/>
        </w:trPr>
        <w:tc>
          <w:tcPr>
            <w:tcW w:w="1260" w:type="dxa"/>
            <w:vAlign w:val="bottom"/>
          </w:tcPr>
          <w:p>
            <w:pPr>
              <w:ind w:left="20"/>
              <w:spacing w:after="0"/>
              <w:rPr>
                <w:sz w:val="20"/>
                <w:szCs w:val="20"/>
                <w:color w:val="auto"/>
              </w:rPr>
            </w:pPr>
            <w:r>
              <w:rPr>
                <w:rFonts w:ascii="Arial" w:cs="Arial" w:eastAsia="Arial" w:hAnsi="Arial"/>
                <w:sz w:val="16"/>
                <w:szCs w:val="16"/>
                <w:color w:val="auto"/>
              </w:rPr>
              <w:t>101.PRE</w:t>
            </w:r>
          </w:p>
        </w:tc>
        <w:tc>
          <w:tcPr>
            <w:tcW w:w="9980" w:type="dxa"/>
            <w:vAlign w:val="bottom"/>
            <w:gridSpan w:val="6"/>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1260" w:hanging="1234"/>
        <w:spacing w:after="0"/>
        <w:tabs>
          <w:tab w:leader="none" w:pos="1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Cover page formatted as Inline XBRL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0"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0"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ALBANY INTERNATIONAL CORP.</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(Registrant)</w:t>
      </w:r>
    </w:p>
    <w:p>
      <w:pPr>
        <w:spacing w:after="0" w:line="309" w:lineRule="exact"/>
        <w:rPr>
          <w:sz w:val="20"/>
          <w:szCs w:val="20"/>
          <w:color w:val="auto"/>
        </w:rPr>
      </w:pPr>
    </w:p>
    <w:p>
      <w:pPr>
        <w:ind w:left="20"/>
        <w:spacing w:after="0"/>
        <w:tabs>
          <w:tab w:leader="none" w:pos="4080" w:val="left"/>
          <w:tab w:leader="none" w:pos="4540" w:val="left"/>
        </w:tabs>
        <w:rPr>
          <w:sz w:val="20"/>
          <w:szCs w:val="20"/>
          <w:color w:val="auto"/>
        </w:rPr>
      </w:pPr>
      <w:r>
        <w:rPr>
          <w:rFonts w:ascii="Arial" w:cs="Arial" w:eastAsia="Arial" w:hAnsi="Arial"/>
          <w:sz w:val="16"/>
          <w:szCs w:val="16"/>
          <w:color w:val="auto"/>
        </w:rPr>
        <w:t>Date: April 27, 2021</w:t>
      </w:r>
      <w:r>
        <w:rPr>
          <w:sz w:val="20"/>
          <w:szCs w:val="20"/>
          <w:color w:val="auto"/>
        </w:rPr>
        <w:tab/>
      </w:r>
      <w:r>
        <w:rPr>
          <w:rFonts w:ascii="Arial" w:cs="Arial" w:eastAsia="Arial" w:hAnsi="Arial"/>
          <w:sz w:val="16"/>
          <w:szCs w:val="16"/>
          <w:color w:val="auto"/>
        </w:rPr>
        <w:t>By</w:t>
        <w:tab/>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10795</wp:posOffset>
            </wp:positionV>
            <wp:extent cx="41065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106545" cy="8255"/>
                    </a:xfrm>
                    <a:prstGeom prst="rect">
                      <a:avLst/>
                    </a:prstGeom>
                    <a:noFill/>
                  </pic:spPr>
                </pic:pic>
              </a:graphicData>
            </a:graphic>
          </wp:anchor>
        </w:drawing>
      </w:r>
    </w:p>
    <w:p>
      <w:pPr>
        <w:spacing w:after="0" w:line="4"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Stephen M. Nolan</w:t>
      </w:r>
    </w:p>
    <w:p>
      <w:pPr>
        <w:ind w:left="4560"/>
        <w:spacing w:after="0" w:line="211" w:lineRule="auto"/>
        <w:rPr>
          <w:sz w:val="20"/>
          <w:szCs w:val="20"/>
          <w:color w:val="auto"/>
        </w:rPr>
      </w:pPr>
      <w:r>
        <w:rPr>
          <w:rFonts w:ascii="Arial" w:cs="Arial" w:eastAsia="Arial" w:hAnsi="Arial"/>
          <w:sz w:val="16"/>
          <w:szCs w:val="16"/>
          <w:color w:val="auto"/>
        </w:rPr>
        <w:t>Chief Financial Officer and Treasurer</w:t>
      </w:r>
    </w:p>
    <w:p>
      <w:pPr>
        <w:ind w:left="456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20" w:right="35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 William Higgins, certify that:</w:t>
      </w:r>
    </w:p>
    <w:p>
      <w:pPr>
        <w:spacing w:after="0" w:line="117"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17"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20" w:hanging="332"/>
        <w:spacing w:after="0" w:line="261"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660" w:right="20" w:hanging="328"/>
        <w:spacing w:after="0" w:line="256"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660" w:hanging="328"/>
        <w:spacing w:after="0" w:line="261"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hanging="328"/>
        <w:spacing w:after="0" w:line="261"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p>
      <w:pPr>
        <w:ind w:left="20"/>
        <w:spacing w:after="0"/>
        <w:tabs>
          <w:tab w:leader="none" w:pos="4160" w:val="left"/>
          <w:tab w:leader="none" w:pos="4600" w:val="left"/>
        </w:tabs>
        <w:rPr>
          <w:sz w:val="20"/>
          <w:szCs w:val="20"/>
          <w:color w:val="auto"/>
        </w:rPr>
      </w:pPr>
      <w:r>
        <w:rPr>
          <w:rFonts w:ascii="Arial" w:cs="Arial" w:eastAsia="Arial" w:hAnsi="Arial"/>
          <w:sz w:val="18"/>
          <w:szCs w:val="18"/>
          <w:color w:val="auto"/>
        </w:rPr>
        <w:t>Date: April 27, 2021</w:t>
      </w:r>
      <w:r>
        <w:rPr>
          <w:sz w:val="20"/>
          <w:szCs w:val="20"/>
          <w:color w:val="auto"/>
        </w:rPr>
        <w:tab/>
      </w:r>
      <w:r>
        <w:rPr>
          <w:rFonts w:ascii="Arial" w:cs="Arial" w:eastAsia="Arial" w:hAnsi="Arial"/>
          <w:sz w:val="18"/>
          <w:szCs w:val="18"/>
          <w:color w:val="auto"/>
        </w:rPr>
        <w:t>By</w:t>
        <w:tab/>
        <w:t>/s/ A. William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6350</wp:posOffset>
            </wp:positionV>
            <wp:extent cx="41833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A. William Higgins</w:t>
      </w:r>
    </w:p>
    <w:p>
      <w:pPr>
        <w:ind w:left="4620"/>
        <w:spacing w:after="0" w:line="203" w:lineRule="auto"/>
        <w:rPr>
          <w:sz w:val="20"/>
          <w:szCs w:val="20"/>
          <w:color w:val="auto"/>
        </w:rPr>
      </w:pPr>
      <w:r>
        <w:rPr>
          <w:rFonts w:ascii="Arial" w:cs="Arial" w:eastAsia="Arial" w:hAnsi="Arial"/>
          <w:sz w:val="18"/>
          <w:szCs w:val="18"/>
          <w:color w:val="auto"/>
        </w:rPr>
        <w:t>President and Chief Executive Officer</w:t>
      </w:r>
    </w:p>
    <w:p>
      <w:pPr>
        <w:ind w:left="4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86"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Stephen M. Nolan, certify that:</w:t>
      </w:r>
    </w:p>
    <w:p>
      <w:pPr>
        <w:spacing w:after="0" w:line="117"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17"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20" w:hanging="332"/>
        <w:spacing w:after="0" w:line="261"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4"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660" w:right="20" w:hanging="328"/>
        <w:spacing w:after="0" w:line="256"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660" w:hanging="328"/>
        <w:spacing w:after="0" w:line="261"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hanging="328"/>
        <w:spacing w:after="0" w:line="261"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p>
      <w:pPr>
        <w:ind w:left="20"/>
        <w:spacing w:after="0"/>
        <w:tabs>
          <w:tab w:leader="none" w:pos="4160" w:val="left"/>
          <w:tab w:leader="none" w:pos="4600" w:val="left"/>
        </w:tabs>
        <w:rPr>
          <w:sz w:val="20"/>
          <w:szCs w:val="20"/>
          <w:color w:val="auto"/>
        </w:rPr>
      </w:pPr>
      <w:r>
        <w:rPr>
          <w:rFonts w:ascii="Arial" w:cs="Arial" w:eastAsia="Arial" w:hAnsi="Arial"/>
          <w:sz w:val="18"/>
          <w:szCs w:val="18"/>
          <w:color w:val="auto"/>
        </w:rPr>
        <w:t>Date: April 27,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6350</wp:posOffset>
            </wp:positionV>
            <wp:extent cx="41833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Stephen M. Nolan</w:t>
      </w:r>
    </w:p>
    <w:p>
      <w:pPr>
        <w:ind w:left="4620"/>
        <w:spacing w:after="0" w:line="203" w:lineRule="auto"/>
        <w:rPr>
          <w:sz w:val="20"/>
          <w:szCs w:val="20"/>
          <w:color w:val="auto"/>
        </w:rPr>
      </w:pPr>
      <w:r>
        <w:rPr>
          <w:rFonts w:ascii="Arial" w:cs="Arial" w:eastAsia="Arial" w:hAnsi="Arial"/>
          <w:sz w:val="18"/>
          <w:szCs w:val="18"/>
          <w:color w:val="auto"/>
        </w:rPr>
        <w:t>Chief Financial Officer and Treasurer</w:t>
      </w:r>
    </w:p>
    <w:p>
      <w:pPr>
        <w:ind w:left="4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86"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March 31, 2021, as filed with the Securities and Exchange Commission on the date hereof (the Report), A. William Higgins, President and Chief Executive Officer, and Stephen M. Nolan, Chief Financial Officer and Treasurer of the Company, certify, pursuant to 18 U.S.C. § 1350, as adopted pursuant to § 906 of the Sarbanes-Oxley Act of 2002, that:</w:t>
      </w:r>
    </w:p>
    <w:p>
      <w:pPr>
        <w:spacing w:after="0" w:line="96"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117" w:lineRule="exact"/>
        <w:rPr>
          <w:rFonts w:ascii="Arial" w:cs="Arial" w:eastAsia="Arial" w:hAnsi="Arial"/>
          <w:sz w:val="18"/>
          <w:szCs w:val="18"/>
          <w:color w:val="auto"/>
        </w:rPr>
      </w:pPr>
    </w:p>
    <w:p>
      <w:pPr>
        <w:ind w:left="340" w:hanging="332"/>
        <w:spacing w:after="0" w:line="261" w:lineRule="auto"/>
        <w:tabs>
          <w:tab w:leader="none" w:pos="3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1040"/>
        <w:spacing w:after="0"/>
        <w:tabs>
          <w:tab w:leader="none" w:pos="4860" w:val="left"/>
        </w:tabs>
        <w:rPr>
          <w:sz w:val="20"/>
          <w:szCs w:val="20"/>
          <w:color w:val="auto"/>
        </w:rPr>
      </w:pPr>
      <w:r>
        <w:rPr>
          <w:rFonts w:ascii="Arial" w:cs="Arial" w:eastAsia="Arial" w:hAnsi="Arial"/>
          <w:sz w:val="18"/>
          <w:szCs w:val="18"/>
          <w:color w:val="auto"/>
        </w:rPr>
        <w:t>Date: April 27, 2021</w:t>
      </w:r>
      <w:r>
        <w:rPr>
          <w:sz w:val="20"/>
          <w:szCs w:val="20"/>
          <w:color w:val="auto"/>
        </w:rPr>
        <w:tab/>
      </w:r>
      <w:r>
        <w:rPr>
          <w:rFonts w:ascii="Arial" w:cs="Arial" w:eastAsia="Arial" w:hAnsi="Arial"/>
          <w:sz w:val="17"/>
          <w:szCs w:val="17"/>
          <w:color w:val="auto"/>
        </w:rPr>
        <w:t>/s/ A. William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6350</wp:posOffset>
            </wp:positionV>
            <wp:extent cx="34118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 William Higgins</w:t>
      </w:r>
    </w:p>
    <w:p>
      <w:pPr>
        <w:ind w:left="4880"/>
        <w:spacing w:after="0" w:line="203" w:lineRule="auto"/>
        <w:rPr>
          <w:sz w:val="20"/>
          <w:szCs w:val="20"/>
          <w:color w:val="auto"/>
        </w:rPr>
      </w:pPr>
      <w:r>
        <w:rPr>
          <w:rFonts w:ascii="Arial" w:cs="Arial" w:eastAsia="Arial" w:hAnsi="Arial"/>
          <w:sz w:val="18"/>
          <w:szCs w:val="18"/>
          <w:color w:val="auto"/>
        </w:rPr>
        <w:t>President and Chief Executive Officer</w:t>
      </w:r>
    </w:p>
    <w:p>
      <w:pPr>
        <w:ind w:left="4880"/>
        <w:spacing w:after="0"/>
        <w:rPr>
          <w:sz w:val="20"/>
          <w:szCs w:val="20"/>
          <w:color w:val="auto"/>
        </w:rPr>
      </w:pPr>
      <w:r>
        <w:rPr>
          <w:rFonts w:ascii="Arial" w:cs="Arial" w:eastAsia="Arial" w:hAnsi="Arial"/>
          <w:sz w:val="18"/>
          <w:szCs w:val="18"/>
          <w:color w:val="auto"/>
        </w:rPr>
        <w:t>(Principal Executive Officer)</w:t>
      </w:r>
    </w:p>
    <w:p>
      <w:pPr>
        <w:spacing w:after="0" w:line="11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6350</wp:posOffset>
            </wp:positionV>
            <wp:extent cx="34118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Stephen M. Nolan</w:t>
      </w:r>
    </w:p>
    <w:p>
      <w:pPr>
        <w:ind w:left="4880"/>
        <w:spacing w:after="0" w:line="203" w:lineRule="auto"/>
        <w:rPr>
          <w:sz w:val="20"/>
          <w:szCs w:val="20"/>
          <w:color w:val="auto"/>
        </w:rPr>
      </w:pPr>
      <w:r>
        <w:rPr>
          <w:rFonts w:ascii="Arial" w:cs="Arial" w:eastAsia="Arial" w:hAnsi="Arial"/>
          <w:sz w:val="18"/>
          <w:szCs w:val="18"/>
          <w:color w:val="auto"/>
        </w:rPr>
        <w:t>Chief Financial Officer and Treasurer</w:t>
      </w:r>
    </w:p>
    <w:p>
      <w:pPr>
        <w:ind w:left="48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86"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EXHIBIT (99.1)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RISK SENSITIVITY – As of March 31, 2021</w:t>
      </w:r>
    </w:p>
    <w:p>
      <w:pPr>
        <w:spacing w:after="0" w:line="252"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74"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$652.0 million. The potential loss in fair value resulting from a hypothetical 10% adverse change in quoted foreign currency exchange rates amounts to $65.2 million. Furthermore, related to foreign currency transactions, we have exposure to various nonfunctional currency balances totaling $93.5 million. This amount includes, on an absolute basis, exposures to assets and liabilities held in currencies other than our local entity’s functional currency. On a net basis, we had $51.4 million of foreign currency liabilities as of March 31, 2021. As currency rates change, these nonfunctional currency balances are revalued, and the corresponding adjustment is recorded in the income statement. A hypothetical change of 10% in currency rates could result in an adjustment to the income statement of approximately $5.1 million. Actual results may differ.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31, 2021,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 except interest rates)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Long-term debt</w:t>
            </w:r>
          </w:p>
        </w:tc>
        <w:tc>
          <w:tcPr>
            <w:tcW w:w="2120" w:type="dxa"/>
            <w:vAlign w:val="bottom"/>
            <w:tcBorders>
              <w:top w:val="single" w:sz="8" w:color="auto"/>
            </w:tcBorders>
          </w:tcPr>
          <w:p>
            <w:pPr>
              <w:spacing w:after="0"/>
              <w:rPr>
                <w:sz w:val="19"/>
                <w:szCs w:val="19"/>
                <w:color w:val="auto"/>
              </w:rPr>
            </w:pPr>
          </w:p>
        </w:tc>
      </w:tr>
      <w:tr>
        <w:trPr>
          <w:trHeight w:val="188"/>
        </w:trPr>
        <w:tc>
          <w:tcPr>
            <w:tcW w:w="9120" w:type="dxa"/>
            <w:vAlign w:val="bottom"/>
          </w:tcPr>
          <w:p>
            <w:pPr>
              <w:ind w:left="20"/>
              <w:spacing w:after="0" w:line="189" w:lineRule="exact"/>
              <w:rPr>
                <w:sz w:val="20"/>
                <w:szCs w:val="20"/>
                <w:color w:val="auto"/>
              </w:rPr>
            </w:pPr>
            <w:r>
              <w:rPr>
                <w:rFonts w:ascii="Arial" w:cs="Arial" w:eastAsia="Arial" w:hAnsi="Arial"/>
                <w:sz w:val="18"/>
                <w:szCs w:val="18"/>
                <w:color w:val="auto"/>
              </w:rPr>
              <w:t>Credit agreement with borrowings outstanding, net of fixed rate portion, at an end of period interest rate of</w:t>
            </w:r>
          </w:p>
        </w:tc>
        <w:tc>
          <w:tcPr>
            <w:tcW w:w="2120" w:type="dxa"/>
            <w:vAlign w:val="bottom"/>
          </w:tcPr>
          <w:p>
            <w:pPr>
              <w:spacing w:after="0"/>
              <w:rPr>
                <w:sz w:val="16"/>
                <w:szCs w:val="16"/>
                <w:color w:val="auto"/>
              </w:rPr>
            </w:pPr>
          </w:p>
        </w:tc>
      </w:tr>
      <w:tr>
        <w:trPr>
          <w:trHeight w:val="217"/>
        </w:trPr>
        <w:tc>
          <w:tcPr>
            <w:tcW w:w="9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1.735% in 2021, due in 2024</w:t>
            </w:r>
          </w:p>
        </w:tc>
        <w:tc>
          <w:tcPr>
            <w:tcW w:w="21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$34,000</w:t>
            </w:r>
          </w:p>
        </w:tc>
      </w:tr>
      <w:tr>
        <w:trPr>
          <w:trHeight w:val="223"/>
        </w:trPr>
        <w:tc>
          <w:tcPr>
            <w:tcW w:w="9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$34,000</w:t>
            </w:r>
          </w:p>
        </w:tc>
      </w:tr>
    </w:tbl>
    <w:p>
      <w:pPr>
        <w:spacing w:after="0" w:line="35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 interest expense by $0.3 million. To manage interest rate risk, we may periodically enter into interest rate swap agreements to effectively fix the interest rates on variable debt to a specific rate for a period of time. (See Note 15 to the Consolidated Financial Statements in Item 1, which is incorporated herein by reference).</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lowerLetter"/>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decimal"/>
      <w:start w:val="16"/>
    </w:lvl>
  </w:abstractNum>
  <w:abstractNum w:abstractNumId="6">
    <w:nsid w:val="7FDCC233"/>
    <w:multiLevelType w:val="hybridMultilevel"/>
    <w:lvl w:ilvl="0">
      <w:lvlJc w:val="left"/>
      <w:lvlText w:val="(%1)"/>
      <w:numFmt w:val="lowerLetter"/>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lvl w:ilvl="1">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104"/>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2021-04-27T09:43:10Z</dcterms:created>
  <dcterms:modified xsi:type="dcterms:W3CDTF">2021-04-27T09:43:10Z</dcterms:modified>
</cp:coreProperties>
</file>