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12" w:lineRule="exact"/>
        <w:rPr>
          <w:sz w:val="24"/>
          <w:szCs w:val="24"/>
          <w:color w:val="auto"/>
        </w:rPr>
      </w:pPr>
    </w:p>
    <w:p>
      <w:pPr>
        <w:ind w:left="3640" w:right="1920" w:hanging="3632"/>
        <w:spacing w:after="0" w:line="498" w:lineRule="auto"/>
        <w:tabs>
          <w:tab w:leader="none" w:pos="27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September 30, 2015</w:t>
      </w:r>
    </w:p>
    <w:p>
      <w:pPr>
        <w:jc w:val="center"/>
        <w:spacing w:after="0"/>
        <w:rPr>
          <w:sz w:val="20"/>
          <w:szCs w:val="20"/>
          <w:color w:val="auto"/>
        </w:rPr>
      </w:pPr>
      <w:r>
        <w:rPr>
          <w:rFonts w:ascii="Arial" w:cs="Arial" w:eastAsia="Arial" w:hAnsi="Arial"/>
          <w:sz w:val="18"/>
          <w:szCs w:val="18"/>
          <w:color w:val="auto"/>
        </w:rPr>
        <w:t>OR</w:t>
      </w:r>
    </w:p>
    <w:p>
      <w:pPr>
        <w:spacing w:after="0" w:line="190" w:lineRule="exact"/>
        <w:rPr>
          <w:sz w:val="24"/>
          <w:szCs w:val="24"/>
          <w:color w:val="auto"/>
        </w:rPr>
      </w:pPr>
    </w:p>
    <w:p>
      <w:pPr>
        <w:ind w:left="3400" w:right="1920" w:hanging="3392"/>
        <w:spacing w:after="0" w:line="498" w:lineRule="auto"/>
        <w:tabs>
          <w:tab w:leader="none" w:pos="161"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 to __________</w:t>
      </w:r>
    </w:p>
    <w:p>
      <w:pPr>
        <w:ind w:left="4360"/>
        <w:spacing w:after="0"/>
        <w:rPr>
          <w:rFonts w:ascii="Arial" w:cs="Arial" w:eastAsia="Arial" w:hAnsi="Arial"/>
          <w:sz w:val="18"/>
          <w:szCs w:val="18"/>
          <w:b w:val="1"/>
          <w:bCs w:val="1"/>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1-10026</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ALBANY INTERNATIONAL CORP.</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640" w:type="dxa"/>
            <w:vAlign w:val="bottom"/>
            <w:gridSpan w:val="2"/>
          </w:tcPr>
          <w:p>
            <w:pPr>
              <w:jc w:val="center"/>
              <w:ind w:right="1320"/>
              <w:spacing w:after="0"/>
              <w:rPr>
                <w:sz w:val="20"/>
                <w:szCs w:val="20"/>
                <w:color w:val="auto"/>
              </w:rPr>
            </w:pPr>
            <w:r>
              <w:rPr>
                <w:rFonts w:ascii="Arial" w:cs="Arial" w:eastAsia="Arial" w:hAnsi="Arial"/>
                <w:sz w:val="18"/>
                <w:szCs w:val="18"/>
                <w:color w:val="auto"/>
                <w:w w:val="99"/>
              </w:rPr>
              <w:t>Delaware</w:t>
            </w:r>
          </w:p>
        </w:tc>
        <w:tc>
          <w:tcPr>
            <w:tcW w:w="4780" w:type="dxa"/>
            <w:vAlign w:val="bottom"/>
          </w:tcPr>
          <w:p>
            <w:pPr>
              <w:jc w:val="right"/>
              <w:ind w:right="1790"/>
              <w:spacing w:after="0"/>
              <w:rPr>
                <w:sz w:val="20"/>
                <w:szCs w:val="20"/>
                <w:color w:val="auto"/>
              </w:rPr>
            </w:pPr>
            <w:r>
              <w:rPr>
                <w:rFonts w:ascii="Arial" w:cs="Arial" w:eastAsia="Arial" w:hAnsi="Arial"/>
                <w:sz w:val="18"/>
                <w:szCs w:val="18"/>
                <w:color w:val="auto"/>
              </w:rPr>
              <w:t>14-0462060</w:t>
            </w:r>
          </w:p>
        </w:tc>
      </w:tr>
      <w:tr>
        <w:trPr>
          <w:trHeight w:val="195"/>
        </w:trPr>
        <w:tc>
          <w:tcPr>
            <w:tcW w:w="52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(State or other jurisdiction of</w:t>
            </w:r>
          </w:p>
        </w:tc>
        <w:tc>
          <w:tcPr>
            <w:tcW w:w="1380" w:type="dxa"/>
            <w:vAlign w:val="bottom"/>
          </w:tcPr>
          <w:p>
            <w:pPr>
              <w:spacing w:after="0"/>
              <w:rPr>
                <w:sz w:val="16"/>
                <w:szCs w:val="16"/>
                <w:color w:val="auto"/>
              </w:rPr>
            </w:pPr>
          </w:p>
        </w:tc>
        <w:tc>
          <w:tcPr>
            <w:tcW w:w="4780" w:type="dxa"/>
            <w:vAlign w:val="bottom"/>
            <w:tcBorders>
              <w:top w:val="single" w:sz="8" w:color="auto"/>
            </w:tcBorders>
          </w:tcPr>
          <w:p>
            <w:pPr>
              <w:ind w:left="1100"/>
              <w:spacing w:after="0" w:line="195" w:lineRule="exact"/>
              <w:rPr>
                <w:sz w:val="20"/>
                <w:szCs w:val="20"/>
                <w:color w:val="auto"/>
              </w:rPr>
            </w:pPr>
            <w:r>
              <w:rPr>
                <w:rFonts w:ascii="Arial" w:cs="Arial" w:eastAsia="Arial" w:hAnsi="Arial"/>
                <w:sz w:val="18"/>
                <w:szCs w:val="18"/>
                <w:color w:val="auto"/>
              </w:rPr>
              <w:t>(IRS Employer Identification No.)</w:t>
            </w:r>
          </w:p>
        </w:tc>
      </w:tr>
      <w:tr>
        <w:trPr>
          <w:trHeight w:val="217"/>
        </w:trPr>
        <w:tc>
          <w:tcPr>
            <w:tcW w:w="6640" w:type="dxa"/>
            <w:vAlign w:val="bottom"/>
            <w:gridSpan w:val="2"/>
          </w:tcPr>
          <w:p>
            <w:pPr>
              <w:ind w:left="1440"/>
              <w:spacing w:after="0"/>
              <w:rPr>
                <w:sz w:val="20"/>
                <w:szCs w:val="20"/>
                <w:color w:val="auto"/>
              </w:rPr>
            </w:pPr>
            <w:r>
              <w:rPr>
                <w:rFonts w:ascii="Arial" w:cs="Arial" w:eastAsia="Arial" w:hAnsi="Arial"/>
                <w:sz w:val="18"/>
                <w:szCs w:val="18"/>
                <w:color w:val="auto"/>
              </w:rPr>
              <w:t>incorporation or organization)</w:t>
            </w:r>
          </w:p>
        </w:tc>
        <w:tc>
          <w:tcPr>
            <w:tcW w:w="4780" w:type="dxa"/>
            <w:vAlign w:val="bottom"/>
          </w:tcPr>
          <w:p>
            <w:pPr>
              <w:spacing w:after="0"/>
              <w:rPr>
                <w:sz w:val="18"/>
                <w:szCs w:val="18"/>
                <w:color w:val="auto"/>
              </w:rPr>
            </w:pPr>
          </w:p>
        </w:tc>
      </w:tr>
      <w:tr>
        <w:trPr>
          <w:trHeight w:val="392"/>
        </w:trPr>
        <w:tc>
          <w:tcPr>
            <w:tcW w:w="6640" w:type="dxa"/>
            <w:vAlign w:val="bottom"/>
            <w:gridSpan w:val="2"/>
          </w:tcPr>
          <w:p>
            <w:pPr>
              <w:jc w:val="center"/>
              <w:ind w:right="1320"/>
              <w:spacing w:after="0"/>
              <w:rPr>
                <w:sz w:val="20"/>
                <w:szCs w:val="20"/>
                <w:color w:val="auto"/>
              </w:rPr>
            </w:pPr>
            <w:r>
              <w:rPr>
                <w:rFonts w:ascii="Arial" w:cs="Arial" w:eastAsia="Arial" w:hAnsi="Arial"/>
                <w:sz w:val="18"/>
                <w:szCs w:val="18"/>
                <w:color w:val="auto"/>
                <w:w w:val="99"/>
              </w:rPr>
              <w:t>216 Airport Drive, Rochester, New Hampshire</w:t>
            </w:r>
          </w:p>
        </w:tc>
        <w:tc>
          <w:tcPr>
            <w:tcW w:w="4780" w:type="dxa"/>
            <w:vAlign w:val="bottom"/>
          </w:tcPr>
          <w:p>
            <w:pPr>
              <w:jc w:val="right"/>
              <w:ind w:right="2030"/>
              <w:spacing w:after="0"/>
              <w:rPr>
                <w:sz w:val="20"/>
                <w:szCs w:val="20"/>
                <w:color w:val="auto"/>
              </w:rPr>
            </w:pPr>
            <w:r>
              <w:rPr>
                <w:rFonts w:ascii="Arial" w:cs="Arial" w:eastAsia="Arial" w:hAnsi="Arial"/>
                <w:sz w:val="18"/>
                <w:szCs w:val="18"/>
                <w:color w:val="auto"/>
              </w:rPr>
              <w:t>03867</w:t>
            </w:r>
          </w:p>
        </w:tc>
      </w:tr>
      <w:tr>
        <w:trPr>
          <w:trHeight w:val="210"/>
        </w:trPr>
        <w:tc>
          <w:tcPr>
            <w:tcW w:w="5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1380" w:type="dxa"/>
            <w:vAlign w:val="bottom"/>
          </w:tcPr>
          <w:p>
            <w:pPr>
              <w:spacing w:after="0"/>
              <w:rPr>
                <w:sz w:val="18"/>
                <w:szCs w:val="18"/>
                <w:color w:val="auto"/>
              </w:rPr>
            </w:pPr>
          </w:p>
        </w:tc>
        <w:tc>
          <w:tcPr>
            <w:tcW w:w="4780" w:type="dxa"/>
            <w:vAlign w:val="bottom"/>
            <w:tcBorders>
              <w:top w:val="single" w:sz="8" w:color="auto"/>
            </w:tcBorders>
          </w:tcPr>
          <w:p>
            <w:pPr>
              <w:ind w:left="1940"/>
              <w:spacing w:after="0"/>
              <w:rPr>
                <w:sz w:val="20"/>
                <w:szCs w:val="20"/>
                <w:color w:val="auto"/>
              </w:rPr>
            </w:pPr>
            <w:r>
              <w:rPr>
                <w:rFonts w:ascii="Arial" w:cs="Arial" w:eastAsia="Arial" w:hAnsi="Arial"/>
                <w:sz w:val="18"/>
                <w:szCs w:val="18"/>
                <w:color w:val="auto"/>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518-445-2200</w:t>
      </w:r>
    </w:p>
    <w:p>
      <w:pPr>
        <w:spacing w:after="0" w:line="104" w:lineRule="exact"/>
        <w:rPr>
          <w:sz w:val="24"/>
          <w:szCs w:val="24"/>
          <w:color w:val="auto"/>
        </w:rPr>
      </w:pPr>
    </w:p>
    <w:p>
      <w:pPr>
        <w:ind w:right="80"/>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 ] No [ ]</w:t>
      </w:r>
    </w:p>
    <w:p>
      <w:pPr>
        <w:spacing w:after="0" w:line="203" w:lineRule="exact"/>
        <w:rPr>
          <w:sz w:val="24"/>
          <w:szCs w:val="24"/>
          <w:color w:val="auto"/>
        </w:rPr>
      </w:pPr>
    </w:p>
    <w:p>
      <w:pPr>
        <w:ind w:right="60"/>
        <w:spacing w:after="0"/>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 ] No [ ]</w:t>
      </w:r>
    </w:p>
    <w:p>
      <w:pPr>
        <w:spacing w:after="0" w:line="203" w:lineRule="exact"/>
        <w:rPr>
          <w:sz w:val="24"/>
          <w:szCs w:val="24"/>
          <w:color w:val="auto"/>
        </w:rPr>
      </w:pPr>
    </w:p>
    <w:p>
      <w:pPr>
        <w:ind w:right="400"/>
        <w:spacing w:after="0" w:line="24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w:t>
      </w:r>
    </w:p>
    <w:p>
      <w:pPr>
        <w:sectPr>
          <w:pgSz w:w="11900" w:h="16838" w:orient="portrait"/>
          <w:cols w:equalWidth="0" w:num="1">
            <w:col w:w="11420"/>
          </w:cols>
          <w:pgMar w:left="240" w:top="225" w:right="239" w:bottom="1440" w:gutter="0" w:footer="0" w:header="0"/>
        </w:sectPr>
      </w:pPr>
    </w:p>
    <w:p>
      <w:pPr>
        <w:spacing w:after="0" w:line="183" w:lineRule="exact"/>
        <w:rPr>
          <w:sz w:val="24"/>
          <w:szCs w:val="24"/>
          <w:color w:val="auto"/>
        </w:rPr>
      </w:pPr>
    </w:p>
    <w:p>
      <w:pPr>
        <w:ind w:right="380"/>
        <w:spacing w:after="0" w:line="275" w:lineRule="auto"/>
        <w:rPr>
          <w:sz w:val="20"/>
          <w:szCs w:val="20"/>
          <w:color w:val="auto"/>
        </w:rPr>
      </w:pPr>
      <w:r>
        <w:rPr>
          <w:rFonts w:ascii="Arial" w:cs="Arial" w:eastAsia="Arial" w:hAnsi="Arial"/>
          <w:sz w:val="17"/>
          <w:szCs w:val="17"/>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color w:val="auto"/>
        </w:rPr>
        <w:t>[ √ ]</w:t>
      </w:r>
    </w:p>
    <w:p>
      <w:pPr>
        <w:spacing w:after="0"/>
        <w:tabs>
          <w:tab w:leader="none" w:pos="220" w:val="left"/>
        </w:tabs>
        <w:rPr>
          <w:sz w:val="20"/>
          <w:szCs w:val="20"/>
          <w:color w:val="auto"/>
        </w:rPr>
      </w:pPr>
      <w:r>
        <w:rPr>
          <w:rFonts w:ascii="Arial" w:cs="Arial" w:eastAsia="Arial" w:hAnsi="Arial"/>
          <w:sz w:val="18"/>
          <w:szCs w:val="18"/>
          <w:color w:val="auto"/>
        </w:rPr>
        <w:t>[</w:t>
        <w:tab/>
        <w:t>]</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rPr>
          <w:sz w:val="20"/>
          <w:szCs w:val="20"/>
          <w:color w:val="auto"/>
        </w:rPr>
      </w:pPr>
      <w:r>
        <w:rPr>
          <w:rFonts w:ascii="Arial" w:cs="Arial" w:eastAsia="Arial" w:hAnsi="Arial"/>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rPr>
          <w:sz w:val="20"/>
          <w:szCs w:val="20"/>
          <w:color w:val="auto"/>
        </w:rPr>
      </w:pPr>
      <w:r>
        <w:rPr>
          <w:rFonts w:ascii="Arial" w:cs="Arial" w:eastAsia="Arial" w:hAnsi="Arial"/>
          <w:sz w:val="18"/>
          <w:szCs w:val="18"/>
          <w:color w:val="auto"/>
        </w:rPr>
        <w:t>]</w:t>
      </w:r>
    </w:p>
    <w:p>
      <w:pPr>
        <w:spacing w:after="0" w:line="198" w:lineRule="exact"/>
        <w:rPr>
          <w:sz w:val="24"/>
          <w:szCs w:val="24"/>
          <w:color w:val="auto"/>
        </w:rPr>
      </w:pPr>
    </w:p>
    <w:p>
      <w:pPr>
        <w:sectPr>
          <w:pgSz w:w="11900" w:h="16838" w:orient="portrait"/>
          <w:cols w:equalWidth="0" w:num="5">
            <w:col w:w="2160" w:space="720"/>
            <w:col w:w="2120" w:space="720"/>
            <w:col w:w="2700" w:space="720"/>
            <w:col w:w="40" w:space="200"/>
            <w:col w:w="2040"/>
          </w:cols>
          <w:pgMar w:left="240" w:top="225" w:right="239" w:bottom="1440" w:gutter="0" w:footer="0" w:header="0"/>
          <w:type w:val="continuous"/>
        </w:sectPr>
      </w:pPr>
    </w:p>
    <w:p>
      <w:pPr>
        <w:spacing w:after="0"/>
        <w:tabs>
          <w:tab w:leader="none" w:pos="96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w:t>
        <w:tab/>
        <w:t>] No [ √ ]</w:t>
      </w:r>
    </w:p>
    <w:p>
      <w:pPr>
        <w:spacing w:after="0" w:line="198" w:lineRule="exact"/>
        <w:rPr>
          <w:sz w:val="24"/>
          <w:szCs w:val="24"/>
          <w:color w:val="auto"/>
        </w:rPr>
      </w:pPr>
    </w:p>
    <w:p>
      <w:pPr>
        <w:ind w:right="200"/>
        <w:spacing w:after="0" w:line="246" w:lineRule="auto"/>
        <w:rPr>
          <w:sz w:val="20"/>
          <w:szCs w:val="20"/>
          <w:color w:val="auto"/>
        </w:rPr>
      </w:pPr>
      <w:r>
        <w:rPr>
          <w:rFonts w:ascii="Arial" w:cs="Arial" w:eastAsia="Arial" w:hAnsi="Arial"/>
          <w:sz w:val="18"/>
          <w:szCs w:val="18"/>
          <w:color w:val="auto"/>
        </w:rPr>
        <w:t>The registrant had 28.8 million shares of Class A Common Stock and 3.2 million shares of Class B Common Stock outstanding as of October 23, 2015.</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8"/>
          <w:szCs w:val="18"/>
          <w:b w:val="1"/>
          <w:bCs w:val="1"/>
          <w:color w:val="auto"/>
        </w:rPr>
        <w:t>ALBANY INTERNATIONAL CORP.</w:t>
      </w:r>
    </w:p>
    <w:p>
      <w:pPr>
        <w:spacing w:after="0" w:line="1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TABLE OF CONTENTS</w:t>
      </w:r>
    </w:p>
    <w:tbl>
      <w:tblPr>
        <w:tblLayout w:type="fixed"/>
        <w:tblInd w:w="0" w:type="dxa"/>
        <w:tblCellMar>
          <w:top w:w="0" w:type="dxa"/>
          <w:left w:w="0" w:type="dxa"/>
          <w:bottom w:w="0" w:type="dxa"/>
          <w:right w:w="0" w:type="dxa"/>
        </w:tblCellMar>
      </w:tblPr>
      <w:tr>
        <w:trPr>
          <w:trHeight w:val="203"/>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Page</w:t>
            </w:r>
          </w:p>
        </w:tc>
      </w:tr>
      <w:tr>
        <w:trPr>
          <w:trHeight w:val="203"/>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No.</w:t>
            </w:r>
          </w:p>
        </w:tc>
      </w:tr>
      <w:tr>
        <w:trPr>
          <w:trHeight w:val="412"/>
        </w:trPr>
        <w:tc>
          <w:tcPr>
            <w:tcW w:w="10760" w:type="dxa"/>
            <w:vAlign w:val="bottom"/>
            <w:gridSpan w:val="20"/>
          </w:tcPr>
          <w:p>
            <w:pPr>
              <w:spacing w:after="0"/>
              <w:rPr>
                <w:sz w:val="20"/>
                <w:szCs w:val="20"/>
                <w:color w:val="auto"/>
              </w:rPr>
            </w:pPr>
            <w:r>
              <w:rPr>
                <w:rFonts w:ascii="Arial" w:cs="Arial" w:eastAsia="Arial" w:hAnsi="Arial"/>
                <w:sz w:val="18"/>
                <w:szCs w:val="18"/>
                <w:b w:val="1"/>
                <w:bCs w:val="1"/>
                <w:color w:val="auto"/>
              </w:rPr>
              <w:t>Part I Financial information</w:t>
            </w:r>
          </w:p>
        </w:tc>
        <w:tc>
          <w:tcPr>
            <w:tcW w:w="560" w:type="dxa"/>
            <w:vAlign w:val="bottom"/>
          </w:tcPr>
          <w:p>
            <w:pPr>
              <w:spacing w:after="0"/>
              <w:rPr>
                <w:sz w:val="24"/>
                <w:szCs w:val="24"/>
                <w:color w:val="auto"/>
              </w:rPr>
            </w:pPr>
          </w:p>
        </w:tc>
      </w:tr>
      <w:tr>
        <w:trPr>
          <w:trHeight w:val="365"/>
        </w:trPr>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Item 1. Financial Statements</w:t>
              </w:r>
            </w:hyperlink>
          </w:p>
        </w:tc>
        <w:tc>
          <w:tcPr>
            <w:tcW w:w="812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83"/>
        </w:trPr>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4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Consolidated statements of income – three and nine months ended September 30, 2015 and 2014</w:t>
              </w:r>
            </w:hyperlink>
          </w:p>
        </w:tc>
        <w:tc>
          <w:tcPr>
            <w:tcW w:w="2460" w:type="dxa"/>
            <w:vAlign w:val="bottom"/>
            <w:gridSpan w:val="3"/>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Consolidated statements of comprehensive income/(loss) – three and nine months ended September 30, 2015 and 2014</w:t>
              </w:r>
            </w:hyperlink>
          </w:p>
        </w:tc>
        <w:tc>
          <w:tcPr>
            <w:tcW w:w="70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8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balance sheets – September 30, 2015 and December 31,2014</w:t>
              </w:r>
            </w:hyperlink>
          </w:p>
        </w:tc>
        <w:tc>
          <w:tcPr>
            <w:tcW w:w="4220" w:type="dxa"/>
            <w:vAlign w:val="bottom"/>
            <w:gridSpan w:val="5"/>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10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statements of cash flows – three and nine months ended September 30, 2015 and 2014</w:t>
              </w:r>
            </w:hyperlink>
          </w:p>
        </w:tc>
        <w:tc>
          <w:tcPr>
            <w:tcW w:w="2200" w:type="dxa"/>
            <w:vAlign w:val="bottom"/>
            <w:gridSpan w:val="2"/>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183"/>
        </w:trPr>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300" w:type="dxa"/>
            <w:vAlign w:val="bottom"/>
            <w:gridSpan w:val="17"/>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26">
              <w:r>
                <w:rPr>
                  <w:rFonts w:ascii="Arial" w:cs="Arial" w:eastAsia="Arial" w:hAnsi="Arial"/>
                  <w:sz w:val="18"/>
                  <w:szCs w:val="18"/>
                  <w:color w:val="0000EE"/>
                  <w:w w:val="99"/>
                </w:rPr>
                <w:t>Forward-looking statements</w:t>
              </w:r>
            </w:hyperlink>
          </w:p>
        </w:tc>
        <w:tc>
          <w:tcPr>
            <w:tcW w:w="8180" w:type="dxa"/>
            <w:vAlign w:val="bottom"/>
            <w:gridSpan w:val="12"/>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r>
      <w:tr>
        <w:trPr>
          <w:trHeight w:val="183"/>
        </w:trPr>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8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26">
              <w:r>
                <w:rPr>
                  <w:rFonts w:ascii="Arial" w:cs="Arial" w:eastAsia="Arial" w:hAnsi="Arial"/>
                  <w:sz w:val="18"/>
                  <w:szCs w:val="18"/>
                  <w:color w:val="0000EE"/>
                  <w:w w:val="99"/>
                </w:rPr>
                <w:t>Item 2. Management’s Discussion and Analysis of Financial Condition and Results of Operations</w:t>
              </w:r>
            </w:hyperlink>
          </w:p>
        </w:tc>
        <w:tc>
          <w:tcPr>
            <w:tcW w:w="2720" w:type="dxa"/>
            <w:vAlign w:val="bottom"/>
            <w:gridSpan w:val="4"/>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r>
      <w:tr>
        <w:trPr>
          <w:trHeight w:val="183"/>
        </w:trPr>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0" w:type="dxa"/>
            <w:vAlign w:val="bottom"/>
            <w:gridSpan w:val="18"/>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Item 3. Quantitative and Qualitative Disclosures about Market Risk</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r>
      <w:tr>
        <w:trPr>
          <w:trHeight w:val="183"/>
        </w:trPr>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8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Item 4. Controls and Procedures</w:t>
              </w:r>
            </w:hyperlink>
          </w:p>
        </w:tc>
        <w:tc>
          <w:tcPr>
            <w:tcW w:w="5120" w:type="dxa"/>
            <w:vAlign w:val="bottom"/>
            <w:gridSpan w:val="7"/>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6"/>
        </w:trPr>
        <w:tc>
          <w:tcPr>
            <w:tcW w:w="10760" w:type="dxa"/>
            <w:vAlign w:val="bottom"/>
            <w:gridSpan w:val="20"/>
          </w:tcPr>
          <w:p>
            <w:pPr>
              <w:spacing w:after="0"/>
              <w:rPr>
                <w:sz w:val="20"/>
                <w:szCs w:val="20"/>
                <w:color w:val="auto"/>
              </w:rPr>
            </w:pPr>
            <w:r>
              <w:rPr>
                <w:rFonts w:ascii="Arial" w:cs="Arial" w:eastAsia="Arial" w:hAnsi="Arial"/>
                <w:sz w:val="18"/>
                <w:szCs w:val="18"/>
                <w:b w:val="1"/>
                <w:bCs w:val="1"/>
                <w:color w:val="auto"/>
              </w:rPr>
              <w:t>Part II Other Information</w:t>
            </w:r>
          </w:p>
        </w:tc>
        <w:tc>
          <w:tcPr>
            <w:tcW w:w="560" w:type="dxa"/>
            <w:vAlign w:val="bottom"/>
          </w:tcPr>
          <w:p>
            <w:pPr>
              <w:spacing w:after="0"/>
              <w:rPr>
                <w:sz w:val="24"/>
                <w:szCs w:val="24"/>
                <w:color w:val="auto"/>
              </w:rPr>
            </w:pPr>
          </w:p>
        </w:tc>
      </w:tr>
      <w:tr>
        <w:trPr>
          <w:trHeight w:val="365"/>
        </w:trPr>
        <w:tc>
          <w:tcPr>
            <w:tcW w:w="10760" w:type="dxa"/>
            <w:vAlign w:val="bottom"/>
            <w:gridSpan w:val="20"/>
          </w:tcPr>
          <w:p>
            <w:pPr>
              <w:ind w:left="340"/>
              <w:spacing w:after="0"/>
              <w:rPr>
                <w:rFonts w:ascii="Arial" w:cs="Arial" w:eastAsia="Arial" w:hAnsi="Arial"/>
                <w:sz w:val="18"/>
                <w:szCs w:val="18"/>
                <w:color w:val="0000EE"/>
              </w:rPr>
            </w:pPr>
            <w:hyperlink w:anchor="page43">
              <w:r>
                <w:rPr>
                  <w:rFonts w:ascii="Arial" w:cs="Arial" w:eastAsia="Arial" w:hAnsi="Arial"/>
                  <w:sz w:val="18"/>
                  <w:szCs w:val="18"/>
                  <w:color w:val="0000EE"/>
                </w:rPr>
                <w:t>Item 1. Legal Proceedings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183"/>
        </w:trPr>
        <w:tc>
          <w:tcPr>
            <w:tcW w:w="340" w:type="dxa"/>
            <w:vAlign w:val="bottom"/>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7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w:anchor="page43">
              <w:r>
                <w:rPr>
                  <w:rFonts w:ascii="Arial" w:cs="Arial" w:eastAsia="Arial" w:hAnsi="Arial"/>
                  <w:sz w:val="18"/>
                  <w:szCs w:val="18"/>
                  <w:color w:val="0000EE"/>
                  <w:w w:val="98"/>
                </w:rPr>
                <w:t>Item 1A. Risk Factors</w:t>
              </w:r>
            </w:hyperlink>
          </w:p>
        </w:tc>
        <w:tc>
          <w:tcPr>
            <w:tcW w:w="340" w:type="dxa"/>
            <w:vAlign w:val="bottom"/>
            <w:tcBorders>
              <w:top w:val="single" w:sz="8" w:color="0000EE"/>
            </w:tcBorders>
            <w:gridSpan w:val="2"/>
          </w:tcPr>
          <w:p>
            <w:pPr>
              <w:spacing w:after="0"/>
              <w:rPr>
                <w:sz w:val="15"/>
                <w:szCs w:val="15"/>
                <w:color w:val="auto"/>
              </w:rPr>
            </w:pPr>
          </w:p>
        </w:tc>
        <w:tc>
          <w:tcPr>
            <w:tcW w:w="8340" w:type="dxa"/>
            <w:vAlign w:val="bottom"/>
            <w:gridSpan w:val="13"/>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r>
      <w:tr>
        <w:trPr>
          <w:trHeight w:val="183"/>
        </w:trPr>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0" w:type="dxa"/>
            <w:vAlign w:val="bottom"/>
            <w:gridSpan w:val="18"/>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Item 2. Unregistered Sales of Equity Securities and Use of Proceeds</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r>
      <w:tr>
        <w:trPr>
          <w:trHeight w:val="183"/>
        </w:trPr>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2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w:anchor="page43">
              <w:r>
                <w:rPr>
                  <w:rFonts w:ascii="Arial" w:cs="Arial" w:eastAsia="Arial" w:hAnsi="Arial"/>
                  <w:sz w:val="18"/>
                  <w:szCs w:val="18"/>
                  <w:color w:val="0000EE"/>
                  <w:w w:val="99"/>
                </w:rPr>
                <w:t>Item 3. Defaults upon Senior Securities</w:t>
              </w:r>
            </w:hyperlink>
          </w:p>
        </w:tc>
        <w:tc>
          <w:tcPr>
            <w:tcW w:w="2320" w:type="dxa"/>
            <w:vAlign w:val="bottom"/>
            <w:tcBorders>
              <w:top w:val="single" w:sz="8" w:color="0000EE"/>
            </w:tcBorders>
            <w:gridSpan w:val="3"/>
          </w:tcPr>
          <w:p>
            <w:pPr>
              <w:spacing w:after="0"/>
              <w:rPr>
                <w:sz w:val="15"/>
                <w:szCs w:val="15"/>
                <w:color w:val="auto"/>
              </w:rPr>
            </w:pPr>
          </w:p>
        </w:tc>
        <w:tc>
          <w:tcPr>
            <w:tcW w:w="4960" w:type="dxa"/>
            <w:vAlign w:val="bottom"/>
            <w:gridSpan w:val="6"/>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r>
      <w:tr>
        <w:trPr>
          <w:trHeight w:val="183"/>
        </w:trPr>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0" w:type="dxa"/>
            <w:vAlign w:val="bottom"/>
            <w:gridSpan w:val="18"/>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Item 4. Mine Safety Disclosures</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r>
      <w:tr>
        <w:trPr>
          <w:trHeight w:val="183"/>
        </w:trPr>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w:anchor="page44">
              <w:r>
                <w:rPr>
                  <w:rFonts w:ascii="Arial" w:cs="Arial" w:eastAsia="Arial" w:hAnsi="Arial"/>
                  <w:sz w:val="18"/>
                  <w:szCs w:val="18"/>
                  <w:color w:val="0000EE"/>
                  <w:w w:val="98"/>
                </w:rPr>
                <w:t>Item 5. Other Information</w:t>
              </w:r>
            </w:hyperlink>
          </w:p>
        </w:tc>
        <w:tc>
          <w:tcPr>
            <w:tcW w:w="580" w:type="dxa"/>
            <w:vAlign w:val="bottom"/>
            <w:tcBorders>
              <w:top w:val="single" w:sz="8" w:color="0000EE"/>
            </w:tcBorders>
            <w:gridSpan w:val="4"/>
          </w:tcPr>
          <w:p>
            <w:pPr>
              <w:spacing w:after="0"/>
              <w:rPr>
                <w:sz w:val="15"/>
                <w:szCs w:val="15"/>
                <w:color w:val="auto"/>
              </w:rPr>
            </w:pPr>
          </w:p>
        </w:tc>
        <w:tc>
          <w:tcPr>
            <w:tcW w:w="7820" w:type="dxa"/>
            <w:vAlign w:val="bottom"/>
            <w:gridSpan w:val="10"/>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r>
      <w:tr>
        <w:trPr>
          <w:trHeight w:val="183"/>
        </w:trPr>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0" w:type="dxa"/>
            <w:vAlign w:val="bottom"/>
            <w:gridSpan w:val="18"/>
          </w:tcPr>
          <w:p>
            <w:pPr>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Item 6. Exhibits</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20"/>
          </w:cols>
          <w:pgMar w:left="340" w:top="75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STATEMENTS OF INCOME</w:t>
      </w:r>
    </w:p>
    <w:p>
      <w:pPr>
        <w:jc w:val="center"/>
        <w:spacing w:after="0" w:line="235" w:lineRule="auto"/>
        <w:rPr>
          <w:sz w:val="20"/>
          <w:szCs w:val="20"/>
          <w:color w:val="auto"/>
        </w:rPr>
      </w:pPr>
      <w:r>
        <w:rPr>
          <w:rFonts w:ascii="Arial" w:cs="Arial" w:eastAsia="Arial" w:hAnsi="Arial"/>
          <w:sz w:val="18"/>
          <w:szCs w:val="18"/>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gridSpan w:val="3"/>
          </w:tcPr>
          <w:p>
            <w:pPr>
              <w:jc w:val="right"/>
              <w:ind w:right="310"/>
              <w:spacing w:after="0"/>
              <w:rPr>
                <w:sz w:val="20"/>
                <w:szCs w:val="20"/>
                <w:color w:val="auto"/>
              </w:rPr>
            </w:pPr>
            <w:r>
              <w:rPr>
                <w:rFonts w:ascii="Arial" w:cs="Arial" w:eastAsia="Arial" w:hAnsi="Arial"/>
                <w:sz w:val="18"/>
                <w:szCs w:val="18"/>
                <w:color w:val="auto"/>
              </w:rPr>
              <w:t>Three Months Ended</w:t>
            </w:r>
          </w:p>
        </w:tc>
        <w:tc>
          <w:tcPr>
            <w:tcW w:w="6440" w:type="dxa"/>
            <w:vAlign w:val="bottom"/>
          </w:tcPr>
          <w:p>
            <w:pPr>
              <w:spacing w:after="0"/>
              <w:rPr>
                <w:sz w:val="17"/>
                <w:szCs w:val="17"/>
                <w:color w:val="auto"/>
              </w:rPr>
            </w:pPr>
          </w:p>
        </w:tc>
        <w:tc>
          <w:tcPr>
            <w:tcW w:w="2480" w:type="dxa"/>
            <w:vAlign w:val="bottom"/>
            <w:gridSpan w:val="3"/>
          </w:tcPr>
          <w:p>
            <w:pPr>
              <w:jc w:val="right"/>
              <w:ind w:right="370"/>
              <w:spacing w:after="0"/>
              <w:rPr>
                <w:sz w:val="20"/>
                <w:szCs w:val="20"/>
                <w:color w:val="auto"/>
              </w:rPr>
            </w:pPr>
            <w:r>
              <w:rPr>
                <w:rFonts w:ascii="Arial" w:cs="Arial" w:eastAsia="Arial" w:hAnsi="Arial"/>
                <w:sz w:val="18"/>
                <w:szCs w:val="18"/>
                <w:color w:val="auto"/>
              </w:rPr>
              <w:t>Nine Months Ended</w:t>
            </w:r>
          </w:p>
        </w:tc>
      </w:tr>
      <w:tr>
        <w:trPr>
          <w:trHeight w:val="217"/>
        </w:trPr>
        <w:tc>
          <w:tcPr>
            <w:tcW w:w="2500" w:type="dxa"/>
            <w:vAlign w:val="bottom"/>
            <w:gridSpan w:val="3"/>
          </w:tcPr>
          <w:p>
            <w:pPr>
              <w:jc w:val="right"/>
              <w:ind w:right="570"/>
              <w:spacing w:after="0"/>
              <w:rPr>
                <w:sz w:val="20"/>
                <w:szCs w:val="20"/>
                <w:color w:val="auto"/>
              </w:rPr>
            </w:pPr>
            <w:r>
              <w:rPr>
                <w:rFonts w:ascii="Arial" w:cs="Arial" w:eastAsia="Arial" w:hAnsi="Arial"/>
                <w:sz w:val="18"/>
                <w:szCs w:val="18"/>
                <w:color w:val="auto"/>
              </w:rPr>
              <w:t>September 30,</w:t>
            </w:r>
          </w:p>
        </w:tc>
        <w:tc>
          <w:tcPr>
            <w:tcW w:w="6440" w:type="dxa"/>
            <w:vAlign w:val="bottom"/>
          </w:tcPr>
          <w:p>
            <w:pPr>
              <w:spacing w:after="0"/>
              <w:rPr>
                <w:sz w:val="18"/>
                <w:szCs w:val="18"/>
                <w:color w:val="auto"/>
              </w:rPr>
            </w:pPr>
          </w:p>
        </w:tc>
        <w:tc>
          <w:tcPr>
            <w:tcW w:w="2480" w:type="dxa"/>
            <w:vAlign w:val="bottom"/>
            <w:gridSpan w:val="3"/>
          </w:tcPr>
          <w:p>
            <w:pPr>
              <w:jc w:val="right"/>
              <w:ind w:right="570"/>
              <w:spacing w:after="0"/>
              <w:rPr>
                <w:sz w:val="20"/>
                <w:szCs w:val="20"/>
                <w:color w:val="auto"/>
              </w:rPr>
            </w:pPr>
            <w:r>
              <w:rPr>
                <w:rFonts w:ascii="Arial" w:cs="Arial" w:eastAsia="Arial" w:hAnsi="Arial"/>
                <w:sz w:val="18"/>
                <w:szCs w:val="18"/>
                <w:color w:val="auto"/>
              </w:rPr>
              <w:t>September 30,</w:t>
            </w:r>
          </w:p>
        </w:tc>
      </w:tr>
      <w:tr>
        <w:trPr>
          <w:trHeight w:val="392"/>
        </w:trPr>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6440" w:type="dxa"/>
            <w:vAlign w:val="bottom"/>
          </w:tcPr>
          <w:p>
            <w:pPr>
              <w:spacing w:after="0"/>
              <w:rPr>
                <w:sz w:val="24"/>
                <w:szCs w:val="24"/>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2014</w:t>
            </w: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3"/>
        </w:trPr>
        <w:tc>
          <w:tcPr>
            <w:tcW w:w="11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$178,789</w:t>
            </w:r>
          </w:p>
        </w:tc>
        <w:tc>
          <w:tcPr>
            <w:tcW w:w="220" w:type="dxa"/>
            <w:vAlign w:val="bottom"/>
            <w:shd w:val="clear" w:color="auto" w:fill="BFBFBF"/>
          </w:tcPr>
          <w:p>
            <w:pPr>
              <w:spacing w:after="0"/>
              <w:rPr>
                <w:sz w:val="17"/>
                <w:szCs w:val="17"/>
                <w:color w:val="auto"/>
              </w:rPr>
            </w:pPr>
          </w:p>
        </w:tc>
        <w:tc>
          <w:tcPr>
            <w:tcW w:w="114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$179,861</w:t>
            </w:r>
          </w:p>
        </w:tc>
        <w:tc>
          <w:tcPr>
            <w:tcW w:w="6440" w:type="dxa"/>
            <w:vAlign w:val="bottom"/>
            <w:shd w:val="clear" w:color="auto" w:fill="BFBFBF"/>
          </w:tcPr>
          <w:p>
            <w:pPr>
              <w:ind w:left="200"/>
              <w:spacing w:after="0" w:line="202" w:lineRule="exact"/>
              <w:rPr>
                <w:sz w:val="20"/>
                <w:szCs w:val="20"/>
                <w:color w:val="auto"/>
              </w:rPr>
            </w:pPr>
            <w:r>
              <w:rPr>
                <w:rFonts w:ascii="Arial" w:cs="Arial" w:eastAsia="Arial" w:hAnsi="Arial"/>
                <w:sz w:val="18"/>
                <w:szCs w:val="18"/>
                <w:color w:val="auto"/>
              </w:rPr>
              <w:t>Net sales</w:t>
            </w:r>
          </w:p>
        </w:tc>
        <w:tc>
          <w:tcPr>
            <w:tcW w:w="11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$532,402</w:t>
            </w:r>
          </w:p>
        </w:tc>
        <w:tc>
          <w:tcPr>
            <w:tcW w:w="220" w:type="dxa"/>
            <w:vAlign w:val="bottom"/>
            <w:shd w:val="clear" w:color="auto" w:fill="BFBFBF"/>
          </w:tcPr>
          <w:p>
            <w:pPr>
              <w:spacing w:after="0"/>
              <w:rPr>
                <w:sz w:val="17"/>
                <w:szCs w:val="17"/>
                <w:color w:val="auto"/>
              </w:rPr>
            </w:pPr>
          </w:p>
        </w:tc>
        <w:tc>
          <w:tcPr>
            <w:tcW w:w="11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$553,686</w:t>
            </w:r>
          </w:p>
        </w:tc>
      </w:tr>
      <w:tr>
        <w:trPr>
          <w:trHeight w:val="216"/>
        </w:trPr>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103,045</w:t>
            </w:r>
          </w:p>
        </w:tc>
        <w:tc>
          <w:tcPr>
            <w:tcW w:w="220" w:type="dxa"/>
            <w:vAlign w:val="bottom"/>
            <w:tcBorders>
              <w:bottom w:val="single" w:sz="8" w:color="BFBFBF"/>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111,242</w:t>
            </w:r>
          </w:p>
        </w:tc>
        <w:tc>
          <w:tcPr>
            <w:tcW w:w="6440" w:type="dxa"/>
            <w:vAlign w:val="bottom"/>
            <w:tcBorders>
              <w:bottom w:val="single" w:sz="8" w:color="BFBFBF"/>
            </w:tcBorders>
          </w:tcPr>
          <w:p>
            <w:pPr>
              <w:ind w:left="200"/>
              <w:spacing w:after="0"/>
              <w:rPr>
                <w:sz w:val="20"/>
                <w:szCs w:val="20"/>
                <w:color w:val="auto"/>
              </w:rPr>
            </w:pPr>
            <w:r>
              <w:rPr>
                <w:rFonts w:ascii="Arial" w:cs="Arial" w:eastAsia="Arial" w:hAnsi="Arial"/>
                <w:sz w:val="18"/>
                <w:szCs w:val="18"/>
                <w:color w:val="auto"/>
              </w:rPr>
              <w:t>Cost of goods sold</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325,382</w:t>
            </w:r>
          </w:p>
        </w:tc>
        <w:tc>
          <w:tcPr>
            <w:tcW w:w="220" w:type="dxa"/>
            <w:vAlign w:val="bottom"/>
            <w:tcBorders>
              <w:bottom w:val="single" w:sz="8" w:color="BFBFBF"/>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334,915</w:t>
            </w:r>
          </w:p>
        </w:tc>
      </w:tr>
      <w:tr>
        <w:trPr>
          <w:trHeight w:val="196"/>
        </w:trPr>
        <w:tc>
          <w:tcPr>
            <w:tcW w:w="1140" w:type="dxa"/>
            <w:vAlign w:val="bottom"/>
            <w:shd w:val="clear" w:color="auto" w:fill="BFBFBF"/>
          </w:tcPr>
          <w:p>
            <w:pPr>
              <w:spacing w:after="0"/>
              <w:rPr>
                <w:sz w:val="17"/>
                <w:szCs w:val="17"/>
                <w:color w:val="auto"/>
              </w:rPr>
            </w:pPr>
          </w:p>
        </w:tc>
        <w:tc>
          <w:tcPr>
            <w:tcW w:w="220" w:type="dxa"/>
            <w:vAlign w:val="bottom"/>
            <w:shd w:val="clear" w:color="auto" w:fill="BFBFBF"/>
          </w:tcPr>
          <w:p>
            <w:pPr>
              <w:spacing w:after="0"/>
              <w:rPr>
                <w:sz w:val="17"/>
                <w:szCs w:val="17"/>
                <w:color w:val="auto"/>
              </w:rPr>
            </w:pPr>
          </w:p>
        </w:tc>
        <w:tc>
          <w:tcPr>
            <w:tcW w:w="1140" w:type="dxa"/>
            <w:vAlign w:val="bottom"/>
            <w:shd w:val="clear" w:color="auto" w:fill="BFBFBF"/>
          </w:tcPr>
          <w:p>
            <w:pPr>
              <w:spacing w:after="0"/>
              <w:rPr>
                <w:sz w:val="17"/>
                <w:szCs w:val="17"/>
                <w:color w:val="auto"/>
              </w:rPr>
            </w:pPr>
          </w:p>
        </w:tc>
        <w:tc>
          <w:tcPr>
            <w:tcW w:w="6440" w:type="dxa"/>
            <w:vAlign w:val="bottom"/>
            <w:shd w:val="clear" w:color="auto" w:fill="BFBFBF"/>
          </w:tcPr>
          <w:p>
            <w:pPr>
              <w:spacing w:after="0"/>
              <w:rPr>
                <w:sz w:val="17"/>
                <w:szCs w:val="17"/>
                <w:color w:val="auto"/>
              </w:rPr>
            </w:pPr>
          </w:p>
        </w:tc>
        <w:tc>
          <w:tcPr>
            <w:tcW w:w="1120" w:type="dxa"/>
            <w:vAlign w:val="bottom"/>
            <w:shd w:val="clear" w:color="auto" w:fill="BFBFBF"/>
          </w:tcPr>
          <w:p>
            <w:pPr>
              <w:spacing w:after="0"/>
              <w:rPr>
                <w:sz w:val="17"/>
                <w:szCs w:val="17"/>
                <w:color w:val="auto"/>
              </w:rPr>
            </w:pPr>
          </w:p>
        </w:tc>
        <w:tc>
          <w:tcPr>
            <w:tcW w:w="220" w:type="dxa"/>
            <w:vAlign w:val="bottom"/>
            <w:shd w:val="clear" w:color="auto" w:fill="BFBFBF"/>
          </w:tcPr>
          <w:p>
            <w:pPr>
              <w:spacing w:after="0"/>
              <w:rPr>
                <w:sz w:val="17"/>
                <w:szCs w:val="17"/>
                <w:color w:val="auto"/>
              </w:rPr>
            </w:pPr>
          </w:p>
        </w:tc>
        <w:tc>
          <w:tcPr>
            <w:tcW w:w="1140" w:type="dxa"/>
            <w:vAlign w:val="bottom"/>
            <w:shd w:val="clear" w:color="auto" w:fill="BFBFBF"/>
          </w:tcPr>
          <w:p>
            <w:pPr>
              <w:spacing w:after="0"/>
              <w:rPr>
                <w:sz w:val="17"/>
                <w:szCs w:val="17"/>
                <w:color w:val="auto"/>
              </w:rPr>
            </w:pPr>
          </w:p>
        </w:tc>
      </w:tr>
      <w:tr>
        <w:trPr>
          <w:trHeight w:val="203"/>
        </w:trPr>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75,744</w:t>
            </w:r>
          </w:p>
        </w:tc>
        <w:tc>
          <w:tcPr>
            <w:tcW w:w="22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68,619</w:t>
            </w:r>
          </w:p>
        </w:tc>
        <w:tc>
          <w:tcPr>
            <w:tcW w:w="6440" w:type="dxa"/>
            <w:vAlign w:val="bottom"/>
          </w:tcPr>
          <w:p>
            <w:pPr>
              <w:ind w:left="200"/>
              <w:spacing w:after="0" w:line="202" w:lineRule="exact"/>
              <w:rPr>
                <w:sz w:val="20"/>
                <w:szCs w:val="20"/>
                <w:color w:val="auto"/>
              </w:rPr>
            </w:pPr>
            <w:r>
              <w:rPr>
                <w:rFonts w:ascii="Arial" w:cs="Arial" w:eastAsia="Arial" w:hAnsi="Arial"/>
                <w:sz w:val="18"/>
                <w:szCs w:val="18"/>
                <w:color w:val="auto"/>
              </w:rPr>
              <w:t>Gross profit</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207,020</w:t>
            </w:r>
          </w:p>
        </w:tc>
        <w:tc>
          <w:tcPr>
            <w:tcW w:w="22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218,771</w:t>
            </w:r>
          </w:p>
        </w:tc>
      </w:tr>
      <w:tr>
        <w:trPr>
          <w:trHeight w:val="203"/>
        </w:trPr>
        <w:tc>
          <w:tcPr>
            <w:tcW w:w="11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35,509</w:t>
            </w:r>
          </w:p>
        </w:tc>
        <w:tc>
          <w:tcPr>
            <w:tcW w:w="220" w:type="dxa"/>
            <w:vAlign w:val="bottom"/>
            <w:shd w:val="clear" w:color="auto" w:fill="BFBFBF"/>
          </w:tcPr>
          <w:p>
            <w:pPr>
              <w:spacing w:after="0"/>
              <w:rPr>
                <w:sz w:val="17"/>
                <w:szCs w:val="17"/>
                <w:color w:val="auto"/>
              </w:rPr>
            </w:pPr>
          </w:p>
        </w:tc>
        <w:tc>
          <w:tcPr>
            <w:tcW w:w="114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33,618</w:t>
            </w:r>
          </w:p>
        </w:tc>
        <w:tc>
          <w:tcPr>
            <w:tcW w:w="6440" w:type="dxa"/>
            <w:vAlign w:val="bottom"/>
            <w:shd w:val="clear" w:color="auto" w:fill="BFBFBF"/>
          </w:tcPr>
          <w:p>
            <w:pPr>
              <w:ind w:left="26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1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110,674</w:t>
            </w:r>
          </w:p>
        </w:tc>
        <w:tc>
          <w:tcPr>
            <w:tcW w:w="220" w:type="dxa"/>
            <w:vAlign w:val="bottom"/>
            <w:shd w:val="clear" w:color="auto" w:fill="BFBFBF"/>
          </w:tcPr>
          <w:p>
            <w:pPr>
              <w:spacing w:after="0"/>
              <w:rPr>
                <w:sz w:val="17"/>
                <w:szCs w:val="17"/>
                <w:color w:val="auto"/>
              </w:rPr>
            </w:pPr>
          </w:p>
        </w:tc>
        <w:tc>
          <w:tcPr>
            <w:tcW w:w="11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112,787</w:t>
            </w:r>
          </w:p>
        </w:tc>
      </w:tr>
      <w:tr>
        <w:trPr>
          <w:trHeight w:val="203"/>
        </w:trPr>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10,675</w:t>
            </w:r>
          </w:p>
        </w:tc>
        <w:tc>
          <w:tcPr>
            <w:tcW w:w="22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14,924</w:t>
            </w:r>
          </w:p>
        </w:tc>
        <w:tc>
          <w:tcPr>
            <w:tcW w:w="6440" w:type="dxa"/>
            <w:vAlign w:val="bottom"/>
          </w:tcPr>
          <w:p>
            <w:pPr>
              <w:ind w:left="260"/>
              <w:spacing w:after="0" w:line="202" w:lineRule="exact"/>
              <w:rPr>
                <w:sz w:val="20"/>
                <w:szCs w:val="20"/>
                <w:color w:val="auto"/>
              </w:rPr>
            </w:pPr>
            <w:r>
              <w:rPr>
                <w:rFonts w:ascii="Arial" w:cs="Arial" w:eastAsia="Arial" w:hAnsi="Arial"/>
                <w:sz w:val="18"/>
                <w:szCs w:val="18"/>
                <w:color w:val="auto"/>
              </w:rPr>
              <w:t>Technical, product engineering, and research expenses</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33,387</w:t>
            </w:r>
          </w:p>
        </w:tc>
        <w:tc>
          <w:tcPr>
            <w:tcW w:w="22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43,190</w:t>
            </w:r>
          </w:p>
        </w:tc>
      </w:tr>
      <w:tr>
        <w:trPr>
          <w:trHeight w:val="216"/>
        </w:trPr>
        <w:tc>
          <w:tcPr>
            <w:tcW w:w="114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3,717</w:t>
            </w:r>
          </w:p>
        </w:tc>
        <w:tc>
          <w:tcPr>
            <w:tcW w:w="220" w:type="dxa"/>
            <w:vAlign w:val="bottom"/>
            <w:shd w:val="clear" w:color="auto" w:fill="BFBFBF"/>
          </w:tcPr>
          <w:p>
            <w:pPr>
              <w:spacing w:after="0"/>
              <w:rPr>
                <w:sz w:val="18"/>
                <w:szCs w:val="18"/>
                <w:color w:val="auto"/>
              </w:rPr>
            </w:pPr>
          </w:p>
        </w:tc>
        <w:tc>
          <w:tcPr>
            <w:tcW w:w="1140" w:type="dxa"/>
            <w:vAlign w:val="bottom"/>
            <w:tcBorders>
              <w:bottom w:val="single" w:sz="8" w:color="auto"/>
            </w:tcBorders>
            <w:shd w:val="clear" w:color="auto" w:fill="BFBFBF"/>
          </w:tcPr>
          <w:p>
            <w:pPr>
              <w:jc w:val="right"/>
              <w:ind w:right="30"/>
              <w:spacing w:after="0"/>
              <w:rPr>
                <w:sz w:val="20"/>
                <w:szCs w:val="20"/>
                <w:color w:val="auto"/>
              </w:rPr>
            </w:pPr>
            <w:r>
              <w:rPr>
                <w:rFonts w:ascii="Arial" w:cs="Arial" w:eastAsia="Arial" w:hAnsi="Arial"/>
                <w:sz w:val="18"/>
                <w:szCs w:val="18"/>
                <w:color w:val="auto"/>
              </w:rPr>
              <w:t>919</w:t>
            </w:r>
          </w:p>
        </w:tc>
        <w:tc>
          <w:tcPr>
            <w:tcW w:w="6440" w:type="dxa"/>
            <w:vAlign w:val="bottom"/>
            <w:shd w:val="clear" w:color="auto" w:fill="BFBFBF"/>
          </w:tcPr>
          <w:p>
            <w:pPr>
              <w:ind w:left="260"/>
              <w:spacing w:after="0"/>
              <w:rPr>
                <w:sz w:val="20"/>
                <w:szCs w:val="20"/>
                <w:color w:val="auto"/>
              </w:rPr>
            </w:pPr>
            <w:r>
              <w:rPr>
                <w:rFonts w:ascii="Arial" w:cs="Arial" w:eastAsia="Arial" w:hAnsi="Arial"/>
                <w:sz w:val="18"/>
                <w:szCs w:val="18"/>
                <w:color w:val="auto"/>
              </w:rPr>
              <w:t>Restructuring expenses, net</w:t>
            </w:r>
          </w:p>
        </w:tc>
        <w:tc>
          <w:tcPr>
            <w:tcW w:w="112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13,929</w:t>
            </w:r>
          </w:p>
        </w:tc>
        <w:tc>
          <w:tcPr>
            <w:tcW w:w="220" w:type="dxa"/>
            <w:vAlign w:val="bottom"/>
            <w:shd w:val="clear" w:color="auto" w:fill="BFBFBF"/>
          </w:tcPr>
          <w:p>
            <w:pPr>
              <w:spacing w:after="0"/>
              <w:rPr>
                <w:sz w:val="18"/>
                <w:szCs w:val="18"/>
                <w:color w:val="auto"/>
              </w:rPr>
            </w:pPr>
          </w:p>
        </w:tc>
        <w:tc>
          <w:tcPr>
            <w:tcW w:w="114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4,058</w:t>
            </w: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1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25,843</w:t>
            </w:r>
          </w:p>
        </w:tc>
        <w:tc>
          <w:tcPr>
            <w:tcW w:w="220" w:type="dxa"/>
            <w:vAlign w:val="bottom"/>
            <w:shd w:val="clear" w:color="auto" w:fill="BFBFBF"/>
          </w:tcPr>
          <w:p>
            <w:pPr>
              <w:spacing w:after="0"/>
              <w:rPr>
                <w:sz w:val="17"/>
                <w:szCs w:val="17"/>
                <w:color w:val="auto"/>
              </w:rPr>
            </w:pPr>
          </w:p>
        </w:tc>
        <w:tc>
          <w:tcPr>
            <w:tcW w:w="114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19,158</w:t>
            </w:r>
          </w:p>
        </w:tc>
        <w:tc>
          <w:tcPr>
            <w:tcW w:w="6440" w:type="dxa"/>
            <w:vAlign w:val="bottom"/>
            <w:shd w:val="clear" w:color="auto" w:fill="BFBFBF"/>
          </w:tcPr>
          <w:p>
            <w:pPr>
              <w:ind w:left="200"/>
              <w:spacing w:after="0" w:line="202" w:lineRule="exact"/>
              <w:rPr>
                <w:sz w:val="20"/>
                <w:szCs w:val="20"/>
                <w:color w:val="auto"/>
              </w:rPr>
            </w:pPr>
            <w:r>
              <w:rPr>
                <w:rFonts w:ascii="Arial" w:cs="Arial" w:eastAsia="Arial" w:hAnsi="Arial"/>
                <w:sz w:val="18"/>
                <w:szCs w:val="18"/>
                <w:color w:val="auto"/>
              </w:rPr>
              <w:t>Operating income</w:t>
            </w:r>
          </w:p>
        </w:tc>
        <w:tc>
          <w:tcPr>
            <w:tcW w:w="11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49,030</w:t>
            </w:r>
          </w:p>
        </w:tc>
        <w:tc>
          <w:tcPr>
            <w:tcW w:w="220" w:type="dxa"/>
            <w:vAlign w:val="bottom"/>
            <w:shd w:val="clear" w:color="auto" w:fill="BFBFBF"/>
          </w:tcPr>
          <w:p>
            <w:pPr>
              <w:spacing w:after="0"/>
              <w:rPr>
                <w:sz w:val="17"/>
                <w:szCs w:val="17"/>
                <w:color w:val="auto"/>
              </w:rPr>
            </w:pPr>
          </w:p>
        </w:tc>
        <w:tc>
          <w:tcPr>
            <w:tcW w:w="11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58,736</w:t>
            </w:r>
          </w:p>
        </w:tc>
      </w:tr>
      <w:tr>
        <w:trPr>
          <w:trHeight w:val="203"/>
        </w:trPr>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2,671</w:t>
            </w:r>
          </w:p>
        </w:tc>
        <w:tc>
          <w:tcPr>
            <w:tcW w:w="22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2,486</w:t>
            </w:r>
          </w:p>
        </w:tc>
        <w:tc>
          <w:tcPr>
            <w:tcW w:w="6440" w:type="dxa"/>
            <w:vAlign w:val="bottom"/>
          </w:tcPr>
          <w:p>
            <w:pPr>
              <w:ind w:left="260"/>
              <w:spacing w:after="0" w:line="202" w:lineRule="exact"/>
              <w:rPr>
                <w:sz w:val="20"/>
                <w:szCs w:val="20"/>
                <w:color w:val="auto"/>
              </w:rPr>
            </w:pPr>
            <w:r>
              <w:rPr>
                <w:rFonts w:ascii="Arial" w:cs="Arial" w:eastAsia="Arial" w:hAnsi="Arial"/>
                <w:sz w:val="18"/>
                <w:szCs w:val="18"/>
                <w:color w:val="auto"/>
              </w:rPr>
              <w:t>Interest expense, net</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8,049</w:t>
            </w:r>
          </w:p>
        </w:tc>
        <w:tc>
          <w:tcPr>
            <w:tcW w:w="22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8,121</w:t>
            </w:r>
          </w:p>
        </w:tc>
      </w:tr>
      <w:tr>
        <w:trPr>
          <w:trHeight w:val="216"/>
        </w:trPr>
        <w:tc>
          <w:tcPr>
            <w:tcW w:w="114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1,249</w:t>
            </w:r>
          </w:p>
        </w:tc>
        <w:tc>
          <w:tcPr>
            <w:tcW w:w="220" w:type="dxa"/>
            <w:vAlign w:val="bottom"/>
            <w:shd w:val="clear" w:color="auto" w:fill="BFBFBF"/>
          </w:tcPr>
          <w:p>
            <w:pPr>
              <w:spacing w:after="0"/>
              <w:rPr>
                <w:sz w:val="18"/>
                <w:szCs w:val="18"/>
                <w:color w:val="auto"/>
              </w:rPr>
            </w:pPr>
          </w:p>
        </w:tc>
        <w:tc>
          <w:tcPr>
            <w:tcW w:w="114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(1,864)</w:t>
            </w:r>
          </w:p>
        </w:tc>
        <w:tc>
          <w:tcPr>
            <w:tcW w:w="6440" w:type="dxa"/>
            <w:vAlign w:val="bottom"/>
            <w:shd w:val="clear" w:color="auto" w:fill="BFBFBF"/>
          </w:tcPr>
          <w:p>
            <w:pPr>
              <w:ind w:left="260"/>
              <w:spacing w:after="0"/>
              <w:rPr>
                <w:sz w:val="20"/>
                <w:szCs w:val="20"/>
                <w:color w:val="auto"/>
              </w:rPr>
            </w:pPr>
            <w:r>
              <w:rPr>
                <w:rFonts w:ascii="Arial" w:cs="Arial" w:eastAsia="Arial" w:hAnsi="Arial"/>
                <w:sz w:val="18"/>
                <w:szCs w:val="18"/>
                <w:color w:val="auto"/>
              </w:rPr>
              <w:t>Other expense/(income), net</w:t>
            </w:r>
          </w:p>
        </w:tc>
        <w:tc>
          <w:tcPr>
            <w:tcW w:w="112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784</w:t>
            </w:r>
          </w:p>
        </w:tc>
        <w:tc>
          <w:tcPr>
            <w:tcW w:w="220" w:type="dxa"/>
            <w:vAlign w:val="bottom"/>
            <w:shd w:val="clear" w:color="auto" w:fill="BFBFBF"/>
          </w:tcPr>
          <w:p>
            <w:pPr>
              <w:spacing w:after="0"/>
              <w:rPr>
                <w:sz w:val="18"/>
                <w:szCs w:val="18"/>
                <w:color w:val="auto"/>
              </w:rPr>
            </w:pPr>
          </w:p>
        </w:tc>
        <w:tc>
          <w:tcPr>
            <w:tcW w:w="114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(4,464)</w:t>
            </w: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1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21,923</w:t>
            </w:r>
          </w:p>
        </w:tc>
        <w:tc>
          <w:tcPr>
            <w:tcW w:w="220" w:type="dxa"/>
            <w:vAlign w:val="bottom"/>
            <w:shd w:val="clear" w:color="auto" w:fill="BFBFBF"/>
          </w:tcPr>
          <w:p>
            <w:pPr>
              <w:spacing w:after="0"/>
              <w:rPr>
                <w:sz w:val="17"/>
                <w:szCs w:val="17"/>
                <w:color w:val="auto"/>
              </w:rPr>
            </w:pPr>
          </w:p>
        </w:tc>
        <w:tc>
          <w:tcPr>
            <w:tcW w:w="114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18,536</w:t>
            </w:r>
          </w:p>
        </w:tc>
        <w:tc>
          <w:tcPr>
            <w:tcW w:w="6440" w:type="dxa"/>
            <w:vAlign w:val="bottom"/>
            <w:shd w:val="clear" w:color="auto" w:fill="BFBFBF"/>
          </w:tcPr>
          <w:p>
            <w:pPr>
              <w:ind w:left="200"/>
              <w:spacing w:after="0" w:line="202" w:lineRule="exact"/>
              <w:rPr>
                <w:sz w:val="20"/>
                <w:szCs w:val="20"/>
                <w:color w:val="auto"/>
              </w:rPr>
            </w:pPr>
            <w:r>
              <w:rPr>
                <w:rFonts w:ascii="Arial" w:cs="Arial" w:eastAsia="Arial" w:hAnsi="Arial"/>
                <w:sz w:val="18"/>
                <w:szCs w:val="18"/>
                <w:color w:val="auto"/>
              </w:rPr>
              <w:t>Income before income taxes</w:t>
            </w:r>
          </w:p>
        </w:tc>
        <w:tc>
          <w:tcPr>
            <w:tcW w:w="11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40,197</w:t>
            </w:r>
          </w:p>
        </w:tc>
        <w:tc>
          <w:tcPr>
            <w:tcW w:w="220" w:type="dxa"/>
            <w:vAlign w:val="bottom"/>
            <w:shd w:val="clear" w:color="auto" w:fill="BFBFBF"/>
          </w:tcPr>
          <w:p>
            <w:pPr>
              <w:spacing w:after="0"/>
              <w:rPr>
                <w:sz w:val="17"/>
                <w:szCs w:val="17"/>
                <w:color w:val="auto"/>
              </w:rPr>
            </w:pPr>
          </w:p>
        </w:tc>
        <w:tc>
          <w:tcPr>
            <w:tcW w:w="11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55,079</w:t>
            </w:r>
          </w:p>
        </w:tc>
      </w:tr>
      <w:tr>
        <w:trPr>
          <w:trHeight w:val="216"/>
        </w:trPr>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12,243</w:t>
            </w:r>
          </w:p>
        </w:tc>
        <w:tc>
          <w:tcPr>
            <w:tcW w:w="220" w:type="dxa"/>
            <w:vAlign w:val="bottom"/>
            <w:tcBorders>
              <w:bottom w:val="single" w:sz="8" w:color="BFBFBF"/>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6,762</w:t>
            </w:r>
          </w:p>
        </w:tc>
        <w:tc>
          <w:tcPr>
            <w:tcW w:w="6440" w:type="dxa"/>
            <w:vAlign w:val="bottom"/>
            <w:tcBorders>
              <w:bottom w:val="single" w:sz="8" w:color="BFBFBF"/>
            </w:tcBorders>
          </w:tcPr>
          <w:p>
            <w:pPr>
              <w:ind w:left="260"/>
              <w:spacing w:after="0"/>
              <w:rPr>
                <w:sz w:val="20"/>
                <w:szCs w:val="20"/>
                <w:color w:val="auto"/>
              </w:rPr>
            </w:pPr>
            <w:r>
              <w:rPr>
                <w:rFonts w:ascii="Arial" w:cs="Arial" w:eastAsia="Arial" w:hAnsi="Arial"/>
                <w:sz w:val="18"/>
                <w:szCs w:val="18"/>
                <w:color w:val="auto"/>
              </w:rPr>
              <w:t>Income tax expense</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20,398</w:t>
            </w:r>
          </w:p>
        </w:tc>
        <w:tc>
          <w:tcPr>
            <w:tcW w:w="220" w:type="dxa"/>
            <w:vAlign w:val="bottom"/>
            <w:tcBorders>
              <w:bottom w:val="single" w:sz="8" w:color="BFBFBF"/>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21,435</w:t>
            </w:r>
          </w:p>
        </w:tc>
      </w:tr>
      <w:tr>
        <w:trPr>
          <w:trHeight w:val="196"/>
        </w:trPr>
        <w:tc>
          <w:tcPr>
            <w:tcW w:w="1140" w:type="dxa"/>
            <w:vAlign w:val="bottom"/>
            <w:shd w:val="clear" w:color="auto" w:fill="BFBFBF"/>
          </w:tcPr>
          <w:p>
            <w:pPr>
              <w:spacing w:after="0"/>
              <w:rPr>
                <w:sz w:val="17"/>
                <w:szCs w:val="17"/>
                <w:color w:val="auto"/>
              </w:rPr>
            </w:pPr>
          </w:p>
        </w:tc>
        <w:tc>
          <w:tcPr>
            <w:tcW w:w="220" w:type="dxa"/>
            <w:vAlign w:val="bottom"/>
            <w:shd w:val="clear" w:color="auto" w:fill="BFBFBF"/>
          </w:tcPr>
          <w:p>
            <w:pPr>
              <w:spacing w:after="0"/>
              <w:rPr>
                <w:sz w:val="17"/>
                <w:szCs w:val="17"/>
                <w:color w:val="auto"/>
              </w:rPr>
            </w:pPr>
          </w:p>
        </w:tc>
        <w:tc>
          <w:tcPr>
            <w:tcW w:w="1140" w:type="dxa"/>
            <w:vAlign w:val="bottom"/>
            <w:shd w:val="clear" w:color="auto" w:fill="BFBFBF"/>
          </w:tcPr>
          <w:p>
            <w:pPr>
              <w:spacing w:after="0"/>
              <w:rPr>
                <w:sz w:val="17"/>
                <w:szCs w:val="17"/>
                <w:color w:val="auto"/>
              </w:rPr>
            </w:pPr>
          </w:p>
        </w:tc>
        <w:tc>
          <w:tcPr>
            <w:tcW w:w="6440" w:type="dxa"/>
            <w:vAlign w:val="bottom"/>
            <w:shd w:val="clear" w:color="auto" w:fill="BFBFBF"/>
          </w:tcPr>
          <w:p>
            <w:pPr>
              <w:spacing w:after="0"/>
              <w:rPr>
                <w:sz w:val="17"/>
                <w:szCs w:val="17"/>
                <w:color w:val="auto"/>
              </w:rPr>
            </w:pPr>
          </w:p>
        </w:tc>
        <w:tc>
          <w:tcPr>
            <w:tcW w:w="1120" w:type="dxa"/>
            <w:vAlign w:val="bottom"/>
            <w:shd w:val="clear" w:color="auto" w:fill="BFBFBF"/>
          </w:tcPr>
          <w:p>
            <w:pPr>
              <w:spacing w:after="0"/>
              <w:rPr>
                <w:sz w:val="17"/>
                <w:szCs w:val="17"/>
                <w:color w:val="auto"/>
              </w:rPr>
            </w:pPr>
          </w:p>
        </w:tc>
        <w:tc>
          <w:tcPr>
            <w:tcW w:w="220" w:type="dxa"/>
            <w:vAlign w:val="bottom"/>
            <w:shd w:val="clear" w:color="auto" w:fill="BFBFBF"/>
          </w:tcPr>
          <w:p>
            <w:pPr>
              <w:spacing w:after="0"/>
              <w:rPr>
                <w:sz w:val="17"/>
                <w:szCs w:val="17"/>
                <w:color w:val="auto"/>
              </w:rPr>
            </w:pPr>
          </w:p>
        </w:tc>
        <w:tc>
          <w:tcPr>
            <w:tcW w:w="1140" w:type="dxa"/>
            <w:vAlign w:val="bottom"/>
            <w:shd w:val="clear" w:color="auto" w:fill="BFBFBF"/>
          </w:tcPr>
          <w:p>
            <w:pPr>
              <w:spacing w:after="0"/>
              <w:rPr>
                <w:sz w:val="17"/>
                <w:szCs w:val="17"/>
                <w:color w:val="auto"/>
              </w:rPr>
            </w:pPr>
          </w:p>
        </w:tc>
      </w:tr>
      <w:tr>
        <w:trPr>
          <w:trHeight w:val="203"/>
        </w:trPr>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9,680</w:t>
            </w:r>
          </w:p>
        </w:tc>
        <w:tc>
          <w:tcPr>
            <w:tcW w:w="22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11,774</w:t>
            </w:r>
          </w:p>
        </w:tc>
        <w:tc>
          <w:tcPr>
            <w:tcW w:w="6440" w:type="dxa"/>
            <w:vAlign w:val="bottom"/>
          </w:tcPr>
          <w:p>
            <w:pPr>
              <w:ind w:left="260"/>
              <w:spacing w:after="0" w:line="202" w:lineRule="exact"/>
              <w:rPr>
                <w:sz w:val="20"/>
                <w:szCs w:val="20"/>
                <w:color w:val="auto"/>
              </w:rPr>
            </w:pPr>
            <w:r>
              <w:rPr>
                <w:rFonts w:ascii="Arial" w:cs="Arial" w:eastAsia="Arial" w:hAnsi="Arial"/>
                <w:sz w:val="18"/>
                <w:szCs w:val="18"/>
                <w:color w:val="auto"/>
              </w:rPr>
              <w:t>Net income</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19,799</w:t>
            </w:r>
          </w:p>
        </w:tc>
        <w:tc>
          <w:tcPr>
            <w:tcW w:w="22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33,644</w:t>
            </w:r>
          </w:p>
        </w:tc>
      </w:tr>
      <w:tr>
        <w:trPr>
          <w:trHeight w:val="216"/>
        </w:trPr>
        <w:tc>
          <w:tcPr>
            <w:tcW w:w="114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BFBFBF"/>
          </w:tcPr>
          <w:p>
            <w:pPr>
              <w:spacing w:after="0"/>
              <w:rPr>
                <w:sz w:val="18"/>
                <w:szCs w:val="18"/>
                <w:color w:val="auto"/>
              </w:rPr>
            </w:pPr>
          </w:p>
        </w:tc>
        <w:tc>
          <w:tcPr>
            <w:tcW w:w="114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(38)</w:t>
            </w:r>
          </w:p>
        </w:tc>
        <w:tc>
          <w:tcPr>
            <w:tcW w:w="6440" w:type="dxa"/>
            <w:vAlign w:val="bottom"/>
            <w:shd w:val="clear" w:color="auto" w:fill="BFBFBF"/>
          </w:tcPr>
          <w:p>
            <w:pPr>
              <w:ind w:left="200"/>
              <w:spacing w:after="0"/>
              <w:rPr>
                <w:sz w:val="20"/>
                <w:szCs w:val="20"/>
                <w:color w:val="auto"/>
              </w:rPr>
            </w:pPr>
            <w:r>
              <w:rPr>
                <w:rFonts w:ascii="Arial" w:cs="Arial" w:eastAsia="Arial" w:hAnsi="Arial"/>
                <w:sz w:val="18"/>
                <w:szCs w:val="18"/>
                <w:color w:val="auto"/>
              </w:rPr>
              <w:t>Net income/(loss) attributable to the noncontrolling interest</w:t>
            </w:r>
          </w:p>
        </w:tc>
        <w:tc>
          <w:tcPr>
            <w:tcW w:w="112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BFBFBF"/>
          </w:tcPr>
          <w:p>
            <w:pPr>
              <w:spacing w:after="0"/>
              <w:rPr>
                <w:sz w:val="18"/>
                <w:szCs w:val="18"/>
                <w:color w:val="auto"/>
              </w:rPr>
            </w:pPr>
          </w:p>
        </w:tc>
        <w:tc>
          <w:tcPr>
            <w:tcW w:w="114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(8)</w:t>
            </w:r>
          </w:p>
        </w:tc>
      </w:tr>
      <w:tr>
        <w:trPr>
          <w:trHeight w:val="250"/>
        </w:trPr>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$9,658</w:t>
            </w:r>
          </w:p>
        </w:tc>
        <w:tc>
          <w:tcPr>
            <w:tcW w:w="220" w:type="dxa"/>
            <w:vAlign w:val="bottom"/>
            <w:tcBorders>
              <w:bottom w:val="single" w:sz="8" w:color="BFBFBF"/>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$11,812</w:t>
            </w:r>
          </w:p>
        </w:tc>
        <w:tc>
          <w:tcPr>
            <w:tcW w:w="6440" w:type="dxa"/>
            <w:vAlign w:val="bottom"/>
            <w:tcBorders>
              <w:bottom w:val="single" w:sz="8" w:color="BFBFBF"/>
            </w:tcBorders>
          </w:tcPr>
          <w:p>
            <w:pPr>
              <w:ind w:left="260"/>
              <w:spacing w:after="0" w:line="197" w:lineRule="exact"/>
              <w:rPr>
                <w:sz w:val="20"/>
                <w:szCs w:val="20"/>
                <w:color w:val="auto"/>
              </w:rPr>
            </w:pPr>
            <w:r>
              <w:rPr>
                <w:rFonts w:ascii="Arial" w:cs="Arial" w:eastAsia="Arial" w:hAnsi="Arial"/>
                <w:sz w:val="18"/>
                <w:szCs w:val="18"/>
                <w:color w:val="auto"/>
              </w:rPr>
              <w:t>Net income attributable to the Company</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$19,699</w:t>
            </w:r>
          </w:p>
        </w:tc>
        <w:tc>
          <w:tcPr>
            <w:tcW w:w="220" w:type="dxa"/>
            <w:vAlign w:val="bottom"/>
            <w:tcBorders>
              <w:bottom w:val="single" w:sz="8" w:color="BFBFBF"/>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$33,652</w:t>
            </w:r>
          </w:p>
        </w:tc>
      </w:tr>
      <w:tr>
        <w:trPr>
          <w:trHeight w:val="183"/>
        </w:trPr>
        <w:tc>
          <w:tcPr>
            <w:tcW w:w="1140" w:type="dxa"/>
            <w:vAlign w:val="bottom"/>
            <w:shd w:val="clear" w:color="auto" w:fill="BFBFBF"/>
          </w:tcPr>
          <w:p>
            <w:pPr>
              <w:spacing w:after="0"/>
              <w:rPr>
                <w:sz w:val="15"/>
                <w:szCs w:val="15"/>
                <w:color w:val="auto"/>
              </w:rPr>
            </w:pPr>
          </w:p>
        </w:tc>
        <w:tc>
          <w:tcPr>
            <w:tcW w:w="220" w:type="dxa"/>
            <w:vAlign w:val="bottom"/>
            <w:shd w:val="clear" w:color="auto" w:fill="BFBFBF"/>
          </w:tcPr>
          <w:p>
            <w:pPr>
              <w:spacing w:after="0"/>
              <w:rPr>
                <w:sz w:val="15"/>
                <w:szCs w:val="15"/>
                <w:color w:val="auto"/>
              </w:rPr>
            </w:pPr>
          </w:p>
        </w:tc>
        <w:tc>
          <w:tcPr>
            <w:tcW w:w="1140" w:type="dxa"/>
            <w:vAlign w:val="bottom"/>
            <w:shd w:val="clear" w:color="auto" w:fill="BFBFBF"/>
          </w:tcPr>
          <w:p>
            <w:pPr>
              <w:spacing w:after="0"/>
              <w:rPr>
                <w:sz w:val="15"/>
                <w:szCs w:val="15"/>
                <w:color w:val="auto"/>
              </w:rPr>
            </w:pPr>
          </w:p>
        </w:tc>
        <w:tc>
          <w:tcPr>
            <w:tcW w:w="6440" w:type="dxa"/>
            <w:vAlign w:val="bottom"/>
            <w:shd w:val="clear" w:color="auto" w:fill="BFBFBF"/>
          </w:tcPr>
          <w:p>
            <w:pPr>
              <w:spacing w:after="0"/>
              <w:rPr>
                <w:sz w:val="15"/>
                <w:szCs w:val="15"/>
                <w:color w:val="auto"/>
              </w:rPr>
            </w:pPr>
          </w:p>
        </w:tc>
        <w:tc>
          <w:tcPr>
            <w:tcW w:w="1120" w:type="dxa"/>
            <w:vAlign w:val="bottom"/>
            <w:shd w:val="clear" w:color="auto" w:fill="BFBFBF"/>
          </w:tcPr>
          <w:p>
            <w:pPr>
              <w:spacing w:after="0"/>
              <w:rPr>
                <w:sz w:val="15"/>
                <w:szCs w:val="15"/>
                <w:color w:val="auto"/>
              </w:rPr>
            </w:pPr>
          </w:p>
        </w:tc>
        <w:tc>
          <w:tcPr>
            <w:tcW w:w="220" w:type="dxa"/>
            <w:vAlign w:val="bottom"/>
            <w:shd w:val="clear" w:color="auto" w:fill="BFBFBF"/>
          </w:tcPr>
          <w:p>
            <w:pPr>
              <w:spacing w:after="0"/>
              <w:rPr>
                <w:sz w:val="15"/>
                <w:szCs w:val="15"/>
                <w:color w:val="auto"/>
              </w:rPr>
            </w:pPr>
          </w:p>
        </w:tc>
        <w:tc>
          <w:tcPr>
            <w:tcW w:w="1140" w:type="dxa"/>
            <w:vAlign w:val="bottom"/>
            <w:shd w:val="clear" w:color="auto" w:fill="BFBFBF"/>
          </w:tcPr>
          <w:p>
            <w:pPr>
              <w:spacing w:after="0"/>
              <w:rPr>
                <w:sz w:val="15"/>
                <w:szCs w:val="15"/>
                <w:color w:val="auto"/>
              </w:rPr>
            </w:pPr>
          </w:p>
        </w:tc>
      </w:tr>
      <w:tr>
        <w:trPr>
          <w:trHeight w:val="203"/>
        </w:trPr>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$0.30</w:t>
            </w:r>
          </w:p>
        </w:tc>
        <w:tc>
          <w:tcPr>
            <w:tcW w:w="22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$0.37</w:t>
            </w:r>
          </w:p>
        </w:tc>
        <w:tc>
          <w:tcPr>
            <w:tcW w:w="6440" w:type="dxa"/>
            <w:vAlign w:val="bottom"/>
          </w:tcPr>
          <w:p>
            <w:pPr>
              <w:ind w:left="200"/>
              <w:spacing w:after="0" w:line="202" w:lineRule="exact"/>
              <w:rPr>
                <w:sz w:val="20"/>
                <w:szCs w:val="20"/>
                <w:color w:val="auto"/>
              </w:rPr>
            </w:pPr>
            <w:r>
              <w:rPr>
                <w:rFonts w:ascii="Arial" w:cs="Arial" w:eastAsia="Arial" w:hAnsi="Arial"/>
                <w:sz w:val="18"/>
                <w:szCs w:val="18"/>
                <w:color w:val="auto"/>
              </w:rPr>
              <w:t>Earnings per share attributable to Company shareholders - Basic</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$0.62</w:t>
            </w:r>
          </w:p>
        </w:tc>
        <w:tc>
          <w:tcPr>
            <w:tcW w:w="22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$1.06</w:t>
            </w:r>
          </w:p>
        </w:tc>
      </w:tr>
      <w:tr>
        <w:trPr>
          <w:trHeight w:val="203"/>
        </w:trPr>
        <w:tc>
          <w:tcPr>
            <w:tcW w:w="1140" w:type="dxa"/>
            <w:vAlign w:val="bottom"/>
            <w:shd w:val="clear" w:color="auto" w:fill="BFBFBF"/>
          </w:tcPr>
          <w:p>
            <w:pPr>
              <w:spacing w:after="0"/>
              <w:rPr>
                <w:sz w:val="17"/>
                <w:szCs w:val="17"/>
                <w:color w:val="auto"/>
              </w:rPr>
            </w:pPr>
          </w:p>
        </w:tc>
        <w:tc>
          <w:tcPr>
            <w:tcW w:w="220" w:type="dxa"/>
            <w:vAlign w:val="bottom"/>
            <w:shd w:val="clear" w:color="auto" w:fill="BFBFBF"/>
          </w:tcPr>
          <w:p>
            <w:pPr>
              <w:spacing w:after="0"/>
              <w:rPr>
                <w:sz w:val="17"/>
                <w:szCs w:val="17"/>
                <w:color w:val="auto"/>
              </w:rPr>
            </w:pPr>
          </w:p>
        </w:tc>
        <w:tc>
          <w:tcPr>
            <w:tcW w:w="1140" w:type="dxa"/>
            <w:vAlign w:val="bottom"/>
            <w:shd w:val="clear" w:color="auto" w:fill="BFBFBF"/>
          </w:tcPr>
          <w:p>
            <w:pPr>
              <w:spacing w:after="0"/>
              <w:rPr>
                <w:sz w:val="17"/>
                <w:szCs w:val="17"/>
                <w:color w:val="auto"/>
              </w:rPr>
            </w:pPr>
          </w:p>
        </w:tc>
        <w:tc>
          <w:tcPr>
            <w:tcW w:w="6440" w:type="dxa"/>
            <w:vAlign w:val="bottom"/>
            <w:shd w:val="clear" w:color="auto" w:fill="BFBFBF"/>
          </w:tcPr>
          <w:p>
            <w:pPr>
              <w:spacing w:after="0"/>
              <w:rPr>
                <w:sz w:val="17"/>
                <w:szCs w:val="17"/>
                <w:color w:val="auto"/>
              </w:rPr>
            </w:pPr>
          </w:p>
        </w:tc>
        <w:tc>
          <w:tcPr>
            <w:tcW w:w="1120" w:type="dxa"/>
            <w:vAlign w:val="bottom"/>
            <w:shd w:val="clear" w:color="auto" w:fill="BFBFBF"/>
          </w:tcPr>
          <w:p>
            <w:pPr>
              <w:spacing w:after="0"/>
              <w:rPr>
                <w:sz w:val="17"/>
                <w:szCs w:val="17"/>
                <w:color w:val="auto"/>
              </w:rPr>
            </w:pPr>
          </w:p>
        </w:tc>
        <w:tc>
          <w:tcPr>
            <w:tcW w:w="220" w:type="dxa"/>
            <w:vAlign w:val="bottom"/>
            <w:shd w:val="clear" w:color="auto" w:fill="BFBFBF"/>
          </w:tcPr>
          <w:p>
            <w:pPr>
              <w:spacing w:after="0"/>
              <w:rPr>
                <w:sz w:val="17"/>
                <w:szCs w:val="17"/>
                <w:color w:val="auto"/>
              </w:rPr>
            </w:pPr>
          </w:p>
        </w:tc>
        <w:tc>
          <w:tcPr>
            <w:tcW w:w="1140" w:type="dxa"/>
            <w:vAlign w:val="bottom"/>
            <w:shd w:val="clear" w:color="auto" w:fill="BFBFBF"/>
          </w:tcPr>
          <w:p>
            <w:pPr>
              <w:spacing w:after="0"/>
              <w:rPr>
                <w:sz w:val="17"/>
                <w:szCs w:val="17"/>
                <w:color w:val="auto"/>
              </w:rPr>
            </w:pPr>
          </w:p>
        </w:tc>
      </w:tr>
      <w:tr>
        <w:trPr>
          <w:trHeight w:val="203"/>
        </w:trPr>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$0.30</w:t>
            </w:r>
          </w:p>
        </w:tc>
        <w:tc>
          <w:tcPr>
            <w:tcW w:w="22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$0.37</w:t>
            </w:r>
          </w:p>
        </w:tc>
        <w:tc>
          <w:tcPr>
            <w:tcW w:w="6440" w:type="dxa"/>
            <w:vAlign w:val="bottom"/>
          </w:tcPr>
          <w:p>
            <w:pPr>
              <w:ind w:left="200"/>
              <w:spacing w:after="0" w:line="202" w:lineRule="exact"/>
              <w:rPr>
                <w:sz w:val="20"/>
                <w:szCs w:val="20"/>
                <w:color w:val="auto"/>
              </w:rPr>
            </w:pPr>
            <w:r>
              <w:rPr>
                <w:rFonts w:ascii="Arial" w:cs="Arial" w:eastAsia="Arial" w:hAnsi="Arial"/>
                <w:sz w:val="18"/>
                <w:szCs w:val="18"/>
                <w:color w:val="auto"/>
              </w:rPr>
              <w:t>Earnings per share attributable to Company shareholders - Diluted</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$0.62</w:t>
            </w:r>
          </w:p>
        </w:tc>
        <w:tc>
          <w:tcPr>
            <w:tcW w:w="22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$1.05</w:t>
            </w:r>
          </w:p>
        </w:tc>
      </w:tr>
      <w:tr>
        <w:trPr>
          <w:trHeight w:val="203"/>
        </w:trPr>
        <w:tc>
          <w:tcPr>
            <w:tcW w:w="1140" w:type="dxa"/>
            <w:vAlign w:val="bottom"/>
            <w:shd w:val="clear" w:color="auto" w:fill="BFBFBF"/>
          </w:tcPr>
          <w:p>
            <w:pPr>
              <w:spacing w:after="0"/>
              <w:rPr>
                <w:sz w:val="17"/>
                <w:szCs w:val="17"/>
                <w:color w:val="auto"/>
              </w:rPr>
            </w:pPr>
          </w:p>
        </w:tc>
        <w:tc>
          <w:tcPr>
            <w:tcW w:w="220" w:type="dxa"/>
            <w:vAlign w:val="bottom"/>
            <w:shd w:val="clear" w:color="auto" w:fill="BFBFBF"/>
          </w:tcPr>
          <w:p>
            <w:pPr>
              <w:spacing w:after="0"/>
              <w:rPr>
                <w:sz w:val="17"/>
                <w:szCs w:val="17"/>
                <w:color w:val="auto"/>
              </w:rPr>
            </w:pPr>
          </w:p>
        </w:tc>
        <w:tc>
          <w:tcPr>
            <w:tcW w:w="1140" w:type="dxa"/>
            <w:vAlign w:val="bottom"/>
            <w:shd w:val="clear" w:color="auto" w:fill="BFBFBF"/>
          </w:tcPr>
          <w:p>
            <w:pPr>
              <w:spacing w:after="0"/>
              <w:rPr>
                <w:sz w:val="17"/>
                <w:szCs w:val="17"/>
                <w:color w:val="auto"/>
              </w:rPr>
            </w:pPr>
          </w:p>
        </w:tc>
        <w:tc>
          <w:tcPr>
            <w:tcW w:w="6440" w:type="dxa"/>
            <w:vAlign w:val="bottom"/>
            <w:shd w:val="clear" w:color="auto" w:fill="BFBFBF"/>
          </w:tcPr>
          <w:p>
            <w:pPr>
              <w:spacing w:after="0"/>
              <w:rPr>
                <w:sz w:val="17"/>
                <w:szCs w:val="17"/>
                <w:color w:val="auto"/>
              </w:rPr>
            </w:pPr>
          </w:p>
        </w:tc>
        <w:tc>
          <w:tcPr>
            <w:tcW w:w="1120" w:type="dxa"/>
            <w:vAlign w:val="bottom"/>
            <w:shd w:val="clear" w:color="auto" w:fill="BFBFBF"/>
          </w:tcPr>
          <w:p>
            <w:pPr>
              <w:spacing w:after="0"/>
              <w:rPr>
                <w:sz w:val="17"/>
                <w:szCs w:val="17"/>
                <w:color w:val="auto"/>
              </w:rPr>
            </w:pPr>
          </w:p>
        </w:tc>
        <w:tc>
          <w:tcPr>
            <w:tcW w:w="220" w:type="dxa"/>
            <w:vAlign w:val="bottom"/>
            <w:shd w:val="clear" w:color="auto" w:fill="BFBFBF"/>
          </w:tcPr>
          <w:p>
            <w:pPr>
              <w:spacing w:after="0"/>
              <w:rPr>
                <w:sz w:val="17"/>
                <w:szCs w:val="17"/>
                <w:color w:val="auto"/>
              </w:rPr>
            </w:pPr>
          </w:p>
        </w:tc>
        <w:tc>
          <w:tcPr>
            <w:tcW w:w="1140" w:type="dxa"/>
            <w:vAlign w:val="bottom"/>
            <w:shd w:val="clear" w:color="auto" w:fill="BFBFBF"/>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40" w:type="dxa"/>
            <w:vAlign w:val="bottom"/>
          </w:tcPr>
          <w:p>
            <w:pPr>
              <w:ind w:left="200"/>
              <w:spacing w:after="0" w:line="202" w:lineRule="exact"/>
              <w:rPr>
                <w:sz w:val="20"/>
                <w:szCs w:val="20"/>
                <w:color w:val="auto"/>
              </w:rPr>
            </w:pPr>
            <w:r>
              <w:rPr>
                <w:rFonts w:ascii="Arial" w:cs="Arial" w:eastAsia="Arial" w:hAnsi="Arial"/>
                <w:sz w:val="18"/>
                <w:szCs w:val="18"/>
                <w:color w:val="auto"/>
              </w:rPr>
              <w:t>Shares of the Company used in computing earnings per share:</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1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32,012</w:t>
            </w:r>
          </w:p>
        </w:tc>
        <w:tc>
          <w:tcPr>
            <w:tcW w:w="220" w:type="dxa"/>
            <w:vAlign w:val="bottom"/>
            <w:shd w:val="clear" w:color="auto" w:fill="BFBFBF"/>
          </w:tcPr>
          <w:p>
            <w:pPr>
              <w:spacing w:after="0"/>
              <w:rPr>
                <w:sz w:val="17"/>
                <w:szCs w:val="17"/>
                <w:color w:val="auto"/>
              </w:rPr>
            </w:pPr>
          </w:p>
        </w:tc>
        <w:tc>
          <w:tcPr>
            <w:tcW w:w="114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31,848</w:t>
            </w:r>
          </w:p>
        </w:tc>
        <w:tc>
          <w:tcPr>
            <w:tcW w:w="6440" w:type="dxa"/>
            <w:vAlign w:val="bottom"/>
            <w:shd w:val="clear" w:color="auto" w:fill="BFBFBF"/>
          </w:tcPr>
          <w:p>
            <w:pPr>
              <w:ind w:left="260"/>
              <w:spacing w:after="0" w:line="202" w:lineRule="exact"/>
              <w:rPr>
                <w:sz w:val="20"/>
                <w:szCs w:val="20"/>
                <w:color w:val="auto"/>
              </w:rPr>
            </w:pPr>
            <w:r>
              <w:rPr>
                <w:rFonts w:ascii="Arial" w:cs="Arial" w:eastAsia="Arial" w:hAnsi="Arial"/>
                <w:sz w:val="18"/>
                <w:szCs w:val="18"/>
                <w:color w:val="auto"/>
              </w:rPr>
              <w:t>Basic</w:t>
            </w:r>
          </w:p>
        </w:tc>
        <w:tc>
          <w:tcPr>
            <w:tcW w:w="11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31,965</w:t>
            </w:r>
          </w:p>
        </w:tc>
        <w:tc>
          <w:tcPr>
            <w:tcW w:w="220" w:type="dxa"/>
            <w:vAlign w:val="bottom"/>
            <w:shd w:val="clear" w:color="auto" w:fill="BFBFBF"/>
          </w:tcPr>
          <w:p>
            <w:pPr>
              <w:spacing w:after="0"/>
              <w:rPr>
                <w:sz w:val="17"/>
                <w:szCs w:val="17"/>
                <w:color w:val="auto"/>
              </w:rPr>
            </w:pPr>
          </w:p>
        </w:tc>
        <w:tc>
          <w:tcPr>
            <w:tcW w:w="11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31,822</w:t>
            </w:r>
          </w:p>
        </w:tc>
      </w:tr>
      <w:tr>
        <w:trPr>
          <w:trHeight w:val="203"/>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1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32,055</w:t>
            </w:r>
          </w:p>
        </w:tc>
        <w:tc>
          <w:tcPr>
            <w:tcW w:w="220" w:type="dxa"/>
            <w:vAlign w:val="bottom"/>
            <w:shd w:val="clear" w:color="auto" w:fill="BFBFBF"/>
          </w:tcPr>
          <w:p>
            <w:pPr>
              <w:spacing w:after="0"/>
              <w:rPr>
                <w:sz w:val="17"/>
                <w:szCs w:val="17"/>
                <w:color w:val="auto"/>
              </w:rPr>
            </w:pPr>
          </w:p>
        </w:tc>
        <w:tc>
          <w:tcPr>
            <w:tcW w:w="114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31,946</w:t>
            </w:r>
          </w:p>
        </w:tc>
        <w:tc>
          <w:tcPr>
            <w:tcW w:w="6440" w:type="dxa"/>
            <w:vAlign w:val="bottom"/>
            <w:shd w:val="clear" w:color="auto" w:fill="BFBFBF"/>
          </w:tcPr>
          <w:p>
            <w:pPr>
              <w:ind w:left="260"/>
              <w:spacing w:after="0" w:line="202" w:lineRule="exact"/>
              <w:rPr>
                <w:sz w:val="20"/>
                <w:szCs w:val="20"/>
                <w:color w:val="auto"/>
              </w:rPr>
            </w:pPr>
            <w:r>
              <w:rPr>
                <w:rFonts w:ascii="Arial" w:cs="Arial" w:eastAsia="Arial" w:hAnsi="Arial"/>
                <w:sz w:val="18"/>
                <w:szCs w:val="18"/>
                <w:color w:val="auto"/>
              </w:rPr>
              <w:t>Diluted</w:t>
            </w:r>
          </w:p>
        </w:tc>
        <w:tc>
          <w:tcPr>
            <w:tcW w:w="11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32,028</w:t>
            </w:r>
          </w:p>
        </w:tc>
        <w:tc>
          <w:tcPr>
            <w:tcW w:w="220" w:type="dxa"/>
            <w:vAlign w:val="bottom"/>
            <w:shd w:val="clear" w:color="auto" w:fill="BFBFBF"/>
          </w:tcPr>
          <w:p>
            <w:pPr>
              <w:spacing w:after="0"/>
              <w:rPr>
                <w:sz w:val="17"/>
                <w:szCs w:val="17"/>
                <w:color w:val="auto"/>
              </w:rPr>
            </w:pPr>
          </w:p>
        </w:tc>
        <w:tc>
          <w:tcPr>
            <w:tcW w:w="11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31,924</w:t>
            </w:r>
          </w:p>
        </w:tc>
      </w:tr>
      <w:tr>
        <w:trPr>
          <w:trHeight w:val="203"/>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1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$0.17</w:t>
            </w:r>
          </w:p>
        </w:tc>
        <w:tc>
          <w:tcPr>
            <w:tcW w:w="220" w:type="dxa"/>
            <w:vAlign w:val="bottom"/>
            <w:shd w:val="clear" w:color="auto" w:fill="BFBFBF"/>
          </w:tcPr>
          <w:p>
            <w:pPr>
              <w:spacing w:after="0"/>
              <w:rPr>
                <w:sz w:val="17"/>
                <w:szCs w:val="17"/>
                <w:color w:val="auto"/>
              </w:rPr>
            </w:pPr>
          </w:p>
        </w:tc>
        <w:tc>
          <w:tcPr>
            <w:tcW w:w="114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$0.16</w:t>
            </w:r>
          </w:p>
        </w:tc>
        <w:tc>
          <w:tcPr>
            <w:tcW w:w="6440" w:type="dxa"/>
            <w:vAlign w:val="bottom"/>
            <w:shd w:val="clear" w:color="auto" w:fill="BFBFBF"/>
          </w:tcPr>
          <w:p>
            <w:pPr>
              <w:ind w:left="200"/>
              <w:spacing w:after="0" w:line="202" w:lineRule="exact"/>
              <w:rPr>
                <w:sz w:val="20"/>
                <w:szCs w:val="20"/>
                <w:color w:val="auto"/>
              </w:rPr>
            </w:pPr>
            <w:r>
              <w:rPr>
                <w:rFonts w:ascii="Arial" w:cs="Arial" w:eastAsia="Arial" w:hAnsi="Arial"/>
                <w:sz w:val="18"/>
                <w:szCs w:val="18"/>
                <w:color w:val="auto"/>
              </w:rPr>
              <w:t>Dividends per share</w:t>
            </w:r>
          </w:p>
        </w:tc>
        <w:tc>
          <w:tcPr>
            <w:tcW w:w="11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$0.50</w:t>
            </w:r>
          </w:p>
        </w:tc>
        <w:tc>
          <w:tcPr>
            <w:tcW w:w="220" w:type="dxa"/>
            <w:vAlign w:val="bottom"/>
            <w:shd w:val="clear" w:color="auto" w:fill="BFBFBF"/>
          </w:tcPr>
          <w:p>
            <w:pPr>
              <w:spacing w:after="0"/>
              <w:rPr>
                <w:sz w:val="17"/>
                <w:szCs w:val="17"/>
                <w:color w:val="auto"/>
              </w:rPr>
            </w:pPr>
          </w:p>
        </w:tc>
        <w:tc>
          <w:tcPr>
            <w:tcW w:w="11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$0.47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STATEMENTS OF COMPREHENSIVE INCOME/(LOSS)</w:t>
      </w:r>
    </w:p>
    <w:p>
      <w:pPr>
        <w:jc w:val="center"/>
        <w:spacing w:after="0" w:line="235"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gridSpan w:val="3"/>
          </w:tcPr>
          <w:p>
            <w:pPr>
              <w:jc w:val="right"/>
              <w:ind w:right="350"/>
              <w:spacing w:after="0"/>
              <w:rPr>
                <w:sz w:val="20"/>
                <w:szCs w:val="20"/>
                <w:color w:val="auto"/>
              </w:rPr>
            </w:pPr>
            <w:r>
              <w:rPr>
                <w:rFonts w:ascii="Arial" w:cs="Arial" w:eastAsia="Arial" w:hAnsi="Arial"/>
                <w:sz w:val="18"/>
                <w:szCs w:val="18"/>
                <w:color w:val="auto"/>
              </w:rPr>
              <w:t>Three Months Ended</w:t>
            </w:r>
          </w:p>
        </w:tc>
        <w:tc>
          <w:tcPr>
            <w:tcW w:w="6440" w:type="dxa"/>
            <w:vAlign w:val="bottom"/>
          </w:tcPr>
          <w:p>
            <w:pPr>
              <w:spacing w:after="0"/>
              <w:rPr>
                <w:sz w:val="17"/>
                <w:szCs w:val="17"/>
                <w:color w:val="auto"/>
              </w:rPr>
            </w:pPr>
          </w:p>
        </w:tc>
        <w:tc>
          <w:tcPr>
            <w:tcW w:w="2480" w:type="dxa"/>
            <w:vAlign w:val="bottom"/>
            <w:gridSpan w:val="3"/>
          </w:tcPr>
          <w:p>
            <w:pPr>
              <w:jc w:val="right"/>
              <w:ind w:right="390"/>
              <w:spacing w:after="0"/>
              <w:rPr>
                <w:sz w:val="20"/>
                <w:szCs w:val="20"/>
                <w:color w:val="auto"/>
              </w:rPr>
            </w:pPr>
            <w:r>
              <w:rPr>
                <w:rFonts w:ascii="Arial" w:cs="Arial" w:eastAsia="Arial" w:hAnsi="Arial"/>
                <w:sz w:val="18"/>
                <w:szCs w:val="18"/>
                <w:color w:val="auto"/>
              </w:rPr>
              <w:t>Nine Months Ended</w:t>
            </w:r>
          </w:p>
        </w:tc>
      </w:tr>
      <w:tr>
        <w:trPr>
          <w:trHeight w:val="217"/>
        </w:trPr>
        <w:tc>
          <w:tcPr>
            <w:tcW w:w="2500" w:type="dxa"/>
            <w:vAlign w:val="bottom"/>
            <w:gridSpan w:val="3"/>
          </w:tcPr>
          <w:p>
            <w:pPr>
              <w:jc w:val="right"/>
              <w:ind w:right="570"/>
              <w:spacing w:after="0"/>
              <w:rPr>
                <w:sz w:val="20"/>
                <w:szCs w:val="20"/>
                <w:color w:val="auto"/>
              </w:rPr>
            </w:pPr>
            <w:r>
              <w:rPr>
                <w:rFonts w:ascii="Arial" w:cs="Arial" w:eastAsia="Arial" w:hAnsi="Arial"/>
                <w:sz w:val="18"/>
                <w:szCs w:val="18"/>
                <w:color w:val="auto"/>
              </w:rPr>
              <w:t>September 30,</w:t>
            </w:r>
          </w:p>
        </w:tc>
        <w:tc>
          <w:tcPr>
            <w:tcW w:w="6440" w:type="dxa"/>
            <w:vAlign w:val="bottom"/>
          </w:tcPr>
          <w:p>
            <w:pPr>
              <w:spacing w:after="0"/>
              <w:rPr>
                <w:sz w:val="18"/>
                <w:szCs w:val="18"/>
                <w:color w:val="auto"/>
              </w:rPr>
            </w:pPr>
          </w:p>
        </w:tc>
        <w:tc>
          <w:tcPr>
            <w:tcW w:w="2480" w:type="dxa"/>
            <w:vAlign w:val="bottom"/>
            <w:gridSpan w:val="3"/>
          </w:tcPr>
          <w:p>
            <w:pPr>
              <w:jc w:val="right"/>
              <w:ind w:right="570"/>
              <w:spacing w:after="0"/>
              <w:rPr>
                <w:sz w:val="20"/>
                <w:szCs w:val="20"/>
                <w:color w:val="auto"/>
              </w:rPr>
            </w:pPr>
            <w:r>
              <w:rPr>
                <w:rFonts w:ascii="Arial" w:cs="Arial" w:eastAsia="Arial" w:hAnsi="Arial"/>
                <w:sz w:val="18"/>
                <w:szCs w:val="18"/>
                <w:color w:val="auto"/>
              </w:rPr>
              <w:t>September 30,</w:t>
            </w:r>
          </w:p>
        </w:tc>
      </w:tr>
      <w:tr>
        <w:trPr>
          <w:trHeight w:val="392"/>
        </w:trPr>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6440" w:type="dxa"/>
            <w:vAlign w:val="bottom"/>
          </w:tcPr>
          <w:p>
            <w:pPr>
              <w:spacing w:after="0"/>
              <w:rPr>
                <w:sz w:val="24"/>
                <w:szCs w:val="24"/>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2014</w:t>
            </w: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1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$9,680</w:t>
            </w:r>
          </w:p>
        </w:tc>
        <w:tc>
          <w:tcPr>
            <w:tcW w:w="220" w:type="dxa"/>
            <w:vAlign w:val="bottom"/>
            <w:shd w:val="clear" w:color="auto" w:fill="BFBFBF"/>
          </w:tcPr>
          <w:p>
            <w:pPr>
              <w:spacing w:after="0"/>
              <w:rPr>
                <w:sz w:val="17"/>
                <w:szCs w:val="17"/>
                <w:color w:val="auto"/>
              </w:rPr>
            </w:pPr>
          </w:p>
        </w:tc>
        <w:tc>
          <w:tcPr>
            <w:tcW w:w="114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$11,774</w:t>
            </w:r>
          </w:p>
        </w:tc>
        <w:tc>
          <w:tcPr>
            <w:tcW w:w="6440" w:type="dxa"/>
            <w:vAlign w:val="bottom"/>
            <w:shd w:val="clear" w:color="auto" w:fill="BFBFBF"/>
          </w:tcPr>
          <w:p>
            <w:pPr>
              <w:ind w:left="200"/>
              <w:spacing w:after="0" w:line="202" w:lineRule="exact"/>
              <w:rPr>
                <w:sz w:val="20"/>
                <w:szCs w:val="20"/>
                <w:color w:val="auto"/>
              </w:rPr>
            </w:pPr>
            <w:r>
              <w:rPr>
                <w:rFonts w:ascii="Arial" w:cs="Arial" w:eastAsia="Arial" w:hAnsi="Arial"/>
                <w:sz w:val="18"/>
                <w:szCs w:val="18"/>
                <w:color w:val="auto"/>
              </w:rPr>
              <w:t>Net income</w:t>
            </w:r>
          </w:p>
        </w:tc>
        <w:tc>
          <w:tcPr>
            <w:tcW w:w="11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$19,799</w:t>
            </w:r>
          </w:p>
        </w:tc>
        <w:tc>
          <w:tcPr>
            <w:tcW w:w="220" w:type="dxa"/>
            <w:vAlign w:val="bottom"/>
            <w:shd w:val="clear" w:color="auto" w:fill="BFBFBF"/>
          </w:tcPr>
          <w:p>
            <w:pPr>
              <w:spacing w:after="0"/>
              <w:rPr>
                <w:sz w:val="17"/>
                <w:szCs w:val="17"/>
                <w:color w:val="auto"/>
              </w:rPr>
            </w:pPr>
          </w:p>
        </w:tc>
        <w:tc>
          <w:tcPr>
            <w:tcW w:w="11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$33,644</w:t>
            </w:r>
          </w:p>
        </w:tc>
      </w:tr>
      <w:tr>
        <w:trPr>
          <w:trHeight w:val="203"/>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140" w:type="dxa"/>
            <w:vAlign w:val="bottom"/>
            <w:shd w:val="clear" w:color="auto" w:fill="BFBFBF"/>
          </w:tcPr>
          <w:p>
            <w:pPr>
              <w:spacing w:after="0"/>
              <w:rPr>
                <w:sz w:val="17"/>
                <w:szCs w:val="17"/>
                <w:color w:val="auto"/>
              </w:rPr>
            </w:pPr>
          </w:p>
        </w:tc>
        <w:tc>
          <w:tcPr>
            <w:tcW w:w="220" w:type="dxa"/>
            <w:vAlign w:val="bottom"/>
            <w:shd w:val="clear" w:color="auto" w:fill="BFBFBF"/>
          </w:tcPr>
          <w:p>
            <w:pPr>
              <w:spacing w:after="0"/>
              <w:rPr>
                <w:sz w:val="17"/>
                <w:szCs w:val="17"/>
                <w:color w:val="auto"/>
              </w:rPr>
            </w:pPr>
          </w:p>
        </w:tc>
        <w:tc>
          <w:tcPr>
            <w:tcW w:w="1140" w:type="dxa"/>
            <w:vAlign w:val="bottom"/>
            <w:shd w:val="clear" w:color="auto" w:fill="BFBFBF"/>
          </w:tcPr>
          <w:p>
            <w:pPr>
              <w:spacing w:after="0"/>
              <w:rPr>
                <w:sz w:val="17"/>
                <w:szCs w:val="17"/>
                <w:color w:val="auto"/>
              </w:rPr>
            </w:pPr>
          </w:p>
        </w:tc>
        <w:tc>
          <w:tcPr>
            <w:tcW w:w="6440" w:type="dxa"/>
            <w:vAlign w:val="bottom"/>
            <w:shd w:val="clear" w:color="auto" w:fill="BFBFBF"/>
          </w:tcPr>
          <w:p>
            <w:pPr>
              <w:ind w:left="200"/>
              <w:spacing w:after="0" w:line="202" w:lineRule="exact"/>
              <w:rPr>
                <w:sz w:val="20"/>
                <w:szCs w:val="20"/>
                <w:color w:val="auto"/>
              </w:rPr>
            </w:pPr>
            <w:r>
              <w:rPr>
                <w:rFonts w:ascii="Arial" w:cs="Arial" w:eastAsia="Arial" w:hAnsi="Arial"/>
                <w:sz w:val="18"/>
                <w:szCs w:val="18"/>
                <w:color w:val="auto"/>
              </w:rPr>
              <w:t>Other comprehensive (loss)/income, before tax:</w:t>
            </w:r>
          </w:p>
        </w:tc>
        <w:tc>
          <w:tcPr>
            <w:tcW w:w="1120" w:type="dxa"/>
            <w:vAlign w:val="bottom"/>
            <w:shd w:val="clear" w:color="auto" w:fill="BFBFBF"/>
          </w:tcPr>
          <w:p>
            <w:pPr>
              <w:spacing w:after="0"/>
              <w:rPr>
                <w:sz w:val="17"/>
                <w:szCs w:val="17"/>
                <w:color w:val="auto"/>
              </w:rPr>
            </w:pPr>
          </w:p>
        </w:tc>
        <w:tc>
          <w:tcPr>
            <w:tcW w:w="220" w:type="dxa"/>
            <w:vAlign w:val="bottom"/>
            <w:shd w:val="clear" w:color="auto" w:fill="BFBFBF"/>
          </w:tcPr>
          <w:p>
            <w:pPr>
              <w:spacing w:after="0"/>
              <w:rPr>
                <w:sz w:val="17"/>
                <w:szCs w:val="17"/>
                <w:color w:val="auto"/>
              </w:rPr>
            </w:pPr>
          </w:p>
        </w:tc>
        <w:tc>
          <w:tcPr>
            <w:tcW w:w="1140" w:type="dxa"/>
            <w:vAlign w:val="bottom"/>
            <w:shd w:val="clear" w:color="auto" w:fill="BFBFBF"/>
          </w:tcPr>
          <w:p>
            <w:pPr>
              <w:spacing w:after="0"/>
              <w:rPr>
                <w:sz w:val="17"/>
                <w:szCs w:val="17"/>
                <w:color w:val="auto"/>
              </w:rPr>
            </w:pPr>
          </w:p>
        </w:tc>
      </w:tr>
      <w:tr>
        <w:trPr>
          <w:trHeight w:val="203"/>
        </w:trPr>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(17,683)</w:t>
            </w: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(27,765)</w:t>
            </w:r>
          </w:p>
        </w:tc>
        <w:tc>
          <w:tcPr>
            <w:tcW w:w="6440" w:type="dxa"/>
            <w:vAlign w:val="bottom"/>
          </w:tcPr>
          <w:p>
            <w:pPr>
              <w:ind w:left="380"/>
              <w:spacing w:after="0" w:line="202" w:lineRule="exact"/>
              <w:rPr>
                <w:sz w:val="20"/>
                <w:szCs w:val="20"/>
                <w:color w:val="auto"/>
              </w:rPr>
            </w:pPr>
            <w:r>
              <w:rPr>
                <w:rFonts w:ascii="Arial" w:cs="Arial" w:eastAsia="Arial" w:hAnsi="Arial"/>
                <w:sz w:val="18"/>
                <w:szCs w:val="18"/>
                <w:color w:val="auto"/>
              </w:rPr>
              <w:t>Foreign currency translation adjustments</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(42,581)</w:t>
            </w: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(29,705)</w:t>
            </w:r>
          </w:p>
        </w:tc>
      </w:tr>
      <w:tr>
        <w:trPr>
          <w:trHeight w:val="203"/>
        </w:trPr>
        <w:tc>
          <w:tcPr>
            <w:tcW w:w="1140" w:type="dxa"/>
            <w:vAlign w:val="bottom"/>
            <w:shd w:val="clear" w:color="auto" w:fill="BFBFBF"/>
          </w:tcPr>
          <w:p>
            <w:pPr>
              <w:spacing w:after="0"/>
              <w:rPr>
                <w:sz w:val="17"/>
                <w:szCs w:val="17"/>
                <w:color w:val="auto"/>
              </w:rPr>
            </w:pPr>
          </w:p>
        </w:tc>
        <w:tc>
          <w:tcPr>
            <w:tcW w:w="220" w:type="dxa"/>
            <w:vAlign w:val="bottom"/>
            <w:shd w:val="clear" w:color="auto" w:fill="BFBFBF"/>
          </w:tcPr>
          <w:p>
            <w:pPr>
              <w:spacing w:after="0"/>
              <w:rPr>
                <w:sz w:val="17"/>
                <w:szCs w:val="17"/>
                <w:color w:val="auto"/>
              </w:rPr>
            </w:pPr>
          </w:p>
        </w:tc>
        <w:tc>
          <w:tcPr>
            <w:tcW w:w="1140" w:type="dxa"/>
            <w:vAlign w:val="bottom"/>
            <w:shd w:val="clear" w:color="auto" w:fill="BFBFBF"/>
          </w:tcPr>
          <w:p>
            <w:pPr>
              <w:spacing w:after="0"/>
              <w:rPr>
                <w:sz w:val="17"/>
                <w:szCs w:val="17"/>
                <w:color w:val="auto"/>
              </w:rPr>
            </w:pPr>
          </w:p>
        </w:tc>
        <w:tc>
          <w:tcPr>
            <w:tcW w:w="6440" w:type="dxa"/>
            <w:vAlign w:val="bottom"/>
            <w:shd w:val="clear" w:color="auto" w:fill="BFBFBF"/>
          </w:tcPr>
          <w:p>
            <w:pPr>
              <w:ind w:left="380"/>
              <w:spacing w:after="0" w:line="202" w:lineRule="exact"/>
              <w:rPr>
                <w:sz w:val="20"/>
                <w:szCs w:val="20"/>
                <w:color w:val="auto"/>
              </w:rPr>
            </w:pPr>
            <w:r>
              <w:rPr>
                <w:rFonts w:ascii="Arial" w:cs="Arial" w:eastAsia="Arial" w:hAnsi="Arial"/>
                <w:sz w:val="18"/>
                <w:szCs w:val="18"/>
                <w:color w:val="auto"/>
              </w:rPr>
              <w:t>Amortization of pension liability adjustments:</w:t>
            </w:r>
          </w:p>
        </w:tc>
        <w:tc>
          <w:tcPr>
            <w:tcW w:w="1120" w:type="dxa"/>
            <w:vAlign w:val="bottom"/>
            <w:shd w:val="clear" w:color="auto" w:fill="BFBFBF"/>
          </w:tcPr>
          <w:p>
            <w:pPr>
              <w:spacing w:after="0"/>
              <w:rPr>
                <w:sz w:val="17"/>
                <w:szCs w:val="17"/>
                <w:color w:val="auto"/>
              </w:rPr>
            </w:pPr>
          </w:p>
        </w:tc>
        <w:tc>
          <w:tcPr>
            <w:tcW w:w="220" w:type="dxa"/>
            <w:vAlign w:val="bottom"/>
            <w:shd w:val="clear" w:color="auto" w:fill="BFBFBF"/>
          </w:tcPr>
          <w:p>
            <w:pPr>
              <w:spacing w:after="0"/>
              <w:rPr>
                <w:sz w:val="17"/>
                <w:szCs w:val="17"/>
                <w:color w:val="auto"/>
              </w:rPr>
            </w:pPr>
          </w:p>
        </w:tc>
        <w:tc>
          <w:tcPr>
            <w:tcW w:w="1140" w:type="dxa"/>
            <w:vAlign w:val="bottom"/>
            <w:shd w:val="clear" w:color="auto" w:fill="BFBFBF"/>
          </w:tcPr>
          <w:p>
            <w:pPr>
              <w:spacing w:after="0"/>
              <w:rPr>
                <w:sz w:val="17"/>
                <w:szCs w:val="17"/>
                <w:color w:val="auto"/>
              </w:rPr>
            </w:pPr>
          </w:p>
        </w:tc>
      </w:tr>
      <w:tr>
        <w:trPr>
          <w:trHeight w:val="203"/>
        </w:trPr>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(1,110)</w:t>
            </w: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(1,108)</w:t>
            </w:r>
          </w:p>
        </w:tc>
        <w:tc>
          <w:tcPr>
            <w:tcW w:w="6440" w:type="dxa"/>
            <w:vAlign w:val="bottom"/>
          </w:tcPr>
          <w:p>
            <w:pPr>
              <w:ind w:left="440"/>
              <w:spacing w:after="0" w:line="202" w:lineRule="exact"/>
              <w:rPr>
                <w:sz w:val="20"/>
                <w:szCs w:val="20"/>
                <w:color w:val="auto"/>
              </w:rPr>
            </w:pPr>
            <w:r>
              <w:rPr>
                <w:rFonts w:ascii="Arial" w:cs="Arial" w:eastAsia="Arial" w:hAnsi="Arial"/>
                <w:sz w:val="18"/>
                <w:szCs w:val="18"/>
                <w:color w:val="auto"/>
              </w:rPr>
              <w:t>Prior service credit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(3,330)</w:t>
            </w: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(3,325)</w:t>
            </w:r>
          </w:p>
        </w:tc>
      </w:tr>
      <w:tr>
        <w:trPr>
          <w:trHeight w:val="203"/>
        </w:trPr>
        <w:tc>
          <w:tcPr>
            <w:tcW w:w="11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1,462</w:t>
            </w:r>
          </w:p>
        </w:tc>
        <w:tc>
          <w:tcPr>
            <w:tcW w:w="220" w:type="dxa"/>
            <w:vAlign w:val="bottom"/>
            <w:shd w:val="clear" w:color="auto" w:fill="BFBFBF"/>
          </w:tcPr>
          <w:p>
            <w:pPr>
              <w:spacing w:after="0"/>
              <w:rPr>
                <w:sz w:val="17"/>
                <w:szCs w:val="17"/>
                <w:color w:val="auto"/>
              </w:rPr>
            </w:pPr>
          </w:p>
        </w:tc>
        <w:tc>
          <w:tcPr>
            <w:tcW w:w="114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1,343</w:t>
            </w:r>
          </w:p>
        </w:tc>
        <w:tc>
          <w:tcPr>
            <w:tcW w:w="6440" w:type="dxa"/>
            <w:vAlign w:val="bottom"/>
            <w:shd w:val="clear" w:color="auto" w:fill="BFBFBF"/>
          </w:tcPr>
          <w:p>
            <w:pPr>
              <w:ind w:left="440"/>
              <w:spacing w:after="0" w:line="202" w:lineRule="exact"/>
              <w:rPr>
                <w:sz w:val="20"/>
                <w:szCs w:val="20"/>
                <w:color w:val="auto"/>
              </w:rPr>
            </w:pPr>
            <w:r>
              <w:rPr>
                <w:rFonts w:ascii="Arial" w:cs="Arial" w:eastAsia="Arial" w:hAnsi="Arial"/>
                <w:sz w:val="18"/>
                <w:szCs w:val="18"/>
                <w:color w:val="auto"/>
              </w:rPr>
              <w:t>Net actuarial loss</w:t>
            </w:r>
          </w:p>
        </w:tc>
        <w:tc>
          <w:tcPr>
            <w:tcW w:w="11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4,428</w:t>
            </w:r>
          </w:p>
        </w:tc>
        <w:tc>
          <w:tcPr>
            <w:tcW w:w="220" w:type="dxa"/>
            <w:vAlign w:val="bottom"/>
            <w:shd w:val="clear" w:color="auto" w:fill="BFBFBF"/>
          </w:tcPr>
          <w:p>
            <w:pPr>
              <w:spacing w:after="0"/>
              <w:rPr>
                <w:sz w:val="17"/>
                <w:szCs w:val="17"/>
                <w:color w:val="auto"/>
              </w:rPr>
            </w:pPr>
          </w:p>
        </w:tc>
        <w:tc>
          <w:tcPr>
            <w:tcW w:w="11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4,026</w:t>
            </w:r>
          </w:p>
        </w:tc>
      </w:tr>
      <w:tr>
        <w:trPr>
          <w:trHeight w:val="203"/>
        </w:trPr>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587</w:t>
            </w:r>
          </w:p>
        </w:tc>
        <w:tc>
          <w:tcPr>
            <w:tcW w:w="22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480</w:t>
            </w:r>
          </w:p>
        </w:tc>
        <w:tc>
          <w:tcPr>
            <w:tcW w:w="6440" w:type="dxa"/>
            <w:vAlign w:val="bottom"/>
          </w:tcPr>
          <w:p>
            <w:pPr>
              <w:ind w:left="380"/>
              <w:spacing w:after="0" w:line="202" w:lineRule="exact"/>
              <w:rPr>
                <w:sz w:val="20"/>
                <w:szCs w:val="20"/>
                <w:color w:val="auto"/>
              </w:rPr>
            </w:pPr>
            <w:r>
              <w:rPr>
                <w:rFonts w:ascii="Arial" w:cs="Arial" w:eastAsia="Arial" w:hAnsi="Arial"/>
                <w:sz w:val="18"/>
                <w:szCs w:val="18"/>
                <w:color w:val="auto"/>
              </w:rPr>
              <w:t>Payments related to derivatives included in earnings</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1,540</w:t>
            </w:r>
          </w:p>
        </w:tc>
        <w:tc>
          <w:tcPr>
            <w:tcW w:w="22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1,431</w:t>
            </w:r>
          </w:p>
        </w:tc>
      </w:tr>
      <w:tr>
        <w:trPr>
          <w:trHeight w:val="203"/>
        </w:trPr>
        <w:tc>
          <w:tcPr>
            <w:tcW w:w="114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(2,672)</w:t>
            </w:r>
          </w:p>
        </w:tc>
        <w:tc>
          <w:tcPr>
            <w:tcW w:w="220" w:type="dxa"/>
            <w:vAlign w:val="bottom"/>
            <w:shd w:val="clear" w:color="auto" w:fill="BFBFBF"/>
          </w:tcPr>
          <w:p>
            <w:pPr>
              <w:spacing w:after="0"/>
              <w:rPr>
                <w:sz w:val="17"/>
                <w:szCs w:val="17"/>
                <w:color w:val="auto"/>
              </w:rPr>
            </w:pPr>
          </w:p>
        </w:tc>
        <w:tc>
          <w:tcPr>
            <w:tcW w:w="114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446</w:t>
            </w:r>
          </w:p>
        </w:tc>
        <w:tc>
          <w:tcPr>
            <w:tcW w:w="6440" w:type="dxa"/>
            <w:vAlign w:val="bottom"/>
            <w:shd w:val="clear" w:color="auto" w:fill="BFBFBF"/>
          </w:tcPr>
          <w:p>
            <w:pPr>
              <w:ind w:left="380"/>
              <w:spacing w:after="0" w:line="202" w:lineRule="exact"/>
              <w:rPr>
                <w:sz w:val="20"/>
                <w:szCs w:val="20"/>
                <w:color w:val="auto"/>
              </w:rPr>
            </w:pPr>
            <w:r>
              <w:rPr>
                <w:rFonts w:ascii="Arial" w:cs="Arial" w:eastAsia="Arial" w:hAnsi="Arial"/>
                <w:sz w:val="18"/>
                <w:szCs w:val="18"/>
                <w:color w:val="auto"/>
              </w:rPr>
              <w:t>Derivative valuation adjustment</w:t>
            </w:r>
          </w:p>
        </w:tc>
        <w:tc>
          <w:tcPr>
            <w:tcW w:w="11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(3,892)</w:t>
            </w:r>
          </w:p>
        </w:tc>
        <w:tc>
          <w:tcPr>
            <w:tcW w:w="220" w:type="dxa"/>
            <w:vAlign w:val="bottom"/>
            <w:shd w:val="clear" w:color="auto" w:fill="BFBFBF"/>
          </w:tcPr>
          <w:p>
            <w:pPr>
              <w:spacing w:after="0"/>
              <w:rPr>
                <w:sz w:val="17"/>
                <w:szCs w:val="17"/>
                <w:color w:val="auto"/>
              </w:rPr>
            </w:pPr>
          </w:p>
        </w:tc>
        <w:tc>
          <w:tcPr>
            <w:tcW w:w="114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(869)</w:t>
            </w:r>
          </w:p>
        </w:tc>
      </w:tr>
      <w:tr>
        <w:trPr>
          <w:trHeight w:val="203"/>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140" w:type="dxa"/>
            <w:vAlign w:val="bottom"/>
            <w:shd w:val="clear" w:color="auto" w:fill="BFBFBF"/>
          </w:tcPr>
          <w:p>
            <w:pPr>
              <w:spacing w:after="0"/>
              <w:rPr>
                <w:sz w:val="17"/>
                <w:szCs w:val="17"/>
                <w:color w:val="auto"/>
              </w:rPr>
            </w:pPr>
          </w:p>
        </w:tc>
        <w:tc>
          <w:tcPr>
            <w:tcW w:w="220" w:type="dxa"/>
            <w:vAlign w:val="bottom"/>
            <w:shd w:val="clear" w:color="auto" w:fill="BFBFBF"/>
          </w:tcPr>
          <w:p>
            <w:pPr>
              <w:spacing w:after="0"/>
              <w:rPr>
                <w:sz w:val="17"/>
                <w:szCs w:val="17"/>
                <w:color w:val="auto"/>
              </w:rPr>
            </w:pPr>
          </w:p>
        </w:tc>
        <w:tc>
          <w:tcPr>
            <w:tcW w:w="1140" w:type="dxa"/>
            <w:vAlign w:val="bottom"/>
            <w:shd w:val="clear" w:color="auto" w:fill="BFBFBF"/>
          </w:tcPr>
          <w:p>
            <w:pPr>
              <w:spacing w:after="0"/>
              <w:rPr>
                <w:sz w:val="17"/>
                <w:szCs w:val="17"/>
                <w:color w:val="auto"/>
              </w:rPr>
            </w:pPr>
          </w:p>
        </w:tc>
        <w:tc>
          <w:tcPr>
            <w:tcW w:w="6440" w:type="dxa"/>
            <w:vAlign w:val="bottom"/>
            <w:shd w:val="clear" w:color="auto" w:fill="BFBFBF"/>
          </w:tcPr>
          <w:p>
            <w:pPr>
              <w:ind w:left="200"/>
              <w:spacing w:after="0" w:line="202" w:lineRule="exact"/>
              <w:rPr>
                <w:sz w:val="20"/>
                <w:szCs w:val="20"/>
                <w:color w:val="auto"/>
              </w:rPr>
            </w:pPr>
            <w:r>
              <w:rPr>
                <w:rFonts w:ascii="Arial" w:cs="Arial" w:eastAsia="Arial" w:hAnsi="Arial"/>
                <w:sz w:val="18"/>
                <w:szCs w:val="18"/>
                <w:color w:val="auto"/>
              </w:rPr>
              <w:t>Income taxes related to items of other comprehensive income/(loss):</w:t>
            </w:r>
          </w:p>
        </w:tc>
        <w:tc>
          <w:tcPr>
            <w:tcW w:w="1120" w:type="dxa"/>
            <w:vAlign w:val="bottom"/>
            <w:shd w:val="clear" w:color="auto" w:fill="BFBFBF"/>
          </w:tcPr>
          <w:p>
            <w:pPr>
              <w:spacing w:after="0"/>
              <w:rPr>
                <w:sz w:val="17"/>
                <w:szCs w:val="17"/>
                <w:color w:val="auto"/>
              </w:rPr>
            </w:pPr>
          </w:p>
        </w:tc>
        <w:tc>
          <w:tcPr>
            <w:tcW w:w="220" w:type="dxa"/>
            <w:vAlign w:val="bottom"/>
            <w:shd w:val="clear" w:color="auto" w:fill="BFBFBF"/>
          </w:tcPr>
          <w:p>
            <w:pPr>
              <w:spacing w:after="0"/>
              <w:rPr>
                <w:sz w:val="17"/>
                <w:szCs w:val="17"/>
                <w:color w:val="auto"/>
              </w:rPr>
            </w:pPr>
          </w:p>
        </w:tc>
        <w:tc>
          <w:tcPr>
            <w:tcW w:w="1140" w:type="dxa"/>
            <w:vAlign w:val="bottom"/>
            <w:shd w:val="clear" w:color="auto" w:fill="BFBFBF"/>
          </w:tcPr>
          <w:p>
            <w:pPr>
              <w:spacing w:after="0"/>
              <w:rPr>
                <w:sz w:val="17"/>
                <w:szCs w:val="17"/>
                <w:color w:val="auto"/>
              </w:rPr>
            </w:pPr>
          </w:p>
        </w:tc>
      </w:tr>
      <w:tr>
        <w:trPr>
          <w:trHeight w:val="203"/>
        </w:trPr>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(123)</w:t>
            </w: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(94)</w:t>
            </w:r>
          </w:p>
        </w:tc>
        <w:tc>
          <w:tcPr>
            <w:tcW w:w="6440" w:type="dxa"/>
            <w:vAlign w:val="bottom"/>
          </w:tcPr>
          <w:p>
            <w:pPr>
              <w:ind w:left="380"/>
              <w:spacing w:after="0" w:line="202" w:lineRule="exact"/>
              <w:rPr>
                <w:sz w:val="20"/>
                <w:szCs w:val="20"/>
                <w:color w:val="auto"/>
              </w:rPr>
            </w:pPr>
            <w:r>
              <w:rPr>
                <w:rFonts w:ascii="Arial" w:cs="Arial" w:eastAsia="Arial" w:hAnsi="Arial"/>
                <w:sz w:val="18"/>
                <w:szCs w:val="18"/>
                <w:color w:val="auto"/>
              </w:rPr>
              <w:t>Amortization of pension liability adjustment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(384)</w:t>
            </w: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(280)</w:t>
            </w:r>
          </w:p>
        </w:tc>
      </w:tr>
      <w:tr>
        <w:trPr>
          <w:trHeight w:val="203"/>
        </w:trPr>
        <w:tc>
          <w:tcPr>
            <w:tcW w:w="114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(229)</w:t>
            </w:r>
          </w:p>
        </w:tc>
        <w:tc>
          <w:tcPr>
            <w:tcW w:w="220" w:type="dxa"/>
            <w:vAlign w:val="bottom"/>
            <w:shd w:val="clear" w:color="auto" w:fill="BFBFBF"/>
          </w:tcPr>
          <w:p>
            <w:pPr>
              <w:spacing w:after="0"/>
              <w:rPr>
                <w:sz w:val="17"/>
                <w:szCs w:val="17"/>
                <w:color w:val="auto"/>
              </w:rPr>
            </w:pPr>
          </w:p>
        </w:tc>
        <w:tc>
          <w:tcPr>
            <w:tcW w:w="114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(187)</w:t>
            </w:r>
          </w:p>
        </w:tc>
        <w:tc>
          <w:tcPr>
            <w:tcW w:w="6440" w:type="dxa"/>
            <w:vAlign w:val="bottom"/>
            <w:shd w:val="clear" w:color="auto" w:fill="BFBFBF"/>
          </w:tcPr>
          <w:p>
            <w:pPr>
              <w:ind w:left="380"/>
              <w:spacing w:after="0" w:line="202" w:lineRule="exact"/>
              <w:rPr>
                <w:sz w:val="20"/>
                <w:szCs w:val="20"/>
                <w:color w:val="auto"/>
              </w:rPr>
            </w:pPr>
            <w:r>
              <w:rPr>
                <w:rFonts w:ascii="Arial" w:cs="Arial" w:eastAsia="Arial" w:hAnsi="Arial"/>
                <w:sz w:val="18"/>
                <w:szCs w:val="18"/>
                <w:color w:val="auto"/>
              </w:rPr>
              <w:t>Payments related to derivatives included in earnings</w:t>
            </w:r>
          </w:p>
        </w:tc>
        <w:tc>
          <w:tcPr>
            <w:tcW w:w="11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(601)</w:t>
            </w:r>
          </w:p>
        </w:tc>
        <w:tc>
          <w:tcPr>
            <w:tcW w:w="220" w:type="dxa"/>
            <w:vAlign w:val="bottom"/>
            <w:shd w:val="clear" w:color="auto" w:fill="BFBFBF"/>
          </w:tcPr>
          <w:p>
            <w:pPr>
              <w:spacing w:after="0"/>
              <w:rPr>
                <w:sz w:val="17"/>
                <w:szCs w:val="17"/>
                <w:color w:val="auto"/>
              </w:rPr>
            </w:pPr>
          </w:p>
        </w:tc>
        <w:tc>
          <w:tcPr>
            <w:tcW w:w="114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(558)</w:t>
            </w:r>
          </w:p>
        </w:tc>
      </w:tr>
      <w:tr>
        <w:trPr>
          <w:trHeight w:val="216"/>
        </w:trPr>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1,042</w:t>
            </w:r>
          </w:p>
        </w:tc>
        <w:tc>
          <w:tcPr>
            <w:tcW w:w="220" w:type="dxa"/>
            <w:vAlign w:val="bottom"/>
            <w:tcBorders>
              <w:bottom w:val="single" w:sz="8" w:color="BFBFB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6440" w:type="dxa"/>
            <w:vAlign w:val="bottom"/>
            <w:tcBorders>
              <w:bottom w:val="single" w:sz="8" w:color="BFBFBF"/>
            </w:tcBorders>
          </w:tcPr>
          <w:p>
            <w:pPr>
              <w:ind w:left="380"/>
              <w:spacing w:after="0"/>
              <w:rPr>
                <w:sz w:val="20"/>
                <w:szCs w:val="20"/>
                <w:color w:val="auto"/>
              </w:rPr>
            </w:pPr>
            <w:r>
              <w:rPr>
                <w:rFonts w:ascii="Arial" w:cs="Arial" w:eastAsia="Arial" w:hAnsi="Arial"/>
                <w:sz w:val="18"/>
                <w:szCs w:val="18"/>
                <w:color w:val="auto"/>
              </w:rPr>
              <w:t>Derivative valuation adjustment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1,518</w:t>
            </w:r>
          </w:p>
        </w:tc>
        <w:tc>
          <w:tcPr>
            <w:tcW w:w="220" w:type="dxa"/>
            <w:vAlign w:val="bottom"/>
            <w:tcBorders>
              <w:bottom w:val="single" w:sz="8" w:color="BFBFBF"/>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339</w:t>
            </w:r>
          </w:p>
        </w:tc>
      </w:tr>
      <w:tr>
        <w:trPr>
          <w:trHeight w:val="196"/>
        </w:trPr>
        <w:tc>
          <w:tcPr>
            <w:tcW w:w="1140" w:type="dxa"/>
            <w:vAlign w:val="bottom"/>
            <w:shd w:val="clear" w:color="auto" w:fill="BFBFBF"/>
          </w:tcPr>
          <w:p>
            <w:pPr>
              <w:jc w:val="right"/>
              <w:spacing w:after="0" w:line="196" w:lineRule="exact"/>
              <w:rPr>
                <w:sz w:val="20"/>
                <w:szCs w:val="20"/>
                <w:color w:val="auto"/>
              </w:rPr>
            </w:pPr>
            <w:r>
              <w:rPr>
                <w:rFonts w:ascii="Arial" w:cs="Arial" w:eastAsia="Arial" w:hAnsi="Arial"/>
                <w:sz w:val="18"/>
                <w:szCs w:val="18"/>
                <w:color w:val="auto"/>
              </w:rPr>
              <w:t>(9,046)</w:t>
            </w:r>
          </w:p>
        </w:tc>
        <w:tc>
          <w:tcPr>
            <w:tcW w:w="220" w:type="dxa"/>
            <w:vAlign w:val="bottom"/>
            <w:shd w:val="clear" w:color="auto" w:fill="BFBFBF"/>
          </w:tcPr>
          <w:p>
            <w:pPr>
              <w:spacing w:after="0"/>
              <w:rPr>
                <w:sz w:val="17"/>
                <w:szCs w:val="17"/>
                <w:color w:val="auto"/>
              </w:rPr>
            </w:pPr>
          </w:p>
        </w:tc>
        <w:tc>
          <w:tcPr>
            <w:tcW w:w="1140" w:type="dxa"/>
            <w:vAlign w:val="bottom"/>
            <w:shd w:val="clear" w:color="auto" w:fill="BFBFBF"/>
          </w:tcPr>
          <w:p>
            <w:pPr>
              <w:jc w:val="right"/>
              <w:spacing w:after="0" w:line="196" w:lineRule="exact"/>
              <w:rPr>
                <w:sz w:val="20"/>
                <w:szCs w:val="20"/>
                <w:color w:val="auto"/>
              </w:rPr>
            </w:pPr>
            <w:r>
              <w:rPr>
                <w:rFonts w:ascii="Arial" w:cs="Arial" w:eastAsia="Arial" w:hAnsi="Arial"/>
                <w:sz w:val="18"/>
                <w:szCs w:val="18"/>
                <w:color w:val="auto"/>
              </w:rPr>
              <w:t>(15,285)</w:t>
            </w:r>
          </w:p>
        </w:tc>
        <w:tc>
          <w:tcPr>
            <w:tcW w:w="6440" w:type="dxa"/>
            <w:vAlign w:val="bottom"/>
            <w:shd w:val="clear" w:color="auto" w:fill="BFBFBF"/>
          </w:tcPr>
          <w:p>
            <w:pPr>
              <w:ind w:left="380"/>
              <w:spacing w:after="0" w:line="196" w:lineRule="exact"/>
              <w:rPr>
                <w:sz w:val="20"/>
                <w:szCs w:val="20"/>
                <w:color w:val="auto"/>
              </w:rPr>
            </w:pPr>
            <w:r>
              <w:rPr>
                <w:rFonts w:ascii="Arial" w:cs="Arial" w:eastAsia="Arial" w:hAnsi="Arial"/>
                <w:sz w:val="18"/>
                <w:szCs w:val="18"/>
                <w:color w:val="auto"/>
              </w:rPr>
              <w:t>Comprehensive (loss)/income</w:t>
            </w:r>
          </w:p>
        </w:tc>
        <w:tc>
          <w:tcPr>
            <w:tcW w:w="1120" w:type="dxa"/>
            <w:vAlign w:val="bottom"/>
            <w:shd w:val="clear" w:color="auto" w:fill="BFBFBF"/>
          </w:tcPr>
          <w:p>
            <w:pPr>
              <w:jc w:val="right"/>
              <w:spacing w:after="0" w:line="196" w:lineRule="exact"/>
              <w:rPr>
                <w:sz w:val="20"/>
                <w:szCs w:val="20"/>
                <w:color w:val="auto"/>
              </w:rPr>
            </w:pPr>
            <w:r>
              <w:rPr>
                <w:rFonts w:ascii="Arial" w:cs="Arial" w:eastAsia="Arial" w:hAnsi="Arial"/>
                <w:sz w:val="18"/>
                <w:szCs w:val="18"/>
                <w:color w:val="auto"/>
              </w:rPr>
              <w:t>(23,503)</w:t>
            </w:r>
          </w:p>
        </w:tc>
        <w:tc>
          <w:tcPr>
            <w:tcW w:w="220" w:type="dxa"/>
            <w:vAlign w:val="bottom"/>
            <w:shd w:val="clear" w:color="auto" w:fill="BFBFBF"/>
          </w:tcPr>
          <w:p>
            <w:pPr>
              <w:spacing w:after="0"/>
              <w:rPr>
                <w:sz w:val="17"/>
                <w:szCs w:val="17"/>
                <w:color w:val="auto"/>
              </w:rPr>
            </w:pPr>
          </w:p>
        </w:tc>
        <w:tc>
          <w:tcPr>
            <w:tcW w:w="1140" w:type="dxa"/>
            <w:vAlign w:val="bottom"/>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4,703</w:t>
            </w:r>
          </w:p>
        </w:tc>
      </w:tr>
      <w:tr>
        <w:trPr>
          <w:trHeight w:val="216"/>
        </w:trPr>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BFBFB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6440" w:type="dxa"/>
            <w:vAlign w:val="bottom"/>
            <w:tcBorders>
              <w:bottom w:val="single" w:sz="8" w:color="BFBFBF"/>
            </w:tcBorders>
          </w:tcPr>
          <w:p>
            <w:pPr>
              <w:ind w:left="200"/>
              <w:spacing w:after="0"/>
              <w:rPr>
                <w:sz w:val="20"/>
                <w:szCs w:val="20"/>
                <w:color w:val="auto"/>
              </w:rPr>
            </w:pPr>
            <w:r>
              <w:rPr>
                <w:rFonts w:ascii="Arial" w:cs="Arial" w:eastAsia="Arial" w:hAnsi="Arial"/>
                <w:sz w:val="18"/>
                <w:szCs w:val="18"/>
                <w:color w:val="auto"/>
              </w:rPr>
              <w:t>Comprehensive income/(loss) attributable to the noncontrolling interest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w:t>
            </w:r>
          </w:p>
        </w:tc>
        <w:tc>
          <w:tcPr>
            <w:tcW w:w="220" w:type="dxa"/>
            <w:vAlign w:val="bottom"/>
            <w:tcBorders>
              <w:bottom w:val="single" w:sz="8" w:color="BFBFBF"/>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210"/>
        </w:trPr>
        <w:tc>
          <w:tcPr>
            <w:tcW w:w="114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($9,068)</w:t>
            </w:r>
          </w:p>
        </w:tc>
        <w:tc>
          <w:tcPr>
            <w:tcW w:w="220" w:type="dxa"/>
            <w:vAlign w:val="bottom"/>
            <w:tcBorders>
              <w:bottom w:val="single" w:sz="8" w:color="BFBFBF"/>
            </w:tcBorders>
            <w:shd w:val="clear" w:color="auto" w:fill="BFBFBF"/>
          </w:tcPr>
          <w:p>
            <w:pPr>
              <w:spacing w:after="0"/>
              <w:rPr>
                <w:sz w:val="18"/>
                <w:szCs w:val="18"/>
                <w:color w:val="auto"/>
              </w:rPr>
            </w:pPr>
          </w:p>
        </w:tc>
        <w:tc>
          <w:tcPr>
            <w:tcW w:w="114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($15,254)</w:t>
            </w:r>
          </w:p>
        </w:tc>
        <w:tc>
          <w:tcPr>
            <w:tcW w:w="6440" w:type="dxa"/>
            <w:vAlign w:val="bottom"/>
            <w:tcBorders>
              <w:bottom w:val="single" w:sz="8" w:color="BFBFBF"/>
            </w:tcBorders>
            <w:shd w:val="clear" w:color="auto" w:fill="BFBFBF"/>
          </w:tcPr>
          <w:p>
            <w:pPr>
              <w:ind w:left="200"/>
              <w:spacing w:after="0" w:line="197" w:lineRule="exact"/>
              <w:rPr>
                <w:sz w:val="20"/>
                <w:szCs w:val="20"/>
                <w:color w:val="auto"/>
              </w:rPr>
            </w:pPr>
            <w:r>
              <w:rPr>
                <w:rFonts w:ascii="Arial" w:cs="Arial" w:eastAsia="Arial" w:hAnsi="Arial"/>
                <w:sz w:val="18"/>
                <w:szCs w:val="18"/>
                <w:color w:val="auto"/>
              </w:rPr>
              <w:t>Comprehensive income/(loss) attributable to the Company</w:t>
            </w:r>
          </w:p>
        </w:tc>
        <w:tc>
          <w:tcPr>
            <w:tcW w:w="112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($23,604)</w:t>
            </w:r>
          </w:p>
        </w:tc>
        <w:tc>
          <w:tcPr>
            <w:tcW w:w="220" w:type="dxa"/>
            <w:vAlign w:val="bottom"/>
            <w:tcBorders>
              <w:bottom w:val="single" w:sz="8" w:color="BFBFBF"/>
            </w:tcBorders>
            <w:shd w:val="clear" w:color="auto" w:fill="BFBFBF"/>
          </w:tcPr>
          <w:p>
            <w:pPr>
              <w:spacing w:after="0"/>
              <w:rPr>
                <w:sz w:val="18"/>
                <w:szCs w:val="18"/>
                <w:color w:val="auto"/>
              </w:rPr>
            </w:pPr>
          </w:p>
        </w:tc>
        <w:tc>
          <w:tcPr>
            <w:tcW w:w="114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$4,702</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BALANCE SHEETS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20" w:type="dxa"/>
            <w:vAlign w:val="bottom"/>
            <w:gridSpan w:val="2"/>
          </w:tcPr>
          <w:p>
            <w:pPr>
              <w:ind w:left="220"/>
              <w:spacing w:after="0"/>
              <w:rPr>
                <w:sz w:val="20"/>
                <w:szCs w:val="20"/>
                <w:color w:val="auto"/>
              </w:rPr>
            </w:pPr>
            <w:r>
              <w:rPr>
                <w:rFonts w:ascii="Arial" w:cs="Arial" w:eastAsia="Arial" w:hAnsi="Arial"/>
                <w:sz w:val="18"/>
                <w:szCs w:val="18"/>
                <w:color w:val="auto"/>
              </w:rPr>
              <w:t>September 30,</w:t>
            </w: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3"/>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2540" w:type="dxa"/>
            <w:vAlign w:val="bottom"/>
            <w:gridSpan w:val="2"/>
          </w:tcPr>
          <w:p>
            <w:pPr>
              <w:jc w:val="right"/>
              <w:ind w:right="510"/>
              <w:spacing w:after="0" w:line="203" w:lineRule="exact"/>
              <w:rPr>
                <w:sz w:val="20"/>
                <w:szCs w:val="20"/>
                <w:color w:val="auto"/>
              </w:rPr>
            </w:pPr>
            <w:r>
              <w:rPr>
                <w:rFonts w:ascii="Arial" w:cs="Arial" w:eastAsia="Arial" w:hAnsi="Arial"/>
                <w:sz w:val="18"/>
                <w:szCs w:val="18"/>
                <w:color w:val="auto"/>
              </w:rPr>
              <w:t>2015</w:t>
            </w:r>
          </w:p>
        </w:tc>
        <w:tc>
          <w:tcPr>
            <w:tcW w:w="900" w:type="dxa"/>
            <w:vAlign w:val="bottom"/>
          </w:tcPr>
          <w:p>
            <w:pPr>
              <w:spacing w:after="0"/>
              <w:rPr>
                <w:sz w:val="17"/>
                <w:szCs w:val="17"/>
                <w:color w:val="auto"/>
              </w:rPr>
            </w:pPr>
          </w:p>
        </w:tc>
        <w:tc>
          <w:tcPr>
            <w:tcW w:w="1580" w:type="dxa"/>
            <w:vAlign w:val="bottom"/>
          </w:tcPr>
          <w:p>
            <w:pPr>
              <w:jc w:val="right"/>
              <w:ind w:right="490"/>
              <w:spacing w:after="0" w:line="203" w:lineRule="exact"/>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196"/>
        </w:trPr>
        <w:tc>
          <w:tcPr>
            <w:tcW w:w="6400" w:type="dxa"/>
            <w:vAlign w:val="bottom"/>
            <w:gridSpan w:val="2"/>
            <w:vMerge w:val="continue"/>
          </w:tcPr>
          <w:p>
            <w:pPr>
              <w:spacing w:after="0"/>
              <w:rPr>
                <w:sz w:val="17"/>
                <w:szCs w:val="17"/>
                <w:color w:val="auto"/>
              </w:rPr>
            </w:pPr>
          </w:p>
        </w:tc>
        <w:tc>
          <w:tcPr>
            <w:tcW w:w="92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0C0C0"/>
          </w:tcPr>
          <w:p>
            <w:pPr>
              <w:ind w:left="40"/>
              <w:spacing w:after="0" w:line="202" w:lineRule="exact"/>
              <w:rPr>
                <w:sz w:val="20"/>
                <w:szCs w:val="20"/>
                <w:color w:val="auto"/>
              </w:rPr>
            </w:pPr>
            <w:r>
              <w:rPr>
                <w:rFonts w:ascii="Arial" w:cs="Arial" w:eastAsia="Arial" w:hAnsi="Arial"/>
                <w:sz w:val="18"/>
                <w:szCs w:val="18"/>
                <w:color w:val="auto"/>
              </w:rPr>
              <w:t>Cash and cash equivalents</w:t>
            </w:r>
          </w:p>
        </w:tc>
        <w:tc>
          <w:tcPr>
            <w:tcW w:w="2540" w:type="dxa"/>
            <w:vAlign w:val="bottom"/>
            <w:gridSpan w:val="2"/>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$171,780</w:t>
            </w:r>
          </w:p>
        </w:tc>
        <w:tc>
          <w:tcPr>
            <w:tcW w:w="900" w:type="dxa"/>
            <w:vAlign w:val="bottom"/>
            <w:shd w:val="clear" w:color="auto" w:fill="C0C0C0"/>
          </w:tcPr>
          <w:p>
            <w:pPr>
              <w:spacing w:after="0"/>
              <w:rPr>
                <w:sz w:val="17"/>
                <w:szCs w:val="17"/>
                <w:color w:val="auto"/>
              </w:rPr>
            </w:pPr>
          </w:p>
        </w:tc>
        <w:tc>
          <w:tcPr>
            <w:tcW w:w="158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$179,802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20"/>
              <w:spacing w:after="0" w:line="202" w:lineRule="exact"/>
              <w:rPr>
                <w:sz w:val="20"/>
                <w:szCs w:val="20"/>
                <w:color w:val="auto"/>
              </w:rPr>
            </w:pPr>
            <w:r>
              <w:rPr>
                <w:rFonts w:ascii="Arial" w:cs="Arial" w:eastAsia="Arial" w:hAnsi="Arial"/>
                <w:sz w:val="18"/>
                <w:szCs w:val="18"/>
                <w:color w:val="auto"/>
              </w:rPr>
              <w:t>Accounts receivable, net</w:t>
            </w:r>
          </w:p>
        </w:tc>
        <w:tc>
          <w:tcPr>
            <w:tcW w:w="2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151,908</w:t>
            </w:r>
          </w:p>
        </w:tc>
        <w:tc>
          <w:tcPr>
            <w:tcW w:w="90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158,237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0C0C0"/>
          </w:tcPr>
          <w:p>
            <w:pPr>
              <w:ind w:left="40"/>
              <w:spacing w:after="0" w:line="202" w:lineRule="exact"/>
              <w:rPr>
                <w:sz w:val="20"/>
                <w:szCs w:val="20"/>
                <w:color w:val="auto"/>
              </w:rPr>
            </w:pPr>
            <w:r>
              <w:rPr>
                <w:rFonts w:ascii="Arial" w:cs="Arial" w:eastAsia="Arial" w:hAnsi="Arial"/>
                <w:sz w:val="18"/>
                <w:szCs w:val="18"/>
                <w:color w:val="auto"/>
              </w:rPr>
              <w:t>Inventories</w:t>
            </w:r>
          </w:p>
        </w:tc>
        <w:tc>
          <w:tcPr>
            <w:tcW w:w="2540" w:type="dxa"/>
            <w:vAlign w:val="bottom"/>
            <w:gridSpan w:val="2"/>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110,265</w:t>
            </w:r>
          </w:p>
        </w:tc>
        <w:tc>
          <w:tcPr>
            <w:tcW w:w="900" w:type="dxa"/>
            <w:vAlign w:val="bottom"/>
            <w:shd w:val="clear" w:color="auto" w:fill="C0C0C0"/>
          </w:tcPr>
          <w:p>
            <w:pPr>
              <w:spacing w:after="0"/>
              <w:rPr>
                <w:sz w:val="17"/>
                <w:szCs w:val="17"/>
                <w:color w:val="auto"/>
              </w:rPr>
            </w:pPr>
          </w:p>
        </w:tc>
        <w:tc>
          <w:tcPr>
            <w:tcW w:w="158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107,274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40"/>
              <w:spacing w:after="0" w:line="202" w:lineRule="exact"/>
              <w:rPr>
                <w:sz w:val="20"/>
                <w:szCs w:val="20"/>
                <w:color w:val="auto"/>
              </w:rPr>
            </w:pPr>
            <w:r>
              <w:rPr>
                <w:rFonts w:ascii="Arial" w:cs="Arial" w:eastAsia="Arial" w:hAnsi="Arial"/>
                <w:sz w:val="18"/>
                <w:szCs w:val="18"/>
                <w:color w:val="auto"/>
              </w:rPr>
              <w:t>Deferred income taxes</w:t>
            </w:r>
          </w:p>
        </w:tc>
        <w:tc>
          <w:tcPr>
            <w:tcW w:w="2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6,979</w:t>
            </w:r>
          </w:p>
        </w:tc>
        <w:tc>
          <w:tcPr>
            <w:tcW w:w="90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6,743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ind w:left="20"/>
              <w:spacing w:after="0" w:line="202" w:lineRule="exact"/>
              <w:rPr>
                <w:sz w:val="20"/>
                <w:szCs w:val="20"/>
                <w:color w:val="auto"/>
              </w:rPr>
            </w:pPr>
            <w:r>
              <w:rPr>
                <w:rFonts w:ascii="Arial" w:cs="Arial" w:eastAsia="Arial" w:hAnsi="Arial"/>
                <w:sz w:val="18"/>
                <w:szCs w:val="18"/>
                <w:color w:val="auto"/>
              </w:rPr>
              <w:t>Asset held for sale</w:t>
            </w:r>
          </w:p>
        </w:tc>
        <w:tc>
          <w:tcPr>
            <w:tcW w:w="2540" w:type="dxa"/>
            <w:vAlign w:val="bottom"/>
            <w:gridSpan w:val="2"/>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5,112</w:t>
            </w: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9,102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540" w:type="dxa"/>
            <w:vAlign w:val="bottom"/>
            <w:gridSpan w:val="2"/>
          </w:tcPr>
          <w:p>
            <w:pPr>
              <w:jc w:val="right"/>
              <w:ind w:right="30"/>
              <w:spacing w:after="0"/>
              <w:rPr>
                <w:sz w:val="20"/>
                <w:szCs w:val="20"/>
                <w:color w:val="auto"/>
              </w:rPr>
            </w:pPr>
            <w:r>
              <w:rPr>
                <w:rFonts w:ascii="Arial" w:cs="Arial" w:eastAsia="Arial" w:hAnsi="Arial"/>
                <w:sz w:val="18"/>
                <w:szCs w:val="18"/>
                <w:color w:val="auto"/>
              </w:rPr>
              <w:t>8,410</w:t>
            </w:r>
          </w:p>
        </w:tc>
        <w:tc>
          <w:tcPr>
            <w:tcW w:w="90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8,074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Borders>
              <w:top w:val="single" w:sz="8" w:color="BFBFBF"/>
            </w:tcBorders>
            <w:shd w:val="clear" w:color="auto" w:fill="BFBFBF"/>
          </w:tcPr>
          <w:p>
            <w:pPr>
              <w:ind w:left="300"/>
              <w:spacing w:after="0" w:line="196" w:lineRule="exact"/>
              <w:rPr>
                <w:sz w:val="20"/>
                <w:szCs w:val="20"/>
                <w:color w:val="auto"/>
              </w:rPr>
            </w:pPr>
            <w:r>
              <w:rPr>
                <w:rFonts w:ascii="Arial" w:cs="Arial" w:eastAsia="Arial" w:hAnsi="Arial"/>
                <w:sz w:val="18"/>
                <w:szCs w:val="18"/>
                <w:color w:val="auto"/>
              </w:rPr>
              <w:t>Total current assets</w:t>
            </w:r>
          </w:p>
        </w:tc>
        <w:tc>
          <w:tcPr>
            <w:tcW w:w="920" w:type="dxa"/>
            <w:vAlign w:val="bottom"/>
            <w:tcBorders>
              <w:top w:val="single" w:sz="8" w:color="BFBFBF"/>
            </w:tcBorders>
            <w:shd w:val="clear" w:color="auto" w:fill="BFBFBF"/>
          </w:tcPr>
          <w:p>
            <w:pPr>
              <w:spacing w:after="0"/>
              <w:rPr>
                <w:sz w:val="17"/>
                <w:szCs w:val="17"/>
                <w:color w:val="auto"/>
              </w:rPr>
            </w:pPr>
          </w:p>
        </w:tc>
        <w:tc>
          <w:tcPr>
            <w:tcW w:w="1620" w:type="dxa"/>
            <w:vAlign w:val="bottom"/>
            <w:tcBorders>
              <w:top w:val="single" w:sz="8" w:color="auto"/>
            </w:tcBorders>
            <w:shd w:val="clear" w:color="auto" w:fill="BFBFBF"/>
          </w:tcPr>
          <w:p>
            <w:pPr>
              <w:jc w:val="right"/>
              <w:ind w:right="30"/>
              <w:spacing w:after="0" w:line="196" w:lineRule="exact"/>
              <w:rPr>
                <w:sz w:val="20"/>
                <w:szCs w:val="20"/>
                <w:color w:val="auto"/>
              </w:rPr>
            </w:pPr>
            <w:r>
              <w:rPr>
                <w:rFonts w:ascii="Arial" w:cs="Arial" w:eastAsia="Arial" w:hAnsi="Arial"/>
                <w:sz w:val="18"/>
                <w:szCs w:val="18"/>
                <w:color w:val="auto"/>
              </w:rPr>
              <w:t>454,454</w:t>
            </w:r>
          </w:p>
        </w:tc>
        <w:tc>
          <w:tcPr>
            <w:tcW w:w="900" w:type="dxa"/>
            <w:vAlign w:val="bottom"/>
            <w:tcBorders>
              <w:top w:val="single" w:sz="8" w:color="BFBFBF"/>
            </w:tcBorders>
            <w:shd w:val="clear" w:color="auto" w:fill="BFBFBF"/>
          </w:tcPr>
          <w:p>
            <w:pPr>
              <w:spacing w:after="0"/>
              <w:rPr>
                <w:sz w:val="17"/>
                <w:szCs w:val="17"/>
                <w:color w:val="auto"/>
              </w:rPr>
            </w:pPr>
          </w:p>
        </w:tc>
        <w:tc>
          <w:tcPr>
            <w:tcW w:w="1580" w:type="dxa"/>
            <w:vAlign w:val="bottom"/>
            <w:tcBorders>
              <w:top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469,232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0C0C0"/>
          </w:tcPr>
          <w:p>
            <w:pPr>
              <w:ind w:left="40"/>
              <w:spacing w:after="0" w:line="202" w:lineRule="exact"/>
              <w:rPr>
                <w:sz w:val="20"/>
                <w:szCs w:val="20"/>
                <w:color w:val="auto"/>
              </w:rPr>
            </w:pPr>
            <w:r>
              <w:rPr>
                <w:rFonts w:ascii="Arial" w:cs="Arial" w:eastAsia="Arial" w:hAnsi="Arial"/>
                <w:sz w:val="18"/>
                <w:szCs w:val="18"/>
                <w:color w:val="auto"/>
              </w:rPr>
              <w:t>Property, plant and equipment, net</w:t>
            </w:r>
          </w:p>
        </w:tc>
        <w:tc>
          <w:tcPr>
            <w:tcW w:w="2540" w:type="dxa"/>
            <w:vAlign w:val="bottom"/>
            <w:gridSpan w:val="2"/>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365,742</w:t>
            </w:r>
          </w:p>
        </w:tc>
        <w:tc>
          <w:tcPr>
            <w:tcW w:w="900" w:type="dxa"/>
            <w:vAlign w:val="bottom"/>
            <w:shd w:val="clear" w:color="auto" w:fill="C0C0C0"/>
          </w:tcPr>
          <w:p>
            <w:pPr>
              <w:spacing w:after="0"/>
              <w:rPr>
                <w:sz w:val="17"/>
                <w:szCs w:val="17"/>
                <w:color w:val="auto"/>
              </w:rPr>
            </w:pPr>
          </w:p>
        </w:tc>
        <w:tc>
          <w:tcPr>
            <w:tcW w:w="158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386,011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40"/>
              <w:spacing w:after="0" w:line="202" w:lineRule="exact"/>
              <w:rPr>
                <w:sz w:val="20"/>
                <w:szCs w:val="20"/>
                <w:color w:val="auto"/>
              </w:rPr>
            </w:pPr>
            <w:r>
              <w:rPr>
                <w:rFonts w:ascii="Arial" w:cs="Arial" w:eastAsia="Arial" w:hAnsi="Arial"/>
                <w:sz w:val="18"/>
                <w:szCs w:val="18"/>
                <w:color w:val="auto"/>
              </w:rPr>
              <w:t>Intangibles</w:t>
            </w:r>
          </w:p>
        </w:tc>
        <w:tc>
          <w:tcPr>
            <w:tcW w:w="2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212</w:t>
            </w:r>
          </w:p>
        </w:tc>
        <w:tc>
          <w:tcPr>
            <w:tcW w:w="90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0C0C0"/>
          </w:tcPr>
          <w:p>
            <w:pPr>
              <w:ind w:left="40"/>
              <w:spacing w:after="0" w:line="202" w:lineRule="exact"/>
              <w:rPr>
                <w:sz w:val="20"/>
                <w:szCs w:val="20"/>
                <w:color w:val="auto"/>
              </w:rPr>
            </w:pPr>
            <w:r>
              <w:rPr>
                <w:rFonts w:ascii="Arial" w:cs="Arial" w:eastAsia="Arial" w:hAnsi="Arial"/>
                <w:sz w:val="18"/>
                <w:szCs w:val="18"/>
                <w:color w:val="auto"/>
              </w:rPr>
              <w:t>Goodwill</w:t>
            </w:r>
          </w:p>
        </w:tc>
        <w:tc>
          <w:tcPr>
            <w:tcW w:w="2540" w:type="dxa"/>
            <w:vAlign w:val="bottom"/>
            <w:gridSpan w:val="2"/>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67,590</w:t>
            </w:r>
          </w:p>
        </w:tc>
        <w:tc>
          <w:tcPr>
            <w:tcW w:w="900" w:type="dxa"/>
            <w:vAlign w:val="bottom"/>
            <w:shd w:val="clear" w:color="auto" w:fill="C0C0C0"/>
          </w:tcPr>
          <w:p>
            <w:pPr>
              <w:spacing w:after="0"/>
              <w:rPr>
                <w:sz w:val="17"/>
                <w:szCs w:val="17"/>
                <w:color w:val="auto"/>
              </w:rPr>
            </w:pPr>
          </w:p>
        </w:tc>
        <w:tc>
          <w:tcPr>
            <w:tcW w:w="158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71,680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40"/>
              <w:spacing w:after="0" w:line="202" w:lineRule="exact"/>
              <w:rPr>
                <w:sz w:val="20"/>
                <w:szCs w:val="20"/>
                <w:color w:val="auto"/>
              </w:rPr>
            </w:pPr>
            <w:r>
              <w:rPr>
                <w:rFonts w:ascii="Arial" w:cs="Arial" w:eastAsia="Arial" w:hAnsi="Arial"/>
                <w:sz w:val="18"/>
                <w:szCs w:val="18"/>
                <w:color w:val="auto"/>
              </w:rPr>
              <w:t>Income taxes receivable and deferred</w:t>
            </w:r>
          </w:p>
        </w:tc>
        <w:tc>
          <w:tcPr>
            <w:tcW w:w="2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61,732</w:t>
            </w:r>
          </w:p>
        </w:tc>
        <w:tc>
          <w:tcPr>
            <w:tcW w:w="90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69,540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BFBFBF"/>
          </w:tcPr>
          <w:p>
            <w:pPr>
              <w:ind w:left="40"/>
              <w:spacing w:after="0"/>
              <w:rPr>
                <w:sz w:val="20"/>
                <w:szCs w:val="20"/>
                <w:color w:val="auto"/>
              </w:rPr>
            </w:pPr>
            <w:r>
              <w:rPr>
                <w:rFonts w:ascii="Arial" w:cs="Arial" w:eastAsia="Arial" w:hAnsi="Arial"/>
                <w:sz w:val="18"/>
                <w:szCs w:val="18"/>
                <w:color w:val="auto"/>
              </w:rPr>
              <w:t>Other assets</w:t>
            </w:r>
          </w:p>
        </w:tc>
        <w:tc>
          <w:tcPr>
            <w:tcW w:w="920" w:type="dxa"/>
            <w:vAlign w:val="bottom"/>
            <w:shd w:val="clear" w:color="auto" w:fill="C0C0C0"/>
          </w:tcPr>
          <w:p>
            <w:pPr>
              <w:spacing w:after="0"/>
              <w:rPr>
                <w:sz w:val="18"/>
                <w:szCs w:val="18"/>
                <w:color w:val="auto"/>
              </w:rPr>
            </w:pPr>
          </w:p>
        </w:tc>
        <w:tc>
          <w:tcPr>
            <w:tcW w:w="1620" w:type="dxa"/>
            <w:vAlign w:val="bottom"/>
            <w:tcBorders>
              <w:bottom w:val="single" w:sz="8" w:color="auto"/>
            </w:tcBorders>
            <w:shd w:val="clear" w:color="auto" w:fill="C0C0C0"/>
          </w:tcPr>
          <w:p>
            <w:pPr>
              <w:jc w:val="right"/>
              <w:ind w:right="30"/>
              <w:spacing w:after="0"/>
              <w:rPr>
                <w:sz w:val="20"/>
                <w:szCs w:val="20"/>
                <w:color w:val="auto"/>
              </w:rPr>
            </w:pPr>
            <w:r>
              <w:rPr>
                <w:rFonts w:ascii="Arial" w:cs="Arial" w:eastAsia="Arial" w:hAnsi="Arial"/>
                <w:sz w:val="18"/>
                <w:szCs w:val="18"/>
                <w:color w:val="auto"/>
              </w:rPr>
              <w:t>25,704</w:t>
            </w:r>
          </w:p>
        </w:tc>
        <w:tc>
          <w:tcPr>
            <w:tcW w:w="900" w:type="dxa"/>
            <w:vAlign w:val="bottom"/>
            <w:shd w:val="clear" w:color="auto" w:fill="C0C0C0"/>
          </w:tcPr>
          <w:p>
            <w:pPr>
              <w:spacing w:after="0"/>
              <w:rPr>
                <w:sz w:val="18"/>
                <w:szCs w:val="18"/>
                <w:color w:val="auto"/>
              </w:rPr>
            </w:pPr>
          </w:p>
        </w:tc>
        <w:tc>
          <w:tcPr>
            <w:tcW w:w="1580" w:type="dxa"/>
            <w:vAlign w:val="bottom"/>
            <w:tcBorders>
              <w:bottom w:val="single" w:sz="8" w:color="auto"/>
            </w:tcBorders>
            <w:shd w:val="clear" w:color="auto" w:fill="C0C0C0"/>
          </w:tcPr>
          <w:p>
            <w:pPr>
              <w:jc w:val="right"/>
              <w:ind w:right="10"/>
              <w:spacing w:after="0"/>
              <w:rPr>
                <w:sz w:val="20"/>
                <w:szCs w:val="20"/>
                <w:color w:val="auto"/>
              </w:rPr>
            </w:pPr>
            <w:r>
              <w:rPr>
                <w:rFonts w:ascii="Arial" w:cs="Arial" w:eastAsia="Arial" w:hAnsi="Arial"/>
                <w:sz w:val="18"/>
                <w:szCs w:val="18"/>
                <w:color w:val="auto"/>
              </w:rPr>
              <w:t>32,456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Pr>
          <w:p>
            <w:pPr>
              <w:ind w:left="160"/>
              <w:spacing w:after="0" w:line="197" w:lineRule="exact"/>
              <w:rPr>
                <w:sz w:val="20"/>
                <w:szCs w:val="20"/>
                <w:color w:val="auto"/>
              </w:rPr>
            </w:pPr>
            <w:r>
              <w:rPr>
                <w:rFonts w:ascii="Arial" w:cs="Arial" w:eastAsia="Arial" w:hAnsi="Arial"/>
                <w:sz w:val="18"/>
                <w:szCs w:val="18"/>
                <w:color w:val="auto"/>
              </w:rPr>
              <w:t>Total assets</w:t>
            </w:r>
          </w:p>
        </w:tc>
        <w:tc>
          <w:tcPr>
            <w:tcW w:w="2540" w:type="dxa"/>
            <w:vAlign w:val="bottom"/>
            <w:gridSpan w:val="2"/>
          </w:tcPr>
          <w:p>
            <w:pPr>
              <w:jc w:val="right"/>
              <w:ind w:right="30"/>
              <w:spacing w:after="0"/>
              <w:rPr>
                <w:sz w:val="20"/>
                <w:szCs w:val="20"/>
                <w:color w:val="auto"/>
              </w:rPr>
            </w:pPr>
            <w:r>
              <w:rPr>
                <w:rFonts w:ascii="Arial" w:cs="Arial" w:eastAsia="Arial" w:hAnsi="Arial"/>
                <w:sz w:val="18"/>
                <w:szCs w:val="18"/>
                <w:color w:val="auto"/>
              </w:rPr>
              <w:t>$975,434</w:t>
            </w:r>
          </w:p>
        </w:tc>
        <w:tc>
          <w:tcPr>
            <w:tcW w:w="9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$1,029,304</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380" w:type="dxa"/>
            <w:vAlign w:val="bottom"/>
            <w:tcBorders>
              <w:top w:val="single" w:sz="8" w:color="BFBFBF"/>
            </w:tcBorders>
            <w:shd w:val="clear" w:color="auto" w:fill="BFBFBF"/>
          </w:tcPr>
          <w:p>
            <w:pPr>
              <w:spacing w:after="0"/>
              <w:rPr>
                <w:sz w:val="15"/>
                <w:szCs w:val="15"/>
                <w:color w:val="auto"/>
              </w:rPr>
            </w:pPr>
          </w:p>
        </w:tc>
        <w:tc>
          <w:tcPr>
            <w:tcW w:w="920" w:type="dxa"/>
            <w:vAlign w:val="bottom"/>
            <w:tcBorders>
              <w:top w:val="single" w:sz="8" w:color="BFBFBF"/>
            </w:tcBorders>
            <w:shd w:val="clear" w:color="auto" w:fill="BFBFBF"/>
          </w:tcPr>
          <w:p>
            <w:pPr>
              <w:spacing w:after="0"/>
              <w:rPr>
                <w:sz w:val="15"/>
                <w:szCs w:val="15"/>
                <w:color w:val="auto"/>
              </w:rPr>
            </w:pPr>
          </w:p>
        </w:tc>
        <w:tc>
          <w:tcPr>
            <w:tcW w:w="1620" w:type="dxa"/>
            <w:vAlign w:val="bottom"/>
            <w:tcBorders>
              <w:top w:val="single" w:sz="8" w:color="auto"/>
            </w:tcBorders>
            <w:shd w:val="clear" w:color="auto" w:fill="BFBFBF"/>
          </w:tcPr>
          <w:p>
            <w:pPr>
              <w:spacing w:after="0"/>
              <w:rPr>
                <w:sz w:val="15"/>
                <w:szCs w:val="15"/>
                <w:color w:val="auto"/>
              </w:rPr>
            </w:pPr>
          </w:p>
        </w:tc>
        <w:tc>
          <w:tcPr>
            <w:tcW w:w="900" w:type="dxa"/>
            <w:vAlign w:val="bottom"/>
            <w:tcBorders>
              <w:top w:val="single" w:sz="8" w:color="BFBFBF"/>
            </w:tcBorders>
            <w:shd w:val="clear" w:color="auto" w:fill="BFBFBF"/>
          </w:tcPr>
          <w:p>
            <w:pPr>
              <w:spacing w:after="0"/>
              <w:rPr>
                <w:sz w:val="15"/>
                <w:szCs w:val="15"/>
                <w:color w:val="auto"/>
              </w:rPr>
            </w:pPr>
          </w:p>
        </w:tc>
        <w:tc>
          <w:tcPr>
            <w:tcW w:w="1580" w:type="dxa"/>
            <w:vAlign w:val="bottom"/>
            <w:tcBorders>
              <w:top w:val="single" w:sz="8" w:color="auto"/>
            </w:tcBorders>
            <w:shd w:val="clear" w:color="auto" w:fill="BFBFB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LIABILITIES AND SHAREHOLDERS' EQUITY</w:t>
            </w:r>
          </w:p>
        </w:tc>
        <w:tc>
          <w:tcPr>
            <w:tcW w:w="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ind w:left="40"/>
              <w:spacing w:after="0" w:line="202" w:lineRule="exact"/>
              <w:rPr>
                <w:sz w:val="20"/>
                <w:szCs w:val="20"/>
                <w:color w:val="auto"/>
              </w:rPr>
            </w:pPr>
            <w:r>
              <w:rPr>
                <w:rFonts w:ascii="Arial" w:cs="Arial" w:eastAsia="Arial" w:hAnsi="Arial"/>
                <w:sz w:val="18"/>
                <w:szCs w:val="18"/>
                <w:color w:val="auto"/>
              </w:rPr>
              <w:t>Notes and loans payable</w:t>
            </w:r>
          </w:p>
        </w:tc>
        <w:tc>
          <w:tcPr>
            <w:tcW w:w="2540" w:type="dxa"/>
            <w:vAlign w:val="bottom"/>
            <w:gridSpan w:val="2"/>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$390</w:t>
            </w: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2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28,668</w:t>
            </w:r>
          </w:p>
        </w:tc>
        <w:tc>
          <w:tcPr>
            <w:tcW w:w="90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34,787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ind w:left="20"/>
              <w:spacing w:after="0" w:line="202" w:lineRule="exact"/>
              <w:rPr>
                <w:sz w:val="20"/>
                <w:szCs w:val="20"/>
                <w:color w:val="auto"/>
              </w:rPr>
            </w:pPr>
            <w:r>
              <w:rPr>
                <w:rFonts w:ascii="Arial" w:cs="Arial" w:eastAsia="Arial" w:hAnsi="Arial"/>
                <w:sz w:val="18"/>
                <w:szCs w:val="18"/>
                <w:color w:val="auto"/>
              </w:rPr>
              <w:t>Accrued liabilities</w:t>
            </w:r>
          </w:p>
        </w:tc>
        <w:tc>
          <w:tcPr>
            <w:tcW w:w="2540" w:type="dxa"/>
            <w:vAlign w:val="bottom"/>
            <w:gridSpan w:val="2"/>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91,026</w:t>
            </w:r>
          </w:p>
        </w:tc>
        <w:tc>
          <w:tcPr>
            <w:tcW w:w="900" w:type="dxa"/>
            <w:vAlign w:val="bottom"/>
            <w:shd w:val="clear" w:color="auto" w:fill="C0C0C0"/>
          </w:tcPr>
          <w:p>
            <w:pPr>
              <w:spacing w:after="0"/>
              <w:rPr>
                <w:sz w:val="17"/>
                <w:szCs w:val="17"/>
                <w:color w:val="auto"/>
              </w:rPr>
            </w:pPr>
          </w:p>
        </w:tc>
        <w:tc>
          <w:tcPr>
            <w:tcW w:w="15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95,149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40"/>
              <w:spacing w:after="0" w:line="202" w:lineRule="exact"/>
              <w:rPr>
                <w:sz w:val="20"/>
                <w:szCs w:val="20"/>
                <w:color w:val="auto"/>
              </w:rPr>
            </w:pPr>
            <w:r>
              <w:rPr>
                <w:rFonts w:ascii="Arial" w:cs="Arial" w:eastAsia="Arial" w:hAnsi="Arial"/>
                <w:sz w:val="18"/>
                <w:szCs w:val="18"/>
                <w:color w:val="auto"/>
              </w:rPr>
              <w:t>Current maturities of long-term debt</w:t>
            </w:r>
          </w:p>
        </w:tc>
        <w:tc>
          <w:tcPr>
            <w:tcW w:w="2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50,016</w:t>
            </w:r>
          </w:p>
        </w:tc>
        <w:tc>
          <w:tcPr>
            <w:tcW w:w="90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BFBFBF"/>
          </w:tcPr>
          <w:p>
            <w:pPr>
              <w:ind w:left="40"/>
              <w:spacing w:after="0"/>
              <w:rPr>
                <w:sz w:val="20"/>
                <w:szCs w:val="20"/>
                <w:color w:val="auto"/>
              </w:rPr>
            </w:pPr>
            <w:r>
              <w:rPr>
                <w:rFonts w:ascii="Arial" w:cs="Arial" w:eastAsia="Arial" w:hAnsi="Arial"/>
                <w:sz w:val="18"/>
                <w:szCs w:val="18"/>
                <w:color w:val="auto"/>
              </w:rPr>
              <w:t>Income taxes payable and deferred</w:t>
            </w:r>
          </w:p>
        </w:tc>
        <w:tc>
          <w:tcPr>
            <w:tcW w:w="2540" w:type="dxa"/>
            <w:vAlign w:val="bottom"/>
            <w:gridSpan w:val="2"/>
            <w:shd w:val="clear" w:color="auto" w:fill="C0C0C0"/>
          </w:tcPr>
          <w:p>
            <w:pPr>
              <w:jc w:val="right"/>
              <w:ind w:right="30"/>
              <w:spacing w:after="0"/>
              <w:rPr>
                <w:sz w:val="20"/>
                <w:szCs w:val="20"/>
                <w:color w:val="auto"/>
              </w:rPr>
            </w:pPr>
            <w:r>
              <w:rPr>
                <w:rFonts w:ascii="Arial" w:cs="Arial" w:eastAsia="Arial" w:hAnsi="Arial"/>
                <w:sz w:val="18"/>
                <w:szCs w:val="18"/>
                <w:color w:val="auto"/>
              </w:rPr>
              <w:t>4,099</w:t>
            </w:r>
          </w:p>
        </w:tc>
        <w:tc>
          <w:tcPr>
            <w:tcW w:w="900" w:type="dxa"/>
            <w:vAlign w:val="bottom"/>
            <w:shd w:val="clear" w:color="auto" w:fill="C0C0C0"/>
          </w:tcPr>
          <w:p>
            <w:pPr>
              <w:spacing w:after="0"/>
              <w:rPr>
                <w:sz w:val="18"/>
                <w:szCs w:val="18"/>
                <w:color w:val="auto"/>
              </w:rPr>
            </w:pPr>
          </w:p>
        </w:tc>
        <w:tc>
          <w:tcPr>
            <w:tcW w:w="158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2,786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Pr>
          <w:p>
            <w:pPr>
              <w:ind w:left="160"/>
              <w:spacing w:after="0" w:line="196" w:lineRule="exact"/>
              <w:rPr>
                <w:sz w:val="20"/>
                <w:szCs w:val="20"/>
                <w:color w:val="auto"/>
              </w:rPr>
            </w:pPr>
            <w:r>
              <w:rPr>
                <w:rFonts w:ascii="Arial" w:cs="Arial" w:eastAsia="Arial" w:hAnsi="Arial"/>
                <w:sz w:val="18"/>
                <w:szCs w:val="18"/>
                <w:color w:val="auto"/>
              </w:rPr>
              <w:t>Total current liabilities</w:t>
            </w:r>
          </w:p>
        </w:tc>
        <w:tc>
          <w:tcPr>
            <w:tcW w:w="920" w:type="dxa"/>
            <w:vAlign w:val="bottom"/>
          </w:tcPr>
          <w:p>
            <w:pPr>
              <w:spacing w:after="0"/>
              <w:rPr>
                <w:sz w:val="17"/>
                <w:szCs w:val="17"/>
                <w:color w:val="auto"/>
              </w:rPr>
            </w:pPr>
          </w:p>
        </w:tc>
        <w:tc>
          <w:tcPr>
            <w:tcW w:w="162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174,199</w:t>
            </w:r>
          </w:p>
        </w:tc>
        <w:tc>
          <w:tcPr>
            <w:tcW w:w="900" w:type="dxa"/>
            <w:vAlign w:val="bottom"/>
          </w:tcPr>
          <w:p>
            <w:pPr>
              <w:spacing w:after="0"/>
              <w:rPr>
                <w:sz w:val="17"/>
                <w:szCs w:val="17"/>
                <w:color w:val="auto"/>
              </w:rPr>
            </w:pPr>
          </w:p>
        </w:tc>
        <w:tc>
          <w:tcPr>
            <w:tcW w:w="158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183,398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spacing w:after="0"/>
              <w:rPr>
                <w:sz w:val="17"/>
                <w:szCs w:val="17"/>
                <w:color w:val="auto"/>
              </w:rPr>
            </w:pPr>
          </w:p>
        </w:tc>
        <w:tc>
          <w:tcPr>
            <w:tcW w:w="920" w:type="dxa"/>
            <w:vAlign w:val="bottom"/>
            <w:shd w:val="clear" w:color="auto" w:fill="BFBFBF"/>
          </w:tcPr>
          <w:p>
            <w:pPr>
              <w:spacing w:after="0"/>
              <w:rPr>
                <w:sz w:val="17"/>
                <w:szCs w:val="17"/>
                <w:color w:val="auto"/>
              </w:rPr>
            </w:pPr>
          </w:p>
        </w:tc>
        <w:tc>
          <w:tcPr>
            <w:tcW w:w="16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40"/>
              <w:spacing w:after="0" w:line="202" w:lineRule="exact"/>
              <w:rPr>
                <w:sz w:val="20"/>
                <w:szCs w:val="20"/>
                <w:color w:val="auto"/>
              </w:rPr>
            </w:pPr>
            <w:r>
              <w:rPr>
                <w:rFonts w:ascii="Arial" w:cs="Arial" w:eastAsia="Arial" w:hAnsi="Arial"/>
                <w:sz w:val="18"/>
                <w:szCs w:val="18"/>
                <w:color w:val="auto"/>
              </w:rPr>
              <w:t>Long-term debt</w:t>
            </w:r>
          </w:p>
        </w:tc>
        <w:tc>
          <w:tcPr>
            <w:tcW w:w="2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220,084</w:t>
            </w:r>
          </w:p>
        </w:tc>
        <w:tc>
          <w:tcPr>
            <w:tcW w:w="90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222,096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ind w:left="40"/>
              <w:spacing w:after="0" w:line="202" w:lineRule="exact"/>
              <w:rPr>
                <w:sz w:val="20"/>
                <w:szCs w:val="20"/>
                <w:color w:val="auto"/>
              </w:rPr>
            </w:pPr>
            <w:r>
              <w:rPr>
                <w:rFonts w:ascii="Arial" w:cs="Arial" w:eastAsia="Arial" w:hAnsi="Arial"/>
                <w:sz w:val="18"/>
                <w:szCs w:val="18"/>
                <w:color w:val="auto"/>
              </w:rPr>
              <w:t>Other noncurrent liabilities</w:t>
            </w:r>
          </w:p>
        </w:tc>
        <w:tc>
          <w:tcPr>
            <w:tcW w:w="2540" w:type="dxa"/>
            <w:vAlign w:val="bottom"/>
            <w:gridSpan w:val="2"/>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99,845</w:t>
            </w: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103,079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0"/>
              <w:spacing w:after="0"/>
              <w:rPr>
                <w:sz w:val="20"/>
                <w:szCs w:val="20"/>
                <w:color w:val="auto"/>
              </w:rPr>
            </w:pPr>
            <w:r>
              <w:rPr>
                <w:rFonts w:ascii="Arial" w:cs="Arial" w:eastAsia="Arial" w:hAnsi="Arial"/>
                <w:sz w:val="18"/>
                <w:szCs w:val="18"/>
                <w:color w:val="auto"/>
              </w:rPr>
              <w:t>Deferred taxes and other credits</w:t>
            </w:r>
          </w:p>
        </w:tc>
        <w:tc>
          <w:tcPr>
            <w:tcW w:w="2540" w:type="dxa"/>
            <w:vAlign w:val="bottom"/>
            <w:gridSpan w:val="2"/>
          </w:tcPr>
          <w:p>
            <w:pPr>
              <w:jc w:val="right"/>
              <w:ind w:right="30"/>
              <w:spacing w:after="0"/>
              <w:rPr>
                <w:sz w:val="20"/>
                <w:szCs w:val="20"/>
                <w:color w:val="auto"/>
              </w:rPr>
            </w:pPr>
            <w:r>
              <w:rPr>
                <w:rFonts w:ascii="Arial" w:cs="Arial" w:eastAsia="Arial" w:hAnsi="Arial"/>
                <w:sz w:val="18"/>
                <w:szCs w:val="18"/>
                <w:color w:val="auto"/>
              </w:rPr>
              <w:t>3,546</w:t>
            </w:r>
          </w:p>
        </w:tc>
        <w:tc>
          <w:tcPr>
            <w:tcW w:w="90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7,163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Borders>
              <w:top w:val="single" w:sz="8" w:color="BFBFBF"/>
            </w:tcBorders>
            <w:shd w:val="clear" w:color="auto" w:fill="BFBFBF"/>
          </w:tcPr>
          <w:p>
            <w:pPr>
              <w:ind w:left="160"/>
              <w:spacing w:after="0" w:line="196" w:lineRule="exact"/>
              <w:rPr>
                <w:sz w:val="20"/>
                <w:szCs w:val="20"/>
                <w:color w:val="auto"/>
              </w:rPr>
            </w:pPr>
            <w:r>
              <w:rPr>
                <w:rFonts w:ascii="Arial" w:cs="Arial" w:eastAsia="Arial" w:hAnsi="Arial"/>
                <w:sz w:val="18"/>
                <w:szCs w:val="18"/>
                <w:color w:val="auto"/>
              </w:rPr>
              <w:t>Total liabilities</w:t>
            </w:r>
          </w:p>
        </w:tc>
        <w:tc>
          <w:tcPr>
            <w:tcW w:w="920" w:type="dxa"/>
            <w:vAlign w:val="bottom"/>
            <w:tcBorders>
              <w:top w:val="single" w:sz="8" w:color="BFBFBF"/>
            </w:tcBorders>
            <w:shd w:val="clear" w:color="auto" w:fill="BFBFBF"/>
          </w:tcPr>
          <w:p>
            <w:pPr>
              <w:spacing w:after="0"/>
              <w:rPr>
                <w:sz w:val="17"/>
                <w:szCs w:val="17"/>
                <w:color w:val="auto"/>
              </w:rPr>
            </w:pPr>
          </w:p>
        </w:tc>
        <w:tc>
          <w:tcPr>
            <w:tcW w:w="1620" w:type="dxa"/>
            <w:vAlign w:val="bottom"/>
            <w:tcBorders>
              <w:top w:val="single" w:sz="8" w:color="auto"/>
              <w:bottom w:val="single" w:sz="8" w:color="auto"/>
            </w:tcBorders>
            <w:shd w:val="clear" w:color="auto" w:fill="BFBFBF"/>
          </w:tcPr>
          <w:p>
            <w:pPr>
              <w:jc w:val="right"/>
              <w:ind w:right="30"/>
              <w:spacing w:after="0" w:line="196" w:lineRule="exact"/>
              <w:rPr>
                <w:sz w:val="20"/>
                <w:szCs w:val="20"/>
                <w:color w:val="auto"/>
              </w:rPr>
            </w:pPr>
            <w:r>
              <w:rPr>
                <w:rFonts w:ascii="Arial" w:cs="Arial" w:eastAsia="Arial" w:hAnsi="Arial"/>
                <w:sz w:val="18"/>
                <w:szCs w:val="18"/>
                <w:color w:val="auto"/>
              </w:rPr>
              <w:t>497,674</w:t>
            </w:r>
          </w:p>
        </w:tc>
        <w:tc>
          <w:tcPr>
            <w:tcW w:w="900" w:type="dxa"/>
            <w:vAlign w:val="bottom"/>
            <w:tcBorders>
              <w:top w:val="single" w:sz="8" w:color="BFBFBF"/>
            </w:tcBorders>
            <w:shd w:val="clear" w:color="auto" w:fill="BFBFBF"/>
          </w:tcPr>
          <w:p>
            <w:pPr>
              <w:spacing w:after="0"/>
              <w:rPr>
                <w:sz w:val="17"/>
                <w:szCs w:val="17"/>
                <w:color w:val="auto"/>
              </w:rPr>
            </w:pPr>
          </w:p>
        </w:tc>
        <w:tc>
          <w:tcPr>
            <w:tcW w:w="1580" w:type="dxa"/>
            <w:vAlign w:val="bottom"/>
            <w:tcBorders>
              <w:top w:val="single" w:sz="8" w:color="auto"/>
              <w:bottom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515,736</w:t>
            </w:r>
          </w:p>
        </w:tc>
        <w:tc>
          <w:tcPr>
            <w:tcW w:w="0" w:type="dxa"/>
            <w:vAlign w:val="bottom"/>
          </w:tcPr>
          <w:p>
            <w:pPr>
              <w:spacing w:after="0"/>
              <w:rPr>
                <w:sz w:val="1"/>
                <w:szCs w:val="1"/>
                <w:color w:val="auto"/>
              </w:rPr>
            </w:pPr>
          </w:p>
        </w:tc>
      </w:tr>
      <w:tr>
        <w:trPr>
          <w:trHeight w:val="399"/>
        </w:trPr>
        <w:tc>
          <w:tcPr>
            <w:tcW w:w="64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9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BFBFBF"/>
          </w:tcPr>
          <w:p>
            <w:pPr>
              <w:ind w:left="40"/>
              <w:spacing w:after="0" w:line="201" w:lineRule="exact"/>
              <w:rPr>
                <w:sz w:val="20"/>
                <w:szCs w:val="20"/>
                <w:color w:val="auto"/>
              </w:rPr>
            </w:pPr>
            <w:r>
              <w:rPr>
                <w:rFonts w:ascii="Arial" w:cs="Arial" w:eastAsia="Arial" w:hAnsi="Arial"/>
                <w:sz w:val="18"/>
                <w:szCs w:val="18"/>
                <w:color w:val="auto"/>
              </w:rPr>
              <w:t>Preferred stock, par value $5.00 per share;</w:t>
            </w:r>
          </w:p>
        </w:tc>
        <w:tc>
          <w:tcPr>
            <w:tcW w:w="920" w:type="dxa"/>
            <w:vAlign w:val="bottom"/>
            <w:shd w:val="clear" w:color="auto" w:fill="BFBFBF"/>
          </w:tcPr>
          <w:p>
            <w:pPr>
              <w:spacing w:after="0"/>
              <w:rPr>
                <w:sz w:val="17"/>
                <w:szCs w:val="17"/>
                <w:color w:val="auto"/>
              </w:rPr>
            </w:pPr>
          </w:p>
        </w:tc>
        <w:tc>
          <w:tcPr>
            <w:tcW w:w="16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ind w:left="160"/>
              <w:spacing w:after="0" w:line="203" w:lineRule="exact"/>
              <w:rPr>
                <w:sz w:val="20"/>
                <w:szCs w:val="20"/>
                <w:color w:val="auto"/>
              </w:rPr>
            </w:pPr>
            <w:r>
              <w:rPr>
                <w:rFonts w:ascii="Arial" w:cs="Arial" w:eastAsia="Arial" w:hAnsi="Arial"/>
                <w:sz w:val="18"/>
                <w:szCs w:val="18"/>
                <w:color w:val="auto"/>
              </w:rPr>
              <w:t>authorized 2,000,000 shares; none issued</w:t>
            </w:r>
          </w:p>
        </w:tc>
        <w:tc>
          <w:tcPr>
            <w:tcW w:w="2540" w:type="dxa"/>
            <w:vAlign w:val="bottom"/>
            <w:gridSpan w:val="2"/>
            <w:shd w:val="clear" w:color="auto" w:fill="BFBFBF"/>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40"/>
              <w:spacing w:after="0" w:line="201" w:lineRule="exact"/>
              <w:rPr>
                <w:sz w:val="20"/>
                <w:szCs w:val="20"/>
                <w:color w:val="auto"/>
              </w:rPr>
            </w:pPr>
            <w:r>
              <w:rPr>
                <w:rFonts w:ascii="Arial" w:cs="Arial" w:eastAsia="Arial" w:hAnsi="Arial"/>
                <w:sz w:val="18"/>
                <w:szCs w:val="18"/>
                <w:color w:val="auto"/>
              </w:rPr>
              <w:t>Class A Common Stock, par value $.001 per share;</w:t>
            </w:r>
          </w:p>
        </w:tc>
        <w:tc>
          <w:tcPr>
            <w:tcW w:w="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160"/>
              <w:spacing w:after="0" w:line="202" w:lineRule="exact"/>
              <w:rPr>
                <w:sz w:val="20"/>
                <w:szCs w:val="20"/>
                <w:color w:val="auto"/>
              </w:rPr>
            </w:pPr>
            <w:r>
              <w:rPr>
                <w:rFonts w:ascii="Arial" w:cs="Arial" w:eastAsia="Arial" w:hAnsi="Arial"/>
                <w:sz w:val="18"/>
                <w:szCs w:val="18"/>
                <w:color w:val="auto"/>
              </w:rPr>
              <w:t>authorized 100,000,000 shares; issued 37,234,213</w:t>
            </w:r>
          </w:p>
        </w:tc>
        <w:tc>
          <w:tcPr>
            <w:tcW w:w="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160"/>
              <w:spacing w:after="0" w:line="203" w:lineRule="exact"/>
              <w:rPr>
                <w:sz w:val="20"/>
                <w:szCs w:val="20"/>
                <w:color w:val="auto"/>
              </w:rPr>
            </w:pPr>
            <w:r>
              <w:rPr>
                <w:rFonts w:ascii="Arial" w:cs="Arial" w:eastAsia="Arial" w:hAnsi="Arial"/>
                <w:sz w:val="18"/>
                <w:szCs w:val="18"/>
                <w:color w:val="auto"/>
              </w:rPr>
              <w:t>in 2015 and 37,085,489 in 2014</w:t>
            </w:r>
          </w:p>
        </w:tc>
        <w:tc>
          <w:tcPr>
            <w:tcW w:w="254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37</w:t>
            </w:r>
          </w:p>
        </w:tc>
        <w:tc>
          <w:tcPr>
            <w:tcW w:w="900" w:type="dxa"/>
            <w:vAlign w:val="bottom"/>
          </w:tcPr>
          <w:p>
            <w:pPr>
              <w:spacing w:after="0"/>
              <w:rPr>
                <w:sz w:val="17"/>
                <w:szCs w:val="17"/>
                <w:color w:val="auto"/>
              </w:rPr>
            </w:pPr>
          </w:p>
        </w:tc>
        <w:tc>
          <w:tcPr>
            <w:tcW w:w="1580" w:type="dxa"/>
            <w:vAlign w:val="bottom"/>
          </w:tcPr>
          <w:p>
            <w:pPr>
              <w:jc w:val="right"/>
              <w:ind w:right="10"/>
              <w:spacing w:after="0" w:line="203"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BFBFBF"/>
          </w:tcPr>
          <w:p>
            <w:pPr>
              <w:ind w:left="40"/>
              <w:spacing w:after="0" w:line="201" w:lineRule="exact"/>
              <w:rPr>
                <w:sz w:val="20"/>
                <w:szCs w:val="20"/>
                <w:color w:val="auto"/>
              </w:rPr>
            </w:pPr>
            <w:r>
              <w:rPr>
                <w:rFonts w:ascii="Arial" w:cs="Arial" w:eastAsia="Arial" w:hAnsi="Arial"/>
                <w:sz w:val="18"/>
                <w:szCs w:val="18"/>
                <w:color w:val="auto"/>
              </w:rPr>
              <w:t>Class B Common Stock, par value $.001 per share;</w:t>
            </w:r>
          </w:p>
        </w:tc>
        <w:tc>
          <w:tcPr>
            <w:tcW w:w="920" w:type="dxa"/>
            <w:vAlign w:val="bottom"/>
            <w:shd w:val="clear" w:color="auto" w:fill="BFBFBF"/>
          </w:tcPr>
          <w:p>
            <w:pPr>
              <w:spacing w:after="0"/>
              <w:rPr>
                <w:sz w:val="17"/>
                <w:szCs w:val="17"/>
                <w:color w:val="auto"/>
              </w:rPr>
            </w:pPr>
          </w:p>
        </w:tc>
        <w:tc>
          <w:tcPr>
            <w:tcW w:w="16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authorized 25,000,000 shares; issued and</w:t>
            </w:r>
          </w:p>
        </w:tc>
        <w:tc>
          <w:tcPr>
            <w:tcW w:w="920" w:type="dxa"/>
            <w:vAlign w:val="bottom"/>
            <w:shd w:val="clear" w:color="auto" w:fill="BFBFBF"/>
          </w:tcPr>
          <w:p>
            <w:pPr>
              <w:spacing w:after="0"/>
              <w:rPr>
                <w:sz w:val="17"/>
                <w:szCs w:val="17"/>
                <w:color w:val="auto"/>
              </w:rPr>
            </w:pPr>
          </w:p>
        </w:tc>
        <w:tc>
          <w:tcPr>
            <w:tcW w:w="16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ind w:left="160"/>
              <w:spacing w:after="0" w:line="203" w:lineRule="exact"/>
              <w:rPr>
                <w:sz w:val="20"/>
                <w:szCs w:val="20"/>
                <w:color w:val="auto"/>
              </w:rPr>
            </w:pPr>
            <w:r>
              <w:rPr>
                <w:rFonts w:ascii="Arial" w:cs="Arial" w:eastAsia="Arial" w:hAnsi="Arial"/>
                <w:sz w:val="18"/>
                <w:szCs w:val="18"/>
                <w:color w:val="auto"/>
              </w:rPr>
              <w:t>outstanding 3,235,048 in 2015 and 2014</w:t>
            </w:r>
          </w:p>
        </w:tc>
        <w:tc>
          <w:tcPr>
            <w:tcW w:w="920" w:type="dxa"/>
            <w:vAlign w:val="bottom"/>
            <w:shd w:val="clear" w:color="auto" w:fill="BFBFBF"/>
          </w:tcPr>
          <w:p>
            <w:pPr>
              <w:spacing w:after="0"/>
              <w:rPr>
                <w:sz w:val="17"/>
                <w:szCs w:val="17"/>
                <w:color w:val="auto"/>
              </w:rPr>
            </w:pPr>
          </w:p>
        </w:tc>
        <w:tc>
          <w:tcPr>
            <w:tcW w:w="1620" w:type="dxa"/>
            <w:vAlign w:val="bottom"/>
            <w:shd w:val="clear" w:color="auto" w:fill="BFBFBF"/>
          </w:tcPr>
          <w:p>
            <w:pPr>
              <w:jc w:val="right"/>
              <w:ind w:right="30"/>
              <w:spacing w:after="0" w:line="203" w:lineRule="exact"/>
              <w:rPr>
                <w:sz w:val="20"/>
                <w:szCs w:val="20"/>
                <w:color w:val="auto"/>
              </w:rPr>
            </w:pPr>
            <w:r>
              <w:rPr>
                <w:rFonts w:ascii="Arial" w:cs="Arial" w:eastAsia="Arial" w:hAnsi="Arial"/>
                <w:sz w:val="18"/>
                <w:szCs w:val="18"/>
                <w:color w:val="auto"/>
              </w:rPr>
              <w:t>3</w:t>
            </w: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jc w:val="right"/>
              <w:ind w:right="10"/>
              <w:spacing w:after="0" w:line="203"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20"/>
              <w:spacing w:after="0" w:line="202" w:lineRule="exact"/>
              <w:rPr>
                <w:sz w:val="20"/>
                <w:szCs w:val="20"/>
                <w:color w:val="auto"/>
              </w:rPr>
            </w:pPr>
            <w:r>
              <w:rPr>
                <w:rFonts w:ascii="Arial" w:cs="Arial" w:eastAsia="Arial" w:hAnsi="Arial"/>
                <w:sz w:val="18"/>
                <w:szCs w:val="18"/>
                <w:color w:val="auto"/>
              </w:rPr>
              <w:t>Additional paid in capital</w:t>
            </w:r>
          </w:p>
        </w:tc>
        <w:tc>
          <w:tcPr>
            <w:tcW w:w="920" w:type="dxa"/>
            <w:vAlign w:val="bottom"/>
          </w:tcPr>
          <w:p>
            <w:pPr>
              <w:spacing w:after="0"/>
              <w:rPr>
                <w:sz w:val="17"/>
                <w:szCs w:val="17"/>
                <w:color w:val="auto"/>
              </w:rPr>
            </w:pPr>
          </w:p>
        </w:tc>
        <w:tc>
          <w:tcPr>
            <w:tcW w:w="1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422,567</w:t>
            </w:r>
          </w:p>
        </w:tc>
        <w:tc>
          <w:tcPr>
            <w:tcW w:w="90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418,972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ind w:left="40"/>
              <w:spacing w:after="0" w:line="202" w:lineRule="exact"/>
              <w:rPr>
                <w:sz w:val="20"/>
                <w:szCs w:val="20"/>
                <w:color w:val="auto"/>
              </w:rPr>
            </w:pPr>
            <w:r>
              <w:rPr>
                <w:rFonts w:ascii="Arial" w:cs="Arial" w:eastAsia="Arial" w:hAnsi="Arial"/>
                <w:sz w:val="18"/>
                <w:szCs w:val="18"/>
                <w:color w:val="auto"/>
              </w:rPr>
              <w:t>Retained earnings</w:t>
            </w:r>
          </w:p>
        </w:tc>
        <w:tc>
          <w:tcPr>
            <w:tcW w:w="2540" w:type="dxa"/>
            <w:vAlign w:val="bottom"/>
            <w:gridSpan w:val="2"/>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459,813</w:t>
            </w: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456,105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20"/>
              <w:spacing w:after="0" w:line="202" w:lineRule="exact"/>
              <w:rPr>
                <w:sz w:val="20"/>
                <w:szCs w:val="20"/>
                <w:color w:val="auto"/>
              </w:rPr>
            </w:pPr>
            <w:r>
              <w:rPr>
                <w:rFonts w:ascii="Arial" w:cs="Arial" w:eastAsia="Arial" w:hAnsi="Arial"/>
                <w:sz w:val="18"/>
                <w:szCs w:val="18"/>
                <w:color w:val="auto"/>
              </w:rPr>
              <w:t>Accumulated items of other comprehensive income:</w:t>
            </w:r>
          </w:p>
        </w:tc>
        <w:tc>
          <w:tcPr>
            <w:tcW w:w="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Translation adjustments</w:t>
            </w:r>
          </w:p>
        </w:tc>
        <w:tc>
          <w:tcPr>
            <w:tcW w:w="25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(99,556)</w:t>
            </w: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(55,240)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160"/>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2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(49,217)</w:t>
            </w:r>
          </w:p>
        </w:tc>
        <w:tc>
          <w:tcPr>
            <w:tcW w:w="9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(51,666)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Derivative valuation adjustment</w:t>
            </w:r>
          </w:p>
        </w:tc>
        <w:tc>
          <w:tcPr>
            <w:tcW w:w="25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(2,296)</w:t>
            </w: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40"/>
              <w:spacing w:after="0" w:line="202" w:lineRule="exact"/>
              <w:rPr>
                <w:sz w:val="20"/>
                <w:szCs w:val="20"/>
                <w:color w:val="auto"/>
              </w:rPr>
            </w:pPr>
            <w:r>
              <w:rPr>
                <w:rFonts w:ascii="Arial" w:cs="Arial" w:eastAsia="Arial" w:hAnsi="Arial"/>
                <w:sz w:val="18"/>
                <w:szCs w:val="18"/>
                <w:color w:val="auto"/>
              </w:rPr>
              <w:t>Treasury stock (Class A), at cost 8,455,293 shares</w:t>
            </w:r>
          </w:p>
        </w:tc>
        <w:tc>
          <w:tcPr>
            <w:tcW w:w="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BFBFBF"/>
          </w:tcPr>
          <w:p>
            <w:pPr>
              <w:ind w:left="160"/>
              <w:spacing w:after="0"/>
              <w:rPr>
                <w:sz w:val="20"/>
                <w:szCs w:val="20"/>
                <w:color w:val="auto"/>
              </w:rPr>
            </w:pPr>
            <w:r>
              <w:rPr>
                <w:rFonts w:ascii="Arial" w:cs="Arial" w:eastAsia="Arial" w:hAnsi="Arial"/>
                <w:sz w:val="18"/>
                <w:szCs w:val="18"/>
                <w:color w:val="auto"/>
              </w:rPr>
              <w:t>in 2015 and 8,459,498 in 2014</w:t>
            </w:r>
          </w:p>
        </w:tc>
        <w:tc>
          <w:tcPr>
            <w:tcW w:w="2540" w:type="dxa"/>
            <w:vAlign w:val="bottom"/>
            <w:gridSpan w:val="2"/>
            <w:shd w:val="clear" w:color="auto" w:fill="BFBFBF"/>
          </w:tcPr>
          <w:p>
            <w:pPr>
              <w:jc w:val="right"/>
              <w:spacing w:after="0"/>
              <w:rPr>
                <w:sz w:val="20"/>
                <w:szCs w:val="20"/>
                <w:color w:val="auto"/>
              </w:rPr>
            </w:pPr>
            <w:r>
              <w:rPr>
                <w:rFonts w:ascii="Arial" w:cs="Arial" w:eastAsia="Arial" w:hAnsi="Arial"/>
                <w:sz w:val="18"/>
                <w:szCs w:val="18"/>
                <w:color w:val="auto"/>
              </w:rPr>
              <w:t>(257,391)</w:t>
            </w:r>
          </w:p>
        </w:tc>
        <w:tc>
          <w:tcPr>
            <w:tcW w:w="900" w:type="dxa"/>
            <w:vAlign w:val="bottom"/>
            <w:shd w:val="clear" w:color="auto" w:fill="BFBFBF"/>
          </w:tcPr>
          <w:p>
            <w:pPr>
              <w:spacing w:after="0"/>
              <w:rPr>
                <w:sz w:val="18"/>
                <w:szCs w:val="18"/>
                <w:color w:val="auto"/>
              </w:rPr>
            </w:pPr>
          </w:p>
        </w:tc>
        <w:tc>
          <w:tcPr>
            <w:tcW w:w="1580" w:type="dxa"/>
            <w:vAlign w:val="bottom"/>
            <w:shd w:val="clear" w:color="auto" w:fill="BFBFBF"/>
          </w:tcPr>
          <w:p>
            <w:pPr>
              <w:jc w:val="right"/>
              <w:spacing w:after="0"/>
              <w:rPr>
                <w:sz w:val="20"/>
                <w:szCs w:val="20"/>
                <w:color w:val="auto"/>
              </w:rPr>
            </w:pPr>
            <w:r>
              <w:rPr>
                <w:rFonts w:ascii="Arial" w:cs="Arial" w:eastAsia="Arial" w:hAnsi="Arial"/>
                <w:sz w:val="18"/>
                <w:szCs w:val="18"/>
                <w:color w:val="auto"/>
              </w:rPr>
              <w:t>(257,481)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Pr>
          <w:p>
            <w:pPr>
              <w:ind w:left="300"/>
              <w:spacing w:after="0" w:line="196" w:lineRule="exact"/>
              <w:rPr>
                <w:sz w:val="20"/>
                <w:szCs w:val="20"/>
                <w:color w:val="auto"/>
              </w:rPr>
            </w:pPr>
            <w:r>
              <w:rPr>
                <w:rFonts w:ascii="Arial" w:cs="Arial" w:eastAsia="Arial" w:hAnsi="Arial"/>
                <w:sz w:val="18"/>
                <w:szCs w:val="18"/>
                <w:color w:val="auto"/>
              </w:rPr>
              <w:t>Total Company shareholders' equity</w:t>
            </w:r>
          </w:p>
        </w:tc>
        <w:tc>
          <w:tcPr>
            <w:tcW w:w="920" w:type="dxa"/>
            <w:vAlign w:val="bottom"/>
          </w:tcPr>
          <w:p>
            <w:pPr>
              <w:spacing w:after="0"/>
              <w:rPr>
                <w:sz w:val="17"/>
                <w:szCs w:val="17"/>
                <w:color w:val="auto"/>
              </w:rPr>
            </w:pPr>
          </w:p>
        </w:tc>
        <w:tc>
          <w:tcPr>
            <w:tcW w:w="162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473,960</w:t>
            </w:r>
          </w:p>
        </w:tc>
        <w:tc>
          <w:tcPr>
            <w:tcW w:w="900" w:type="dxa"/>
            <w:vAlign w:val="bottom"/>
          </w:tcPr>
          <w:p>
            <w:pPr>
              <w:spacing w:after="0"/>
              <w:rPr>
                <w:sz w:val="17"/>
                <w:szCs w:val="17"/>
                <w:color w:val="auto"/>
              </w:rPr>
            </w:pPr>
          </w:p>
        </w:tc>
        <w:tc>
          <w:tcPr>
            <w:tcW w:w="158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509,869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BFBFBF"/>
          </w:tcPr>
          <w:p>
            <w:pPr>
              <w:ind w:left="40"/>
              <w:spacing w:after="0"/>
              <w:rPr>
                <w:sz w:val="20"/>
                <w:szCs w:val="20"/>
                <w:color w:val="auto"/>
              </w:rPr>
            </w:pPr>
            <w:r>
              <w:rPr>
                <w:rFonts w:ascii="Arial" w:cs="Arial" w:eastAsia="Arial" w:hAnsi="Arial"/>
                <w:sz w:val="18"/>
                <w:szCs w:val="18"/>
                <w:color w:val="auto"/>
              </w:rPr>
              <w:t>Noncontrolling interest</w:t>
            </w:r>
          </w:p>
        </w:tc>
        <w:tc>
          <w:tcPr>
            <w:tcW w:w="2540" w:type="dxa"/>
            <w:vAlign w:val="bottom"/>
            <w:gridSpan w:val="2"/>
            <w:shd w:val="clear" w:color="auto" w:fill="BFBFBF"/>
          </w:tcPr>
          <w:p>
            <w:pPr>
              <w:jc w:val="right"/>
              <w:ind w:right="30"/>
              <w:spacing w:after="0"/>
              <w:rPr>
                <w:sz w:val="20"/>
                <w:szCs w:val="20"/>
                <w:color w:val="auto"/>
              </w:rPr>
            </w:pPr>
            <w:r>
              <w:rPr>
                <w:rFonts w:ascii="Arial" w:cs="Arial" w:eastAsia="Arial" w:hAnsi="Arial"/>
                <w:sz w:val="18"/>
                <w:szCs w:val="18"/>
                <w:color w:val="auto"/>
              </w:rPr>
              <w:t>3,800</w:t>
            </w:r>
          </w:p>
        </w:tc>
        <w:tc>
          <w:tcPr>
            <w:tcW w:w="900" w:type="dxa"/>
            <w:vAlign w:val="bottom"/>
            <w:shd w:val="clear" w:color="auto" w:fill="BFBFBF"/>
          </w:tcPr>
          <w:p>
            <w:pPr>
              <w:spacing w:after="0"/>
              <w:rPr>
                <w:sz w:val="18"/>
                <w:szCs w:val="18"/>
                <w:color w:val="auto"/>
              </w:rPr>
            </w:pPr>
          </w:p>
        </w:tc>
        <w:tc>
          <w:tcPr>
            <w:tcW w:w="158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3,699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Borders>
              <w:bottom w:val="single" w:sz="8" w:color="BFBFBF"/>
            </w:tcBorders>
          </w:tcPr>
          <w:p>
            <w:pPr>
              <w:ind w:left="40"/>
              <w:spacing w:after="0" w:line="196" w:lineRule="exact"/>
              <w:rPr>
                <w:sz w:val="20"/>
                <w:szCs w:val="20"/>
                <w:color w:val="auto"/>
              </w:rPr>
            </w:pPr>
            <w:r>
              <w:rPr>
                <w:rFonts w:ascii="Arial" w:cs="Arial" w:eastAsia="Arial" w:hAnsi="Arial"/>
                <w:sz w:val="18"/>
                <w:szCs w:val="18"/>
                <w:color w:val="auto"/>
              </w:rPr>
              <w:t>Total equity</w:t>
            </w:r>
          </w:p>
        </w:tc>
        <w:tc>
          <w:tcPr>
            <w:tcW w:w="920" w:type="dxa"/>
            <w:vAlign w:val="bottom"/>
            <w:tcBorders>
              <w:bottom w:val="single" w:sz="8" w:color="BFBFBF"/>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477,760</w:t>
            </w:r>
          </w:p>
        </w:tc>
        <w:tc>
          <w:tcPr>
            <w:tcW w:w="900" w:type="dxa"/>
            <w:vAlign w:val="bottom"/>
            <w:tcBorders>
              <w:bottom w:val="single" w:sz="8" w:color="BFBFBF"/>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513,568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BFBFBF"/>
          </w:tcPr>
          <w:p>
            <w:pPr>
              <w:ind w:left="300"/>
              <w:spacing w:after="0" w:line="197" w:lineRule="exact"/>
              <w:rPr>
                <w:sz w:val="20"/>
                <w:szCs w:val="20"/>
                <w:color w:val="auto"/>
              </w:rPr>
            </w:pPr>
            <w:r>
              <w:rPr>
                <w:rFonts w:ascii="Arial" w:cs="Arial" w:eastAsia="Arial" w:hAnsi="Arial"/>
                <w:sz w:val="18"/>
                <w:szCs w:val="18"/>
                <w:color w:val="auto"/>
              </w:rPr>
              <w:t>Total liabilities and shareholders' equity</w:t>
            </w:r>
          </w:p>
        </w:tc>
        <w:tc>
          <w:tcPr>
            <w:tcW w:w="2540" w:type="dxa"/>
            <w:vAlign w:val="bottom"/>
            <w:gridSpan w:val="2"/>
            <w:shd w:val="clear" w:color="auto" w:fill="BFBFBF"/>
          </w:tcPr>
          <w:p>
            <w:pPr>
              <w:jc w:val="right"/>
              <w:ind w:right="30"/>
              <w:spacing w:after="0"/>
              <w:rPr>
                <w:sz w:val="20"/>
                <w:szCs w:val="20"/>
                <w:color w:val="auto"/>
              </w:rPr>
            </w:pPr>
            <w:r>
              <w:rPr>
                <w:rFonts w:ascii="Arial" w:cs="Arial" w:eastAsia="Arial" w:hAnsi="Arial"/>
                <w:sz w:val="18"/>
                <w:szCs w:val="18"/>
                <w:color w:val="auto"/>
              </w:rPr>
              <w:t>$975,434</w:t>
            </w:r>
          </w:p>
        </w:tc>
        <w:tc>
          <w:tcPr>
            <w:tcW w:w="900" w:type="dxa"/>
            <w:vAlign w:val="bottom"/>
            <w:shd w:val="clear" w:color="auto" w:fill="BFBFBF"/>
          </w:tcPr>
          <w:p>
            <w:pPr>
              <w:spacing w:after="0"/>
              <w:rPr>
                <w:sz w:val="18"/>
                <w:szCs w:val="18"/>
                <w:color w:val="auto"/>
              </w:rPr>
            </w:pPr>
          </w:p>
        </w:tc>
        <w:tc>
          <w:tcPr>
            <w:tcW w:w="158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$1,029,304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BFBFBF"/>
            </w:tcBorders>
          </w:tcPr>
          <w:p>
            <w:pPr>
              <w:spacing w:after="0" w:line="20" w:lineRule="exact"/>
              <w:rPr>
                <w:sz w:val="1"/>
                <w:szCs w:val="1"/>
                <w:color w:val="auto"/>
              </w:rPr>
            </w:pPr>
          </w:p>
        </w:tc>
        <w:tc>
          <w:tcPr>
            <w:tcW w:w="920" w:type="dxa"/>
            <w:vAlign w:val="bottom"/>
            <w:tcBorders>
              <w:top w:val="single" w:sz="8" w:color="BFBFB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BFBFB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STATEMENTS OF CASH FLOW</w:t>
      </w:r>
    </w:p>
    <w:p>
      <w:pPr>
        <w:jc w:val="center"/>
        <w:spacing w:after="0" w:line="235"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gridSpan w:val="3"/>
          </w:tcPr>
          <w:p>
            <w:pPr>
              <w:jc w:val="right"/>
              <w:ind w:right="190"/>
              <w:spacing w:after="0"/>
              <w:rPr>
                <w:sz w:val="20"/>
                <w:szCs w:val="20"/>
                <w:color w:val="auto"/>
              </w:rPr>
            </w:pPr>
            <w:r>
              <w:rPr>
                <w:rFonts w:ascii="Arial" w:cs="Arial" w:eastAsia="Arial" w:hAnsi="Arial"/>
                <w:sz w:val="18"/>
                <w:szCs w:val="18"/>
                <w:color w:val="auto"/>
              </w:rPr>
              <w:t>Three Months Ended</w:t>
            </w:r>
          </w:p>
        </w:tc>
        <w:tc>
          <w:tcPr>
            <w:tcW w:w="6940" w:type="dxa"/>
            <w:vAlign w:val="bottom"/>
          </w:tcPr>
          <w:p>
            <w:pPr>
              <w:spacing w:after="0"/>
              <w:rPr>
                <w:sz w:val="17"/>
                <w:szCs w:val="17"/>
                <w:color w:val="auto"/>
              </w:rPr>
            </w:pPr>
          </w:p>
        </w:tc>
        <w:tc>
          <w:tcPr>
            <w:tcW w:w="2240" w:type="dxa"/>
            <w:vAlign w:val="bottom"/>
            <w:gridSpan w:val="3"/>
          </w:tcPr>
          <w:p>
            <w:pPr>
              <w:jc w:val="right"/>
              <w:ind w:right="25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7"/>
        </w:trPr>
        <w:tc>
          <w:tcPr>
            <w:tcW w:w="2240" w:type="dxa"/>
            <w:vAlign w:val="bottom"/>
            <w:gridSpan w:val="3"/>
          </w:tcPr>
          <w:p>
            <w:pPr>
              <w:jc w:val="right"/>
              <w:ind w:right="430"/>
              <w:spacing w:after="0"/>
              <w:rPr>
                <w:sz w:val="20"/>
                <w:szCs w:val="20"/>
                <w:color w:val="auto"/>
              </w:rPr>
            </w:pPr>
            <w:r>
              <w:rPr>
                <w:rFonts w:ascii="Arial" w:cs="Arial" w:eastAsia="Arial" w:hAnsi="Arial"/>
                <w:sz w:val="18"/>
                <w:szCs w:val="18"/>
                <w:color w:val="auto"/>
              </w:rPr>
              <w:t>September 30,</w:t>
            </w:r>
          </w:p>
        </w:tc>
        <w:tc>
          <w:tcPr>
            <w:tcW w:w="6940" w:type="dxa"/>
            <w:vAlign w:val="bottom"/>
          </w:tcPr>
          <w:p>
            <w:pPr>
              <w:spacing w:after="0"/>
              <w:rPr>
                <w:sz w:val="18"/>
                <w:szCs w:val="18"/>
                <w:color w:val="auto"/>
              </w:rPr>
            </w:pPr>
          </w:p>
        </w:tc>
        <w:tc>
          <w:tcPr>
            <w:tcW w:w="2240" w:type="dxa"/>
            <w:vAlign w:val="bottom"/>
            <w:gridSpan w:val="3"/>
          </w:tcPr>
          <w:p>
            <w:pPr>
              <w:jc w:val="right"/>
              <w:ind w:right="45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405"/>
        </w:trPr>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2014</w:t>
            </w:r>
          </w:p>
        </w:tc>
        <w:tc>
          <w:tcPr>
            <w:tcW w:w="6940" w:type="dxa"/>
            <w:vAlign w:val="bottom"/>
            <w:vMerge w:val="restart"/>
          </w:tcPr>
          <w:p>
            <w:pPr>
              <w:ind w:left="220"/>
              <w:spacing w:after="0"/>
              <w:rPr>
                <w:sz w:val="20"/>
                <w:szCs w:val="20"/>
                <w:color w:val="auto"/>
              </w:rPr>
            </w:pPr>
            <w:r>
              <w:rPr>
                <w:rFonts w:ascii="Arial" w:cs="Arial" w:eastAsia="Arial" w:hAnsi="Arial"/>
                <w:sz w:val="18"/>
                <w:szCs w:val="18"/>
                <w:color w:val="auto"/>
              </w:rPr>
              <w:t>OPERATING ACTIVITIES</w:t>
            </w: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94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$9,680</w:t>
            </w:r>
          </w:p>
        </w:tc>
        <w:tc>
          <w:tcPr>
            <w:tcW w:w="220" w:type="dxa"/>
            <w:vAlign w:val="bottom"/>
            <w:shd w:val="clear" w:color="auto" w:fill="BFBFBF"/>
          </w:tcPr>
          <w:p>
            <w:pPr>
              <w:spacing w:after="0"/>
              <w:rPr>
                <w:sz w:val="17"/>
                <w:szCs w:val="17"/>
                <w:color w:val="auto"/>
              </w:rPr>
            </w:pPr>
          </w:p>
        </w:tc>
        <w:tc>
          <w:tcPr>
            <w:tcW w:w="10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$11,774</w:t>
            </w:r>
          </w:p>
        </w:tc>
        <w:tc>
          <w:tcPr>
            <w:tcW w:w="6940" w:type="dxa"/>
            <w:vAlign w:val="bottom"/>
            <w:shd w:val="clear" w:color="auto" w:fill="BFBFBF"/>
          </w:tcPr>
          <w:p>
            <w:pPr>
              <w:ind w:left="220"/>
              <w:spacing w:after="0" w:line="202" w:lineRule="exact"/>
              <w:rPr>
                <w:sz w:val="20"/>
                <w:szCs w:val="20"/>
                <w:color w:val="auto"/>
              </w:rPr>
            </w:pPr>
            <w:r>
              <w:rPr>
                <w:rFonts w:ascii="Arial" w:cs="Arial" w:eastAsia="Arial" w:hAnsi="Arial"/>
                <w:sz w:val="18"/>
                <w:szCs w:val="18"/>
                <w:color w:val="auto"/>
              </w:rPr>
              <w:t>Net income</w:t>
            </w:r>
          </w:p>
        </w:tc>
        <w:tc>
          <w:tcPr>
            <w:tcW w:w="102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$19,799</w:t>
            </w:r>
          </w:p>
        </w:tc>
        <w:tc>
          <w:tcPr>
            <w:tcW w:w="200" w:type="dxa"/>
            <w:vAlign w:val="bottom"/>
            <w:shd w:val="clear" w:color="auto" w:fill="BFBFBF"/>
          </w:tcPr>
          <w:p>
            <w:pPr>
              <w:spacing w:after="0"/>
              <w:rPr>
                <w:sz w:val="17"/>
                <w:szCs w:val="17"/>
                <w:color w:val="auto"/>
              </w:rPr>
            </w:pPr>
          </w:p>
        </w:tc>
        <w:tc>
          <w:tcPr>
            <w:tcW w:w="10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$33,644</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940" w:type="dxa"/>
            <w:vAlign w:val="bottom"/>
          </w:tcPr>
          <w:p>
            <w:pPr>
              <w:ind w:left="22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12,953</w:t>
            </w:r>
          </w:p>
        </w:tc>
        <w:tc>
          <w:tcPr>
            <w:tcW w:w="220" w:type="dxa"/>
            <w:vAlign w:val="bottom"/>
            <w:shd w:val="clear" w:color="auto" w:fill="BFBFBF"/>
          </w:tcPr>
          <w:p>
            <w:pPr>
              <w:spacing w:after="0"/>
              <w:rPr>
                <w:sz w:val="17"/>
                <w:szCs w:val="17"/>
                <w:color w:val="auto"/>
              </w:rPr>
            </w:pPr>
          </w:p>
        </w:tc>
        <w:tc>
          <w:tcPr>
            <w:tcW w:w="10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13,737</w:t>
            </w:r>
          </w:p>
        </w:tc>
        <w:tc>
          <w:tcPr>
            <w:tcW w:w="6940" w:type="dxa"/>
            <w:vAlign w:val="bottom"/>
            <w:shd w:val="clear" w:color="auto" w:fill="BFBFBF"/>
          </w:tcPr>
          <w:p>
            <w:pPr>
              <w:ind w:left="380"/>
              <w:spacing w:after="0" w:line="202" w:lineRule="exact"/>
              <w:rPr>
                <w:sz w:val="20"/>
                <w:szCs w:val="20"/>
                <w:color w:val="auto"/>
              </w:rPr>
            </w:pPr>
            <w:r>
              <w:rPr>
                <w:rFonts w:ascii="Arial" w:cs="Arial" w:eastAsia="Arial" w:hAnsi="Arial"/>
                <w:sz w:val="18"/>
                <w:szCs w:val="18"/>
                <w:color w:val="auto"/>
              </w:rPr>
              <w:t>Depreciation</w:t>
            </w:r>
          </w:p>
        </w:tc>
        <w:tc>
          <w:tcPr>
            <w:tcW w:w="102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39,850</w:t>
            </w:r>
          </w:p>
        </w:tc>
        <w:tc>
          <w:tcPr>
            <w:tcW w:w="200" w:type="dxa"/>
            <w:vAlign w:val="bottom"/>
            <w:shd w:val="clear" w:color="auto" w:fill="BFBFBF"/>
          </w:tcPr>
          <w:p>
            <w:pPr>
              <w:spacing w:after="0"/>
              <w:rPr>
                <w:sz w:val="17"/>
                <w:szCs w:val="17"/>
                <w:color w:val="auto"/>
              </w:rPr>
            </w:pPr>
          </w:p>
        </w:tc>
        <w:tc>
          <w:tcPr>
            <w:tcW w:w="10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42,120</w:t>
            </w:r>
          </w:p>
        </w:tc>
        <w:tc>
          <w:tcPr>
            <w:tcW w:w="0" w:type="dxa"/>
            <w:vAlign w:val="bottom"/>
          </w:tcPr>
          <w:p>
            <w:pPr>
              <w:spacing w:after="0"/>
              <w:rPr>
                <w:sz w:val="1"/>
                <w:szCs w:val="1"/>
                <w:color w:val="auto"/>
              </w:rPr>
            </w:pPr>
          </w:p>
        </w:tc>
      </w:tr>
      <w:tr>
        <w:trPr>
          <w:trHeight w:val="203"/>
        </w:trPr>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1,790</w:t>
            </w:r>
          </w:p>
        </w:tc>
        <w:tc>
          <w:tcPr>
            <w:tcW w:w="22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1,999</w:t>
            </w:r>
          </w:p>
        </w:tc>
        <w:tc>
          <w:tcPr>
            <w:tcW w:w="6940" w:type="dxa"/>
            <w:vAlign w:val="bottom"/>
          </w:tcPr>
          <w:p>
            <w:pPr>
              <w:ind w:left="380"/>
              <w:spacing w:after="0" w:line="202" w:lineRule="exact"/>
              <w:rPr>
                <w:sz w:val="20"/>
                <w:szCs w:val="20"/>
                <w:color w:val="auto"/>
              </w:rPr>
            </w:pPr>
            <w:r>
              <w:rPr>
                <w:rFonts w:ascii="Arial" w:cs="Arial" w:eastAsia="Arial" w:hAnsi="Arial"/>
                <w:sz w:val="18"/>
                <w:szCs w:val="18"/>
                <w:color w:val="auto"/>
              </w:rPr>
              <w:t>Amortization</w:t>
            </w: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5,431</w:t>
            </w:r>
          </w:p>
        </w:tc>
        <w:tc>
          <w:tcPr>
            <w:tcW w:w="20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5,621</w:t>
            </w:r>
          </w:p>
        </w:tc>
        <w:tc>
          <w:tcPr>
            <w:tcW w:w="0" w:type="dxa"/>
            <w:vAlign w:val="bottom"/>
          </w:tcPr>
          <w:p>
            <w:pPr>
              <w:spacing w:after="0"/>
              <w:rPr>
                <w:sz w:val="1"/>
                <w:szCs w:val="1"/>
                <w:color w:val="auto"/>
              </w:rPr>
            </w:pPr>
          </w:p>
        </w:tc>
      </w:tr>
      <w:tr>
        <w:trPr>
          <w:trHeight w:val="203"/>
        </w:trPr>
        <w:tc>
          <w:tcPr>
            <w:tcW w:w="10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7,134</w:t>
            </w:r>
          </w:p>
        </w:tc>
        <w:tc>
          <w:tcPr>
            <w:tcW w:w="220" w:type="dxa"/>
            <w:vAlign w:val="bottom"/>
            <w:shd w:val="clear" w:color="auto" w:fill="BFBFBF"/>
          </w:tcPr>
          <w:p>
            <w:pPr>
              <w:spacing w:after="0"/>
              <w:rPr>
                <w:sz w:val="17"/>
                <w:szCs w:val="17"/>
                <w:color w:val="auto"/>
              </w:rPr>
            </w:pPr>
          </w:p>
        </w:tc>
        <w:tc>
          <w:tcPr>
            <w:tcW w:w="10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(2,637)</w:t>
            </w:r>
          </w:p>
        </w:tc>
        <w:tc>
          <w:tcPr>
            <w:tcW w:w="6940" w:type="dxa"/>
            <w:vAlign w:val="bottom"/>
            <w:shd w:val="clear" w:color="auto" w:fill="BFBFBF"/>
          </w:tcPr>
          <w:p>
            <w:pPr>
              <w:ind w:left="380"/>
              <w:spacing w:after="0" w:line="202" w:lineRule="exact"/>
              <w:rPr>
                <w:sz w:val="20"/>
                <w:szCs w:val="20"/>
                <w:color w:val="auto"/>
              </w:rPr>
            </w:pPr>
            <w:r>
              <w:rPr>
                <w:rFonts w:ascii="Arial" w:cs="Arial" w:eastAsia="Arial" w:hAnsi="Arial"/>
                <w:sz w:val="18"/>
                <w:szCs w:val="18"/>
                <w:color w:val="auto"/>
              </w:rPr>
              <w:t>Change in long-term liabilities, deferred taxes and other credits</w:t>
            </w:r>
          </w:p>
        </w:tc>
        <w:tc>
          <w:tcPr>
            <w:tcW w:w="102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937</w:t>
            </w:r>
          </w:p>
        </w:tc>
        <w:tc>
          <w:tcPr>
            <w:tcW w:w="200" w:type="dxa"/>
            <w:vAlign w:val="bottom"/>
            <w:shd w:val="clear" w:color="auto" w:fill="BFBFBF"/>
          </w:tcPr>
          <w:p>
            <w:pPr>
              <w:spacing w:after="0"/>
              <w:rPr>
                <w:sz w:val="17"/>
                <w:szCs w:val="17"/>
                <w:color w:val="auto"/>
              </w:rPr>
            </w:pPr>
          </w:p>
        </w:tc>
        <w:tc>
          <w:tcPr>
            <w:tcW w:w="10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(156)</w:t>
            </w:r>
          </w:p>
        </w:tc>
        <w:tc>
          <w:tcPr>
            <w:tcW w:w="22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557</w:t>
            </w:r>
          </w:p>
        </w:tc>
        <w:tc>
          <w:tcPr>
            <w:tcW w:w="6940" w:type="dxa"/>
            <w:vAlign w:val="bottom"/>
          </w:tcPr>
          <w:p>
            <w:pPr>
              <w:ind w:left="380"/>
              <w:spacing w:after="0" w:line="202" w:lineRule="exact"/>
              <w:rPr>
                <w:sz w:val="20"/>
                <w:szCs w:val="20"/>
                <w:color w:val="auto"/>
              </w:rPr>
            </w:pPr>
            <w:r>
              <w:rPr>
                <w:rFonts w:ascii="Arial" w:cs="Arial" w:eastAsia="Arial" w:hAnsi="Arial"/>
                <w:sz w:val="18"/>
                <w:szCs w:val="18"/>
                <w:color w:val="auto"/>
              </w:rPr>
              <w:t>Provision for write-off of property, plant and equipment</w:t>
            </w: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259</w:t>
            </w:r>
          </w:p>
        </w:tc>
        <w:tc>
          <w:tcPr>
            <w:tcW w:w="20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03"/>
        </w:trPr>
        <w:tc>
          <w:tcPr>
            <w:tcW w:w="10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3,225</w:t>
            </w:r>
          </w:p>
        </w:tc>
        <w:tc>
          <w:tcPr>
            <w:tcW w:w="220" w:type="dxa"/>
            <w:vAlign w:val="bottom"/>
            <w:shd w:val="clear" w:color="auto" w:fill="BFBFBF"/>
          </w:tcPr>
          <w:p>
            <w:pPr>
              <w:spacing w:after="0"/>
              <w:rPr>
                <w:sz w:val="17"/>
                <w:szCs w:val="17"/>
                <w:color w:val="auto"/>
              </w:rPr>
            </w:pPr>
          </w:p>
        </w:tc>
        <w:tc>
          <w:tcPr>
            <w:tcW w:w="10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940" w:type="dxa"/>
            <w:vAlign w:val="bottom"/>
            <w:shd w:val="clear" w:color="auto" w:fill="BFBFBF"/>
          </w:tcPr>
          <w:p>
            <w:pPr>
              <w:ind w:left="380"/>
              <w:spacing w:after="0" w:line="202" w:lineRule="exact"/>
              <w:rPr>
                <w:sz w:val="20"/>
                <w:szCs w:val="20"/>
                <w:color w:val="auto"/>
              </w:rPr>
            </w:pPr>
            <w:r>
              <w:rPr>
                <w:rFonts w:ascii="Arial" w:cs="Arial" w:eastAsia="Arial" w:hAnsi="Arial"/>
                <w:sz w:val="18"/>
                <w:szCs w:val="18"/>
                <w:color w:val="auto"/>
              </w:rPr>
              <w:t>Fair value adjustment on available-for-sale assets</w:t>
            </w:r>
          </w:p>
        </w:tc>
        <w:tc>
          <w:tcPr>
            <w:tcW w:w="102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3,225</w:t>
            </w:r>
          </w:p>
        </w:tc>
        <w:tc>
          <w:tcPr>
            <w:tcW w:w="200" w:type="dxa"/>
            <w:vAlign w:val="bottom"/>
            <w:shd w:val="clear" w:color="auto" w:fill="BFBFBF"/>
          </w:tcPr>
          <w:p>
            <w:pPr>
              <w:spacing w:after="0"/>
              <w:rPr>
                <w:sz w:val="17"/>
                <w:szCs w:val="17"/>
                <w:color w:val="auto"/>
              </w:rPr>
            </w:pPr>
          </w:p>
        </w:tc>
        <w:tc>
          <w:tcPr>
            <w:tcW w:w="10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940" w:type="dxa"/>
            <w:vAlign w:val="bottom"/>
          </w:tcPr>
          <w:p>
            <w:pPr>
              <w:ind w:left="380"/>
              <w:spacing w:after="0" w:line="202" w:lineRule="exact"/>
              <w:rPr>
                <w:sz w:val="20"/>
                <w:szCs w:val="20"/>
                <w:color w:val="auto"/>
              </w:rPr>
            </w:pPr>
            <w:r>
              <w:rPr>
                <w:rFonts w:ascii="Arial" w:cs="Arial" w:eastAsia="Arial" w:hAnsi="Arial"/>
                <w:sz w:val="18"/>
                <w:szCs w:val="18"/>
                <w:color w:val="auto"/>
              </w:rPr>
              <w:t>Gain on disposition or involuntary conversion of assets</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(1,056)</w:t>
            </w: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03"/>
        </w:trPr>
        <w:tc>
          <w:tcPr>
            <w:tcW w:w="10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BFBFBF"/>
          </w:tcPr>
          <w:p>
            <w:pPr>
              <w:spacing w:after="0"/>
              <w:rPr>
                <w:sz w:val="17"/>
                <w:szCs w:val="17"/>
                <w:color w:val="auto"/>
              </w:rPr>
            </w:pPr>
          </w:p>
        </w:tc>
        <w:tc>
          <w:tcPr>
            <w:tcW w:w="10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(16)</w:t>
            </w:r>
          </w:p>
        </w:tc>
        <w:tc>
          <w:tcPr>
            <w:tcW w:w="6940" w:type="dxa"/>
            <w:vAlign w:val="bottom"/>
            <w:shd w:val="clear" w:color="auto" w:fill="BFBFBF"/>
          </w:tcPr>
          <w:p>
            <w:pPr>
              <w:ind w:left="380"/>
              <w:spacing w:after="0" w:line="202" w:lineRule="exact"/>
              <w:rPr>
                <w:sz w:val="20"/>
                <w:szCs w:val="20"/>
                <w:color w:val="auto"/>
              </w:rPr>
            </w:pPr>
            <w:r>
              <w:rPr>
                <w:rFonts w:ascii="Arial" w:cs="Arial" w:eastAsia="Arial" w:hAnsi="Arial"/>
                <w:sz w:val="18"/>
                <w:szCs w:val="18"/>
                <w:color w:val="auto"/>
              </w:rPr>
              <w:t>Excess tax benefit of options exercised</w:t>
            </w:r>
          </w:p>
        </w:tc>
        <w:tc>
          <w:tcPr>
            <w:tcW w:w="10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(603)</w:t>
            </w:r>
          </w:p>
        </w:tc>
        <w:tc>
          <w:tcPr>
            <w:tcW w:w="200" w:type="dxa"/>
            <w:vAlign w:val="bottom"/>
            <w:shd w:val="clear" w:color="auto" w:fill="BFBFBF"/>
          </w:tcPr>
          <w:p>
            <w:pPr>
              <w:spacing w:after="0"/>
              <w:rPr>
                <w:sz w:val="17"/>
                <w:szCs w:val="17"/>
                <w:color w:val="auto"/>
              </w:rPr>
            </w:pPr>
          </w:p>
        </w:tc>
        <w:tc>
          <w:tcPr>
            <w:tcW w:w="10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3"/>
        </w:trPr>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290</w:t>
            </w:r>
          </w:p>
        </w:tc>
        <w:tc>
          <w:tcPr>
            <w:tcW w:w="22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213</w:t>
            </w:r>
          </w:p>
        </w:tc>
        <w:tc>
          <w:tcPr>
            <w:tcW w:w="6940" w:type="dxa"/>
            <w:vAlign w:val="bottom"/>
          </w:tcPr>
          <w:p>
            <w:pPr>
              <w:ind w:left="380"/>
              <w:spacing w:after="0" w:line="202" w:lineRule="exact"/>
              <w:rPr>
                <w:sz w:val="20"/>
                <w:szCs w:val="20"/>
                <w:color w:val="auto"/>
              </w:rPr>
            </w:pPr>
            <w:r>
              <w:rPr>
                <w:rFonts w:ascii="Arial" w:cs="Arial" w:eastAsia="Arial" w:hAnsi="Arial"/>
                <w:sz w:val="18"/>
                <w:szCs w:val="18"/>
                <w:color w:val="auto"/>
              </w:rPr>
              <w:t>Compensation and benefits paid or payable in Class A Common Stock</w:t>
            </w: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1,285</w:t>
            </w:r>
          </w:p>
        </w:tc>
        <w:tc>
          <w:tcPr>
            <w:tcW w:w="20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03"/>
        </w:trPr>
        <w:tc>
          <w:tcPr>
            <w:tcW w:w="1020" w:type="dxa"/>
            <w:vAlign w:val="bottom"/>
            <w:shd w:val="clear" w:color="auto" w:fill="BFBFBF"/>
          </w:tcPr>
          <w:p>
            <w:pPr>
              <w:spacing w:after="0"/>
              <w:rPr>
                <w:sz w:val="17"/>
                <w:szCs w:val="17"/>
                <w:color w:val="auto"/>
              </w:rPr>
            </w:pPr>
          </w:p>
        </w:tc>
        <w:tc>
          <w:tcPr>
            <w:tcW w:w="220" w:type="dxa"/>
            <w:vAlign w:val="bottom"/>
            <w:shd w:val="clear" w:color="auto" w:fill="BFBFBF"/>
          </w:tcPr>
          <w:p>
            <w:pPr>
              <w:spacing w:after="0"/>
              <w:rPr>
                <w:sz w:val="17"/>
                <w:szCs w:val="17"/>
                <w:color w:val="auto"/>
              </w:rPr>
            </w:pPr>
          </w:p>
        </w:tc>
        <w:tc>
          <w:tcPr>
            <w:tcW w:w="1000" w:type="dxa"/>
            <w:vAlign w:val="bottom"/>
            <w:shd w:val="clear" w:color="auto" w:fill="BFBFBF"/>
          </w:tcPr>
          <w:p>
            <w:pPr>
              <w:spacing w:after="0"/>
              <w:rPr>
                <w:sz w:val="17"/>
                <w:szCs w:val="17"/>
                <w:color w:val="auto"/>
              </w:rPr>
            </w:pPr>
          </w:p>
        </w:tc>
        <w:tc>
          <w:tcPr>
            <w:tcW w:w="6940" w:type="dxa"/>
            <w:vAlign w:val="bottom"/>
            <w:shd w:val="clear" w:color="auto" w:fill="BFBFBF"/>
          </w:tcPr>
          <w:p>
            <w:pPr>
              <w:spacing w:after="0"/>
              <w:rPr>
                <w:sz w:val="17"/>
                <w:szCs w:val="17"/>
                <w:color w:val="auto"/>
              </w:rPr>
            </w:pPr>
          </w:p>
        </w:tc>
        <w:tc>
          <w:tcPr>
            <w:tcW w:w="1020" w:type="dxa"/>
            <w:vAlign w:val="bottom"/>
            <w:shd w:val="clear" w:color="auto" w:fill="BFBFBF"/>
          </w:tcPr>
          <w:p>
            <w:pPr>
              <w:spacing w:after="0"/>
              <w:rPr>
                <w:sz w:val="17"/>
                <w:szCs w:val="17"/>
                <w:color w:val="auto"/>
              </w:rPr>
            </w:pPr>
          </w:p>
        </w:tc>
        <w:tc>
          <w:tcPr>
            <w:tcW w:w="200" w:type="dxa"/>
            <w:vAlign w:val="bottom"/>
            <w:shd w:val="clear" w:color="auto" w:fill="BFBFBF"/>
          </w:tcPr>
          <w:p>
            <w:pPr>
              <w:spacing w:after="0"/>
              <w:rPr>
                <w:sz w:val="17"/>
                <w:szCs w:val="17"/>
                <w:color w:val="auto"/>
              </w:rPr>
            </w:pPr>
          </w:p>
        </w:tc>
        <w:tc>
          <w:tcPr>
            <w:tcW w:w="102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940" w:type="dxa"/>
            <w:vAlign w:val="bottom"/>
          </w:tcPr>
          <w:p>
            <w:pPr>
              <w:ind w:left="220"/>
              <w:spacing w:after="0" w:line="202" w:lineRule="exact"/>
              <w:rPr>
                <w:sz w:val="20"/>
                <w:szCs w:val="20"/>
                <w:color w:val="auto"/>
              </w:rPr>
            </w:pPr>
            <w:r>
              <w:rPr>
                <w:rFonts w:ascii="Arial" w:cs="Arial" w:eastAsia="Arial" w:hAnsi="Arial"/>
                <w:sz w:val="18"/>
                <w:szCs w:val="18"/>
                <w:color w:val="auto"/>
              </w:rPr>
              <w:t>Changes in operating assets and liabilities that provide/(use) cash:</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5,100</w:t>
            </w:r>
          </w:p>
        </w:tc>
        <w:tc>
          <w:tcPr>
            <w:tcW w:w="220" w:type="dxa"/>
            <w:vAlign w:val="bottom"/>
            <w:shd w:val="clear" w:color="auto" w:fill="BFBFBF"/>
          </w:tcPr>
          <w:p>
            <w:pPr>
              <w:spacing w:after="0"/>
              <w:rPr>
                <w:sz w:val="17"/>
                <w:szCs w:val="17"/>
                <w:color w:val="auto"/>
              </w:rPr>
            </w:pPr>
          </w:p>
        </w:tc>
        <w:tc>
          <w:tcPr>
            <w:tcW w:w="10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(4,368)</w:t>
            </w:r>
          </w:p>
        </w:tc>
        <w:tc>
          <w:tcPr>
            <w:tcW w:w="6940" w:type="dxa"/>
            <w:vAlign w:val="bottom"/>
            <w:shd w:val="clear" w:color="auto" w:fill="BFBFBF"/>
          </w:tcPr>
          <w:p>
            <w:pPr>
              <w:ind w:left="380"/>
              <w:spacing w:after="0" w:line="202" w:lineRule="exact"/>
              <w:rPr>
                <w:sz w:val="20"/>
                <w:szCs w:val="20"/>
                <w:color w:val="auto"/>
              </w:rPr>
            </w:pPr>
            <w:r>
              <w:rPr>
                <w:rFonts w:ascii="Arial" w:cs="Arial" w:eastAsia="Arial" w:hAnsi="Arial"/>
                <w:sz w:val="18"/>
                <w:szCs w:val="18"/>
                <w:color w:val="auto"/>
              </w:rPr>
              <w:t>Accounts receivable</w:t>
            </w:r>
          </w:p>
        </w:tc>
        <w:tc>
          <w:tcPr>
            <w:tcW w:w="10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(4,387)</w:t>
            </w:r>
          </w:p>
        </w:tc>
        <w:tc>
          <w:tcPr>
            <w:tcW w:w="200" w:type="dxa"/>
            <w:vAlign w:val="bottom"/>
            <w:shd w:val="clear" w:color="auto" w:fill="BFBFBF"/>
          </w:tcPr>
          <w:p>
            <w:pPr>
              <w:spacing w:after="0"/>
              <w:rPr>
                <w:sz w:val="17"/>
                <w:szCs w:val="17"/>
                <w:color w:val="auto"/>
              </w:rPr>
            </w:pPr>
          </w:p>
        </w:tc>
        <w:tc>
          <w:tcPr>
            <w:tcW w:w="10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9,929</w:t>
            </w:r>
          </w:p>
        </w:tc>
        <w:tc>
          <w:tcPr>
            <w:tcW w:w="0" w:type="dxa"/>
            <w:vAlign w:val="bottom"/>
          </w:tcPr>
          <w:p>
            <w:pPr>
              <w:spacing w:after="0"/>
              <w:rPr>
                <w:sz w:val="1"/>
                <w:szCs w:val="1"/>
                <w:color w:val="auto"/>
              </w:rPr>
            </w:pPr>
          </w:p>
        </w:tc>
      </w:tr>
      <w:tr>
        <w:trPr>
          <w:trHeight w:val="203"/>
        </w:trPr>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(3,626)</w:t>
            </w: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(1,279)</w:t>
            </w:r>
          </w:p>
        </w:tc>
        <w:tc>
          <w:tcPr>
            <w:tcW w:w="6940" w:type="dxa"/>
            <w:vAlign w:val="bottom"/>
          </w:tcPr>
          <w:p>
            <w:pPr>
              <w:ind w:left="380"/>
              <w:spacing w:after="0" w:line="202" w:lineRule="exact"/>
              <w:rPr>
                <w:sz w:val="20"/>
                <w:szCs w:val="20"/>
                <w:color w:val="auto"/>
              </w:rPr>
            </w:pPr>
            <w:r>
              <w:rPr>
                <w:rFonts w:ascii="Arial" w:cs="Arial" w:eastAsia="Arial" w:hAnsi="Arial"/>
                <w:sz w:val="18"/>
                <w:szCs w:val="18"/>
                <w:color w:val="auto"/>
              </w:rPr>
              <w:t>Inventories</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(10,757)</w:t>
            </w: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(12,238)</w:t>
            </w:r>
          </w:p>
        </w:tc>
        <w:tc>
          <w:tcPr>
            <w:tcW w:w="0" w:type="dxa"/>
            <w:vAlign w:val="bottom"/>
          </w:tcPr>
          <w:p>
            <w:pPr>
              <w:spacing w:after="0"/>
              <w:rPr>
                <w:sz w:val="1"/>
                <w:szCs w:val="1"/>
                <w:color w:val="auto"/>
              </w:rPr>
            </w:pPr>
          </w:p>
        </w:tc>
      </w:tr>
      <w:tr>
        <w:trPr>
          <w:trHeight w:val="203"/>
        </w:trPr>
        <w:tc>
          <w:tcPr>
            <w:tcW w:w="10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133</w:t>
            </w:r>
          </w:p>
        </w:tc>
        <w:tc>
          <w:tcPr>
            <w:tcW w:w="220" w:type="dxa"/>
            <w:vAlign w:val="bottom"/>
            <w:shd w:val="clear" w:color="auto" w:fill="BFBFBF"/>
          </w:tcPr>
          <w:p>
            <w:pPr>
              <w:spacing w:after="0"/>
              <w:rPr>
                <w:sz w:val="17"/>
                <w:szCs w:val="17"/>
                <w:color w:val="auto"/>
              </w:rPr>
            </w:pPr>
          </w:p>
        </w:tc>
        <w:tc>
          <w:tcPr>
            <w:tcW w:w="10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661</w:t>
            </w:r>
          </w:p>
        </w:tc>
        <w:tc>
          <w:tcPr>
            <w:tcW w:w="6940" w:type="dxa"/>
            <w:vAlign w:val="bottom"/>
            <w:shd w:val="clear" w:color="auto" w:fill="BFBFBF"/>
          </w:tcPr>
          <w:p>
            <w:pPr>
              <w:ind w:left="3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0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(857)</w:t>
            </w:r>
          </w:p>
        </w:tc>
        <w:tc>
          <w:tcPr>
            <w:tcW w:w="200" w:type="dxa"/>
            <w:vAlign w:val="bottom"/>
            <w:shd w:val="clear" w:color="auto" w:fill="BFBFBF"/>
          </w:tcPr>
          <w:p>
            <w:pPr>
              <w:spacing w:after="0"/>
              <w:rPr>
                <w:sz w:val="17"/>
                <w:szCs w:val="17"/>
                <w:color w:val="auto"/>
              </w:rPr>
            </w:pPr>
          </w:p>
        </w:tc>
        <w:tc>
          <w:tcPr>
            <w:tcW w:w="10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3"/>
        </w:trPr>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(518)</w:t>
            </w:r>
          </w:p>
        </w:tc>
        <w:tc>
          <w:tcPr>
            <w:tcW w:w="22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6940" w:type="dxa"/>
            <w:vAlign w:val="bottom"/>
          </w:tcPr>
          <w:p>
            <w:pPr>
              <w:ind w:left="380"/>
              <w:spacing w:after="0" w:line="202" w:lineRule="exact"/>
              <w:rPr>
                <w:sz w:val="20"/>
                <w:szCs w:val="20"/>
                <w:color w:val="auto"/>
              </w:rPr>
            </w:pPr>
            <w:r>
              <w:rPr>
                <w:rFonts w:ascii="Arial" w:cs="Arial" w:eastAsia="Arial" w:hAnsi="Arial"/>
                <w:sz w:val="18"/>
                <w:szCs w:val="18"/>
                <w:color w:val="auto"/>
              </w:rPr>
              <w:t>Income taxes prepaid and receivable</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(592)</w:t>
            </w:r>
          </w:p>
        </w:tc>
        <w:tc>
          <w:tcPr>
            <w:tcW w:w="20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3"/>
        </w:trPr>
        <w:tc>
          <w:tcPr>
            <w:tcW w:w="10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(3,126)</w:t>
            </w:r>
          </w:p>
        </w:tc>
        <w:tc>
          <w:tcPr>
            <w:tcW w:w="220" w:type="dxa"/>
            <w:vAlign w:val="bottom"/>
            <w:shd w:val="clear" w:color="auto" w:fill="BFBFBF"/>
          </w:tcPr>
          <w:p>
            <w:pPr>
              <w:spacing w:after="0"/>
              <w:rPr>
                <w:sz w:val="17"/>
                <w:szCs w:val="17"/>
                <w:color w:val="auto"/>
              </w:rPr>
            </w:pPr>
          </w:p>
        </w:tc>
        <w:tc>
          <w:tcPr>
            <w:tcW w:w="10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(2,128)</w:t>
            </w:r>
          </w:p>
        </w:tc>
        <w:tc>
          <w:tcPr>
            <w:tcW w:w="6940" w:type="dxa"/>
            <w:vAlign w:val="bottom"/>
            <w:shd w:val="clear" w:color="auto" w:fill="BFBFBF"/>
          </w:tcPr>
          <w:p>
            <w:pPr>
              <w:ind w:left="380"/>
              <w:spacing w:after="0" w:line="202" w:lineRule="exact"/>
              <w:rPr>
                <w:sz w:val="20"/>
                <w:szCs w:val="20"/>
                <w:color w:val="auto"/>
              </w:rPr>
            </w:pPr>
            <w:r>
              <w:rPr>
                <w:rFonts w:ascii="Arial" w:cs="Arial" w:eastAsia="Arial" w:hAnsi="Arial"/>
                <w:sz w:val="18"/>
                <w:szCs w:val="18"/>
                <w:color w:val="auto"/>
              </w:rPr>
              <w:t>Accounts payable</w:t>
            </w:r>
          </w:p>
        </w:tc>
        <w:tc>
          <w:tcPr>
            <w:tcW w:w="10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(4,467)</w:t>
            </w:r>
          </w:p>
        </w:tc>
        <w:tc>
          <w:tcPr>
            <w:tcW w:w="200" w:type="dxa"/>
            <w:vAlign w:val="bottom"/>
            <w:shd w:val="clear" w:color="auto" w:fill="BFBFBF"/>
          </w:tcPr>
          <w:p>
            <w:pPr>
              <w:spacing w:after="0"/>
              <w:rPr>
                <w:sz w:val="17"/>
                <w:szCs w:val="17"/>
                <w:color w:val="auto"/>
              </w:rPr>
            </w:pPr>
          </w:p>
        </w:tc>
        <w:tc>
          <w:tcPr>
            <w:tcW w:w="10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03"/>
        </w:trPr>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3,381</w:t>
            </w:r>
          </w:p>
        </w:tc>
        <w:tc>
          <w:tcPr>
            <w:tcW w:w="22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4,414</w:t>
            </w:r>
          </w:p>
        </w:tc>
        <w:tc>
          <w:tcPr>
            <w:tcW w:w="6940" w:type="dxa"/>
            <w:vAlign w:val="bottom"/>
          </w:tcPr>
          <w:p>
            <w:pPr>
              <w:ind w:left="380"/>
              <w:spacing w:after="0" w:line="202" w:lineRule="exact"/>
              <w:rPr>
                <w:sz w:val="20"/>
                <w:szCs w:val="20"/>
                <w:color w:val="auto"/>
              </w:rPr>
            </w:pPr>
            <w:r>
              <w:rPr>
                <w:rFonts w:ascii="Arial" w:cs="Arial" w:eastAsia="Arial" w:hAnsi="Arial"/>
                <w:sz w:val="18"/>
                <w:szCs w:val="18"/>
                <w:color w:val="auto"/>
              </w:rPr>
              <w:t>Accrued liabilities</w:t>
            </w: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861</w:t>
            </w: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(8,265)</w:t>
            </w:r>
          </w:p>
        </w:tc>
        <w:tc>
          <w:tcPr>
            <w:tcW w:w="0" w:type="dxa"/>
            <w:vAlign w:val="bottom"/>
          </w:tcPr>
          <w:p>
            <w:pPr>
              <w:spacing w:after="0"/>
              <w:rPr>
                <w:sz w:val="1"/>
                <w:szCs w:val="1"/>
                <w:color w:val="auto"/>
              </w:rPr>
            </w:pPr>
          </w:p>
        </w:tc>
      </w:tr>
      <w:tr>
        <w:trPr>
          <w:trHeight w:val="203"/>
        </w:trPr>
        <w:tc>
          <w:tcPr>
            <w:tcW w:w="10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3,910</w:t>
            </w:r>
          </w:p>
        </w:tc>
        <w:tc>
          <w:tcPr>
            <w:tcW w:w="220" w:type="dxa"/>
            <w:vAlign w:val="bottom"/>
            <w:shd w:val="clear" w:color="auto" w:fill="BFBFBF"/>
          </w:tcPr>
          <w:p>
            <w:pPr>
              <w:spacing w:after="0"/>
              <w:rPr>
                <w:sz w:val="17"/>
                <w:szCs w:val="17"/>
                <w:color w:val="auto"/>
              </w:rPr>
            </w:pPr>
          </w:p>
        </w:tc>
        <w:tc>
          <w:tcPr>
            <w:tcW w:w="10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1,819</w:t>
            </w:r>
          </w:p>
        </w:tc>
        <w:tc>
          <w:tcPr>
            <w:tcW w:w="6940" w:type="dxa"/>
            <w:vAlign w:val="bottom"/>
            <w:shd w:val="clear" w:color="auto" w:fill="BFBFBF"/>
          </w:tcPr>
          <w:p>
            <w:pPr>
              <w:ind w:left="380"/>
              <w:spacing w:after="0" w:line="202" w:lineRule="exact"/>
              <w:rPr>
                <w:sz w:val="20"/>
                <w:szCs w:val="20"/>
                <w:color w:val="auto"/>
              </w:rPr>
            </w:pPr>
            <w:r>
              <w:rPr>
                <w:rFonts w:ascii="Arial" w:cs="Arial" w:eastAsia="Arial" w:hAnsi="Arial"/>
                <w:sz w:val="18"/>
                <w:szCs w:val="18"/>
                <w:color w:val="auto"/>
              </w:rPr>
              <w:t>Income taxes payable</w:t>
            </w:r>
          </w:p>
        </w:tc>
        <w:tc>
          <w:tcPr>
            <w:tcW w:w="102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3,987</w:t>
            </w:r>
          </w:p>
        </w:tc>
        <w:tc>
          <w:tcPr>
            <w:tcW w:w="200" w:type="dxa"/>
            <w:vAlign w:val="bottom"/>
            <w:shd w:val="clear" w:color="auto" w:fill="BFBFBF"/>
          </w:tcPr>
          <w:p>
            <w:pPr>
              <w:spacing w:after="0"/>
              <w:rPr>
                <w:sz w:val="17"/>
                <w:szCs w:val="17"/>
                <w:color w:val="auto"/>
              </w:rPr>
            </w:pPr>
          </w:p>
        </w:tc>
        <w:tc>
          <w:tcPr>
            <w:tcW w:w="10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6"/>
        </w:trPr>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1,723</w:t>
            </w:r>
          </w:p>
        </w:tc>
        <w:tc>
          <w:tcPr>
            <w:tcW w:w="220" w:type="dxa"/>
            <w:vAlign w:val="bottom"/>
            <w:tcBorders>
              <w:bottom w:val="single" w:sz="8" w:color="BFBFB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w:t>
            </w:r>
          </w:p>
        </w:tc>
        <w:tc>
          <w:tcPr>
            <w:tcW w:w="6940" w:type="dxa"/>
            <w:vAlign w:val="bottom"/>
            <w:tcBorders>
              <w:bottom w:val="single" w:sz="8" w:color="BFBFBF"/>
            </w:tcBorders>
          </w:tcPr>
          <w:p>
            <w:pPr>
              <w:ind w:left="380"/>
              <w:spacing w:after="0"/>
              <w:rPr>
                <w:sz w:val="20"/>
                <w:szCs w:val="20"/>
                <w:color w:val="auto"/>
              </w:rPr>
            </w:pPr>
            <w:r>
              <w:rPr>
                <w:rFonts w:ascii="Arial" w:cs="Arial" w:eastAsia="Arial" w:hAnsi="Arial"/>
                <w:sz w:val="18"/>
                <w:szCs w:val="18"/>
                <w:color w:val="auto"/>
              </w:rPr>
              <w:t>Other, net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6,330</w:t>
            </w:r>
          </w:p>
        </w:tc>
        <w:tc>
          <w:tcPr>
            <w:tcW w:w="200" w:type="dxa"/>
            <w:vAlign w:val="bottom"/>
            <w:tcBorders>
              <w:bottom w:val="single" w:sz="8" w:color="BFBFB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(6,512)</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41,893</w:t>
            </w:r>
          </w:p>
        </w:tc>
        <w:tc>
          <w:tcPr>
            <w:tcW w:w="220" w:type="dxa"/>
            <w:vAlign w:val="bottom"/>
            <w:shd w:val="clear" w:color="auto" w:fill="BFBFBF"/>
          </w:tcPr>
          <w:p>
            <w:pPr>
              <w:spacing w:after="0"/>
              <w:rPr>
                <w:sz w:val="17"/>
                <w:szCs w:val="17"/>
                <w:color w:val="auto"/>
              </w:rPr>
            </w:pPr>
          </w:p>
        </w:tc>
        <w:tc>
          <w:tcPr>
            <w:tcW w:w="1000" w:type="dxa"/>
            <w:vAlign w:val="bottom"/>
            <w:tcBorders>
              <w:bottom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22,463</w:t>
            </w:r>
          </w:p>
        </w:tc>
        <w:tc>
          <w:tcPr>
            <w:tcW w:w="6940" w:type="dxa"/>
            <w:vAlign w:val="bottom"/>
            <w:shd w:val="clear" w:color="auto" w:fill="BFBFBF"/>
          </w:tcPr>
          <w:p>
            <w:pPr>
              <w:ind w:left="38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020" w:type="dxa"/>
            <w:vAlign w:val="bottom"/>
            <w:tcBorders>
              <w:bottom w:val="single" w:sz="8" w:color="auto"/>
            </w:tcBorders>
            <w:shd w:val="clear" w:color="auto" w:fill="BFBFBF"/>
          </w:tcPr>
          <w:p>
            <w:pPr>
              <w:jc w:val="right"/>
              <w:ind w:right="30"/>
              <w:spacing w:after="0" w:line="196" w:lineRule="exact"/>
              <w:rPr>
                <w:sz w:val="20"/>
                <w:szCs w:val="20"/>
                <w:color w:val="auto"/>
              </w:rPr>
            </w:pPr>
            <w:r>
              <w:rPr>
                <w:rFonts w:ascii="Arial" w:cs="Arial" w:eastAsia="Arial" w:hAnsi="Arial"/>
                <w:sz w:val="18"/>
                <w:szCs w:val="18"/>
                <w:color w:val="auto"/>
              </w:rPr>
              <w:t>59,245</w:t>
            </w:r>
          </w:p>
        </w:tc>
        <w:tc>
          <w:tcPr>
            <w:tcW w:w="200" w:type="dxa"/>
            <w:vAlign w:val="bottom"/>
            <w:shd w:val="clear" w:color="auto" w:fill="BFBFBF"/>
          </w:tcPr>
          <w:p>
            <w:pPr>
              <w:spacing w:after="0"/>
              <w:rPr>
                <w:sz w:val="17"/>
                <w:szCs w:val="17"/>
                <w:color w:val="auto"/>
              </w:rPr>
            </w:pPr>
          </w:p>
        </w:tc>
        <w:tc>
          <w:tcPr>
            <w:tcW w:w="1020" w:type="dxa"/>
            <w:vAlign w:val="bottom"/>
            <w:tcBorders>
              <w:bottom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64,000</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shd w:val="clear" w:color="auto" w:fill="BFBFBF"/>
          </w:tcPr>
          <w:p>
            <w:pPr>
              <w:spacing w:after="0"/>
              <w:rPr>
                <w:sz w:val="17"/>
                <w:szCs w:val="17"/>
                <w:color w:val="auto"/>
              </w:rPr>
            </w:pPr>
          </w:p>
        </w:tc>
        <w:tc>
          <w:tcPr>
            <w:tcW w:w="220" w:type="dxa"/>
            <w:vAlign w:val="bottom"/>
            <w:shd w:val="clear" w:color="auto" w:fill="BFBFBF"/>
          </w:tcPr>
          <w:p>
            <w:pPr>
              <w:spacing w:after="0"/>
              <w:rPr>
                <w:sz w:val="17"/>
                <w:szCs w:val="17"/>
                <w:color w:val="auto"/>
              </w:rPr>
            </w:pPr>
          </w:p>
        </w:tc>
        <w:tc>
          <w:tcPr>
            <w:tcW w:w="1000" w:type="dxa"/>
            <w:vAlign w:val="bottom"/>
            <w:shd w:val="clear" w:color="auto" w:fill="BFBFBF"/>
          </w:tcPr>
          <w:p>
            <w:pPr>
              <w:spacing w:after="0"/>
              <w:rPr>
                <w:sz w:val="17"/>
                <w:szCs w:val="17"/>
                <w:color w:val="auto"/>
              </w:rPr>
            </w:pPr>
          </w:p>
        </w:tc>
        <w:tc>
          <w:tcPr>
            <w:tcW w:w="6940" w:type="dxa"/>
            <w:vAlign w:val="bottom"/>
            <w:shd w:val="clear" w:color="auto" w:fill="BFBFBF"/>
          </w:tcPr>
          <w:p>
            <w:pPr>
              <w:ind w:left="220"/>
              <w:spacing w:after="0" w:line="202" w:lineRule="exact"/>
              <w:rPr>
                <w:sz w:val="20"/>
                <w:szCs w:val="20"/>
                <w:color w:val="auto"/>
              </w:rPr>
            </w:pPr>
            <w:r>
              <w:rPr>
                <w:rFonts w:ascii="Arial" w:cs="Arial" w:eastAsia="Arial" w:hAnsi="Arial"/>
                <w:sz w:val="18"/>
                <w:szCs w:val="18"/>
                <w:color w:val="auto"/>
              </w:rPr>
              <w:t>INVESTING ACTIVITIES</w:t>
            </w:r>
          </w:p>
        </w:tc>
        <w:tc>
          <w:tcPr>
            <w:tcW w:w="1020" w:type="dxa"/>
            <w:vAlign w:val="bottom"/>
            <w:shd w:val="clear" w:color="auto" w:fill="BFBFBF"/>
          </w:tcPr>
          <w:p>
            <w:pPr>
              <w:spacing w:after="0"/>
              <w:rPr>
                <w:sz w:val="17"/>
                <w:szCs w:val="17"/>
                <w:color w:val="auto"/>
              </w:rPr>
            </w:pPr>
          </w:p>
        </w:tc>
        <w:tc>
          <w:tcPr>
            <w:tcW w:w="200" w:type="dxa"/>
            <w:vAlign w:val="bottom"/>
            <w:shd w:val="clear" w:color="auto" w:fill="BFBFBF"/>
          </w:tcPr>
          <w:p>
            <w:pPr>
              <w:spacing w:after="0"/>
              <w:rPr>
                <w:sz w:val="17"/>
                <w:szCs w:val="17"/>
                <w:color w:val="auto"/>
              </w:rPr>
            </w:pPr>
          </w:p>
        </w:tc>
        <w:tc>
          <w:tcPr>
            <w:tcW w:w="102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(9,023)</w:t>
            </w: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(18,704)</w:t>
            </w:r>
          </w:p>
        </w:tc>
        <w:tc>
          <w:tcPr>
            <w:tcW w:w="6940" w:type="dxa"/>
            <w:vAlign w:val="bottom"/>
          </w:tcPr>
          <w:p>
            <w:pPr>
              <w:ind w:left="380"/>
              <w:spacing w:after="0" w:line="202" w:lineRule="exact"/>
              <w:rPr>
                <w:sz w:val="20"/>
                <w:szCs w:val="20"/>
                <w:color w:val="auto"/>
              </w:rPr>
            </w:pPr>
            <w:r>
              <w:rPr>
                <w:rFonts w:ascii="Arial" w:cs="Arial" w:eastAsia="Arial" w:hAnsi="Arial"/>
                <w:sz w:val="18"/>
                <w:szCs w:val="18"/>
                <w:color w:val="auto"/>
              </w:rPr>
              <w:t>Purchases of property, plant and equipment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(39,689)</w:t>
            </w: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(46,106)</w:t>
            </w:r>
          </w:p>
        </w:tc>
        <w:tc>
          <w:tcPr>
            <w:tcW w:w="0" w:type="dxa"/>
            <w:vAlign w:val="bottom"/>
          </w:tcPr>
          <w:p>
            <w:pPr>
              <w:spacing w:after="0"/>
              <w:rPr>
                <w:sz w:val="1"/>
                <w:szCs w:val="1"/>
                <w:color w:val="auto"/>
              </w:rPr>
            </w:pPr>
          </w:p>
        </w:tc>
      </w:tr>
      <w:tr>
        <w:trPr>
          <w:trHeight w:val="203"/>
        </w:trPr>
        <w:tc>
          <w:tcPr>
            <w:tcW w:w="10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(252)</w:t>
            </w:r>
          </w:p>
        </w:tc>
        <w:tc>
          <w:tcPr>
            <w:tcW w:w="220" w:type="dxa"/>
            <w:vAlign w:val="bottom"/>
            <w:shd w:val="clear" w:color="auto" w:fill="BFBFBF"/>
          </w:tcPr>
          <w:p>
            <w:pPr>
              <w:spacing w:after="0"/>
              <w:rPr>
                <w:sz w:val="17"/>
                <w:szCs w:val="17"/>
                <w:color w:val="auto"/>
              </w:rPr>
            </w:pPr>
          </w:p>
        </w:tc>
        <w:tc>
          <w:tcPr>
            <w:tcW w:w="10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(189)</w:t>
            </w:r>
          </w:p>
        </w:tc>
        <w:tc>
          <w:tcPr>
            <w:tcW w:w="6940" w:type="dxa"/>
            <w:vAlign w:val="bottom"/>
            <w:shd w:val="clear" w:color="auto" w:fill="BFBFBF"/>
          </w:tcPr>
          <w:p>
            <w:pPr>
              <w:ind w:left="380"/>
              <w:spacing w:after="0" w:line="202" w:lineRule="exact"/>
              <w:rPr>
                <w:sz w:val="20"/>
                <w:szCs w:val="20"/>
                <w:color w:val="auto"/>
              </w:rPr>
            </w:pPr>
            <w:r>
              <w:rPr>
                <w:rFonts w:ascii="Arial" w:cs="Arial" w:eastAsia="Arial" w:hAnsi="Arial"/>
                <w:sz w:val="18"/>
                <w:szCs w:val="18"/>
                <w:color w:val="auto"/>
              </w:rPr>
              <w:t>Purchased software</w:t>
            </w:r>
          </w:p>
        </w:tc>
        <w:tc>
          <w:tcPr>
            <w:tcW w:w="10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(589)</w:t>
            </w:r>
          </w:p>
        </w:tc>
        <w:tc>
          <w:tcPr>
            <w:tcW w:w="200" w:type="dxa"/>
            <w:vAlign w:val="bottom"/>
            <w:shd w:val="clear" w:color="auto" w:fill="BFBFBF"/>
          </w:tcPr>
          <w:p>
            <w:pPr>
              <w:spacing w:after="0"/>
              <w:rPr>
                <w:sz w:val="17"/>
                <w:szCs w:val="17"/>
                <w:color w:val="auto"/>
              </w:rPr>
            </w:pPr>
          </w:p>
        </w:tc>
        <w:tc>
          <w:tcPr>
            <w:tcW w:w="10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BFBFBF"/>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940" w:type="dxa"/>
            <w:vAlign w:val="bottom"/>
            <w:tcBorders>
              <w:bottom w:val="single" w:sz="8" w:color="BFBFBF"/>
            </w:tcBorders>
          </w:tcPr>
          <w:p>
            <w:pPr>
              <w:ind w:left="380"/>
              <w:spacing w:after="0"/>
              <w:rPr>
                <w:sz w:val="20"/>
                <w:szCs w:val="20"/>
                <w:color w:val="auto"/>
              </w:rPr>
            </w:pPr>
            <w:r>
              <w:rPr>
                <w:rFonts w:ascii="Arial" w:cs="Arial" w:eastAsia="Arial" w:hAnsi="Arial"/>
                <w:sz w:val="18"/>
                <w:szCs w:val="18"/>
                <w:color w:val="auto"/>
              </w:rPr>
              <w:t>Proceeds from sale or involuntary conversion of assets</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2,797</w:t>
            </w:r>
          </w:p>
        </w:tc>
        <w:tc>
          <w:tcPr>
            <w:tcW w:w="200" w:type="dxa"/>
            <w:vAlign w:val="bottom"/>
            <w:tcBorders>
              <w:bottom w:val="single" w:sz="8" w:color="BFBFBF"/>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(9,275)</w:t>
            </w:r>
          </w:p>
        </w:tc>
        <w:tc>
          <w:tcPr>
            <w:tcW w:w="220" w:type="dxa"/>
            <w:vAlign w:val="bottom"/>
            <w:shd w:val="clear" w:color="auto" w:fill="BFBFBF"/>
          </w:tcPr>
          <w:p>
            <w:pPr>
              <w:spacing w:after="0"/>
              <w:rPr>
                <w:sz w:val="17"/>
                <w:szCs w:val="17"/>
                <w:color w:val="auto"/>
              </w:rPr>
            </w:pPr>
          </w:p>
        </w:tc>
        <w:tc>
          <w:tcPr>
            <w:tcW w:w="100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(18,893)</w:t>
            </w:r>
          </w:p>
        </w:tc>
        <w:tc>
          <w:tcPr>
            <w:tcW w:w="6940" w:type="dxa"/>
            <w:vAlign w:val="bottom"/>
            <w:shd w:val="clear" w:color="auto" w:fill="BFBFBF"/>
          </w:tcPr>
          <w:p>
            <w:pPr>
              <w:ind w:left="380"/>
              <w:spacing w:after="0" w:line="196" w:lineRule="exact"/>
              <w:rPr>
                <w:sz w:val="20"/>
                <w:szCs w:val="20"/>
                <w:color w:val="auto"/>
              </w:rPr>
            </w:pPr>
            <w:r>
              <w:rPr>
                <w:rFonts w:ascii="Arial" w:cs="Arial" w:eastAsia="Arial" w:hAnsi="Arial"/>
                <w:sz w:val="18"/>
                <w:szCs w:val="18"/>
                <w:color w:val="auto"/>
              </w:rPr>
              <w:t>Net cash used in investing activities</w:t>
            </w:r>
          </w:p>
        </w:tc>
        <w:tc>
          <w:tcPr>
            <w:tcW w:w="102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(37,481)</w:t>
            </w:r>
          </w:p>
        </w:tc>
        <w:tc>
          <w:tcPr>
            <w:tcW w:w="200" w:type="dxa"/>
            <w:vAlign w:val="bottom"/>
            <w:shd w:val="clear" w:color="auto" w:fill="BFBFBF"/>
          </w:tcPr>
          <w:p>
            <w:pPr>
              <w:spacing w:after="0"/>
              <w:rPr>
                <w:sz w:val="17"/>
                <w:szCs w:val="17"/>
                <w:color w:val="auto"/>
              </w:rPr>
            </w:pPr>
          </w:p>
        </w:tc>
        <w:tc>
          <w:tcPr>
            <w:tcW w:w="102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(45,649)</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shd w:val="clear" w:color="auto" w:fill="BFBFBF"/>
          </w:tcPr>
          <w:p>
            <w:pPr>
              <w:spacing w:after="0"/>
              <w:rPr>
                <w:sz w:val="17"/>
                <w:szCs w:val="17"/>
                <w:color w:val="auto"/>
              </w:rPr>
            </w:pPr>
          </w:p>
        </w:tc>
        <w:tc>
          <w:tcPr>
            <w:tcW w:w="220" w:type="dxa"/>
            <w:vAlign w:val="bottom"/>
            <w:shd w:val="clear" w:color="auto" w:fill="BFBFBF"/>
          </w:tcPr>
          <w:p>
            <w:pPr>
              <w:spacing w:after="0"/>
              <w:rPr>
                <w:sz w:val="17"/>
                <w:szCs w:val="17"/>
                <w:color w:val="auto"/>
              </w:rPr>
            </w:pPr>
          </w:p>
        </w:tc>
        <w:tc>
          <w:tcPr>
            <w:tcW w:w="1000" w:type="dxa"/>
            <w:vAlign w:val="bottom"/>
            <w:shd w:val="clear" w:color="auto" w:fill="BFBFBF"/>
          </w:tcPr>
          <w:p>
            <w:pPr>
              <w:spacing w:after="0"/>
              <w:rPr>
                <w:sz w:val="17"/>
                <w:szCs w:val="17"/>
                <w:color w:val="auto"/>
              </w:rPr>
            </w:pPr>
          </w:p>
        </w:tc>
        <w:tc>
          <w:tcPr>
            <w:tcW w:w="6940" w:type="dxa"/>
            <w:vAlign w:val="bottom"/>
            <w:shd w:val="clear" w:color="auto" w:fill="BFBFBF"/>
          </w:tcPr>
          <w:p>
            <w:pPr>
              <w:ind w:left="220"/>
              <w:spacing w:after="0" w:line="202" w:lineRule="exact"/>
              <w:rPr>
                <w:sz w:val="20"/>
                <w:szCs w:val="20"/>
                <w:color w:val="auto"/>
              </w:rPr>
            </w:pPr>
            <w:r>
              <w:rPr>
                <w:rFonts w:ascii="Arial" w:cs="Arial" w:eastAsia="Arial" w:hAnsi="Arial"/>
                <w:sz w:val="18"/>
                <w:szCs w:val="18"/>
                <w:color w:val="auto"/>
              </w:rPr>
              <w:t>FINANCING ACTIVITIES</w:t>
            </w:r>
          </w:p>
        </w:tc>
        <w:tc>
          <w:tcPr>
            <w:tcW w:w="1020" w:type="dxa"/>
            <w:vAlign w:val="bottom"/>
            <w:shd w:val="clear" w:color="auto" w:fill="BFBFBF"/>
          </w:tcPr>
          <w:p>
            <w:pPr>
              <w:spacing w:after="0"/>
              <w:rPr>
                <w:sz w:val="17"/>
                <w:szCs w:val="17"/>
                <w:color w:val="auto"/>
              </w:rPr>
            </w:pPr>
          </w:p>
        </w:tc>
        <w:tc>
          <w:tcPr>
            <w:tcW w:w="200" w:type="dxa"/>
            <w:vAlign w:val="bottom"/>
            <w:shd w:val="clear" w:color="auto" w:fill="BFBFBF"/>
          </w:tcPr>
          <w:p>
            <w:pPr>
              <w:spacing w:after="0"/>
              <w:rPr>
                <w:sz w:val="17"/>
                <w:szCs w:val="17"/>
                <w:color w:val="auto"/>
              </w:rPr>
            </w:pPr>
          </w:p>
        </w:tc>
        <w:tc>
          <w:tcPr>
            <w:tcW w:w="102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5,198</w:t>
            </w:r>
          </w:p>
        </w:tc>
        <w:tc>
          <w:tcPr>
            <w:tcW w:w="22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5,420</w:t>
            </w:r>
          </w:p>
        </w:tc>
        <w:tc>
          <w:tcPr>
            <w:tcW w:w="6940" w:type="dxa"/>
            <w:vAlign w:val="bottom"/>
          </w:tcPr>
          <w:p>
            <w:pPr>
              <w:ind w:left="380"/>
              <w:spacing w:after="0" w:line="202" w:lineRule="exact"/>
              <w:rPr>
                <w:sz w:val="20"/>
                <w:szCs w:val="20"/>
                <w:color w:val="auto"/>
              </w:rPr>
            </w:pPr>
            <w:r>
              <w:rPr>
                <w:rFonts w:ascii="Arial" w:cs="Arial" w:eastAsia="Arial" w:hAnsi="Arial"/>
                <w:sz w:val="18"/>
                <w:szCs w:val="18"/>
                <w:color w:val="auto"/>
              </w:rPr>
              <w:t>Proceeds from borrowings</w:t>
            </w: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44,818</w:t>
            </w:r>
          </w:p>
        </w:tc>
        <w:tc>
          <w:tcPr>
            <w:tcW w:w="20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10,090</w:t>
            </w:r>
          </w:p>
        </w:tc>
        <w:tc>
          <w:tcPr>
            <w:tcW w:w="0" w:type="dxa"/>
            <w:vAlign w:val="bottom"/>
          </w:tcPr>
          <w:p>
            <w:pPr>
              <w:spacing w:after="0"/>
              <w:rPr>
                <w:sz w:val="1"/>
                <w:szCs w:val="1"/>
                <w:color w:val="auto"/>
              </w:rPr>
            </w:pPr>
          </w:p>
        </w:tc>
      </w:tr>
      <w:tr>
        <w:trPr>
          <w:trHeight w:val="203"/>
        </w:trPr>
        <w:tc>
          <w:tcPr>
            <w:tcW w:w="10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(37,354)</w:t>
            </w:r>
          </w:p>
        </w:tc>
        <w:tc>
          <w:tcPr>
            <w:tcW w:w="220" w:type="dxa"/>
            <w:vAlign w:val="bottom"/>
            <w:shd w:val="clear" w:color="auto" w:fill="BFBFBF"/>
          </w:tcPr>
          <w:p>
            <w:pPr>
              <w:spacing w:after="0"/>
              <w:rPr>
                <w:sz w:val="17"/>
                <w:szCs w:val="17"/>
                <w:color w:val="auto"/>
              </w:rPr>
            </w:pPr>
          </w:p>
        </w:tc>
        <w:tc>
          <w:tcPr>
            <w:tcW w:w="10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(6,815)</w:t>
            </w:r>
          </w:p>
        </w:tc>
        <w:tc>
          <w:tcPr>
            <w:tcW w:w="6940" w:type="dxa"/>
            <w:vAlign w:val="bottom"/>
            <w:shd w:val="clear" w:color="auto" w:fill="BFBFBF"/>
          </w:tcPr>
          <w:p>
            <w:pPr>
              <w:ind w:left="380"/>
              <w:spacing w:after="0" w:line="202" w:lineRule="exact"/>
              <w:rPr>
                <w:sz w:val="20"/>
                <w:szCs w:val="20"/>
                <w:color w:val="auto"/>
              </w:rPr>
            </w:pPr>
            <w:r>
              <w:rPr>
                <w:rFonts w:ascii="Arial" w:cs="Arial" w:eastAsia="Arial" w:hAnsi="Arial"/>
                <w:sz w:val="18"/>
                <w:szCs w:val="18"/>
                <w:color w:val="auto"/>
              </w:rPr>
              <w:t>Principal payments on debt</w:t>
            </w:r>
          </w:p>
        </w:tc>
        <w:tc>
          <w:tcPr>
            <w:tcW w:w="10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(47,100)</w:t>
            </w:r>
          </w:p>
        </w:tc>
        <w:tc>
          <w:tcPr>
            <w:tcW w:w="200" w:type="dxa"/>
            <w:vAlign w:val="bottom"/>
            <w:shd w:val="clear" w:color="auto" w:fill="BFBFBF"/>
          </w:tcPr>
          <w:p>
            <w:pPr>
              <w:spacing w:after="0"/>
              <w:rPr>
                <w:sz w:val="17"/>
                <w:szCs w:val="17"/>
                <w:color w:val="auto"/>
              </w:rPr>
            </w:pPr>
          </w:p>
        </w:tc>
        <w:tc>
          <w:tcPr>
            <w:tcW w:w="10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(30,924)</w:t>
            </w:r>
          </w:p>
        </w:tc>
        <w:tc>
          <w:tcPr>
            <w:tcW w:w="0" w:type="dxa"/>
            <w:vAlign w:val="bottom"/>
          </w:tcPr>
          <w:p>
            <w:pPr>
              <w:spacing w:after="0"/>
              <w:rPr>
                <w:sz w:val="1"/>
                <w:szCs w:val="1"/>
                <w:color w:val="auto"/>
              </w:rPr>
            </w:pPr>
          </w:p>
        </w:tc>
      </w:tr>
      <w:tr>
        <w:trPr>
          <w:trHeight w:val="203"/>
        </w:trPr>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22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940" w:type="dxa"/>
            <w:vAlign w:val="bottom"/>
          </w:tcPr>
          <w:p>
            <w:pPr>
              <w:ind w:left="380"/>
              <w:spacing w:after="0" w:line="202" w:lineRule="exact"/>
              <w:rPr>
                <w:sz w:val="20"/>
                <w:szCs w:val="20"/>
                <w:color w:val="auto"/>
              </w:rPr>
            </w:pPr>
            <w:r>
              <w:rPr>
                <w:rFonts w:ascii="Arial" w:cs="Arial" w:eastAsia="Arial" w:hAnsi="Arial"/>
                <w:sz w:val="18"/>
                <w:szCs w:val="18"/>
                <w:color w:val="auto"/>
              </w:rPr>
              <w:t>Debt acquisition costs</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(1,671)</w:t>
            </w:r>
          </w:p>
        </w:tc>
        <w:tc>
          <w:tcPr>
            <w:tcW w:w="20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0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75</w:t>
            </w:r>
          </w:p>
        </w:tc>
        <w:tc>
          <w:tcPr>
            <w:tcW w:w="220" w:type="dxa"/>
            <w:vAlign w:val="bottom"/>
            <w:shd w:val="clear" w:color="auto" w:fill="BFBFBF"/>
          </w:tcPr>
          <w:p>
            <w:pPr>
              <w:spacing w:after="0"/>
              <w:rPr>
                <w:sz w:val="17"/>
                <w:szCs w:val="17"/>
                <w:color w:val="auto"/>
              </w:rPr>
            </w:pPr>
          </w:p>
        </w:tc>
        <w:tc>
          <w:tcPr>
            <w:tcW w:w="10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223</w:t>
            </w:r>
          </w:p>
        </w:tc>
        <w:tc>
          <w:tcPr>
            <w:tcW w:w="6940" w:type="dxa"/>
            <w:vAlign w:val="bottom"/>
            <w:shd w:val="clear" w:color="auto" w:fill="BFBFBF"/>
          </w:tcPr>
          <w:p>
            <w:pPr>
              <w:ind w:left="380"/>
              <w:spacing w:after="0" w:line="202" w:lineRule="exact"/>
              <w:rPr>
                <w:sz w:val="20"/>
                <w:szCs w:val="20"/>
                <w:color w:val="auto"/>
              </w:rPr>
            </w:pPr>
            <w:r>
              <w:rPr>
                <w:rFonts w:ascii="Arial" w:cs="Arial" w:eastAsia="Arial" w:hAnsi="Arial"/>
                <w:sz w:val="18"/>
                <w:szCs w:val="18"/>
                <w:color w:val="auto"/>
              </w:rPr>
              <w:t>Proceeds from options exercised</w:t>
            </w:r>
          </w:p>
        </w:tc>
        <w:tc>
          <w:tcPr>
            <w:tcW w:w="102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1,799</w:t>
            </w:r>
          </w:p>
        </w:tc>
        <w:tc>
          <w:tcPr>
            <w:tcW w:w="200" w:type="dxa"/>
            <w:vAlign w:val="bottom"/>
            <w:shd w:val="clear" w:color="auto" w:fill="BFBFBF"/>
          </w:tcPr>
          <w:p>
            <w:pPr>
              <w:spacing w:after="0"/>
              <w:rPr>
                <w:sz w:val="17"/>
                <w:szCs w:val="17"/>
                <w:color w:val="auto"/>
              </w:rPr>
            </w:pPr>
          </w:p>
        </w:tc>
        <w:tc>
          <w:tcPr>
            <w:tcW w:w="10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03"/>
        </w:trPr>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w:t>
            </w:r>
          </w:p>
        </w:tc>
        <w:tc>
          <w:tcPr>
            <w:tcW w:w="6940" w:type="dxa"/>
            <w:vAlign w:val="bottom"/>
          </w:tcPr>
          <w:p>
            <w:pPr>
              <w:ind w:left="380"/>
              <w:spacing w:after="0" w:line="202" w:lineRule="exact"/>
              <w:rPr>
                <w:sz w:val="20"/>
                <w:szCs w:val="20"/>
                <w:color w:val="auto"/>
              </w:rPr>
            </w:pPr>
            <w:r>
              <w:rPr>
                <w:rFonts w:ascii="Arial" w:cs="Arial" w:eastAsia="Arial" w:hAnsi="Arial"/>
                <w:sz w:val="18"/>
                <w:szCs w:val="18"/>
                <w:color w:val="auto"/>
              </w:rPr>
              <w:t>Excess tax benefit of options exercised</w:t>
            </w: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603</w:t>
            </w:r>
          </w:p>
        </w:tc>
        <w:tc>
          <w:tcPr>
            <w:tcW w:w="20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102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(5,441)</w:t>
            </w:r>
          </w:p>
        </w:tc>
        <w:tc>
          <w:tcPr>
            <w:tcW w:w="220" w:type="dxa"/>
            <w:vAlign w:val="bottom"/>
            <w:shd w:val="clear" w:color="auto" w:fill="BFBFBF"/>
          </w:tcPr>
          <w:p>
            <w:pPr>
              <w:spacing w:after="0"/>
              <w:rPr>
                <w:sz w:val="18"/>
                <w:szCs w:val="18"/>
                <w:color w:val="auto"/>
              </w:rPr>
            </w:pPr>
          </w:p>
        </w:tc>
        <w:tc>
          <w:tcPr>
            <w:tcW w:w="100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(5,094)</w:t>
            </w:r>
          </w:p>
        </w:tc>
        <w:tc>
          <w:tcPr>
            <w:tcW w:w="6940" w:type="dxa"/>
            <w:vAlign w:val="bottom"/>
            <w:shd w:val="clear" w:color="auto" w:fill="BFBFBF"/>
          </w:tcPr>
          <w:p>
            <w:pPr>
              <w:ind w:left="380"/>
              <w:spacing w:after="0"/>
              <w:rPr>
                <w:sz w:val="20"/>
                <w:szCs w:val="20"/>
                <w:color w:val="auto"/>
              </w:rPr>
            </w:pPr>
            <w:r>
              <w:rPr>
                <w:rFonts w:ascii="Arial" w:cs="Arial" w:eastAsia="Arial" w:hAnsi="Arial"/>
                <w:sz w:val="18"/>
                <w:szCs w:val="18"/>
                <w:color w:val="auto"/>
              </w:rPr>
              <w:t>Dividends paid</w:t>
            </w:r>
          </w:p>
        </w:tc>
        <w:tc>
          <w:tcPr>
            <w:tcW w:w="102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(15,646)</w:t>
            </w:r>
          </w:p>
        </w:tc>
        <w:tc>
          <w:tcPr>
            <w:tcW w:w="200" w:type="dxa"/>
            <w:vAlign w:val="bottom"/>
            <w:shd w:val="clear" w:color="auto" w:fill="BFBFBF"/>
          </w:tcPr>
          <w:p>
            <w:pPr>
              <w:spacing w:after="0"/>
              <w:rPr>
                <w:sz w:val="18"/>
                <w:szCs w:val="18"/>
                <w:color w:val="auto"/>
              </w:rPr>
            </w:pPr>
          </w:p>
        </w:tc>
        <w:tc>
          <w:tcPr>
            <w:tcW w:w="102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(14,633)</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(37,563)</w:t>
            </w:r>
          </w:p>
        </w:tc>
        <w:tc>
          <w:tcPr>
            <w:tcW w:w="220" w:type="dxa"/>
            <w:vAlign w:val="bottom"/>
            <w:tcBorders>
              <w:bottom w:val="single" w:sz="8" w:color="BFBFBF"/>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(6,250)</w:t>
            </w:r>
          </w:p>
        </w:tc>
        <w:tc>
          <w:tcPr>
            <w:tcW w:w="6940" w:type="dxa"/>
            <w:vAlign w:val="bottom"/>
            <w:tcBorders>
              <w:bottom w:val="single" w:sz="8" w:color="BFBFBF"/>
            </w:tcBorders>
          </w:tcPr>
          <w:p>
            <w:pPr>
              <w:ind w:left="380"/>
              <w:spacing w:after="0" w:line="196" w:lineRule="exact"/>
              <w:rPr>
                <w:sz w:val="20"/>
                <w:szCs w:val="20"/>
                <w:color w:val="auto"/>
              </w:rPr>
            </w:pPr>
            <w:r>
              <w:rPr>
                <w:rFonts w:ascii="Arial" w:cs="Arial" w:eastAsia="Arial" w:hAnsi="Arial"/>
                <w:sz w:val="18"/>
                <w:szCs w:val="18"/>
                <w:color w:val="auto"/>
              </w:rPr>
              <w:t>Net cash used in financing activities</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(17,197)</w:t>
            </w:r>
          </w:p>
        </w:tc>
        <w:tc>
          <w:tcPr>
            <w:tcW w:w="200" w:type="dxa"/>
            <w:vAlign w:val="bottom"/>
            <w:tcBorders>
              <w:bottom w:val="single" w:sz="8" w:color="BFBFBF"/>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(34,696)</w:t>
            </w:r>
          </w:p>
        </w:tc>
        <w:tc>
          <w:tcPr>
            <w:tcW w:w="0" w:type="dxa"/>
            <w:vAlign w:val="bottom"/>
          </w:tcPr>
          <w:p>
            <w:pPr>
              <w:spacing w:after="0"/>
              <w:rPr>
                <w:sz w:val="1"/>
                <w:szCs w:val="1"/>
                <w:color w:val="auto"/>
              </w:rPr>
            </w:pPr>
          </w:p>
        </w:tc>
      </w:tr>
      <w:tr>
        <w:trPr>
          <w:trHeight w:val="196"/>
        </w:trPr>
        <w:tc>
          <w:tcPr>
            <w:tcW w:w="1020" w:type="dxa"/>
            <w:vAlign w:val="bottom"/>
            <w:shd w:val="clear" w:color="auto" w:fill="BFBFBF"/>
          </w:tcPr>
          <w:p>
            <w:pPr>
              <w:spacing w:after="0"/>
              <w:rPr>
                <w:sz w:val="17"/>
                <w:szCs w:val="17"/>
                <w:color w:val="auto"/>
              </w:rPr>
            </w:pPr>
          </w:p>
        </w:tc>
        <w:tc>
          <w:tcPr>
            <w:tcW w:w="220" w:type="dxa"/>
            <w:vAlign w:val="bottom"/>
            <w:shd w:val="clear" w:color="auto" w:fill="BFBFBF"/>
          </w:tcPr>
          <w:p>
            <w:pPr>
              <w:spacing w:after="0"/>
              <w:rPr>
                <w:sz w:val="17"/>
                <w:szCs w:val="17"/>
                <w:color w:val="auto"/>
              </w:rPr>
            </w:pPr>
          </w:p>
        </w:tc>
        <w:tc>
          <w:tcPr>
            <w:tcW w:w="1000" w:type="dxa"/>
            <w:vAlign w:val="bottom"/>
            <w:shd w:val="clear" w:color="auto" w:fill="BFBFBF"/>
          </w:tcPr>
          <w:p>
            <w:pPr>
              <w:spacing w:after="0"/>
              <w:rPr>
                <w:sz w:val="17"/>
                <w:szCs w:val="17"/>
                <w:color w:val="auto"/>
              </w:rPr>
            </w:pPr>
          </w:p>
        </w:tc>
        <w:tc>
          <w:tcPr>
            <w:tcW w:w="6940" w:type="dxa"/>
            <w:vAlign w:val="bottom"/>
            <w:shd w:val="clear" w:color="auto" w:fill="BFBFBF"/>
          </w:tcPr>
          <w:p>
            <w:pPr>
              <w:spacing w:after="0"/>
              <w:rPr>
                <w:sz w:val="17"/>
                <w:szCs w:val="17"/>
                <w:color w:val="auto"/>
              </w:rPr>
            </w:pPr>
          </w:p>
        </w:tc>
        <w:tc>
          <w:tcPr>
            <w:tcW w:w="1020" w:type="dxa"/>
            <w:vAlign w:val="bottom"/>
            <w:shd w:val="clear" w:color="auto" w:fill="BFBFBF"/>
          </w:tcPr>
          <w:p>
            <w:pPr>
              <w:spacing w:after="0"/>
              <w:rPr>
                <w:sz w:val="17"/>
                <w:szCs w:val="17"/>
                <w:color w:val="auto"/>
              </w:rPr>
            </w:pPr>
          </w:p>
        </w:tc>
        <w:tc>
          <w:tcPr>
            <w:tcW w:w="200" w:type="dxa"/>
            <w:vAlign w:val="bottom"/>
            <w:shd w:val="clear" w:color="auto" w:fill="BFBFBF"/>
          </w:tcPr>
          <w:p>
            <w:pPr>
              <w:spacing w:after="0"/>
              <w:rPr>
                <w:sz w:val="17"/>
                <w:szCs w:val="17"/>
                <w:color w:val="auto"/>
              </w:rPr>
            </w:pPr>
          </w:p>
        </w:tc>
        <w:tc>
          <w:tcPr>
            <w:tcW w:w="102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right"/>
              <w:spacing w:after="0"/>
              <w:rPr>
                <w:sz w:val="20"/>
                <w:szCs w:val="20"/>
                <w:color w:val="auto"/>
              </w:rPr>
            </w:pPr>
            <w:r>
              <w:rPr>
                <w:rFonts w:ascii="Arial" w:cs="Arial" w:eastAsia="Arial" w:hAnsi="Arial"/>
                <w:sz w:val="18"/>
                <w:szCs w:val="18"/>
                <w:color w:val="auto"/>
              </w:rPr>
              <w:t>(5,749)</w:t>
            </w:r>
          </w:p>
        </w:tc>
        <w:tc>
          <w:tcPr>
            <w:tcW w:w="220" w:type="dxa"/>
            <w:vAlign w:val="bottom"/>
          </w:tcPr>
          <w:p>
            <w:pPr>
              <w:spacing w:after="0"/>
              <w:rPr>
                <w:sz w:val="18"/>
                <w:szCs w:val="18"/>
                <w:color w:val="auto"/>
              </w:rPr>
            </w:pPr>
          </w:p>
        </w:tc>
        <w:tc>
          <w:tcPr>
            <w:tcW w:w="7940" w:type="dxa"/>
            <w:vAlign w:val="bottom"/>
            <w:gridSpan w:val="2"/>
          </w:tcPr>
          <w:p>
            <w:pPr>
              <w:ind w:left="400"/>
              <w:spacing w:after="0"/>
              <w:rPr>
                <w:sz w:val="20"/>
                <w:szCs w:val="20"/>
                <w:color w:val="auto"/>
              </w:rPr>
            </w:pPr>
            <w:r>
              <w:rPr>
                <w:rFonts w:ascii="Arial" w:cs="Arial" w:eastAsia="Arial" w:hAnsi="Arial"/>
                <w:sz w:val="18"/>
                <w:szCs w:val="18"/>
                <w:color w:val="auto"/>
              </w:rPr>
              <w:t>(8,695)   Effect of exchange rate changes on cash and cash equivalents</w:t>
            </w:r>
          </w:p>
        </w:tc>
        <w:tc>
          <w:tcPr>
            <w:tcW w:w="1020" w:type="dxa"/>
            <w:vAlign w:val="bottom"/>
          </w:tcPr>
          <w:p>
            <w:pPr>
              <w:jc w:val="right"/>
              <w:spacing w:after="0"/>
              <w:rPr>
                <w:sz w:val="20"/>
                <w:szCs w:val="20"/>
                <w:color w:val="auto"/>
              </w:rPr>
            </w:pPr>
            <w:r>
              <w:rPr>
                <w:rFonts w:ascii="Arial" w:cs="Arial" w:eastAsia="Arial" w:hAnsi="Arial"/>
                <w:sz w:val="18"/>
                <w:szCs w:val="18"/>
                <w:color w:val="auto"/>
              </w:rPr>
              <w:t>(12,589)</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(10,860)</w:t>
            </w:r>
          </w:p>
        </w:tc>
        <w:tc>
          <w:tcPr>
            <w:tcW w:w="0" w:type="dxa"/>
            <w:vAlign w:val="bottom"/>
          </w:tcPr>
          <w:p>
            <w:pPr>
              <w:spacing w:after="0"/>
              <w:rPr>
                <w:sz w:val="1"/>
                <w:szCs w:val="1"/>
                <w:color w:val="auto"/>
              </w:rPr>
            </w:pPr>
          </w:p>
        </w:tc>
      </w:tr>
      <w:tr>
        <w:trPr>
          <w:trHeight w:val="196"/>
        </w:trPr>
        <w:tc>
          <w:tcPr>
            <w:tcW w:w="1020" w:type="dxa"/>
            <w:vAlign w:val="bottom"/>
            <w:tcBorders>
              <w:top w:val="single" w:sz="8" w:color="auto"/>
            </w:tcBorders>
            <w:shd w:val="clear" w:color="auto" w:fill="BFBFBF"/>
          </w:tcPr>
          <w:p>
            <w:pPr>
              <w:spacing w:after="0"/>
              <w:rPr>
                <w:sz w:val="17"/>
                <w:szCs w:val="17"/>
                <w:color w:val="auto"/>
              </w:rPr>
            </w:pPr>
          </w:p>
        </w:tc>
        <w:tc>
          <w:tcPr>
            <w:tcW w:w="220" w:type="dxa"/>
            <w:vAlign w:val="bottom"/>
            <w:tcBorders>
              <w:top w:val="single" w:sz="8" w:color="BFBFBF"/>
            </w:tcBorders>
            <w:shd w:val="clear" w:color="auto" w:fill="BFBFBF"/>
          </w:tcPr>
          <w:p>
            <w:pPr>
              <w:spacing w:after="0"/>
              <w:rPr>
                <w:sz w:val="17"/>
                <w:szCs w:val="17"/>
                <w:color w:val="auto"/>
              </w:rPr>
            </w:pPr>
          </w:p>
        </w:tc>
        <w:tc>
          <w:tcPr>
            <w:tcW w:w="1000" w:type="dxa"/>
            <w:vAlign w:val="bottom"/>
            <w:tcBorders>
              <w:top w:val="single" w:sz="8" w:color="auto"/>
            </w:tcBorders>
            <w:shd w:val="clear" w:color="auto" w:fill="BFBFBF"/>
          </w:tcPr>
          <w:p>
            <w:pPr>
              <w:spacing w:after="0"/>
              <w:rPr>
                <w:sz w:val="17"/>
                <w:szCs w:val="17"/>
                <w:color w:val="auto"/>
              </w:rPr>
            </w:pPr>
          </w:p>
        </w:tc>
        <w:tc>
          <w:tcPr>
            <w:tcW w:w="6940" w:type="dxa"/>
            <w:vAlign w:val="bottom"/>
            <w:tcBorders>
              <w:top w:val="single" w:sz="8" w:color="BFBFBF"/>
            </w:tcBorders>
            <w:shd w:val="clear" w:color="auto" w:fill="BFBFBF"/>
          </w:tcPr>
          <w:p>
            <w:pPr>
              <w:spacing w:after="0"/>
              <w:rPr>
                <w:sz w:val="17"/>
                <w:szCs w:val="17"/>
                <w:color w:val="auto"/>
              </w:rPr>
            </w:pPr>
          </w:p>
        </w:tc>
        <w:tc>
          <w:tcPr>
            <w:tcW w:w="1020" w:type="dxa"/>
            <w:vAlign w:val="bottom"/>
            <w:tcBorders>
              <w:top w:val="single" w:sz="8" w:color="auto"/>
            </w:tcBorders>
            <w:shd w:val="clear" w:color="auto" w:fill="BFBFBF"/>
          </w:tcPr>
          <w:p>
            <w:pPr>
              <w:spacing w:after="0"/>
              <w:rPr>
                <w:sz w:val="17"/>
                <w:szCs w:val="17"/>
                <w:color w:val="auto"/>
              </w:rPr>
            </w:pPr>
          </w:p>
        </w:tc>
        <w:tc>
          <w:tcPr>
            <w:tcW w:w="200" w:type="dxa"/>
            <w:vAlign w:val="bottom"/>
            <w:tcBorders>
              <w:top w:val="single" w:sz="8" w:color="BFBFBF"/>
            </w:tcBorders>
            <w:shd w:val="clear" w:color="auto" w:fill="BFBFBF"/>
          </w:tcPr>
          <w:p>
            <w:pPr>
              <w:spacing w:after="0"/>
              <w:rPr>
                <w:sz w:val="17"/>
                <w:szCs w:val="17"/>
                <w:color w:val="auto"/>
              </w:rPr>
            </w:pPr>
          </w:p>
        </w:tc>
        <w:tc>
          <w:tcPr>
            <w:tcW w:w="1020" w:type="dxa"/>
            <w:vAlign w:val="bottom"/>
            <w:tcBorders>
              <w:top w:val="single" w:sz="8" w:color="auto"/>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(10,694)</w:t>
            </w: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(11,375)</w:t>
            </w:r>
          </w:p>
        </w:tc>
        <w:tc>
          <w:tcPr>
            <w:tcW w:w="6940" w:type="dxa"/>
            <w:vAlign w:val="bottom"/>
          </w:tcPr>
          <w:p>
            <w:pPr>
              <w:ind w:left="220"/>
              <w:spacing w:after="0" w:line="202" w:lineRule="exact"/>
              <w:rPr>
                <w:sz w:val="20"/>
                <w:szCs w:val="20"/>
                <w:color w:val="auto"/>
              </w:rPr>
            </w:pPr>
            <w:r>
              <w:rPr>
                <w:rFonts w:ascii="Arial" w:cs="Arial" w:eastAsia="Arial" w:hAnsi="Arial"/>
                <w:sz w:val="18"/>
                <w:szCs w:val="18"/>
                <w:color w:val="auto"/>
              </w:rPr>
              <w:t>Decrease in cash and cash equivalents</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(8,022)</w:t>
            </w: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(27,205)</w:t>
            </w:r>
          </w:p>
        </w:tc>
        <w:tc>
          <w:tcPr>
            <w:tcW w:w="0" w:type="dxa"/>
            <w:vAlign w:val="bottom"/>
          </w:tcPr>
          <w:p>
            <w:pPr>
              <w:spacing w:after="0"/>
              <w:rPr>
                <w:sz w:val="1"/>
                <w:szCs w:val="1"/>
                <w:color w:val="auto"/>
              </w:rPr>
            </w:pPr>
          </w:p>
        </w:tc>
      </w:tr>
      <w:tr>
        <w:trPr>
          <w:trHeight w:val="216"/>
        </w:trPr>
        <w:tc>
          <w:tcPr>
            <w:tcW w:w="102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182,474</w:t>
            </w:r>
          </w:p>
        </w:tc>
        <w:tc>
          <w:tcPr>
            <w:tcW w:w="220" w:type="dxa"/>
            <w:vAlign w:val="bottom"/>
            <w:shd w:val="clear" w:color="auto" w:fill="BFBFBF"/>
          </w:tcPr>
          <w:p>
            <w:pPr>
              <w:spacing w:after="0"/>
              <w:rPr>
                <w:sz w:val="18"/>
                <w:szCs w:val="18"/>
                <w:color w:val="auto"/>
              </w:rPr>
            </w:pPr>
          </w:p>
        </w:tc>
        <w:tc>
          <w:tcPr>
            <w:tcW w:w="100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206,836</w:t>
            </w:r>
          </w:p>
        </w:tc>
        <w:tc>
          <w:tcPr>
            <w:tcW w:w="6940" w:type="dxa"/>
            <w:vAlign w:val="bottom"/>
            <w:shd w:val="clear" w:color="auto" w:fill="BFBFBF"/>
          </w:tcPr>
          <w:p>
            <w:pPr>
              <w:ind w:left="220"/>
              <w:spacing w:after="0"/>
              <w:rPr>
                <w:sz w:val="20"/>
                <w:szCs w:val="20"/>
                <w:color w:val="auto"/>
              </w:rPr>
            </w:pPr>
            <w:r>
              <w:rPr>
                <w:rFonts w:ascii="Arial" w:cs="Arial" w:eastAsia="Arial" w:hAnsi="Arial"/>
                <w:sz w:val="18"/>
                <w:szCs w:val="18"/>
                <w:color w:val="auto"/>
              </w:rPr>
              <w:t>Cash and cash equivalents at beginning of period</w:t>
            </w:r>
          </w:p>
        </w:tc>
        <w:tc>
          <w:tcPr>
            <w:tcW w:w="1020" w:type="dxa"/>
            <w:vAlign w:val="bottom"/>
            <w:tcBorders>
              <w:bottom w:val="single" w:sz="8" w:color="auto"/>
            </w:tcBorders>
            <w:shd w:val="clear" w:color="auto" w:fill="BFBFBF"/>
          </w:tcPr>
          <w:p>
            <w:pPr>
              <w:jc w:val="right"/>
              <w:ind w:right="30"/>
              <w:spacing w:after="0"/>
              <w:rPr>
                <w:sz w:val="20"/>
                <w:szCs w:val="20"/>
                <w:color w:val="auto"/>
              </w:rPr>
            </w:pPr>
            <w:r>
              <w:rPr>
                <w:rFonts w:ascii="Arial" w:cs="Arial" w:eastAsia="Arial" w:hAnsi="Arial"/>
                <w:sz w:val="18"/>
                <w:szCs w:val="18"/>
                <w:color w:val="auto"/>
              </w:rPr>
              <w:t>179,802</w:t>
            </w:r>
          </w:p>
        </w:tc>
        <w:tc>
          <w:tcPr>
            <w:tcW w:w="200" w:type="dxa"/>
            <w:vAlign w:val="bottom"/>
            <w:shd w:val="clear" w:color="auto" w:fill="BFBFBF"/>
          </w:tcPr>
          <w:p>
            <w:pPr>
              <w:spacing w:after="0"/>
              <w:rPr>
                <w:sz w:val="18"/>
                <w:szCs w:val="18"/>
                <w:color w:val="auto"/>
              </w:rPr>
            </w:pPr>
          </w:p>
        </w:tc>
        <w:tc>
          <w:tcPr>
            <w:tcW w:w="102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222,666</w:t>
            </w:r>
          </w:p>
        </w:tc>
        <w:tc>
          <w:tcPr>
            <w:tcW w:w="0" w:type="dxa"/>
            <w:vAlign w:val="bottom"/>
          </w:tcPr>
          <w:p>
            <w:pPr>
              <w:spacing w:after="0"/>
              <w:rPr>
                <w:sz w:val="1"/>
                <w:szCs w:val="1"/>
                <w:color w:val="auto"/>
              </w:rPr>
            </w:pPr>
          </w:p>
        </w:tc>
      </w:tr>
      <w:tr>
        <w:trPr>
          <w:trHeight w:val="210"/>
        </w:trPr>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$171,780</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$195,461</w:t>
            </w:r>
          </w:p>
        </w:tc>
        <w:tc>
          <w:tcPr>
            <w:tcW w:w="6940" w:type="dxa"/>
            <w:vAlign w:val="bottom"/>
          </w:tcPr>
          <w:p>
            <w:pPr>
              <w:ind w:left="220"/>
              <w:spacing w:after="0" w:line="197" w:lineRule="exact"/>
              <w:rPr>
                <w:sz w:val="20"/>
                <w:szCs w:val="20"/>
                <w:color w:val="auto"/>
              </w:rPr>
            </w:pPr>
            <w:r>
              <w:rPr>
                <w:rFonts w:ascii="Arial" w:cs="Arial" w:eastAsia="Arial" w:hAnsi="Arial"/>
                <w:sz w:val="18"/>
                <w:szCs w:val="18"/>
                <w:color w:val="auto"/>
              </w:rPr>
              <w:t>Cash and cash equivalents at end of period</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$171,780</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$195,461</w:t>
            </w:r>
          </w:p>
        </w:tc>
        <w:tc>
          <w:tcPr>
            <w:tcW w:w="0" w:type="dxa"/>
            <w:vAlign w:val="bottom"/>
          </w:tcPr>
          <w:p>
            <w:pPr>
              <w:spacing w:after="0"/>
              <w:rPr>
                <w:sz w:val="1"/>
                <w:szCs w:val="1"/>
                <w:color w:val="auto"/>
              </w:rPr>
            </w:pP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Basis of Presentation</w:t>
      </w:r>
    </w:p>
    <w:p>
      <w:pPr>
        <w:spacing w:after="0" w:line="193" w:lineRule="exact"/>
        <w:rPr>
          <w:sz w:val="20"/>
          <w:szCs w:val="20"/>
          <w:color w:val="auto"/>
        </w:rPr>
      </w:pPr>
    </w:p>
    <w:p>
      <w:pPr>
        <w:ind w:right="100" w:firstLine="648"/>
        <w:spacing w:after="0" w:line="236"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adjustments, consisting of only normal recurring adjustments and elimination of intercompany transactions necessary for a fair presentation of results for such periods. Albany International Corp. (“Albany”) consolidates the financial results of its subsidiaries for all periods presented. The results for any interim period are not necessarily indicative of results for the full year. The information included in this Quarterly Report on Form 10-Q should be read in conjunction with “Risk Factors,” “Legal Proceedings,” “Management’s Discussion and Analysis of Financial Condition and Results of Operation,” “Quantitative and Qualitative Disclosures about Market Risk” and the Consolidated Financial Statements and Notes thereto included in Items 1A, 3, 7, 7A and 8, respectively, of the Albany International Corp. Annual Report on Form 10-K for the year ended December 31, 2014.</w:t>
      </w:r>
    </w:p>
    <w:p>
      <w:pPr>
        <w:spacing w:after="0" w:line="168" w:lineRule="exact"/>
        <w:rPr>
          <w:sz w:val="20"/>
          <w:szCs w:val="20"/>
          <w:color w:val="auto"/>
        </w:rPr>
      </w:pPr>
    </w:p>
    <w:p>
      <w:pPr>
        <w:ind w:right="520" w:firstLine="648"/>
        <w:spacing w:after="0"/>
        <w:rPr>
          <w:sz w:val="20"/>
          <w:szCs w:val="20"/>
          <w:color w:val="auto"/>
        </w:rPr>
      </w:pPr>
      <w:r>
        <w:rPr>
          <w:rFonts w:ascii="Arial" w:cs="Arial" w:eastAsia="Arial" w:hAnsi="Arial"/>
          <w:sz w:val="18"/>
          <w:szCs w:val="18"/>
          <w:color w:val="auto"/>
        </w:rPr>
        <w:t>The preparation of financial statements in accordance with U.S. generally accepted accounting principles (“GAAP”) requires management to make estimates and assumptions that affect the amounts reported in Albany International Corp.’s Consolidated Financial Statements and accompanying Notes. Actual results could differ materially from those estimates.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Noncontrolling Interest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a reconciliation of income attributable to the noncontrolling interest and noncontrolling equity: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920" w:type="dxa"/>
            <w:vAlign w:val="bottom"/>
            <w:tcBorders>
              <w:top w:val="single" w:sz="8" w:color="auto"/>
            </w:tcBorders>
          </w:tcPr>
          <w:p>
            <w:pPr>
              <w:spacing w:after="0"/>
              <w:rPr>
                <w:sz w:val="16"/>
                <w:szCs w:val="16"/>
                <w:color w:val="auto"/>
              </w:rPr>
            </w:pPr>
          </w:p>
        </w:tc>
        <w:tc>
          <w:tcPr>
            <w:tcW w:w="3500" w:type="dxa"/>
            <w:vAlign w:val="bottom"/>
            <w:tcBorders>
              <w:top w:val="single" w:sz="8" w:color="auto"/>
            </w:tcBorders>
            <w:gridSpan w:val="2"/>
          </w:tcPr>
          <w:p>
            <w:pPr>
              <w:jc w:val="right"/>
              <w:ind w:right="330"/>
              <w:spacing w:after="0" w:line="194" w:lineRule="exact"/>
              <w:rPr>
                <w:sz w:val="20"/>
                <w:szCs w:val="20"/>
                <w:color w:val="auto"/>
              </w:rPr>
            </w:pPr>
            <w:r>
              <w:rPr>
                <w:rFonts w:ascii="Arial" w:cs="Arial" w:eastAsia="Arial" w:hAnsi="Arial"/>
                <w:sz w:val="18"/>
                <w:szCs w:val="18"/>
                <w:b w:val="1"/>
                <w:bCs w:val="1"/>
                <w:color w:val="auto"/>
              </w:rPr>
              <w:t>Nine months ended</w:t>
            </w:r>
          </w:p>
        </w:tc>
      </w:tr>
      <w:tr>
        <w:trPr>
          <w:trHeight w:val="203"/>
        </w:trPr>
        <w:tc>
          <w:tcPr>
            <w:tcW w:w="7920" w:type="dxa"/>
            <w:vAlign w:val="bottom"/>
          </w:tcPr>
          <w:p>
            <w:pPr>
              <w:spacing w:after="0"/>
              <w:rPr>
                <w:sz w:val="17"/>
                <w:szCs w:val="17"/>
                <w:color w:val="auto"/>
              </w:rPr>
            </w:pPr>
          </w:p>
        </w:tc>
        <w:tc>
          <w:tcPr>
            <w:tcW w:w="3500" w:type="dxa"/>
            <w:vAlign w:val="bottom"/>
            <w:gridSpan w:val="2"/>
          </w:tcPr>
          <w:p>
            <w:pPr>
              <w:jc w:val="right"/>
              <w:ind w:right="530"/>
              <w:spacing w:after="0" w:line="202" w:lineRule="exact"/>
              <w:rPr>
                <w:sz w:val="20"/>
                <w:szCs w:val="20"/>
                <w:color w:val="auto"/>
              </w:rPr>
            </w:pPr>
            <w:r>
              <w:rPr>
                <w:rFonts w:ascii="Arial" w:cs="Arial" w:eastAsia="Arial" w:hAnsi="Arial"/>
                <w:sz w:val="18"/>
                <w:szCs w:val="18"/>
                <w:b w:val="1"/>
                <w:bCs w:val="1"/>
                <w:color w:val="auto"/>
              </w:rPr>
              <w:t>September 30,</w:t>
            </w:r>
          </w:p>
        </w:tc>
      </w:tr>
      <w:tr>
        <w:trPr>
          <w:trHeight w:val="225"/>
        </w:trPr>
        <w:tc>
          <w:tcPr>
            <w:tcW w:w="7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24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2014</w:t>
            </w:r>
          </w:p>
        </w:tc>
      </w:tr>
      <w:tr>
        <w:trPr>
          <w:trHeight w:val="173"/>
        </w:trPr>
        <w:tc>
          <w:tcPr>
            <w:tcW w:w="7920" w:type="dxa"/>
            <w:vAlign w:val="bottom"/>
          </w:tcPr>
          <w:p>
            <w:pPr>
              <w:spacing w:after="0" w:line="173" w:lineRule="exact"/>
              <w:rPr>
                <w:sz w:val="20"/>
                <w:szCs w:val="20"/>
                <w:color w:val="auto"/>
              </w:rPr>
            </w:pPr>
            <w:r>
              <w:rPr>
                <w:rFonts w:ascii="Arial" w:cs="Arial" w:eastAsia="Arial" w:hAnsi="Arial"/>
                <w:sz w:val="18"/>
                <w:szCs w:val="18"/>
                <w:color w:val="auto"/>
              </w:rPr>
              <w:t>Net income of Albany Safran Composites, LLC (ASC)</w:t>
            </w:r>
          </w:p>
        </w:tc>
        <w:tc>
          <w:tcPr>
            <w:tcW w:w="2440" w:type="dxa"/>
            <w:vAlign w:val="bottom"/>
          </w:tcPr>
          <w:p>
            <w:pPr>
              <w:jc w:val="right"/>
              <w:ind w:right="410"/>
              <w:spacing w:after="0" w:line="173" w:lineRule="exact"/>
              <w:rPr>
                <w:sz w:val="20"/>
                <w:szCs w:val="20"/>
                <w:color w:val="auto"/>
              </w:rPr>
            </w:pPr>
            <w:r>
              <w:rPr>
                <w:rFonts w:ascii="Arial" w:cs="Arial" w:eastAsia="Arial" w:hAnsi="Arial"/>
                <w:sz w:val="18"/>
                <w:szCs w:val="18"/>
                <w:b w:val="1"/>
                <w:bCs w:val="1"/>
                <w:color w:val="auto"/>
              </w:rPr>
              <w:t>$1,747</w:t>
            </w:r>
          </w:p>
        </w:tc>
        <w:tc>
          <w:tcPr>
            <w:tcW w:w="1060" w:type="dxa"/>
            <w:vAlign w:val="bottom"/>
          </w:tcPr>
          <w:p>
            <w:pPr>
              <w:jc w:val="right"/>
              <w:ind w:right="70"/>
              <w:spacing w:after="0" w:line="173" w:lineRule="exact"/>
              <w:rPr>
                <w:sz w:val="20"/>
                <w:szCs w:val="20"/>
                <w:color w:val="auto"/>
              </w:rPr>
            </w:pPr>
            <w:r>
              <w:rPr>
                <w:rFonts w:ascii="Arial" w:cs="Arial" w:eastAsia="Arial" w:hAnsi="Arial"/>
                <w:sz w:val="18"/>
                <w:szCs w:val="18"/>
                <w:color w:val="auto"/>
              </w:rPr>
              <w:t>$679</w:t>
            </w:r>
          </w:p>
        </w:tc>
      </w:tr>
      <w:tr>
        <w:trPr>
          <w:trHeight w:val="225"/>
        </w:trPr>
        <w:tc>
          <w:tcPr>
            <w:tcW w:w="7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Return attributable to the Company's preferred holding</w:t>
            </w:r>
          </w:p>
        </w:tc>
        <w:tc>
          <w:tcPr>
            <w:tcW w:w="24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(748)</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(759)</w:t>
            </w:r>
          </w:p>
        </w:tc>
      </w:tr>
      <w:tr>
        <w:trPr>
          <w:trHeight w:val="173"/>
        </w:trPr>
        <w:tc>
          <w:tcPr>
            <w:tcW w:w="7920" w:type="dxa"/>
            <w:vAlign w:val="bottom"/>
          </w:tcPr>
          <w:p>
            <w:pPr>
              <w:spacing w:after="0" w:line="173" w:lineRule="exact"/>
              <w:rPr>
                <w:sz w:val="20"/>
                <w:szCs w:val="20"/>
                <w:color w:val="auto"/>
              </w:rPr>
            </w:pPr>
            <w:r>
              <w:rPr>
                <w:rFonts w:ascii="Arial" w:cs="Arial" w:eastAsia="Arial" w:hAnsi="Arial"/>
                <w:sz w:val="18"/>
                <w:szCs w:val="18"/>
                <w:color w:val="auto"/>
              </w:rPr>
              <w:t>Net income/(loss) of ASC available for common ownership</w:t>
            </w:r>
          </w:p>
        </w:tc>
        <w:tc>
          <w:tcPr>
            <w:tcW w:w="2440" w:type="dxa"/>
            <w:vAlign w:val="bottom"/>
          </w:tcPr>
          <w:p>
            <w:pPr>
              <w:jc w:val="right"/>
              <w:ind w:right="410"/>
              <w:spacing w:after="0" w:line="173" w:lineRule="exact"/>
              <w:rPr>
                <w:sz w:val="20"/>
                <w:szCs w:val="20"/>
                <w:color w:val="auto"/>
              </w:rPr>
            </w:pPr>
            <w:r>
              <w:rPr>
                <w:rFonts w:ascii="Arial" w:cs="Arial" w:eastAsia="Arial" w:hAnsi="Arial"/>
                <w:sz w:val="18"/>
                <w:szCs w:val="18"/>
                <w:b w:val="1"/>
                <w:bCs w:val="1"/>
                <w:color w:val="auto"/>
              </w:rPr>
              <w:t>999</w:t>
            </w:r>
          </w:p>
        </w:tc>
        <w:tc>
          <w:tcPr>
            <w:tcW w:w="1060" w:type="dxa"/>
            <w:vAlign w:val="bottom"/>
          </w:tcPr>
          <w:p>
            <w:pPr>
              <w:jc w:val="right"/>
              <w:ind w:right="10"/>
              <w:spacing w:after="0" w:line="173" w:lineRule="exact"/>
              <w:rPr>
                <w:sz w:val="20"/>
                <w:szCs w:val="20"/>
                <w:color w:val="auto"/>
              </w:rPr>
            </w:pPr>
            <w:r>
              <w:rPr>
                <w:rFonts w:ascii="Arial" w:cs="Arial" w:eastAsia="Arial" w:hAnsi="Arial"/>
                <w:sz w:val="18"/>
                <w:szCs w:val="18"/>
                <w:color w:val="auto"/>
              </w:rPr>
              <w:t>(80)</w:t>
            </w:r>
          </w:p>
        </w:tc>
      </w:tr>
      <w:tr>
        <w:trPr>
          <w:trHeight w:val="225"/>
        </w:trPr>
        <w:tc>
          <w:tcPr>
            <w:tcW w:w="7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Ownership percentage of the noncontrolling shareholder</w:t>
            </w:r>
          </w:p>
        </w:tc>
        <w:tc>
          <w:tcPr>
            <w:tcW w:w="2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196"/>
        </w:trPr>
        <w:tc>
          <w:tcPr>
            <w:tcW w:w="79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income/(loss) attributable to the noncontrolling interest</w:t>
            </w:r>
          </w:p>
        </w:tc>
        <w:tc>
          <w:tcPr>
            <w:tcW w:w="244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$100</w:t>
            </w:r>
          </w:p>
        </w:tc>
        <w:tc>
          <w:tcPr>
            <w:tcW w:w="10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w:t>
            </w:r>
          </w:p>
        </w:tc>
      </w:tr>
      <w:tr>
        <w:trPr>
          <w:trHeight w:val="196"/>
        </w:trPr>
        <w:tc>
          <w:tcPr>
            <w:tcW w:w="79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73"/>
        </w:trPr>
        <w:tc>
          <w:tcPr>
            <w:tcW w:w="7920" w:type="dxa"/>
            <w:vAlign w:val="bottom"/>
          </w:tcPr>
          <w:p>
            <w:pPr>
              <w:spacing w:after="0" w:line="173" w:lineRule="exact"/>
              <w:rPr>
                <w:sz w:val="20"/>
                <w:szCs w:val="20"/>
                <w:color w:val="auto"/>
              </w:rPr>
            </w:pPr>
            <w:r>
              <w:rPr>
                <w:rFonts w:ascii="Arial" w:cs="Arial" w:eastAsia="Arial" w:hAnsi="Arial"/>
                <w:sz w:val="18"/>
                <w:szCs w:val="18"/>
                <w:color w:val="auto"/>
              </w:rPr>
              <w:t>Noncontrolling interest, beginning of year</w:t>
            </w:r>
          </w:p>
        </w:tc>
        <w:tc>
          <w:tcPr>
            <w:tcW w:w="2440" w:type="dxa"/>
            <w:vAlign w:val="bottom"/>
          </w:tcPr>
          <w:p>
            <w:pPr>
              <w:jc w:val="right"/>
              <w:ind w:right="410"/>
              <w:spacing w:after="0" w:line="173" w:lineRule="exact"/>
              <w:rPr>
                <w:sz w:val="20"/>
                <w:szCs w:val="20"/>
                <w:color w:val="auto"/>
              </w:rPr>
            </w:pPr>
            <w:r>
              <w:rPr>
                <w:rFonts w:ascii="Arial" w:cs="Arial" w:eastAsia="Arial" w:hAnsi="Arial"/>
                <w:sz w:val="18"/>
                <w:szCs w:val="18"/>
                <w:b w:val="1"/>
                <w:bCs w:val="1"/>
                <w:color w:val="auto"/>
              </w:rPr>
              <w:t>$3,699</w:t>
            </w:r>
          </w:p>
        </w:tc>
        <w:tc>
          <w:tcPr>
            <w:tcW w:w="1060" w:type="dxa"/>
            <w:vAlign w:val="bottom"/>
          </w:tcPr>
          <w:p>
            <w:pPr>
              <w:jc w:val="right"/>
              <w:ind w:right="70"/>
              <w:spacing w:after="0" w:line="173" w:lineRule="exact"/>
              <w:rPr>
                <w:sz w:val="20"/>
                <w:szCs w:val="20"/>
                <w:color w:val="auto"/>
              </w:rPr>
            </w:pPr>
            <w:r>
              <w:rPr>
                <w:rFonts w:ascii="Arial" w:cs="Arial" w:eastAsia="Arial" w:hAnsi="Arial"/>
                <w:sz w:val="18"/>
                <w:szCs w:val="18"/>
                <w:color w:val="auto"/>
              </w:rPr>
              <w:t>$3,482</w:t>
            </w:r>
          </w:p>
        </w:tc>
      </w:tr>
      <w:tr>
        <w:trPr>
          <w:trHeight w:val="203"/>
        </w:trPr>
        <w:tc>
          <w:tcPr>
            <w:tcW w:w="7920" w:type="dxa"/>
            <w:vAlign w:val="bottom"/>
          </w:tcPr>
          <w:p>
            <w:pPr>
              <w:spacing w:after="0" w:line="202" w:lineRule="exact"/>
              <w:rPr>
                <w:sz w:val="20"/>
                <w:szCs w:val="20"/>
                <w:color w:val="auto"/>
              </w:rPr>
            </w:pPr>
            <w:r>
              <w:rPr>
                <w:rFonts w:ascii="Arial" w:cs="Arial" w:eastAsia="Arial" w:hAnsi="Arial"/>
                <w:sz w:val="18"/>
                <w:szCs w:val="18"/>
                <w:color w:val="auto"/>
              </w:rPr>
              <w:t>Adjustment to net assets contributed by Albany</w:t>
            </w:r>
          </w:p>
        </w:tc>
        <w:tc>
          <w:tcPr>
            <w:tcW w:w="244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38</w:t>
            </w:r>
          </w:p>
        </w:tc>
      </w:tr>
      <w:tr>
        <w:trPr>
          <w:trHeight w:val="203"/>
        </w:trPr>
        <w:tc>
          <w:tcPr>
            <w:tcW w:w="7920" w:type="dxa"/>
            <w:vAlign w:val="bottom"/>
          </w:tcPr>
          <w:p>
            <w:pPr>
              <w:spacing w:after="0" w:line="202" w:lineRule="exact"/>
              <w:rPr>
                <w:sz w:val="20"/>
                <w:szCs w:val="20"/>
                <w:color w:val="auto"/>
              </w:rPr>
            </w:pPr>
            <w:r>
              <w:rPr>
                <w:rFonts w:ascii="Arial" w:cs="Arial" w:eastAsia="Arial" w:hAnsi="Arial"/>
                <w:sz w:val="18"/>
                <w:szCs w:val="18"/>
                <w:color w:val="auto"/>
              </w:rPr>
              <w:t>Net income/(loss) attributable to the noncontrolling interest</w:t>
            </w:r>
          </w:p>
        </w:tc>
        <w:tc>
          <w:tcPr>
            <w:tcW w:w="244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100</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w:t>
            </w:r>
          </w:p>
        </w:tc>
      </w:tr>
      <w:tr>
        <w:trPr>
          <w:trHeight w:val="225"/>
        </w:trPr>
        <w:tc>
          <w:tcPr>
            <w:tcW w:w="7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Changes in other comprehensive income attributable to the noncontrolling interest</w:t>
            </w:r>
          </w:p>
        </w:tc>
        <w:tc>
          <w:tcPr>
            <w:tcW w:w="24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1</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w:t>
            </w:r>
          </w:p>
        </w:tc>
      </w:tr>
      <w:tr>
        <w:trPr>
          <w:trHeight w:val="196"/>
        </w:trPr>
        <w:tc>
          <w:tcPr>
            <w:tcW w:w="79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Noncontrolling interest, end of period</w:t>
            </w:r>
          </w:p>
        </w:tc>
        <w:tc>
          <w:tcPr>
            <w:tcW w:w="244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$3,800</w:t>
            </w:r>
          </w:p>
        </w:tc>
        <w:tc>
          <w:tcPr>
            <w:tcW w:w="10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$3,519</w:t>
            </w:r>
          </w:p>
        </w:tc>
      </w:tr>
      <w:tr>
        <w:trPr>
          <w:trHeight w:val="696"/>
        </w:trPr>
        <w:tc>
          <w:tcPr>
            <w:tcW w:w="7920" w:type="dxa"/>
            <w:vAlign w:val="bottom"/>
          </w:tcPr>
          <w:p>
            <w:pPr>
              <w:ind w:left="5660"/>
              <w:spacing w:after="0"/>
              <w:rPr>
                <w:sz w:val="20"/>
                <w:szCs w:val="20"/>
                <w:color w:val="auto"/>
              </w:rPr>
            </w:pPr>
            <w:r>
              <w:rPr>
                <w:rFonts w:ascii="Arial" w:cs="Arial" w:eastAsia="Arial" w:hAnsi="Arial"/>
                <w:sz w:val="18"/>
                <w:szCs w:val="18"/>
                <w:color w:val="auto"/>
              </w:rPr>
              <w:t>7</w:t>
            </w:r>
          </w:p>
        </w:tc>
        <w:tc>
          <w:tcPr>
            <w:tcW w:w="24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42"/>
        </w:trPr>
        <w:tc>
          <w:tcPr>
            <w:tcW w:w="792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13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3. Reportable Segments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data by reportable segment, reconciled to consolidated totals included in the financial statements: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7"/>
                <w:szCs w:val="17"/>
                <w:color w:val="auto"/>
              </w:rPr>
            </w:pPr>
          </w:p>
        </w:tc>
        <w:tc>
          <w:tcPr>
            <w:tcW w:w="4020" w:type="dxa"/>
            <w:vAlign w:val="bottom"/>
            <w:gridSpan w:val="2"/>
          </w:tcPr>
          <w:p>
            <w:pPr>
              <w:ind w:left="1700"/>
              <w:spacing w:after="0"/>
              <w:rPr>
                <w:sz w:val="20"/>
                <w:szCs w:val="20"/>
                <w:color w:val="auto"/>
              </w:rPr>
            </w:pPr>
            <w:r>
              <w:rPr>
                <w:rFonts w:ascii="Arial" w:cs="Arial" w:eastAsia="Arial" w:hAnsi="Arial"/>
                <w:sz w:val="18"/>
                <w:szCs w:val="18"/>
                <w:b w:val="1"/>
                <w:bCs w:val="1"/>
                <w:color w:val="auto"/>
              </w:rPr>
              <w:t>Three months ended</w:t>
            </w:r>
          </w:p>
        </w:tc>
        <w:tc>
          <w:tcPr>
            <w:tcW w:w="248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03"/>
        </w:trPr>
        <w:tc>
          <w:tcPr>
            <w:tcW w:w="4920" w:type="dxa"/>
            <w:vAlign w:val="bottom"/>
          </w:tcPr>
          <w:p>
            <w:pPr>
              <w:spacing w:after="0"/>
              <w:rPr>
                <w:sz w:val="17"/>
                <w:szCs w:val="17"/>
                <w:color w:val="auto"/>
              </w:rPr>
            </w:pPr>
          </w:p>
        </w:tc>
        <w:tc>
          <w:tcPr>
            <w:tcW w:w="4020" w:type="dxa"/>
            <w:vAlign w:val="bottom"/>
            <w:gridSpan w:val="2"/>
          </w:tcPr>
          <w:p>
            <w:pPr>
              <w:jc w:val="right"/>
              <w:ind w:right="730"/>
              <w:spacing w:after="0" w:line="202" w:lineRule="exact"/>
              <w:rPr>
                <w:sz w:val="20"/>
                <w:szCs w:val="20"/>
                <w:color w:val="auto"/>
              </w:rPr>
            </w:pPr>
            <w:r>
              <w:rPr>
                <w:rFonts w:ascii="Arial" w:cs="Arial" w:eastAsia="Arial" w:hAnsi="Arial"/>
                <w:sz w:val="18"/>
                <w:szCs w:val="18"/>
                <w:b w:val="1"/>
                <w:bCs w:val="1"/>
                <w:color w:val="auto"/>
              </w:rPr>
              <w:t>September 30,</w:t>
            </w:r>
          </w:p>
        </w:tc>
        <w:tc>
          <w:tcPr>
            <w:tcW w:w="2480" w:type="dxa"/>
            <w:vAlign w:val="bottom"/>
            <w:gridSpan w:val="2"/>
          </w:tcPr>
          <w:p>
            <w:pPr>
              <w:jc w:val="right"/>
              <w:ind w:right="470"/>
              <w:spacing w:after="0" w:line="202"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660" w:type="dxa"/>
            <w:vAlign w:val="bottom"/>
            <w:tcBorders>
              <w:bottom w:val="single" w:sz="8" w:color="auto"/>
            </w:tcBorders>
          </w:tcPr>
          <w:p>
            <w:pPr>
              <w:ind w:left="1700"/>
              <w:spacing w:after="0"/>
              <w:rPr>
                <w:sz w:val="20"/>
                <w:szCs w:val="20"/>
                <w:color w:val="auto"/>
              </w:rPr>
            </w:pPr>
            <w:r>
              <w:rPr>
                <w:rFonts w:ascii="Arial" w:cs="Arial" w:eastAsia="Arial" w:hAnsi="Arial"/>
                <w:sz w:val="18"/>
                <w:szCs w:val="18"/>
                <w:b w:val="1"/>
                <w:bCs w:val="1"/>
                <w:color w:val="auto"/>
              </w:rPr>
              <w:t>2015</w:t>
            </w: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195"/>
        </w:trPr>
        <w:tc>
          <w:tcPr>
            <w:tcW w:w="4920" w:type="dxa"/>
            <w:vAlign w:val="bottom"/>
          </w:tcPr>
          <w:p>
            <w:pPr>
              <w:spacing w:after="0" w:line="195" w:lineRule="exact"/>
              <w:rPr>
                <w:sz w:val="20"/>
                <w:szCs w:val="20"/>
                <w:color w:val="auto"/>
              </w:rPr>
            </w:pPr>
            <w:r>
              <w:rPr>
                <w:rFonts w:ascii="Arial" w:cs="Arial" w:eastAsia="Arial" w:hAnsi="Arial"/>
                <w:sz w:val="18"/>
                <w:szCs w:val="18"/>
                <w:b w:val="1"/>
                <w:bCs w:val="1"/>
                <w:color w:val="auto"/>
              </w:rPr>
              <w:t>Net sales</w:t>
            </w:r>
          </w:p>
        </w:tc>
        <w:tc>
          <w:tcPr>
            <w:tcW w:w="26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$154,522</w:t>
            </w:r>
          </w:p>
        </w:tc>
        <w:tc>
          <w:tcPr>
            <w:tcW w:w="1360" w:type="dxa"/>
            <w:vAlign w:val="bottom"/>
          </w:tcPr>
          <w:p>
            <w:pPr>
              <w:spacing w:after="0"/>
              <w:rPr>
                <w:sz w:val="16"/>
                <w:szCs w:val="16"/>
                <w:color w:val="auto"/>
              </w:rPr>
            </w:pPr>
          </w:p>
        </w:tc>
        <w:tc>
          <w:tcPr>
            <w:tcW w:w="13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$463,577</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920" w:type="dxa"/>
            <w:vAlign w:val="bottom"/>
          </w:tcPr>
          <w:p>
            <w:pPr>
              <w:spacing w:after="0" w:line="181" w:lineRule="exact"/>
              <w:rPr>
                <w:sz w:val="20"/>
                <w:szCs w:val="20"/>
                <w:color w:val="auto"/>
              </w:rPr>
            </w:pPr>
            <w:r>
              <w:rPr>
                <w:rFonts w:ascii="Arial" w:cs="Arial" w:eastAsia="Arial" w:hAnsi="Arial"/>
                <w:sz w:val="18"/>
                <w:szCs w:val="18"/>
                <w:color w:val="auto"/>
              </w:rPr>
              <w:t>Machine Clothing</w:t>
            </w:r>
          </w:p>
        </w:tc>
        <w:tc>
          <w:tcPr>
            <w:tcW w:w="2660" w:type="dxa"/>
            <w:vAlign w:val="bottom"/>
            <w:vMerge w:val="continue"/>
          </w:tcPr>
          <w:p>
            <w:pPr>
              <w:spacing w:after="0"/>
              <w:rPr>
                <w:sz w:val="15"/>
                <w:szCs w:val="15"/>
                <w:color w:val="auto"/>
              </w:rPr>
            </w:pPr>
          </w:p>
        </w:tc>
        <w:tc>
          <w:tcPr>
            <w:tcW w:w="1360" w:type="dxa"/>
            <w:vAlign w:val="bottom"/>
          </w:tcPr>
          <w:p>
            <w:pPr>
              <w:jc w:val="right"/>
              <w:ind w:right="230"/>
              <w:spacing w:after="0" w:line="181" w:lineRule="exact"/>
              <w:rPr>
                <w:sz w:val="20"/>
                <w:szCs w:val="20"/>
                <w:color w:val="auto"/>
              </w:rPr>
            </w:pPr>
            <w:r>
              <w:rPr>
                <w:rFonts w:ascii="Arial" w:cs="Arial" w:eastAsia="Arial" w:hAnsi="Arial"/>
                <w:sz w:val="18"/>
                <w:szCs w:val="18"/>
                <w:color w:val="auto"/>
              </w:rPr>
              <w:t>$157,891</w:t>
            </w:r>
          </w:p>
        </w:tc>
        <w:tc>
          <w:tcPr>
            <w:tcW w:w="1360" w:type="dxa"/>
            <w:vAlign w:val="bottom"/>
            <w:vMerge w:val="continue"/>
          </w:tcPr>
          <w:p>
            <w:pPr>
              <w:spacing w:after="0"/>
              <w:rPr>
                <w:sz w:val="15"/>
                <w:szCs w:val="15"/>
                <w:color w:val="auto"/>
              </w:rPr>
            </w:pPr>
          </w:p>
        </w:tc>
        <w:tc>
          <w:tcPr>
            <w:tcW w:w="11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$494,788</w:t>
            </w:r>
          </w:p>
        </w:tc>
        <w:tc>
          <w:tcPr>
            <w:tcW w:w="0" w:type="dxa"/>
            <w:vAlign w:val="bottom"/>
          </w:tcPr>
          <w:p>
            <w:pPr>
              <w:spacing w:after="0"/>
              <w:rPr>
                <w:sz w:val="1"/>
                <w:szCs w:val="1"/>
                <w:color w:val="auto"/>
              </w:rPr>
            </w:pPr>
          </w:p>
        </w:tc>
      </w:tr>
      <w:tr>
        <w:trPr>
          <w:trHeight w:val="225"/>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Albany Engineered Composites</w:t>
            </w:r>
          </w:p>
        </w:tc>
        <w:tc>
          <w:tcPr>
            <w:tcW w:w="2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24,267</w:t>
            </w: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21,970</w:t>
            </w: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68,825</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58,898</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Consolidated total</w:t>
            </w:r>
          </w:p>
        </w:tc>
        <w:tc>
          <w:tcPr>
            <w:tcW w:w="26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$178,789</w:t>
            </w:r>
          </w:p>
        </w:tc>
        <w:tc>
          <w:tcPr>
            <w:tcW w:w="13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$179,861</w:t>
            </w:r>
          </w:p>
        </w:tc>
        <w:tc>
          <w:tcPr>
            <w:tcW w:w="13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$532,402</w:t>
            </w: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$553,686</w:t>
            </w:r>
          </w:p>
        </w:tc>
        <w:tc>
          <w:tcPr>
            <w:tcW w:w="0" w:type="dxa"/>
            <w:vAlign w:val="bottom"/>
          </w:tcPr>
          <w:p>
            <w:pPr>
              <w:spacing w:after="0"/>
              <w:rPr>
                <w:sz w:val="1"/>
                <w:szCs w:val="1"/>
                <w:color w:val="auto"/>
              </w:rPr>
            </w:pPr>
          </w:p>
        </w:tc>
      </w:tr>
      <w:tr>
        <w:trPr>
          <w:trHeight w:val="195"/>
        </w:trPr>
        <w:tc>
          <w:tcPr>
            <w:tcW w:w="4920" w:type="dxa"/>
            <w:vAlign w:val="bottom"/>
          </w:tcPr>
          <w:p>
            <w:pPr>
              <w:spacing w:after="0" w:line="195" w:lineRule="exact"/>
              <w:rPr>
                <w:sz w:val="20"/>
                <w:szCs w:val="20"/>
                <w:color w:val="auto"/>
              </w:rPr>
            </w:pPr>
            <w:r>
              <w:rPr>
                <w:rFonts w:ascii="Arial" w:cs="Arial" w:eastAsia="Arial" w:hAnsi="Arial"/>
                <w:sz w:val="18"/>
                <w:szCs w:val="18"/>
                <w:b w:val="1"/>
                <w:bCs w:val="1"/>
                <w:color w:val="auto"/>
              </w:rPr>
              <w:t>Operating income/(loss)</w:t>
            </w:r>
          </w:p>
        </w:tc>
        <w:tc>
          <w:tcPr>
            <w:tcW w:w="26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$41,956</w:t>
            </w:r>
          </w:p>
        </w:tc>
        <w:tc>
          <w:tcPr>
            <w:tcW w:w="1360" w:type="dxa"/>
            <w:vAlign w:val="bottom"/>
          </w:tcPr>
          <w:p>
            <w:pPr>
              <w:spacing w:after="0"/>
              <w:rPr>
                <w:sz w:val="16"/>
                <w:szCs w:val="16"/>
                <w:color w:val="auto"/>
              </w:rPr>
            </w:pPr>
          </w:p>
        </w:tc>
        <w:tc>
          <w:tcPr>
            <w:tcW w:w="13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$110,969</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920" w:type="dxa"/>
            <w:vAlign w:val="bottom"/>
          </w:tcPr>
          <w:p>
            <w:pPr>
              <w:spacing w:after="0" w:line="181" w:lineRule="exact"/>
              <w:rPr>
                <w:sz w:val="20"/>
                <w:szCs w:val="20"/>
                <w:color w:val="auto"/>
              </w:rPr>
            </w:pPr>
            <w:r>
              <w:rPr>
                <w:rFonts w:ascii="Arial" w:cs="Arial" w:eastAsia="Arial" w:hAnsi="Arial"/>
                <w:sz w:val="18"/>
                <w:szCs w:val="18"/>
                <w:color w:val="auto"/>
              </w:rPr>
              <w:t>Machine Clothing</w:t>
            </w:r>
          </w:p>
        </w:tc>
        <w:tc>
          <w:tcPr>
            <w:tcW w:w="2660" w:type="dxa"/>
            <w:vAlign w:val="bottom"/>
            <w:vMerge w:val="continue"/>
          </w:tcPr>
          <w:p>
            <w:pPr>
              <w:spacing w:after="0"/>
              <w:rPr>
                <w:sz w:val="15"/>
                <w:szCs w:val="15"/>
                <w:color w:val="auto"/>
              </w:rPr>
            </w:pPr>
          </w:p>
        </w:tc>
        <w:tc>
          <w:tcPr>
            <w:tcW w:w="1360" w:type="dxa"/>
            <w:vAlign w:val="bottom"/>
          </w:tcPr>
          <w:p>
            <w:pPr>
              <w:jc w:val="right"/>
              <w:ind w:right="230"/>
              <w:spacing w:after="0" w:line="181" w:lineRule="exact"/>
              <w:rPr>
                <w:sz w:val="20"/>
                <w:szCs w:val="20"/>
                <w:color w:val="auto"/>
              </w:rPr>
            </w:pPr>
            <w:r>
              <w:rPr>
                <w:rFonts w:ascii="Arial" w:cs="Arial" w:eastAsia="Arial" w:hAnsi="Arial"/>
                <w:sz w:val="18"/>
                <w:szCs w:val="18"/>
                <w:color w:val="auto"/>
              </w:rPr>
              <w:t>$33,308</w:t>
            </w:r>
          </w:p>
        </w:tc>
        <w:tc>
          <w:tcPr>
            <w:tcW w:w="1360" w:type="dxa"/>
            <w:vAlign w:val="bottom"/>
            <w:vMerge w:val="continue"/>
          </w:tcPr>
          <w:p>
            <w:pPr>
              <w:spacing w:after="0"/>
              <w:rPr>
                <w:sz w:val="15"/>
                <w:szCs w:val="15"/>
                <w:color w:val="auto"/>
              </w:rPr>
            </w:pPr>
          </w:p>
        </w:tc>
        <w:tc>
          <w:tcPr>
            <w:tcW w:w="11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$103,329</w:t>
            </w:r>
          </w:p>
        </w:tc>
        <w:tc>
          <w:tcPr>
            <w:tcW w:w="0" w:type="dxa"/>
            <w:vAlign w:val="bottom"/>
          </w:tcPr>
          <w:p>
            <w:pPr>
              <w:spacing w:after="0"/>
              <w:rPr>
                <w:sz w:val="1"/>
                <w:szCs w:val="1"/>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266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(4,191)</w:t>
            </w:r>
          </w:p>
        </w:tc>
        <w:tc>
          <w:tcPr>
            <w:tcW w:w="13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(2,765)</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(26,635)</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(9,785)</w:t>
            </w:r>
          </w:p>
        </w:tc>
        <w:tc>
          <w:tcPr>
            <w:tcW w:w="0" w:type="dxa"/>
            <w:vAlign w:val="bottom"/>
          </w:tcPr>
          <w:p>
            <w:pPr>
              <w:spacing w:after="0"/>
              <w:rPr>
                <w:sz w:val="1"/>
                <w:szCs w:val="1"/>
                <w:color w:val="auto"/>
              </w:rPr>
            </w:pPr>
          </w:p>
        </w:tc>
      </w:tr>
      <w:tr>
        <w:trPr>
          <w:trHeight w:val="225"/>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2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(11,922)</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(11,385)</w:t>
            </w: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(35,304)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(34,808)</w:t>
            </w:r>
          </w:p>
        </w:tc>
        <w:tc>
          <w:tcPr>
            <w:tcW w:w="0" w:type="dxa"/>
            <w:vAlign w:val="bottom"/>
          </w:tcPr>
          <w:p>
            <w:pPr>
              <w:spacing w:after="0"/>
              <w:rPr>
                <w:sz w:val="1"/>
                <w:szCs w:val="1"/>
                <w:color w:val="auto"/>
              </w:rPr>
            </w:pPr>
          </w:p>
        </w:tc>
      </w:tr>
      <w:tr>
        <w:trPr>
          <w:trHeight w:val="195"/>
        </w:trPr>
        <w:tc>
          <w:tcPr>
            <w:tcW w:w="4920" w:type="dxa"/>
            <w:vAlign w:val="bottom"/>
          </w:tcPr>
          <w:p>
            <w:pPr>
              <w:spacing w:after="0" w:line="195" w:lineRule="exact"/>
              <w:rPr>
                <w:sz w:val="20"/>
                <w:szCs w:val="20"/>
                <w:color w:val="auto"/>
              </w:rPr>
            </w:pPr>
            <w:r>
              <w:rPr>
                <w:rFonts w:ascii="Arial" w:cs="Arial" w:eastAsia="Arial" w:hAnsi="Arial"/>
                <w:sz w:val="18"/>
                <w:szCs w:val="18"/>
                <w:color w:val="auto"/>
              </w:rPr>
              <w:t>Operating income before reconciling items</w:t>
            </w:r>
          </w:p>
        </w:tc>
        <w:tc>
          <w:tcPr>
            <w:tcW w:w="2660" w:type="dxa"/>
            <w:vAlign w:val="bottom"/>
          </w:tcPr>
          <w:p>
            <w:pPr>
              <w:jc w:val="right"/>
              <w:ind w:right="270"/>
              <w:spacing w:after="0" w:line="195" w:lineRule="exact"/>
              <w:rPr>
                <w:sz w:val="20"/>
                <w:szCs w:val="20"/>
                <w:color w:val="auto"/>
              </w:rPr>
            </w:pPr>
            <w:r>
              <w:rPr>
                <w:rFonts w:ascii="Arial" w:cs="Arial" w:eastAsia="Arial" w:hAnsi="Arial"/>
                <w:sz w:val="18"/>
                <w:szCs w:val="18"/>
                <w:b w:val="1"/>
                <w:bCs w:val="1"/>
                <w:color w:val="auto"/>
              </w:rPr>
              <w:t>25,843</w:t>
            </w:r>
          </w:p>
        </w:tc>
        <w:tc>
          <w:tcPr>
            <w:tcW w:w="136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19,158</w:t>
            </w:r>
          </w:p>
        </w:tc>
        <w:tc>
          <w:tcPr>
            <w:tcW w:w="1360" w:type="dxa"/>
            <w:vAlign w:val="bottom"/>
          </w:tcPr>
          <w:p>
            <w:pPr>
              <w:jc w:val="right"/>
              <w:ind w:right="250"/>
              <w:spacing w:after="0" w:line="195" w:lineRule="exact"/>
              <w:rPr>
                <w:sz w:val="20"/>
                <w:szCs w:val="20"/>
                <w:color w:val="auto"/>
              </w:rPr>
            </w:pPr>
            <w:r>
              <w:rPr>
                <w:rFonts w:ascii="Arial" w:cs="Arial" w:eastAsia="Arial" w:hAnsi="Arial"/>
                <w:sz w:val="18"/>
                <w:szCs w:val="18"/>
                <w:b w:val="1"/>
                <w:bCs w:val="1"/>
                <w:color w:val="auto"/>
              </w:rPr>
              <w:t>49,030</w:t>
            </w:r>
          </w:p>
        </w:tc>
        <w:tc>
          <w:tcPr>
            <w:tcW w:w="11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58,736</w:t>
            </w:r>
          </w:p>
        </w:tc>
        <w:tc>
          <w:tcPr>
            <w:tcW w:w="0" w:type="dxa"/>
            <w:vAlign w:val="bottom"/>
          </w:tcPr>
          <w:p>
            <w:pPr>
              <w:spacing w:after="0"/>
              <w:rPr>
                <w:sz w:val="1"/>
                <w:szCs w:val="1"/>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Reconciling items:</w:t>
            </w:r>
          </w:p>
        </w:tc>
        <w:tc>
          <w:tcPr>
            <w:tcW w:w="26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(428)</w:t>
            </w:r>
          </w:p>
        </w:tc>
        <w:tc>
          <w:tcPr>
            <w:tcW w:w="1360" w:type="dxa"/>
            <w:vAlign w:val="bottom"/>
          </w:tcPr>
          <w:p>
            <w:pPr>
              <w:spacing w:after="0"/>
              <w:rPr>
                <w:sz w:val="17"/>
                <w:szCs w:val="17"/>
                <w:color w:val="auto"/>
              </w:rPr>
            </w:pPr>
          </w:p>
        </w:tc>
        <w:tc>
          <w:tcPr>
            <w:tcW w:w="13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(1,205)</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920" w:type="dxa"/>
            <w:vAlign w:val="bottom"/>
          </w:tcPr>
          <w:p>
            <w:pPr>
              <w:spacing w:after="0" w:line="181" w:lineRule="exact"/>
              <w:rPr>
                <w:sz w:val="20"/>
                <w:szCs w:val="20"/>
                <w:color w:val="auto"/>
              </w:rPr>
            </w:pPr>
            <w:r>
              <w:rPr>
                <w:rFonts w:ascii="Arial" w:cs="Arial" w:eastAsia="Arial" w:hAnsi="Arial"/>
                <w:sz w:val="18"/>
                <w:szCs w:val="18"/>
                <w:color w:val="auto"/>
              </w:rPr>
              <w:t>Interest income</w:t>
            </w:r>
          </w:p>
        </w:tc>
        <w:tc>
          <w:tcPr>
            <w:tcW w:w="2660" w:type="dxa"/>
            <w:vAlign w:val="bottom"/>
            <w:vMerge w:val="continue"/>
          </w:tcPr>
          <w:p>
            <w:pPr>
              <w:spacing w:after="0"/>
              <w:rPr>
                <w:sz w:val="15"/>
                <w:szCs w:val="15"/>
                <w:color w:val="auto"/>
              </w:rPr>
            </w:pPr>
          </w:p>
        </w:tc>
        <w:tc>
          <w:tcPr>
            <w:tcW w:w="1360" w:type="dxa"/>
            <w:vAlign w:val="bottom"/>
          </w:tcPr>
          <w:p>
            <w:pPr>
              <w:jc w:val="right"/>
              <w:ind w:right="170"/>
              <w:spacing w:after="0" w:line="181" w:lineRule="exact"/>
              <w:rPr>
                <w:sz w:val="20"/>
                <w:szCs w:val="20"/>
                <w:color w:val="auto"/>
              </w:rPr>
            </w:pPr>
            <w:r>
              <w:rPr>
                <w:rFonts w:ascii="Arial" w:cs="Arial" w:eastAsia="Arial" w:hAnsi="Arial"/>
                <w:sz w:val="18"/>
                <w:szCs w:val="18"/>
                <w:color w:val="auto"/>
              </w:rPr>
              <w:t>(527)</w:t>
            </w:r>
          </w:p>
        </w:tc>
        <w:tc>
          <w:tcPr>
            <w:tcW w:w="1360" w:type="dxa"/>
            <w:vAlign w:val="bottom"/>
            <w:vMerge w:val="continue"/>
          </w:tcPr>
          <w:p>
            <w:pPr>
              <w:spacing w:after="0"/>
              <w:rPr>
                <w:sz w:val="15"/>
                <w:szCs w:val="15"/>
                <w:color w:val="auto"/>
              </w:rPr>
            </w:pPr>
          </w:p>
        </w:tc>
        <w:tc>
          <w:tcPr>
            <w:tcW w:w="1120" w:type="dxa"/>
            <w:vAlign w:val="bottom"/>
          </w:tcPr>
          <w:p>
            <w:pPr>
              <w:jc w:val="right"/>
              <w:spacing w:after="0" w:line="181" w:lineRule="exact"/>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266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3,099</w:t>
            </w:r>
          </w:p>
        </w:tc>
        <w:tc>
          <w:tcPr>
            <w:tcW w:w="13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3,013</w:t>
            </w:r>
          </w:p>
        </w:tc>
        <w:tc>
          <w:tcPr>
            <w:tcW w:w="136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9,254</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9,200</w:t>
            </w:r>
          </w:p>
        </w:tc>
        <w:tc>
          <w:tcPr>
            <w:tcW w:w="0" w:type="dxa"/>
            <w:vAlign w:val="bottom"/>
          </w:tcPr>
          <w:p>
            <w:pPr>
              <w:spacing w:after="0"/>
              <w:rPr>
                <w:sz w:val="1"/>
                <w:szCs w:val="1"/>
                <w:color w:val="auto"/>
              </w:rPr>
            </w:pPr>
          </w:p>
        </w:tc>
      </w:tr>
      <w:tr>
        <w:trPr>
          <w:trHeight w:val="225"/>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expense/(income), net</w:t>
            </w:r>
          </w:p>
        </w:tc>
        <w:tc>
          <w:tcPr>
            <w:tcW w:w="2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1,249</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(1,864)</w:t>
            </w: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784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(4,464)</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Income before income taxes</w:t>
            </w:r>
          </w:p>
        </w:tc>
        <w:tc>
          <w:tcPr>
            <w:tcW w:w="26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$21,923</w:t>
            </w:r>
          </w:p>
        </w:tc>
        <w:tc>
          <w:tcPr>
            <w:tcW w:w="13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$18,536</w:t>
            </w:r>
          </w:p>
        </w:tc>
        <w:tc>
          <w:tcPr>
            <w:tcW w:w="13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$40,197</w:t>
            </w: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$55,079</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restructuring costs by reportable segment (also see Note 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4560" w:type="dxa"/>
            <w:vAlign w:val="bottom"/>
            <w:tcBorders>
              <w:top w:val="single" w:sz="8" w:color="auto"/>
            </w:tcBorders>
          </w:tcPr>
          <w:p>
            <w:pPr>
              <w:spacing w:after="0"/>
              <w:rPr>
                <w:sz w:val="16"/>
                <w:szCs w:val="16"/>
                <w:color w:val="auto"/>
              </w:rPr>
            </w:pPr>
          </w:p>
        </w:tc>
        <w:tc>
          <w:tcPr>
            <w:tcW w:w="4420" w:type="dxa"/>
            <w:vAlign w:val="bottom"/>
            <w:tcBorders>
              <w:top w:val="single" w:sz="8" w:color="auto"/>
            </w:tcBorders>
            <w:gridSpan w:val="2"/>
          </w:tcPr>
          <w:p>
            <w:pPr>
              <w:ind w:left="2040"/>
              <w:spacing w:after="0" w:line="194" w:lineRule="exact"/>
              <w:rPr>
                <w:sz w:val="20"/>
                <w:szCs w:val="20"/>
                <w:color w:val="auto"/>
              </w:rPr>
            </w:pPr>
            <w:r>
              <w:rPr>
                <w:rFonts w:ascii="Arial" w:cs="Arial" w:eastAsia="Arial" w:hAnsi="Arial"/>
                <w:sz w:val="18"/>
                <w:szCs w:val="18"/>
                <w:b w:val="1"/>
                <w:bCs w:val="1"/>
                <w:color w:val="auto"/>
              </w:rPr>
              <w:t>Three months ended</w:t>
            </w:r>
          </w:p>
        </w:tc>
        <w:tc>
          <w:tcPr>
            <w:tcW w:w="2420" w:type="dxa"/>
            <w:vAlign w:val="bottom"/>
            <w:tcBorders>
              <w:top w:val="single" w:sz="8" w:color="auto"/>
            </w:tcBorders>
            <w:gridSpan w:val="2"/>
          </w:tcPr>
          <w:p>
            <w:pPr>
              <w:jc w:val="right"/>
              <w:ind w:right="250"/>
              <w:spacing w:after="0" w:line="194" w:lineRule="exact"/>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560" w:type="dxa"/>
            <w:vAlign w:val="bottom"/>
            <w:tcBorders>
              <w:bottom w:val="single" w:sz="8" w:color="auto"/>
            </w:tcBorders>
          </w:tcPr>
          <w:p>
            <w:pPr>
              <w:spacing w:after="0"/>
              <w:rPr>
                <w:sz w:val="19"/>
                <w:szCs w:val="19"/>
                <w:color w:val="auto"/>
              </w:rPr>
            </w:pPr>
          </w:p>
        </w:tc>
        <w:tc>
          <w:tcPr>
            <w:tcW w:w="4420" w:type="dxa"/>
            <w:vAlign w:val="bottom"/>
            <w:tcBorders>
              <w:bottom w:val="single" w:sz="8" w:color="auto"/>
            </w:tcBorders>
            <w:gridSpan w:val="2"/>
          </w:tcPr>
          <w:p>
            <w:pPr>
              <w:jc w:val="right"/>
              <w:ind w:right="790"/>
              <w:spacing w:after="0"/>
              <w:rPr>
                <w:sz w:val="20"/>
                <w:szCs w:val="20"/>
                <w:color w:val="auto"/>
              </w:rPr>
            </w:pPr>
            <w:r>
              <w:rPr>
                <w:rFonts w:ascii="Arial" w:cs="Arial" w:eastAsia="Arial" w:hAnsi="Arial"/>
                <w:sz w:val="18"/>
                <w:szCs w:val="18"/>
                <w:b w:val="1"/>
                <w:bCs w:val="1"/>
                <w:color w:val="auto"/>
              </w:rPr>
              <w:t>September 30,</w:t>
            </w:r>
          </w:p>
        </w:tc>
        <w:tc>
          <w:tcPr>
            <w:tcW w:w="242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(in thousands)</w:t>
            </w:r>
          </w:p>
        </w:tc>
        <w:tc>
          <w:tcPr>
            <w:tcW w:w="3040" w:type="dxa"/>
            <w:vAlign w:val="bottom"/>
            <w:tcBorders>
              <w:bottom w:val="single" w:sz="8" w:color="auto"/>
            </w:tcBorders>
          </w:tcPr>
          <w:p>
            <w:pPr>
              <w:ind w:left="2040"/>
              <w:spacing w:after="0" w:line="196" w:lineRule="exact"/>
              <w:rPr>
                <w:sz w:val="20"/>
                <w:szCs w:val="20"/>
                <w:color w:val="auto"/>
              </w:rPr>
            </w:pPr>
            <w:r>
              <w:rPr>
                <w:rFonts w:ascii="Arial" w:cs="Arial" w:eastAsia="Arial" w:hAnsi="Arial"/>
                <w:sz w:val="18"/>
                <w:szCs w:val="18"/>
                <w:b w:val="1"/>
                <w:bCs w:val="1"/>
                <w:color w:val="auto"/>
              </w:rPr>
              <w:t>2015</w:t>
            </w:r>
          </w:p>
        </w:tc>
        <w:tc>
          <w:tcPr>
            <w:tcW w:w="138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2014</w:t>
            </w:r>
          </w:p>
        </w:tc>
        <w:tc>
          <w:tcPr>
            <w:tcW w:w="134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2015</w:t>
            </w:r>
          </w:p>
        </w:tc>
        <w:tc>
          <w:tcPr>
            <w:tcW w:w="10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195"/>
        </w:trPr>
        <w:tc>
          <w:tcPr>
            <w:tcW w:w="458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Restructuring expense</w:t>
            </w:r>
          </w:p>
        </w:tc>
        <w:tc>
          <w:tcPr>
            <w:tcW w:w="30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$3,717</w:t>
            </w:r>
          </w:p>
        </w:tc>
        <w:tc>
          <w:tcPr>
            <w:tcW w:w="1380" w:type="dxa"/>
            <w:vAlign w:val="bottom"/>
          </w:tcPr>
          <w:p>
            <w:pPr>
              <w:spacing w:after="0"/>
              <w:rPr>
                <w:sz w:val="16"/>
                <w:szCs w:val="16"/>
                <w:color w:val="auto"/>
              </w:rPr>
            </w:pPr>
          </w:p>
        </w:tc>
        <w:tc>
          <w:tcPr>
            <w:tcW w:w="13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$13,929</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58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3040" w:type="dxa"/>
            <w:vAlign w:val="bottom"/>
            <w:vMerge w:val="continue"/>
          </w:tcPr>
          <w:p>
            <w:pPr>
              <w:spacing w:after="0"/>
              <w:rPr>
                <w:sz w:val="15"/>
                <w:szCs w:val="15"/>
                <w:color w:val="auto"/>
              </w:rPr>
            </w:pPr>
          </w:p>
        </w:tc>
        <w:tc>
          <w:tcPr>
            <w:tcW w:w="1380" w:type="dxa"/>
            <w:vAlign w:val="bottom"/>
          </w:tcPr>
          <w:p>
            <w:pPr>
              <w:jc w:val="right"/>
              <w:ind w:right="290"/>
              <w:spacing w:after="0" w:line="181" w:lineRule="exact"/>
              <w:rPr>
                <w:sz w:val="20"/>
                <w:szCs w:val="20"/>
                <w:color w:val="auto"/>
              </w:rPr>
            </w:pPr>
            <w:r>
              <w:rPr>
                <w:rFonts w:ascii="Arial" w:cs="Arial" w:eastAsia="Arial" w:hAnsi="Arial"/>
                <w:sz w:val="18"/>
                <w:szCs w:val="18"/>
                <w:color w:val="auto"/>
              </w:rPr>
              <w:t>$968</w:t>
            </w:r>
          </w:p>
        </w:tc>
        <w:tc>
          <w:tcPr>
            <w:tcW w:w="1340" w:type="dxa"/>
            <w:vAlign w:val="bottom"/>
            <w:vMerge w:val="continue"/>
          </w:tcPr>
          <w:p>
            <w:pPr>
              <w:spacing w:after="0"/>
              <w:rPr>
                <w:sz w:val="15"/>
                <w:szCs w:val="15"/>
                <w:color w:val="auto"/>
              </w:rPr>
            </w:pPr>
          </w:p>
        </w:tc>
        <w:tc>
          <w:tcPr>
            <w:tcW w:w="10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$3,127</w:t>
            </w:r>
          </w:p>
        </w:tc>
        <w:tc>
          <w:tcPr>
            <w:tcW w:w="0" w:type="dxa"/>
            <w:vAlign w:val="bottom"/>
          </w:tcPr>
          <w:p>
            <w:pPr>
              <w:spacing w:after="0"/>
              <w:rPr>
                <w:sz w:val="1"/>
                <w:szCs w:val="1"/>
                <w:color w:val="auto"/>
              </w:rPr>
            </w:pPr>
          </w:p>
        </w:tc>
      </w:tr>
      <w:tr>
        <w:trPr>
          <w:trHeight w:val="225"/>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Albany Engineered Composites</w:t>
            </w:r>
          </w:p>
        </w:tc>
        <w:tc>
          <w:tcPr>
            <w:tcW w:w="3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(49)</w:t>
            </w: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Consolidated total</w:t>
            </w:r>
          </w:p>
        </w:tc>
        <w:tc>
          <w:tcPr>
            <w:tcW w:w="30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$3,717</w:t>
            </w:r>
          </w:p>
        </w:tc>
        <w:tc>
          <w:tcPr>
            <w:tcW w:w="13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$919</w:t>
            </w:r>
          </w:p>
        </w:tc>
        <w:tc>
          <w:tcPr>
            <w:tcW w:w="13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$13,929</w:t>
            </w: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$4,058</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In the second quarter of 2015, the Company recorded a charge of $14.0 million associated with a revision in the profitability of a contract in the AEC segment. AEC has a long-term contract for the manufacture of composite components for the Rolls-Royce BR 725 engine (BR 725), which powers the Gulfstream G-650 business jet. These components are manufactured in AEC’s Boerne, Texas, facility. The contract for this program was signed in 2007 and contains a very aggressive approach to pricing compared to AEC’s other contracts. AEC was required to fund certain development costs for nonrecurring engineering and tooling and expected to recover those costs over the duration of the contract, which is anticipated to be more than 20 years. The deferred costs were included in Other assets on the Company’s Consolidated Balance Sheets and, as of June 30, 2015, the Company had accumulated deferred contract expenses of approximately $10.9 million. The Company tests the recoverability of these deferred costs each quarter. During the second quarter of</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ind w:right="20"/>
        <w:spacing w:after="0" w:line="238" w:lineRule="auto"/>
        <w:rPr>
          <w:sz w:val="20"/>
          <w:szCs w:val="20"/>
          <w:color w:val="auto"/>
        </w:rPr>
      </w:pPr>
      <w:r>
        <w:rPr>
          <w:rFonts w:ascii="Arial" w:cs="Arial" w:eastAsia="Arial" w:hAnsi="Arial"/>
          <w:sz w:val="18"/>
          <w:szCs w:val="18"/>
          <w:color w:val="auto"/>
        </w:rPr>
        <w:t>2015, the Company revised its estimate of the profitability of this contract and determined that the entire balance of these deferred costs should be written off. The Company recorded an additional charge of approximately $3.1 million as a provision for anticipated contract losses. The total charge of $14.0 million is included in Cost of goods sold. In the Consolidated Statements of Cash Flows, the write-off of previously deferred costs is included in Other, net.</w:t>
      </w:r>
    </w:p>
    <w:p>
      <w:pPr>
        <w:spacing w:after="0" w:line="164"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2015 Machine Clothing restructuring expense was principally related to the discontinuation of manufacturing operations at its press fabric manufacturing facility in Germany in April. Land and building related to the former manufacturing facility in Germany has been reclassified as Asset held for sale in the accompanying Consolidated Balance Sheets. Based on preliminary offers from active market participants we recorded a charge of $ 3.2 million in the third quarter of 2015 related to the write down of the land and building to the estimated fair market value. There were no other material changes in the total assets of the reportable segments during this period.</w:t>
      </w:r>
    </w:p>
    <w:p>
      <w:pPr>
        <w:spacing w:after="0" w:line="176"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Machine Clothing restructuring costs in 2014 were principally related to restructuring actions in France. Albany Engineered Composites restructuring expense in 2014 was related to organizational changes.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Pensions and Other Postretirement Benefit Plans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Plans</w:t>
      </w:r>
    </w:p>
    <w:p>
      <w:pPr>
        <w:spacing w:after="0" w:line="189"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The Company has defined benefit pension plans covering certain U.S. and non-U.S. employees. The U.S. qualified defined benefit pension plan has been closed to new participants since October 1998 and, as of February 2009, benefits accrued under this plan were frozen. As a result of the freeze, employees covered by the pension plan will receive, at retirement, benefits already accrued through February 2009, but no new benefits accrue after that date. Benefit accruals under the U.S. Supplemental Executive Retirement Plan ("SERP") were similarly frozen. The eligibility, benefit formulas, and contribution requirements for plans outside of the U.S. vary by location.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Postretirement Benefits</w:t>
      </w:r>
    </w:p>
    <w:p>
      <w:pPr>
        <w:spacing w:after="0" w:line="203" w:lineRule="exact"/>
        <w:rPr>
          <w:sz w:val="20"/>
          <w:szCs w:val="20"/>
          <w:color w:val="auto"/>
        </w:rPr>
      </w:pPr>
    </w:p>
    <w:p>
      <w:pPr>
        <w:jc w:val="both"/>
        <w:ind w:right="100" w:firstLine="648"/>
        <w:spacing w:after="0"/>
        <w:rPr>
          <w:sz w:val="20"/>
          <w:szCs w:val="20"/>
          <w:color w:val="auto"/>
        </w:rPr>
      </w:pPr>
      <w:r>
        <w:rPr>
          <w:rFonts w:ascii="Arial" w:cs="Arial" w:eastAsia="Arial" w:hAnsi="Arial"/>
          <w:sz w:val="18"/>
          <w:szCs w:val="18"/>
          <w:color w:val="auto"/>
        </w:rPr>
        <w:t>The Company also provides certain postretirement life insurance benefits to retired employees in the U.S. and Canada. The Company accrues the cost of providing postretirement benefits during the active service period of the employees. The Company currently funds the plan as claims are paid.</w:t>
      </w:r>
    </w:p>
    <w:p>
      <w:pPr>
        <w:spacing w:after="0" w:line="16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composition of the net periodic benefit plan cost for the nine months ended September 30, 2015 and 2014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Other postretirement</w:t>
            </w:r>
          </w:p>
        </w:tc>
        <w:tc>
          <w:tcPr>
            <w:tcW w:w="0" w:type="dxa"/>
            <w:vAlign w:val="bottom"/>
          </w:tcPr>
          <w:p>
            <w:pPr>
              <w:spacing w:after="0"/>
              <w:rPr>
                <w:sz w:val="1"/>
                <w:szCs w:val="1"/>
                <w:color w:val="auto"/>
              </w:rPr>
            </w:pPr>
          </w:p>
        </w:tc>
      </w:tr>
      <w:tr>
        <w:trPr>
          <w:trHeight w:val="203"/>
        </w:trPr>
        <w:tc>
          <w:tcPr>
            <w:tcW w:w="4440" w:type="dxa"/>
            <w:vAlign w:val="bottom"/>
          </w:tcPr>
          <w:p>
            <w:pPr>
              <w:spacing w:after="0"/>
              <w:rPr>
                <w:sz w:val="17"/>
                <w:szCs w:val="17"/>
                <w:color w:val="auto"/>
              </w:rPr>
            </w:pPr>
          </w:p>
        </w:tc>
        <w:tc>
          <w:tcPr>
            <w:tcW w:w="4560" w:type="dxa"/>
            <w:vAlign w:val="bottom"/>
            <w:gridSpan w:val="2"/>
          </w:tcPr>
          <w:p>
            <w:pPr>
              <w:jc w:val="right"/>
              <w:ind w:right="790"/>
              <w:spacing w:after="0" w:line="202" w:lineRule="exact"/>
              <w:rPr>
                <w:sz w:val="20"/>
                <w:szCs w:val="20"/>
                <w:color w:val="auto"/>
              </w:rPr>
            </w:pPr>
            <w:r>
              <w:rPr>
                <w:rFonts w:ascii="Arial" w:cs="Arial" w:eastAsia="Arial" w:hAnsi="Arial"/>
                <w:sz w:val="18"/>
                <w:szCs w:val="18"/>
                <w:b w:val="1"/>
                <w:bCs w:val="1"/>
                <w:color w:val="auto"/>
              </w:rPr>
              <w:t>Pension plans</w:t>
            </w:r>
          </w:p>
        </w:tc>
        <w:tc>
          <w:tcPr>
            <w:tcW w:w="1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benefits</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6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2015</w:t>
            </w: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195"/>
        </w:trPr>
        <w:tc>
          <w:tcPr>
            <w:tcW w:w="4440" w:type="dxa"/>
            <w:vAlign w:val="bottom"/>
          </w:tcPr>
          <w:p>
            <w:pPr>
              <w:spacing w:after="0" w:line="195" w:lineRule="exact"/>
              <w:rPr>
                <w:sz w:val="20"/>
                <w:szCs w:val="20"/>
                <w:color w:val="auto"/>
              </w:rPr>
            </w:pPr>
            <w:r>
              <w:rPr>
                <w:rFonts w:ascii="Arial" w:cs="Arial" w:eastAsia="Arial" w:hAnsi="Arial"/>
                <w:sz w:val="18"/>
                <w:szCs w:val="18"/>
                <w:color w:val="auto"/>
              </w:rPr>
              <w:t>Components of net periodic benefit cost:</w:t>
            </w:r>
          </w:p>
        </w:tc>
        <w:tc>
          <w:tcPr>
            <w:tcW w:w="32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$2,268</w:t>
            </w:r>
          </w:p>
        </w:tc>
        <w:tc>
          <w:tcPr>
            <w:tcW w:w="1360" w:type="dxa"/>
            <w:vAlign w:val="bottom"/>
          </w:tcPr>
          <w:p>
            <w:pPr>
              <w:spacing w:after="0"/>
              <w:rPr>
                <w:sz w:val="16"/>
                <w:szCs w:val="16"/>
                <w:color w:val="auto"/>
              </w:rPr>
            </w:pPr>
          </w:p>
        </w:tc>
        <w:tc>
          <w:tcPr>
            <w:tcW w:w="1640" w:type="dxa"/>
            <w:vAlign w:val="bottom"/>
            <w:vMerge w:val="restart"/>
          </w:tcPr>
          <w:p>
            <w:pPr>
              <w:jc w:val="right"/>
              <w:ind w:right="590"/>
              <w:spacing w:after="0"/>
              <w:rPr>
                <w:sz w:val="20"/>
                <w:szCs w:val="20"/>
                <w:color w:val="auto"/>
              </w:rPr>
            </w:pPr>
            <w:r>
              <w:rPr>
                <w:rFonts w:ascii="Arial" w:cs="Arial" w:eastAsia="Arial" w:hAnsi="Arial"/>
                <w:sz w:val="18"/>
                <w:szCs w:val="18"/>
                <w:b w:val="1"/>
                <w:bCs w:val="1"/>
                <w:color w:val="auto"/>
              </w:rPr>
              <w:t>$250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440" w:type="dxa"/>
            <w:vAlign w:val="bottom"/>
          </w:tcPr>
          <w:p>
            <w:pPr>
              <w:spacing w:after="0" w:line="181" w:lineRule="exact"/>
              <w:rPr>
                <w:sz w:val="20"/>
                <w:szCs w:val="20"/>
                <w:color w:val="auto"/>
              </w:rPr>
            </w:pPr>
            <w:r>
              <w:rPr>
                <w:rFonts w:ascii="Arial" w:cs="Arial" w:eastAsia="Arial" w:hAnsi="Arial"/>
                <w:sz w:val="18"/>
                <w:szCs w:val="18"/>
                <w:color w:val="auto"/>
              </w:rPr>
              <w:t>Service cost</w:t>
            </w:r>
          </w:p>
        </w:tc>
        <w:tc>
          <w:tcPr>
            <w:tcW w:w="3200" w:type="dxa"/>
            <w:vAlign w:val="bottom"/>
            <w:vMerge w:val="continue"/>
          </w:tcPr>
          <w:p>
            <w:pPr>
              <w:spacing w:after="0"/>
              <w:rPr>
                <w:sz w:val="15"/>
                <w:szCs w:val="15"/>
                <w:color w:val="auto"/>
              </w:rPr>
            </w:pPr>
          </w:p>
        </w:tc>
        <w:tc>
          <w:tcPr>
            <w:tcW w:w="1360" w:type="dxa"/>
            <w:vAlign w:val="bottom"/>
          </w:tcPr>
          <w:p>
            <w:pPr>
              <w:jc w:val="right"/>
              <w:ind w:right="290"/>
              <w:spacing w:after="0" w:line="181" w:lineRule="exact"/>
              <w:rPr>
                <w:sz w:val="20"/>
                <w:szCs w:val="20"/>
                <w:color w:val="auto"/>
              </w:rPr>
            </w:pPr>
            <w:r>
              <w:rPr>
                <w:rFonts w:ascii="Arial" w:cs="Arial" w:eastAsia="Arial" w:hAnsi="Arial"/>
                <w:sz w:val="18"/>
                <w:szCs w:val="18"/>
                <w:color w:val="auto"/>
              </w:rPr>
              <w:t>$2,521</w:t>
            </w:r>
          </w:p>
        </w:tc>
        <w:tc>
          <w:tcPr>
            <w:tcW w:w="1640" w:type="dxa"/>
            <w:vAlign w:val="bottom"/>
            <w:vMerge w:val="continue"/>
          </w:tcPr>
          <w:p>
            <w:pPr>
              <w:spacing w:after="0"/>
              <w:rPr>
                <w:sz w:val="15"/>
                <w:szCs w:val="15"/>
                <w:color w:val="auto"/>
              </w:rPr>
            </w:pPr>
          </w:p>
        </w:tc>
        <w:tc>
          <w:tcPr>
            <w:tcW w:w="7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320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5,779</w:t>
            </w:r>
          </w:p>
        </w:tc>
        <w:tc>
          <w:tcPr>
            <w:tcW w:w="13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7,217</w:t>
            </w:r>
          </w:p>
        </w:tc>
        <w:tc>
          <w:tcPr>
            <w:tcW w:w="1640" w:type="dxa"/>
            <w:vAlign w:val="bottom"/>
          </w:tcPr>
          <w:p>
            <w:pPr>
              <w:jc w:val="right"/>
              <w:ind w:right="590"/>
              <w:spacing w:after="0" w:line="202" w:lineRule="exact"/>
              <w:rPr>
                <w:sz w:val="20"/>
                <w:szCs w:val="20"/>
                <w:color w:val="auto"/>
              </w:rPr>
            </w:pPr>
            <w:r>
              <w:rPr>
                <w:rFonts w:ascii="Arial" w:cs="Arial" w:eastAsia="Arial" w:hAnsi="Arial"/>
                <w:sz w:val="18"/>
                <w:szCs w:val="18"/>
                <w:b w:val="1"/>
                <w:bCs w:val="1"/>
                <w:color w:val="auto"/>
              </w:rPr>
              <w:t>1,831</w:t>
            </w: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Expected return on assets</w:t>
            </w:r>
          </w:p>
        </w:tc>
        <w:tc>
          <w:tcPr>
            <w:tcW w:w="320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(6,418)</w:t>
            </w:r>
          </w:p>
        </w:tc>
        <w:tc>
          <w:tcPr>
            <w:tcW w:w="13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(7,260)</w:t>
            </w:r>
          </w:p>
        </w:tc>
        <w:tc>
          <w:tcPr>
            <w:tcW w:w="1640" w:type="dxa"/>
            <w:vAlign w:val="bottom"/>
          </w:tcPr>
          <w:p>
            <w:pPr>
              <w:jc w:val="right"/>
              <w:ind w:right="590"/>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Amortization of prior service cost/(credit)</w:t>
            </w:r>
          </w:p>
        </w:tc>
        <w:tc>
          <w:tcPr>
            <w:tcW w:w="320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36</w:t>
            </w:r>
          </w:p>
        </w:tc>
        <w:tc>
          <w:tcPr>
            <w:tcW w:w="13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41</w:t>
            </w:r>
          </w:p>
        </w:tc>
        <w:tc>
          <w:tcPr>
            <w:tcW w:w="164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(3,366)</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Amortization of net actuarial loss</w:t>
            </w:r>
          </w:p>
        </w:tc>
        <w:tc>
          <w:tcPr>
            <w:tcW w:w="320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1,924</w:t>
            </w:r>
          </w:p>
        </w:tc>
        <w:tc>
          <w:tcPr>
            <w:tcW w:w="13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1,845</w:t>
            </w:r>
          </w:p>
        </w:tc>
        <w:tc>
          <w:tcPr>
            <w:tcW w:w="1640" w:type="dxa"/>
            <w:vAlign w:val="bottom"/>
          </w:tcPr>
          <w:p>
            <w:pPr>
              <w:jc w:val="right"/>
              <w:ind w:right="590"/>
              <w:spacing w:after="0" w:line="202" w:lineRule="exact"/>
              <w:rPr>
                <w:sz w:val="20"/>
                <w:szCs w:val="20"/>
                <w:color w:val="auto"/>
              </w:rPr>
            </w:pPr>
            <w:r>
              <w:rPr>
                <w:rFonts w:ascii="Arial" w:cs="Arial" w:eastAsia="Arial" w:hAnsi="Arial"/>
                <w:sz w:val="18"/>
                <w:szCs w:val="18"/>
                <w:b w:val="1"/>
                <w:bCs w:val="1"/>
                <w:color w:val="auto"/>
              </w:rPr>
              <w:t>2,504</w:t>
            </w: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25"/>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Curtailment gain</w:t>
            </w:r>
          </w:p>
        </w:tc>
        <w:tc>
          <w:tcPr>
            <w:tcW w:w="3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(710)</w:t>
            </w:r>
          </w:p>
        </w:tc>
        <w:tc>
          <w:tcPr>
            <w:tcW w:w="16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periodic benefit cost</w:t>
            </w:r>
          </w:p>
        </w:tc>
        <w:tc>
          <w:tcPr>
            <w:tcW w:w="320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$3,589</w:t>
            </w:r>
          </w:p>
        </w:tc>
        <w:tc>
          <w:tcPr>
            <w:tcW w:w="13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$3,654</w:t>
            </w:r>
          </w:p>
        </w:tc>
        <w:tc>
          <w:tcPr>
            <w:tcW w:w="164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$1,219</w:t>
            </w:r>
          </w:p>
        </w:tc>
        <w:tc>
          <w:tcPr>
            <w:tcW w:w="7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709"/>
        </w:trPr>
        <w:tc>
          <w:tcPr>
            <w:tcW w:w="4440" w:type="dxa"/>
            <w:vAlign w:val="bottom"/>
          </w:tcPr>
          <w:p>
            <w:pPr>
              <w:spacing w:after="0"/>
              <w:rPr>
                <w:sz w:val="24"/>
                <w:szCs w:val="24"/>
                <w:color w:val="auto"/>
              </w:rPr>
            </w:pPr>
          </w:p>
        </w:tc>
        <w:tc>
          <w:tcPr>
            <w:tcW w:w="3200" w:type="dxa"/>
            <w:vAlign w:val="bottom"/>
          </w:tcPr>
          <w:p>
            <w:pPr>
              <w:jc w:val="right"/>
              <w:ind w:right="1790"/>
              <w:spacing w:after="0"/>
              <w:rPr>
                <w:sz w:val="20"/>
                <w:szCs w:val="20"/>
                <w:color w:val="auto"/>
              </w:rPr>
            </w:pPr>
            <w:r>
              <w:rPr>
                <w:rFonts w:ascii="Arial" w:cs="Arial" w:eastAsia="Arial" w:hAnsi="Arial"/>
                <w:sz w:val="18"/>
                <w:szCs w:val="18"/>
                <w:color w:val="auto"/>
              </w:rPr>
              <w:t>9</w:t>
            </w: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40" w:type="dxa"/>
            <w:vAlign w:val="bottom"/>
            <w:tcBorders>
              <w:bottom w:val="single" w:sz="8" w:color="auto"/>
            </w:tcBorders>
          </w:tcPr>
          <w:p>
            <w:pPr>
              <w:spacing w:after="0"/>
              <w:rPr>
                <w:sz w:val="12"/>
                <w:szCs w:val="12"/>
                <w:color w:val="auto"/>
              </w:rPr>
            </w:pPr>
          </w:p>
        </w:tc>
        <w:tc>
          <w:tcPr>
            <w:tcW w:w="32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5. Restructuring</w:t>
      </w:r>
    </w:p>
    <w:p>
      <w:pPr>
        <w:spacing w:after="0" w:line="192"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During the first quarter of 2015, the Company announced a plan to discontinue manufacturing operations at its press fabric manufacturing facility in Göppingen, Germany. The restructuring program was driven by the Company’s need to balance manufacturing capacity with demand. In April 2015, we reached agreement on the restructuring plan with the Works Council and manufacturing operations discontinued during the second quarter. Approximately 50 employees were terminated under this plan, and the estimated severance payments were recorded in the first quarter of 2015. In the third quarter of 2015, we recorded a charge of $3.2 million related to the write down of the land and building to the estimated fair market value. Cost savings associated with this action will reduce Cost of goods sold in future periods.</w:t>
      </w:r>
    </w:p>
    <w:p>
      <w:pPr>
        <w:spacing w:after="0" w:line="178"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Machine Clothing restructuring costs in 2014 were principally related to restructuring actions in France. Albany Engineered Composites restructuring expense in 2014 was related to organizational changes.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charges reported in the Statements of Income under “Restructuring expenses, net”: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tcPr>
          <w:p>
            <w:pPr>
              <w:spacing w:after="0"/>
              <w:rPr>
                <w:sz w:val="17"/>
                <w:szCs w:val="17"/>
                <w:color w:val="auto"/>
              </w:rPr>
            </w:pPr>
          </w:p>
        </w:tc>
        <w:tc>
          <w:tcPr>
            <w:tcW w:w="4380" w:type="dxa"/>
            <w:vAlign w:val="bottom"/>
            <w:gridSpan w:val="2"/>
          </w:tcPr>
          <w:p>
            <w:pPr>
              <w:ind w:left="2100"/>
              <w:spacing w:after="0"/>
              <w:rPr>
                <w:sz w:val="20"/>
                <w:szCs w:val="20"/>
                <w:color w:val="auto"/>
              </w:rPr>
            </w:pPr>
            <w:r>
              <w:rPr>
                <w:rFonts w:ascii="Arial" w:cs="Arial" w:eastAsia="Arial" w:hAnsi="Arial"/>
                <w:sz w:val="18"/>
                <w:szCs w:val="18"/>
                <w:b w:val="1"/>
                <w:bCs w:val="1"/>
                <w:color w:val="auto"/>
              </w:rPr>
              <w:t>Three months ended</w:t>
            </w:r>
          </w:p>
        </w:tc>
        <w:tc>
          <w:tcPr>
            <w:tcW w:w="254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03"/>
        </w:trPr>
        <w:tc>
          <w:tcPr>
            <w:tcW w:w="4520" w:type="dxa"/>
            <w:vAlign w:val="bottom"/>
          </w:tcPr>
          <w:p>
            <w:pPr>
              <w:spacing w:after="0"/>
              <w:rPr>
                <w:sz w:val="17"/>
                <w:szCs w:val="17"/>
                <w:color w:val="auto"/>
              </w:rPr>
            </w:pPr>
          </w:p>
        </w:tc>
        <w:tc>
          <w:tcPr>
            <w:tcW w:w="4380" w:type="dxa"/>
            <w:vAlign w:val="bottom"/>
            <w:gridSpan w:val="2"/>
          </w:tcPr>
          <w:p>
            <w:pPr>
              <w:jc w:val="right"/>
              <w:ind w:right="690"/>
              <w:spacing w:after="0" w:line="202" w:lineRule="exact"/>
              <w:rPr>
                <w:sz w:val="20"/>
                <w:szCs w:val="20"/>
                <w:color w:val="auto"/>
              </w:rPr>
            </w:pPr>
            <w:r>
              <w:rPr>
                <w:rFonts w:ascii="Arial" w:cs="Arial" w:eastAsia="Arial" w:hAnsi="Arial"/>
                <w:sz w:val="18"/>
                <w:szCs w:val="18"/>
                <w:b w:val="1"/>
                <w:bCs w:val="1"/>
                <w:color w:val="auto"/>
              </w:rPr>
              <w:t>September 30,</w:t>
            </w:r>
          </w:p>
        </w:tc>
        <w:tc>
          <w:tcPr>
            <w:tcW w:w="2540" w:type="dxa"/>
            <w:vAlign w:val="bottom"/>
            <w:gridSpan w:val="3"/>
          </w:tcPr>
          <w:p>
            <w:pPr>
              <w:jc w:val="center"/>
              <w:ind w:left="50"/>
              <w:spacing w:after="0" w:line="202"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000" w:type="dxa"/>
            <w:vAlign w:val="bottom"/>
            <w:tcBorders>
              <w:bottom w:val="single" w:sz="8" w:color="auto"/>
            </w:tcBorders>
          </w:tcPr>
          <w:p>
            <w:pPr>
              <w:ind w:left="2100"/>
              <w:spacing w:after="0"/>
              <w:rPr>
                <w:sz w:val="20"/>
                <w:szCs w:val="20"/>
                <w:color w:val="auto"/>
              </w:rPr>
            </w:pPr>
            <w:r>
              <w:rPr>
                <w:rFonts w:ascii="Arial" w:cs="Arial" w:eastAsia="Arial" w:hAnsi="Arial"/>
                <w:sz w:val="18"/>
                <w:szCs w:val="18"/>
                <w:b w:val="1"/>
                <w:bCs w:val="1"/>
                <w:color w:val="auto"/>
              </w:rPr>
              <w:t>2015</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2014</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2015</w:t>
            </w:r>
          </w:p>
        </w:tc>
        <w:tc>
          <w:tcPr>
            <w:tcW w:w="12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52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3000" w:type="dxa"/>
            <w:vAlign w:val="bottom"/>
          </w:tcPr>
          <w:p>
            <w:pPr>
              <w:jc w:val="right"/>
              <w:ind w:right="210"/>
              <w:spacing w:after="0" w:line="173" w:lineRule="exact"/>
              <w:rPr>
                <w:sz w:val="20"/>
                <w:szCs w:val="20"/>
                <w:color w:val="auto"/>
              </w:rPr>
            </w:pPr>
            <w:r>
              <w:rPr>
                <w:rFonts w:ascii="Arial" w:cs="Arial" w:eastAsia="Arial" w:hAnsi="Arial"/>
                <w:sz w:val="18"/>
                <w:szCs w:val="18"/>
                <w:b w:val="1"/>
                <w:bCs w:val="1"/>
                <w:color w:val="auto"/>
              </w:rPr>
              <w:t>$3,717</w:t>
            </w:r>
          </w:p>
        </w:tc>
        <w:tc>
          <w:tcPr>
            <w:tcW w:w="1380" w:type="dxa"/>
            <w:vAlign w:val="bottom"/>
          </w:tcPr>
          <w:p>
            <w:pPr>
              <w:jc w:val="right"/>
              <w:ind w:right="190"/>
              <w:spacing w:after="0" w:line="173" w:lineRule="exact"/>
              <w:rPr>
                <w:sz w:val="20"/>
                <w:szCs w:val="20"/>
                <w:color w:val="auto"/>
              </w:rPr>
            </w:pPr>
            <w:r>
              <w:rPr>
                <w:rFonts w:ascii="Arial" w:cs="Arial" w:eastAsia="Arial" w:hAnsi="Arial"/>
                <w:sz w:val="18"/>
                <w:szCs w:val="18"/>
                <w:color w:val="auto"/>
              </w:rPr>
              <w:t>$968</w:t>
            </w:r>
          </w:p>
        </w:tc>
        <w:tc>
          <w:tcPr>
            <w:tcW w:w="1320" w:type="dxa"/>
            <w:vAlign w:val="bottom"/>
          </w:tcPr>
          <w:p>
            <w:pPr>
              <w:jc w:val="right"/>
              <w:ind w:right="170"/>
              <w:spacing w:after="0" w:line="173" w:lineRule="exact"/>
              <w:rPr>
                <w:sz w:val="20"/>
                <w:szCs w:val="20"/>
                <w:color w:val="auto"/>
              </w:rPr>
            </w:pPr>
            <w:r>
              <w:rPr>
                <w:rFonts w:ascii="Arial" w:cs="Arial" w:eastAsia="Arial" w:hAnsi="Arial"/>
                <w:sz w:val="18"/>
                <w:szCs w:val="18"/>
                <w:b w:val="1"/>
                <w:bCs w:val="1"/>
                <w:color w:val="auto"/>
              </w:rPr>
              <w:t>$13,929</w:t>
            </w:r>
          </w:p>
        </w:tc>
        <w:tc>
          <w:tcPr>
            <w:tcW w:w="12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$3,127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Albany Engineered Composites</w:t>
            </w:r>
          </w:p>
        </w:tc>
        <w:tc>
          <w:tcPr>
            <w:tcW w:w="3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(49)</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52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Total</w:t>
            </w:r>
          </w:p>
        </w:tc>
        <w:tc>
          <w:tcPr>
            <w:tcW w:w="30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$3,717</w:t>
            </w:r>
          </w:p>
        </w:tc>
        <w:tc>
          <w:tcPr>
            <w:tcW w:w="1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$919</w:t>
            </w:r>
          </w:p>
        </w:tc>
        <w:tc>
          <w:tcPr>
            <w:tcW w:w="132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$13,929</w:t>
            </w:r>
          </w:p>
        </w:tc>
        <w:tc>
          <w:tcPr>
            <w:tcW w:w="1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$4,058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45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3000" w:type="dxa"/>
            <w:vAlign w:val="bottom"/>
          </w:tcPr>
          <w:p>
            <w:pPr>
              <w:jc w:val="center"/>
              <w:ind w:left="1410"/>
              <w:spacing w:after="0" w:line="173" w:lineRule="exact"/>
              <w:rPr>
                <w:sz w:val="20"/>
                <w:szCs w:val="20"/>
                <w:color w:val="auto"/>
              </w:rPr>
            </w:pPr>
            <w:r>
              <w:rPr>
                <w:rFonts w:ascii="Arial" w:cs="Arial" w:eastAsia="Arial" w:hAnsi="Arial"/>
                <w:sz w:val="18"/>
                <w:szCs w:val="18"/>
                <w:b w:val="1"/>
                <w:bCs w:val="1"/>
                <w:color w:val="auto"/>
                <w:w w:val="97"/>
              </w:rPr>
              <w:t>Total</w:t>
            </w:r>
          </w:p>
        </w:tc>
        <w:tc>
          <w:tcPr>
            <w:tcW w:w="1380" w:type="dxa"/>
            <w:vAlign w:val="bottom"/>
          </w:tcPr>
          <w:p>
            <w:pPr>
              <w:spacing w:after="0"/>
              <w:rPr>
                <w:sz w:val="15"/>
                <w:szCs w:val="15"/>
                <w:color w:val="auto"/>
              </w:rPr>
            </w:pPr>
          </w:p>
        </w:tc>
        <w:tc>
          <w:tcPr>
            <w:tcW w:w="132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8"/>
              </w:rPr>
              <w:t>Impairment</w:t>
            </w:r>
          </w:p>
        </w:tc>
        <w:tc>
          <w:tcPr>
            <w:tcW w:w="1200" w:type="dxa"/>
            <w:vAlign w:val="bottom"/>
          </w:tcPr>
          <w:p>
            <w:pPr>
              <w:jc w:val="right"/>
              <w:ind w:right="90"/>
              <w:spacing w:after="0" w:line="173" w:lineRule="exact"/>
              <w:rPr>
                <w:sz w:val="20"/>
                <w:szCs w:val="20"/>
                <w:color w:val="auto"/>
              </w:rPr>
            </w:pPr>
            <w:r>
              <w:rPr>
                <w:rFonts w:ascii="Arial" w:cs="Arial" w:eastAsia="Arial" w:hAnsi="Arial"/>
                <w:sz w:val="18"/>
                <w:szCs w:val="18"/>
                <w:b w:val="1"/>
                <w:bCs w:val="1"/>
                <w:color w:val="auto"/>
              </w:rPr>
              <w:t>Benefit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20" w:type="dxa"/>
            <w:vAlign w:val="bottom"/>
          </w:tcPr>
          <w:p>
            <w:pPr>
              <w:spacing w:after="0"/>
              <w:rPr>
                <w:sz w:val="17"/>
                <w:szCs w:val="17"/>
                <w:color w:val="auto"/>
              </w:rPr>
            </w:pPr>
          </w:p>
        </w:tc>
        <w:tc>
          <w:tcPr>
            <w:tcW w:w="3000" w:type="dxa"/>
            <w:vAlign w:val="bottom"/>
          </w:tcPr>
          <w:p>
            <w:pPr>
              <w:jc w:val="center"/>
              <w:ind w:left="1430"/>
              <w:spacing w:after="0" w:line="202" w:lineRule="exact"/>
              <w:rPr>
                <w:sz w:val="20"/>
                <w:szCs w:val="20"/>
                <w:color w:val="auto"/>
              </w:rPr>
            </w:pPr>
            <w:r>
              <w:rPr>
                <w:rFonts w:ascii="Arial" w:cs="Arial" w:eastAsia="Arial" w:hAnsi="Arial"/>
                <w:sz w:val="18"/>
                <w:szCs w:val="18"/>
                <w:b w:val="1"/>
                <w:bCs w:val="1"/>
                <w:color w:val="auto"/>
                <w:w w:val="99"/>
              </w:rPr>
              <w:t>restructuring</w:t>
            </w:r>
          </w:p>
        </w:tc>
        <w:tc>
          <w:tcPr>
            <w:tcW w:w="138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Termination</w:t>
            </w:r>
          </w:p>
        </w:tc>
        <w:tc>
          <w:tcPr>
            <w:tcW w:w="13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of plant</w:t>
            </w:r>
          </w:p>
        </w:tc>
        <w:tc>
          <w:tcPr>
            <w:tcW w:w="1220" w:type="dxa"/>
            <w:vAlign w:val="bottom"/>
            <w:gridSpan w:val="2"/>
          </w:tcPr>
          <w:p>
            <w:pPr>
              <w:jc w:val="center"/>
              <w:ind w:left="70"/>
              <w:spacing w:after="0" w:line="202" w:lineRule="exact"/>
              <w:rPr>
                <w:sz w:val="20"/>
                <w:szCs w:val="20"/>
                <w:color w:val="auto"/>
              </w:rPr>
            </w:pPr>
            <w:r>
              <w:rPr>
                <w:rFonts w:ascii="Arial" w:cs="Arial" w:eastAsia="Arial" w:hAnsi="Arial"/>
                <w:sz w:val="18"/>
                <w:szCs w:val="18"/>
                <w:b w:val="1"/>
                <w:bCs w:val="1"/>
                <w:color w:val="auto"/>
              </w:rPr>
              <w:t>plan</w:t>
            </w:r>
          </w:p>
        </w:tc>
        <w:tc>
          <w:tcPr>
            <w:tcW w:w="0" w:type="dxa"/>
            <w:vAlign w:val="bottom"/>
          </w:tcPr>
          <w:p>
            <w:pPr>
              <w:spacing w:after="0"/>
              <w:rPr>
                <w:sz w:val="1"/>
                <w:szCs w:val="1"/>
                <w:color w:val="auto"/>
              </w:rPr>
            </w:pP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b w:val="1"/>
                <w:bCs w:val="1"/>
                <w:color w:val="auto"/>
              </w:rPr>
              <w:t>Nine months ended September 30, 2015</w:t>
            </w:r>
          </w:p>
        </w:tc>
        <w:tc>
          <w:tcPr>
            <w:tcW w:w="3000" w:type="dxa"/>
            <w:vAlign w:val="bottom"/>
          </w:tcPr>
          <w:p>
            <w:pPr>
              <w:jc w:val="center"/>
              <w:ind w:left="1410"/>
              <w:spacing w:after="0" w:line="202" w:lineRule="exact"/>
              <w:rPr>
                <w:sz w:val="20"/>
                <w:szCs w:val="20"/>
                <w:color w:val="auto"/>
              </w:rPr>
            </w:pPr>
            <w:r>
              <w:rPr>
                <w:rFonts w:ascii="Arial" w:cs="Arial" w:eastAsia="Arial" w:hAnsi="Arial"/>
                <w:sz w:val="18"/>
                <w:szCs w:val="18"/>
                <w:b w:val="1"/>
                <w:bCs w:val="1"/>
                <w:color w:val="auto"/>
                <w:w w:val="97"/>
              </w:rPr>
              <w:t>costs</w:t>
            </w: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and other</w:t>
            </w:r>
          </w:p>
        </w:tc>
        <w:tc>
          <w:tcPr>
            <w:tcW w:w="13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and</w:t>
            </w:r>
          </w:p>
        </w:tc>
        <w:tc>
          <w:tcPr>
            <w:tcW w:w="1220" w:type="dxa"/>
            <w:vAlign w:val="bottom"/>
            <w:gridSpan w:val="2"/>
          </w:tcPr>
          <w:p>
            <w:pPr>
              <w:jc w:val="center"/>
              <w:ind w:left="70"/>
              <w:spacing w:after="0" w:line="202" w:lineRule="exact"/>
              <w:rPr>
                <w:sz w:val="20"/>
                <w:szCs w:val="20"/>
                <w:color w:val="auto"/>
              </w:rPr>
            </w:pPr>
            <w:r>
              <w:rPr>
                <w:rFonts w:ascii="Arial" w:cs="Arial" w:eastAsia="Arial" w:hAnsi="Arial"/>
                <w:sz w:val="18"/>
                <w:szCs w:val="18"/>
                <w:b w:val="1"/>
                <w:bCs w:val="1"/>
                <w:color w:val="auto"/>
                <w:w w:val="99"/>
              </w:rPr>
              <w:t>curtailment/</w:t>
            </w:r>
          </w:p>
        </w:tc>
        <w:tc>
          <w:tcPr>
            <w:tcW w:w="0" w:type="dxa"/>
            <w:vAlign w:val="bottom"/>
          </w:tcPr>
          <w:p>
            <w:pPr>
              <w:spacing w:after="0"/>
              <w:rPr>
                <w:sz w:val="1"/>
                <w:szCs w:val="1"/>
                <w:color w:val="auto"/>
              </w:rPr>
            </w:pPr>
          </w:p>
        </w:tc>
      </w:tr>
      <w:tr>
        <w:trPr>
          <w:trHeight w:val="225"/>
        </w:trPr>
        <w:tc>
          <w:tcPr>
            <w:tcW w:w="452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3000" w:type="dxa"/>
            <w:vAlign w:val="bottom"/>
          </w:tcPr>
          <w:p>
            <w:pPr>
              <w:jc w:val="center"/>
              <w:ind w:left="1350"/>
              <w:spacing w:after="0"/>
              <w:rPr>
                <w:sz w:val="20"/>
                <w:szCs w:val="20"/>
                <w:color w:val="auto"/>
              </w:rPr>
            </w:pPr>
            <w:r>
              <w:rPr>
                <w:rFonts w:ascii="Arial" w:cs="Arial" w:eastAsia="Arial" w:hAnsi="Arial"/>
                <w:sz w:val="18"/>
                <w:szCs w:val="18"/>
                <w:b w:val="1"/>
                <w:bCs w:val="1"/>
                <w:color w:val="auto"/>
                <w:w w:val="99"/>
              </w:rPr>
              <w:t>incurred</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7"/>
              </w:rPr>
              <w:t>costs</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rPr>
              <w:t>equipment</w:t>
            </w:r>
          </w:p>
        </w:tc>
        <w:tc>
          <w:tcPr>
            <w:tcW w:w="122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9"/>
              </w:rPr>
              <w:t>settlement</w:t>
            </w:r>
          </w:p>
        </w:tc>
        <w:tc>
          <w:tcPr>
            <w:tcW w:w="0" w:type="dxa"/>
            <w:vAlign w:val="bottom"/>
          </w:tcPr>
          <w:p>
            <w:pPr>
              <w:spacing w:after="0"/>
              <w:rPr>
                <w:sz w:val="1"/>
                <w:szCs w:val="1"/>
                <w:color w:val="auto"/>
              </w:rPr>
            </w:pPr>
          </w:p>
        </w:tc>
      </w:tr>
      <w:tr>
        <w:trPr>
          <w:trHeight w:val="195"/>
        </w:trPr>
        <w:tc>
          <w:tcPr>
            <w:tcW w:w="4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Machine Clothing</w:t>
            </w:r>
          </w:p>
        </w:tc>
        <w:tc>
          <w:tcPr>
            <w:tcW w:w="3000" w:type="dxa"/>
            <w:vAlign w:val="bottom"/>
            <w:tcBorders>
              <w:top w:val="single" w:sz="8" w:color="auto"/>
            </w:tcBorders>
          </w:tcPr>
          <w:p>
            <w:pPr>
              <w:jc w:val="right"/>
              <w:ind w:right="230"/>
              <w:spacing w:after="0" w:line="195" w:lineRule="exact"/>
              <w:rPr>
                <w:sz w:val="20"/>
                <w:szCs w:val="20"/>
                <w:color w:val="auto"/>
              </w:rPr>
            </w:pPr>
            <w:r>
              <w:rPr>
                <w:rFonts w:ascii="Arial" w:cs="Arial" w:eastAsia="Arial" w:hAnsi="Arial"/>
                <w:sz w:val="18"/>
                <w:szCs w:val="18"/>
                <w:color w:val="auto"/>
              </w:rPr>
              <w:t>$13,929</w:t>
            </w:r>
          </w:p>
        </w:tc>
        <w:tc>
          <w:tcPr>
            <w:tcW w:w="1380" w:type="dxa"/>
            <w:vAlign w:val="bottom"/>
            <w:tcBorders>
              <w:top w:val="single" w:sz="8" w:color="auto"/>
            </w:tcBorders>
          </w:tcPr>
          <w:p>
            <w:pPr>
              <w:jc w:val="right"/>
              <w:ind w:right="190"/>
              <w:spacing w:after="0" w:line="195" w:lineRule="exact"/>
              <w:rPr>
                <w:sz w:val="20"/>
                <w:szCs w:val="20"/>
                <w:color w:val="auto"/>
              </w:rPr>
            </w:pPr>
            <w:r>
              <w:rPr>
                <w:rFonts w:ascii="Arial" w:cs="Arial" w:eastAsia="Arial" w:hAnsi="Arial"/>
                <w:sz w:val="18"/>
                <w:szCs w:val="18"/>
                <w:color w:val="auto"/>
              </w:rPr>
              <w:t>$10,704</w:t>
            </w:r>
          </w:p>
        </w:tc>
        <w:tc>
          <w:tcPr>
            <w:tcW w:w="1320" w:type="dxa"/>
            <w:vAlign w:val="bottom"/>
            <w:tcBorders>
              <w:top w:val="single" w:sz="8" w:color="auto"/>
            </w:tcBorders>
          </w:tcPr>
          <w:p>
            <w:pPr>
              <w:jc w:val="right"/>
              <w:ind w:right="170"/>
              <w:spacing w:after="0" w:line="195" w:lineRule="exact"/>
              <w:rPr>
                <w:sz w:val="20"/>
                <w:szCs w:val="20"/>
                <w:color w:val="auto"/>
              </w:rPr>
            </w:pPr>
            <w:r>
              <w:rPr>
                <w:rFonts w:ascii="Arial" w:cs="Arial" w:eastAsia="Arial" w:hAnsi="Arial"/>
                <w:sz w:val="18"/>
                <w:szCs w:val="18"/>
                <w:color w:val="auto"/>
              </w:rPr>
              <w:t>$3,225</w:t>
            </w:r>
          </w:p>
        </w:tc>
        <w:tc>
          <w:tcPr>
            <w:tcW w:w="12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Albany Engineered Composites</w:t>
            </w:r>
          </w:p>
        </w:tc>
        <w:tc>
          <w:tcPr>
            <w:tcW w:w="300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30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$13,929</w:t>
            </w:r>
          </w:p>
        </w:tc>
        <w:tc>
          <w:tcPr>
            <w:tcW w:w="1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$10,704</w:t>
            </w:r>
          </w:p>
        </w:tc>
        <w:tc>
          <w:tcPr>
            <w:tcW w:w="132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$3,225</w:t>
            </w:r>
          </w:p>
        </w:tc>
        <w:tc>
          <w:tcPr>
            <w:tcW w:w="1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45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3000" w:type="dxa"/>
            <w:vAlign w:val="bottom"/>
          </w:tcPr>
          <w:p>
            <w:pPr>
              <w:jc w:val="center"/>
              <w:ind w:left="1410"/>
              <w:spacing w:after="0" w:line="173" w:lineRule="exact"/>
              <w:rPr>
                <w:sz w:val="20"/>
                <w:szCs w:val="20"/>
                <w:color w:val="auto"/>
              </w:rPr>
            </w:pPr>
            <w:r>
              <w:rPr>
                <w:rFonts w:ascii="Arial" w:cs="Arial" w:eastAsia="Arial" w:hAnsi="Arial"/>
                <w:sz w:val="18"/>
                <w:szCs w:val="18"/>
                <w:b w:val="1"/>
                <w:bCs w:val="1"/>
                <w:color w:val="auto"/>
                <w:w w:val="97"/>
              </w:rPr>
              <w:t>Total</w:t>
            </w:r>
          </w:p>
        </w:tc>
        <w:tc>
          <w:tcPr>
            <w:tcW w:w="1380" w:type="dxa"/>
            <w:vAlign w:val="bottom"/>
          </w:tcPr>
          <w:p>
            <w:pPr>
              <w:spacing w:after="0"/>
              <w:rPr>
                <w:sz w:val="15"/>
                <w:szCs w:val="15"/>
                <w:color w:val="auto"/>
              </w:rPr>
            </w:pPr>
          </w:p>
        </w:tc>
        <w:tc>
          <w:tcPr>
            <w:tcW w:w="132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8"/>
              </w:rPr>
              <w:t>Impairment</w:t>
            </w:r>
          </w:p>
        </w:tc>
        <w:tc>
          <w:tcPr>
            <w:tcW w:w="1200" w:type="dxa"/>
            <w:vAlign w:val="bottom"/>
          </w:tcPr>
          <w:p>
            <w:pPr>
              <w:jc w:val="center"/>
              <w:ind w:left="150"/>
              <w:spacing w:after="0" w:line="173" w:lineRule="exact"/>
              <w:rPr>
                <w:sz w:val="20"/>
                <w:szCs w:val="20"/>
                <w:color w:val="auto"/>
              </w:rPr>
            </w:pPr>
            <w:r>
              <w:rPr>
                <w:rFonts w:ascii="Arial" w:cs="Arial" w:eastAsia="Arial" w:hAnsi="Arial"/>
                <w:sz w:val="18"/>
                <w:szCs w:val="18"/>
                <w:b w:val="1"/>
                <w:bCs w:val="1"/>
                <w:color w:val="auto"/>
                <w:w w:val="98"/>
              </w:rPr>
              <w:t>Benefit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20" w:type="dxa"/>
            <w:vAlign w:val="bottom"/>
          </w:tcPr>
          <w:p>
            <w:pPr>
              <w:spacing w:after="0"/>
              <w:rPr>
                <w:sz w:val="17"/>
                <w:szCs w:val="17"/>
                <w:color w:val="auto"/>
              </w:rPr>
            </w:pPr>
          </w:p>
        </w:tc>
        <w:tc>
          <w:tcPr>
            <w:tcW w:w="3000" w:type="dxa"/>
            <w:vAlign w:val="bottom"/>
          </w:tcPr>
          <w:p>
            <w:pPr>
              <w:jc w:val="center"/>
              <w:ind w:left="1430"/>
              <w:spacing w:after="0" w:line="202" w:lineRule="exact"/>
              <w:rPr>
                <w:sz w:val="20"/>
                <w:szCs w:val="20"/>
                <w:color w:val="auto"/>
              </w:rPr>
            </w:pPr>
            <w:r>
              <w:rPr>
                <w:rFonts w:ascii="Arial" w:cs="Arial" w:eastAsia="Arial" w:hAnsi="Arial"/>
                <w:sz w:val="18"/>
                <w:szCs w:val="18"/>
                <w:b w:val="1"/>
                <w:bCs w:val="1"/>
                <w:color w:val="auto"/>
                <w:w w:val="99"/>
              </w:rPr>
              <w:t>restructuring</w:t>
            </w:r>
          </w:p>
        </w:tc>
        <w:tc>
          <w:tcPr>
            <w:tcW w:w="138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Termination</w:t>
            </w:r>
          </w:p>
        </w:tc>
        <w:tc>
          <w:tcPr>
            <w:tcW w:w="13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of plant</w:t>
            </w:r>
          </w:p>
        </w:tc>
        <w:tc>
          <w:tcPr>
            <w:tcW w:w="1220" w:type="dxa"/>
            <w:vAlign w:val="bottom"/>
            <w:gridSpan w:val="2"/>
          </w:tcPr>
          <w:p>
            <w:pPr>
              <w:jc w:val="center"/>
              <w:ind w:left="70"/>
              <w:spacing w:after="0" w:line="202" w:lineRule="exact"/>
              <w:rPr>
                <w:sz w:val="20"/>
                <w:szCs w:val="20"/>
                <w:color w:val="auto"/>
              </w:rPr>
            </w:pPr>
            <w:r>
              <w:rPr>
                <w:rFonts w:ascii="Arial" w:cs="Arial" w:eastAsia="Arial" w:hAnsi="Arial"/>
                <w:sz w:val="18"/>
                <w:szCs w:val="18"/>
                <w:b w:val="1"/>
                <w:bCs w:val="1"/>
                <w:color w:val="auto"/>
              </w:rPr>
              <w:t>plan</w:t>
            </w:r>
          </w:p>
        </w:tc>
        <w:tc>
          <w:tcPr>
            <w:tcW w:w="0" w:type="dxa"/>
            <w:vAlign w:val="bottom"/>
          </w:tcPr>
          <w:p>
            <w:pPr>
              <w:spacing w:after="0"/>
              <w:rPr>
                <w:sz w:val="1"/>
                <w:szCs w:val="1"/>
                <w:color w:val="auto"/>
              </w:rPr>
            </w:pP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b w:val="1"/>
                <w:bCs w:val="1"/>
                <w:color w:val="auto"/>
              </w:rPr>
              <w:t>Nine months ended September 30, 2014</w:t>
            </w:r>
          </w:p>
        </w:tc>
        <w:tc>
          <w:tcPr>
            <w:tcW w:w="3000" w:type="dxa"/>
            <w:vAlign w:val="bottom"/>
          </w:tcPr>
          <w:p>
            <w:pPr>
              <w:jc w:val="center"/>
              <w:ind w:left="1410"/>
              <w:spacing w:after="0" w:line="202" w:lineRule="exact"/>
              <w:rPr>
                <w:sz w:val="20"/>
                <w:szCs w:val="20"/>
                <w:color w:val="auto"/>
              </w:rPr>
            </w:pPr>
            <w:r>
              <w:rPr>
                <w:rFonts w:ascii="Arial" w:cs="Arial" w:eastAsia="Arial" w:hAnsi="Arial"/>
                <w:sz w:val="18"/>
                <w:szCs w:val="18"/>
                <w:b w:val="1"/>
                <w:bCs w:val="1"/>
                <w:color w:val="auto"/>
                <w:w w:val="97"/>
              </w:rPr>
              <w:t>costs</w:t>
            </w: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and other</w:t>
            </w:r>
          </w:p>
        </w:tc>
        <w:tc>
          <w:tcPr>
            <w:tcW w:w="13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and</w:t>
            </w:r>
          </w:p>
        </w:tc>
        <w:tc>
          <w:tcPr>
            <w:tcW w:w="1220" w:type="dxa"/>
            <w:vAlign w:val="bottom"/>
            <w:gridSpan w:val="2"/>
          </w:tcPr>
          <w:p>
            <w:pPr>
              <w:jc w:val="center"/>
              <w:ind w:left="70"/>
              <w:spacing w:after="0" w:line="202" w:lineRule="exact"/>
              <w:rPr>
                <w:sz w:val="20"/>
                <w:szCs w:val="20"/>
                <w:color w:val="auto"/>
              </w:rPr>
            </w:pPr>
            <w:r>
              <w:rPr>
                <w:rFonts w:ascii="Arial" w:cs="Arial" w:eastAsia="Arial" w:hAnsi="Arial"/>
                <w:sz w:val="18"/>
                <w:szCs w:val="18"/>
                <w:b w:val="1"/>
                <w:bCs w:val="1"/>
                <w:color w:val="auto"/>
                <w:w w:val="99"/>
              </w:rPr>
              <w:t>curtailment/</w:t>
            </w:r>
          </w:p>
        </w:tc>
        <w:tc>
          <w:tcPr>
            <w:tcW w:w="0" w:type="dxa"/>
            <w:vAlign w:val="bottom"/>
          </w:tcPr>
          <w:p>
            <w:pPr>
              <w:spacing w:after="0"/>
              <w:rPr>
                <w:sz w:val="1"/>
                <w:szCs w:val="1"/>
                <w:color w:val="auto"/>
              </w:rPr>
            </w:pPr>
          </w:p>
        </w:tc>
      </w:tr>
      <w:tr>
        <w:trPr>
          <w:trHeight w:val="225"/>
        </w:trPr>
        <w:tc>
          <w:tcPr>
            <w:tcW w:w="452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3000" w:type="dxa"/>
            <w:vAlign w:val="bottom"/>
          </w:tcPr>
          <w:p>
            <w:pPr>
              <w:jc w:val="center"/>
              <w:ind w:left="1350"/>
              <w:spacing w:after="0"/>
              <w:rPr>
                <w:sz w:val="20"/>
                <w:szCs w:val="20"/>
                <w:color w:val="auto"/>
              </w:rPr>
            </w:pPr>
            <w:r>
              <w:rPr>
                <w:rFonts w:ascii="Arial" w:cs="Arial" w:eastAsia="Arial" w:hAnsi="Arial"/>
                <w:sz w:val="18"/>
                <w:szCs w:val="18"/>
                <w:b w:val="1"/>
                <w:bCs w:val="1"/>
                <w:color w:val="auto"/>
                <w:w w:val="99"/>
              </w:rPr>
              <w:t>incurred</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7"/>
              </w:rPr>
              <w:t>costs</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rPr>
              <w:t>equipment</w:t>
            </w:r>
          </w:p>
        </w:tc>
        <w:tc>
          <w:tcPr>
            <w:tcW w:w="122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9"/>
              </w:rPr>
              <w:t>settlement</w:t>
            </w:r>
          </w:p>
        </w:tc>
        <w:tc>
          <w:tcPr>
            <w:tcW w:w="0" w:type="dxa"/>
            <w:vAlign w:val="bottom"/>
          </w:tcPr>
          <w:p>
            <w:pPr>
              <w:spacing w:after="0"/>
              <w:rPr>
                <w:sz w:val="1"/>
                <w:szCs w:val="1"/>
                <w:color w:val="auto"/>
              </w:rPr>
            </w:pPr>
          </w:p>
        </w:tc>
      </w:tr>
      <w:tr>
        <w:trPr>
          <w:trHeight w:val="195"/>
        </w:trPr>
        <w:tc>
          <w:tcPr>
            <w:tcW w:w="4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Machine Clothing</w:t>
            </w:r>
          </w:p>
        </w:tc>
        <w:tc>
          <w:tcPr>
            <w:tcW w:w="3000" w:type="dxa"/>
            <w:vAlign w:val="bottom"/>
            <w:tcBorders>
              <w:top w:val="single" w:sz="8" w:color="auto"/>
            </w:tcBorders>
          </w:tcPr>
          <w:p>
            <w:pPr>
              <w:jc w:val="right"/>
              <w:ind w:right="230"/>
              <w:spacing w:after="0" w:line="195" w:lineRule="exact"/>
              <w:rPr>
                <w:sz w:val="20"/>
                <w:szCs w:val="20"/>
                <w:color w:val="auto"/>
              </w:rPr>
            </w:pPr>
            <w:r>
              <w:rPr>
                <w:rFonts w:ascii="Arial" w:cs="Arial" w:eastAsia="Arial" w:hAnsi="Arial"/>
                <w:sz w:val="18"/>
                <w:szCs w:val="18"/>
                <w:color w:val="auto"/>
              </w:rPr>
              <w:t>$3,127</w:t>
            </w:r>
          </w:p>
        </w:tc>
        <w:tc>
          <w:tcPr>
            <w:tcW w:w="1380" w:type="dxa"/>
            <w:vAlign w:val="bottom"/>
            <w:tcBorders>
              <w:top w:val="single" w:sz="8" w:color="auto"/>
            </w:tcBorders>
          </w:tcPr>
          <w:p>
            <w:pPr>
              <w:jc w:val="right"/>
              <w:ind w:right="190"/>
              <w:spacing w:after="0" w:line="195" w:lineRule="exact"/>
              <w:rPr>
                <w:sz w:val="20"/>
                <w:szCs w:val="20"/>
                <w:color w:val="auto"/>
              </w:rPr>
            </w:pPr>
            <w:r>
              <w:rPr>
                <w:rFonts w:ascii="Arial" w:cs="Arial" w:eastAsia="Arial" w:hAnsi="Arial"/>
                <w:sz w:val="18"/>
                <w:szCs w:val="18"/>
                <w:color w:val="auto"/>
              </w:rPr>
              <w:t>$3,837</w:t>
            </w:r>
          </w:p>
        </w:tc>
        <w:tc>
          <w:tcPr>
            <w:tcW w:w="1320" w:type="dxa"/>
            <w:vAlign w:val="bottom"/>
            <w:tcBorders>
              <w:top w:val="single" w:sz="8" w:color="auto"/>
            </w:tcBorders>
          </w:tcPr>
          <w:p>
            <w:pPr>
              <w:jc w:val="right"/>
              <w:ind w:right="170"/>
              <w:spacing w:after="0" w:line="195" w:lineRule="exact"/>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Albany Engineered Composites</w:t>
            </w:r>
          </w:p>
        </w:tc>
        <w:tc>
          <w:tcPr>
            <w:tcW w:w="300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931</w:t>
            </w:r>
          </w:p>
        </w:tc>
        <w:tc>
          <w:tcPr>
            <w:tcW w:w="1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320</w:t>
            </w:r>
          </w:p>
        </w:tc>
        <w:tc>
          <w:tcPr>
            <w:tcW w:w="132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611</w:t>
            </w:r>
          </w:p>
        </w:tc>
        <w:tc>
          <w:tcPr>
            <w:tcW w:w="1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30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$4,058</w:t>
            </w:r>
          </w:p>
        </w:tc>
        <w:tc>
          <w:tcPr>
            <w:tcW w:w="1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$4,157</w:t>
            </w:r>
          </w:p>
        </w:tc>
        <w:tc>
          <w:tcPr>
            <w:tcW w:w="132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$611</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4520" w:type="dxa"/>
            <w:vAlign w:val="bottom"/>
          </w:tcPr>
          <w:p>
            <w:pPr>
              <w:spacing w:after="0"/>
              <w:rPr>
                <w:sz w:val="24"/>
                <w:szCs w:val="24"/>
                <w:color w:val="auto"/>
              </w:rPr>
            </w:pPr>
          </w:p>
        </w:tc>
        <w:tc>
          <w:tcPr>
            <w:tcW w:w="3000" w:type="dxa"/>
            <w:vAlign w:val="bottom"/>
          </w:tcPr>
          <w:p>
            <w:pPr>
              <w:jc w:val="right"/>
              <w:ind w:right="1630"/>
              <w:spacing w:after="0"/>
              <w:rPr>
                <w:sz w:val="20"/>
                <w:szCs w:val="20"/>
                <w:color w:val="auto"/>
              </w:rPr>
            </w:pPr>
            <w:r>
              <w:rPr>
                <w:rFonts w:ascii="Arial" w:cs="Arial" w:eastAsia="Arial" w:hAnsi="Arial"/>
                <w:sz w:val="18"/>
                <w:szCs w:val="18"/>
                <w:color w:val="auto"/>
              </w:rPr>
              <w:t>10</w:t>
            </w: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520" w:type="dxa"/>
            <w:vAlign w:val="bottom"/>
            <w:tcBorders>
              <w:bottom w:val="single" w:sz="8" w:color="auto"/>
            </w:tcBorders>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0" w:name="page11"/>
    <w:bookmarkEnd w:id="10"/>
    <w:p>
      <w:pPr>
        <w:ind w:right="240" w:firstLine="648"/>
        <w:spacing w:after="0" w:line="245" w:lineRule="auto"/>
        <w:rPr>
          <w:sz w:val="20"/>
          <w:szCs w:val="20"/>
          <w:color w:val="auto"/>
        </w:rPr>
      </w:pPr>
      <w:r>
        <w:rPr>
          <w:rFonts w:ascii="Arial" w:cs="Arial" w:eastAsia="Arial" w:hAnsi="Arial"/>
          <w:sz w:val="18"/>
          <w:szCs w:val="18"/>
          <w:color w:val="auto"/>
        </w:rPr>
        <w:t>We expect that substantially all Accrued liabilities for restructuring will be paid within one year. The table below presents year-to-date changes in restructuring liabilities for 2015 and 2014, all of which related to termination costs: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jc w:val="center"/>
              <w:ind w:right="110"/>
              <w:spacing w:after="0" w:line="194" w:lineRule="exact"/>
              <w:rPr>
                <w:sz w:val="20"/>
                <w:szCs w:val="20"/>
                <w:color w:val="auto"/>
              </w:rPr>
            </w:pPr>
            <w:r>
              <w:rPr>
                <w:rFonts w:ascii="Arial" w:cs="Arial" w:eastAsia="Arial" w:hAnsi="Arial"/>
                <w:sz w:val="18"/>
                <w:szCs w:val="18"/>
                <w:b w:val="1"/>
                <w:bCs w:val="1"/>
                <w:color w:val="auto"/>
                <w:w w:val="99"/>
              </w:rPr>
              <w:t>Restructuring</w:t>
            </w:r>
          </w:p>
        </w:tc>
        <w:tc>
          <w:tcPr>
            <w:tcW w:w="2280" w:type="dxa"/>
            <w:vAlign w:val="bottom"/>
            <w:tcBorders>
              <w:top w:val="single" w:sz="8" w:color="auto"/>
            </w:tcBorders>
            <w:gridSpan w:val="2"/>
          </w:tcPr>
          <w:p>
            <w:pPr>
              <w:jc w:val="center"/>
              <w:ind w:left="1030"/>
              <w:spacing w:after="0" w:line="194" w:lineRule="exact"/>
              <w:rPr>
                <w:sz w:val="20"/>
                <w:szCs w:val="20"/>
                <w:color w:val="auto"/>
              </w:rPr>
            </w:pPr>
            <w:r>
              <w:rPr>
                <w:rFonts w:ascii="Arial" w:cs="Arial" w:eastAsia="Arial" w:hAnsi="Arial"/>
                <w:sz w:val="18"/>
                <w:szCs w:val="18"/>
                <w:b w:val="1"/>
                <w:bCs w:val="1"/>
                <w:color w:val="auto"/>
              </w:rPr>
              <w:t>Currency</w:t>
            </w:r>
          </w:p>
        </w:tc>
        <w:tc>
          <w:tcPr>
            <w:tcW w:w="7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4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December 31,</w:t>
            </w:r>
          </w:p>
        </w:tc>
        <w:tc>
          <w:tcPr>
            <w:tcW w:w="1700" w:type="dxa"/>
            <w:vAlign w:val="bottom"/>
          </w:tcPr>
          <w:p>
            <w:pPr>
              <w:jc w:val="center"/>
              <w:ind w:right="170"/>
              <w:spacing w:after="0" w:line="202" w:lineRule="exact"/>
              <w:rPr>
                <w:sz w:val="20"/>
                <w:szCs w:val="20"/>
                <w:color w:val="auto"/>
              </w:rPr>
            </w:pPr>
            <w:r>
              <w:rPr>
                <w:rFonts w:ascii="Arial" w:cs="Arial" w:eastAsia="Arial" w:hAnsi="Arial"/>
                <w:sz w:val="18"/>
                <w:szCs w:val="18"/>
                <w:b w:val="1"/>
                <w:bCs w:val="1"/>
                <w:color w:val="auto"/>
                <w:w w:val="98"/>
              </w:rPr>
              <w:t>charges</w:t>
            </w:r>
          </w:p>
        </w:tc>
        <w:tc>
          <w:tcPr>
            <w:tcW w:w="22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translation /</w:t>
            </w:r>
          </w:p>
        </w:tc>
        <w:tc>
          <w:tcPr>
            <w:tcW w:w="1940" w:type="dxa"/>
            <w:vAlign w:val="bottom"/>
            <w:gridSpan w:val="3"/>
          </w:tcPr>
          <w:p>
            <w:pPr>
              <w:jc w:val="center"/>
              <w:ind w:left="130"/>
              <w:spacing w:after="0" w:line="202"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2014</w:t>
            </w:r>
          </w:p>
        </w:tc>
        <w:tc>
          <w:tcPr>
            <w:tcW w:w="17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rPr>
              <w:t>accrued</w:t>
            </w:r>
          </w:p>
        </w:tc>
        <w:tc>
          <w:tcPr>
            <w:tcW w:w="14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8"/>
              </w:rPr>
              <w:t>Payments</w:t>
            </w:r>
          </w:p>
        </w:tc>
        <w:tc>
          <w:tcPr>
            <w:tcW w:w="8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7"/>
              </w:rPr>
              <w:t>other</w:t>
            </w:r>
          </w:p>
        </w:tc>
        <w:tc>
          <w:tcPr>
            <w:tcW w:w="7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99"/>
              </w:rPr>
              <w:t>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termination costs</w:t>
            </w: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$1,874</w:t>
            </w:r>
          </w:p>
        </w:tc>
        <w:tc>
          <w:tcPr>
            <w:tcW w:w="17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$10,607</w:t>
            </w:r>
          </w:p>
        </w:tc>
        <w:tc>
          <w:tcPr>
            <w:tcW w:w="14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($10,637)</w:t>
            </w: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$96</w:t>
            </w:r>
          </w:p>
        </w:tc>
        <w:tc>
          <w:tcPr>
            <w:tcW w:w="7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$1,940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4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00" w:type="dxa"/>
            <w:vAlign w:val="bottom"/>
          </w:tcPr>
          <w:p>
            <w:pPr>
              <w:jc w:val="center"/>
              <w:ind w:right="110"/>
              <w:spacing w:after="0" w:line="173" w:lineRule="exact"/>
              <w:rPr>
                <w:sz w:val="20"/>
                <w:szCs w:val="20"/>
                <w:color w:val="auto"/>
              </w:rPr>
            </w:pPr>
            <w:r>
              <w:rPr>
                <w:rFonts w:ascii="Arial" w:cs="Arial" w:eastAsia="Arial" w:hAnsi="Arial"/>
                <w:sz w:val="18"/>
                <w:szCs w:val="18"/>
                <w:b w:val="1"/>
                <w:bCs w:val="1"/>
                <w:color w:val="auto"/>
                <w:w w:val="99"/>
              </w:rPr>
              <w:t>Restructuring</w:t>
            </w:r>
          </w:p>
        </w:tc>
        <w:tc>
          <w:tcPr>
            <w:tcW w:w="2280" w:type="dxa"/>
            <w:vAlign w:val="bottom"/>
            <w:gridSpan w:val="2"/>
          </w:tcPr>
          <w:p>
            <w:pPr>
              <w:jc w:val="center"/>
              <w:ind w:left="1030"/>
              <w:spacing w:after="0" w:line="173" w:lineRule="exact"/>
              <w:rPr>
                <w:sz w:val="20"/>
                <w:szCs w:val="20"/>
                <w:color w:val="auto"/>
              </w:rPr>
            </w:pPr>
            <w:r>
              <w:rPr>
                <w:rFonts w:ascii="Arial" w:cs="Arial" w:eastAsia="Arial" w:hAnsi="Arial"/>
                <w:sz w:val="18"/>
                <w:szCs w:val="18"/>
                <w:b w:val="1"/>
                <w:bCs w:val="1"/>
                <w:color w:val="auto"/>
              </w:rPr>
              <w:t>Currency</w:t>
            </w: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4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December 31,</w:t>
            </w:r>
          </w:p>
        </w:tc>
        <w:tc>
          <w:tcPr>
            <w:tcW w:w="1700" w:type="dxa"/>
            <w:vAlign w:val="bottom"/>
          </w:tcPr>
          <w:p>
            <w:pPr>
              <w:jc w:val="center"/>
              <w:ind w:right="170"/>
              <w:spacing w:after="0" w:line="202" w:lineRule="exact"/>
              <w:rPr>
                <w:sz w:val="20"/>
                <w:szCs w:val="20"/>
                <w:color w:val="auto"/>
              </w:rPr>
            </w:pPr>
            <w:r>
              <w:rPr>
                <w:rFonts w:ascii="Arial" w:cs="Arial" w:eastAsia="Arial" w:hAnsi="Arial"/>
                <w:sz w:val="18"/>
                <w:szCs w:val="18"/>
                <w:b w:val="1"/>
                <w:bCs w:val="1"/>
                <w:color w:val="auto"/>
                <w:w w:val="98"/>
              </w:rPr>
              <w:t>charges</w:t>
            </w:r>
          </w:p>
        </w:tc>
        <w:tc>
          <w:tcPr>
            <w:tcW w:w="2280" w:type="dxa"/>
            <w:vAlign w:val="bottom"/>
            <w:gridSpan w:val="2"/>
          </w:tcPr>
          <w:p>
            <w:pPr>
              <w:jc w:val="center"/>
              <w:ind w:left="1030"/>
              <w:spacing w:after="0" w:line="202" w:lineRule="exact"/>
              <w:rPr>
                <w:sz w:val="20"/>
                <w:szCs w:val="20"/>
                <w:color w:val="auto"/>
              </w:rPr>
            </w:pPr>
            <w:r>
              <w:rPr>
                <w:rFonts w:ascii="Arial" w:cs="Arial" w:eastAsia="Arial" w:hAnsi="Arial"/>
                <w:sz w:val="18"/>
                <w:szCs w:val="18"/>
                <w:b w:val="1"/>
                <w:bCs w:val="1"/>
                <w:color w:val="auto"/>
                <w:w w:val="99"/>
              </w:rPr>
              <w:t>translation</w:t>
            </w:r>
          </w:p>
        </w:tc>
        <w:tc>
          <w:tcPr>
            <w:tcW w:w="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2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9"/>
              </w:rPr>
              <w:t>2013</w:t>
            </w:r>
          </w:p>
        </w:tc>
        <w:tc>
          <w:tcPr>
            <w:tcW w:w="1700" w:type="dxa"/>
            <w:vAlign w:val="bottom"/>
          </w:tcPr>
          <w:p>
            <w:pPr>
              <w:jc w:val="center"/>
              <w:ind w:right="110"/>
              <w:spacing w:after="0"/>
              <w:rPr>
                <w:sz w:val="20"/>
                <w:szCs w:val="20"/>
                <w:color w:val="auto"/>
              </w:rPr>
            </w:pPr>
            <w:r>
              <w:rPr>
                <w:rFonts w:ascii="Arial" w:cs="Arial" w:eastAsia="Arial" w:hAnsi="Arial"/>
                <w:sz w:val="18"/>
                <w:szCs w:val="18"/>
                <w:b w:val="1"/>
                <w:bCs w:val="1"/>
                <w:color w:val="auto"/>
              </w:rPr>
              <w:t>accrued</w:t>
            </w:r>
          </w:p>
        </w:tc>
        <w:tc>
          <w:tcPr>
            <w:tcW w:w="1460" w:type="dxa"/>
            <w:vAlign w:val="bottom"/>
          </w:tcPr>
          <w:p>
            <w:pPr>
              <w:jc w:val="right"/>
              <w:ind w:right="510"/>
              <w:spacing w:after="0"/>
              <w:rPr>
                <w:sz w:val="20"/>
                <w:szCs w:val="20"/>
                <w:color w:val="auto"/>
              </w:rPr>
            </w:pPr>
            <w:r>
              <w:rPr>
                <w:rFonts w:ascii="Arial" w:cs="Arial" w:eastAsia="Arial" w:hAnsi="Arial"/>
                <w:sz w:val="18"/>
                <w:szCs w:val="18"/>
                <w:b w:val="1"/>
                <w:bCs w:val="1"/>
                <w:color w:val="auto"/>
                <w:w w:val="98"/>
              </w:rPr>
              <w:t>Payments</w:t>
            </w:r>
          </w:p>
        </w:tc>
        <w:tc>
          <w:tcPr>
            <w:tcW w:w="82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/other</w:t>
            </w:r>
          </w:p>
        </w:tc>
        <w:tc>
          <w:tcPr>
            <w:tcW w:w="194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99"/>
              </w:rPr>
              <w:t>September 30, 2014</w:t>
            </w:r>
          </w:p>
        </w:tc>
        <w:tc>
          <w:tcPr>
            <w:tcW w:w="0" w:type="dxa"/>
            <w:vAlign w:val="bottom"/>
          </w:tcPr>
          <w:p>
            <w:pPr>
              <w:spacing w:after="0"/>
              <w:rPr>
                <w:sz w:val="1"/>
                <w:szCs w:val="1"/>
                <w:color w:val="auto"/>
              </w:rPr>
            </w:pPr>
          </w:p>
        </w:tc>
      </w:tr>
      <w:tr>
        <w:trPr>
          <w:trHeight w:val="399"/>
        </w:trPr>
        <w:tc>
          <w:tcPr>
            <w:tcW w:w="4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Total termination costs</w:t>
            </w:r>
          </w:p>
        </w:tc>
        <w:tc>
          <w:tcPr>
            <w:tcW w:w="1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$9,656</w:t>
            </w:r>
          </w:p>
        </w:tc>
        <w:tc>
          <w:tcPr>
            <w:tcW w:w="17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$4,148</w:t>
            </w:r>
          </w:p>
        </w:tc>
        <w:tc>
          <w:tcPr>
            <w:tcW w:w="14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($10,904)</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($277)</w:t>
            </w:r>
          </w:p>
        </w:tc>
        <w:tc>
          <w:tcPr>
            <w:tcW w:w="70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$2,623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4120" w:type="dxa"/>
            <w:vAlign w:val="bottom"/>
          </w:tcPr>
          <w:p>
            <w:pPr>
              <w:spacing w:after="0"/>
              <w:rPr>
                <w:sz w:val="20"/>
                <w:szCs w:val="20"/>
                <w:color w:val="auto"/>
              </w:rPr>
            </w:pPr>
            <w:r>
              <w:rPr>
                <w:rFonts w:ascii="Arial" w:cs="Arial" w:eastAsia="Arial" w:hAnsi="Arial"/>
                <w:sz w:val="18"/>
                <w:szCs w:val="18"/>
                <w:b w:val="1"/>
                <w:bCs w:val="1"/>
                <w:i w:val="1"/>
                <w:iCs w:val="1"/>
                <w:color w:val="auto"/>
              </w:rPr>
              <w:t>6. Other Expenses/ (Income), net</w:t>
            </w:r>
          </w:p>
        </w:tc>
        <w:tc>
          <w:tcPr>
            <w:tcW w:w="1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520" w:type="dxa"/>
            <w:vAlign w:val="bottom"/>
            <w:gridSpan w:val="2"/>
          </w:tcPr>
          <w:p>
            <w:pPr>
              <w:ind w:left="660"/>
              <w:spacing w:after="0"/>
              <w:rPr>
                <w:sz w:val="20"/>
                <w:szCs w:val="20"/>
                <w:color w:val="auto"/>
              </w:rPr>
            </w:pPr>
            <w:r>
              <w:rPr>
                <w:rFonts w:ascii="Arial" w:cs="Arial" w:eastAsia="Arial" w:hAnsi="Arial"/>
                <w:sz w:val="18"/>
                <w:szCs w:val="18"/>
                <w:color w:val="auto"/>
              </w:rPr>
              <w:t>The components of Other Expenses/ (Income), net, are:</w:t>
            </w:r>
          </w:p>
        </w:tc>
        <w:tc>
          <w:tcPr>
            <w:tcW w:w="1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2"/>
          </w:tcPr>
          <w:p>
            <w:pPr>
              <w:spacing w:after="0"/>
              <w:rPr>
                <w:sz w:val="15"/>
                <w:szCs w:val="15"/>
                <w:color w:val="auto"/>
              </w:rPr>
            </w:pPr>
          </w:p>
        </w:tc>
        <w:tc>
          <w:tcPr>
            <w:tcW w:w="2740" w:type="dxa"/>
            <w:vAlign w:val="bottom"/>
            <w:tcBorders>
              <w:bottom w:val="single" w:sz="8" w:color="auto"/>
            </w:tcBorders>
            <w:gridSpan w:val="3"/>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160" w:type="dxa"/>
            <w:vAlign w:val="bottom"/>
            <w:gridSpan w:val="2"/>
          </w:tcPr>
          <w:p>
            <w:pPr>
              <w:jc w:val="right"/>
              <w:ind w:right="210"/>
              <w:spacing w:after="0" w:line="173" w:lineRule="exact"/>
              <w:rPr>
                <w:sz w:val="20"/>
                <w:szCs w:val="20"/>
                <w:color w:val="auto"/>
              </w:rPr>
            </w:pPr>
            <w:r>
              <w:rPr>
                <w:rFonts w:ascii="Arial" w:cs="Arial" w:eastAsia="Arial" w:hAnsi="Arial"/>
                <w:sz w:val="18"/>
                <w:szCs w:val="18"/>
                <w:b w:val="1"/>
                <w:bCs w:val="1"/>
                <w:color w:val="auto"/>
              </w:rPr>
              <w:t>Three months ended</w:t>
            </w:r>
          </w:p>
        </w:tc>
        <w:tc>
          <w:tcPr>
            <w:tcW w:w="2740" w:type="dxa"/>
            <w:vAlign w:val="bottom"/>
            <w:gridSpan w:val="3"/>
          </w:tcPr>
          <w:p>
            <w:pPr>
              <w:jc w:val="center"/>
              <w:ind w:left="290"/>
              <w:spacing w:after="0" w:line="173" w:lineRule="exact"/>
              <w:rPr>
                <w:sz w:val="20"/>
                <w:szCs w:val="20"/>
                <w:color w:val="auto"/>
              </w:rPr>
            </w:pPr>
            <w:r>
              <w:rPr>
                <w:rFonts w:ascii="Arial" w:cs="Arial" w:eastAsia="Arial" w:hAnsi="Arial"/>
                <w:sz w:val="18"/>
                <w:szCs w:val="18"/>
                <w:b w:val="1"/>
                <w:bCs w:val="1"/>
                <w:color w:val="auto"/>
              </w:rPr>
              <w:t>Nine months ended</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160" w:type="dxa"/>
            <w:vAlign w:val="bottom"/>
            <w:gridSpan w:val="2"/>
          </w:tcPr>
          <w:p>
            <w:pPr>
              <w:jc w:val="right"/>
              <w:ind w:right="470"/>
              <w:spacing w:after="0" w:line="202" w:lineRule="exact"/>
              <w:rPr>
                <w:sz w:val="20"/>
                <w:szCs w:val="20"/>
                <w:color w:val="auto"/>
              </w:rPr>
            </w:pPr>
            <w:r>
              <w:rPr>
                <w:rFonts w:ascii="Arial" w:cs="Arial" w:eastAsia="Arial" w:hAnsi="Arial"/>
                <w:sz w:val="18"/>
                <w:szCs w:val="18"/>
                <w:b w:val="1"/>
                <w:bCs w:val="1"/>
                <w:color w:val="auto"/>
              </w:rPr>
              <w:t>September 30,</w:t>
            </w:r>
          </w:p>
        </w:tc>
        <w:tc>
          <w:tcPr>
            <w:tcW w:w="820" w:type="dxa"/>
            <w:vAlign w:val="bottom"/>
          </w:tcPr>
          <w:p>
            <w:pPr>
              <w:spacing w:after="0"/>
              <w:rPr>
                <w:sz w:val="17"/>
                <w:szCs w:val="17"/>
                <w:color w:val="auto"/>
              </w:rPr>
            </w:pPr>
          </w:p>
        </w:tc>
        <w:tc>
          <w:tcPr>
            <w:tcW w:w="1940" w:type="dxa"/>
            <w:vAlign w:val="bottom"/>
            <w:gridSpan w:val="3"/>
          </w:tcPr>
          <w:p>
            <w:pPr>
              <w:jc w:val="center"/>
              <w:ind w:right="460"/>
              <w:spacing w:after="0" w:line="202"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4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52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2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120" w:type="dxa"/>
            <w:vAlign w:val="bottom"/>
          </w:tcPr>
          <w:p>
            <w:pPr>
              <w:spacing w:after="0" w:line="173" w:lineRule="exact"/>
              <w:rPr>
                <w:sz w:val="20"/>
                <w:szCs w:val="20"/>
                <w:color w:val="auto"/>
              </w:rPr>
            </w:pPr>
            <w:r>
              <w:rPr>
                <w:rFonts w:ascii="Arial" w:cs="Arial" w:eastAsia="Arial" w:hAnsi="Arial"/>
                <w:sz w:val="18"/>
                <w:szCs w:val="18"/>
                <w:color w:val="auto"/>
              </w:rPr>
              <w:t>Currency transaction losses/(gains)</w:t>
            </w:r>
          </w:p>
        </w:tc>
        <w:tc>
          <w:tcPr>
            <w:tcW w:w="1400" w:type="dxa"/>
            <w:vAlign w:val="bottom"/>
          </w:tcPr>
          <w:p>
            <w:pPr>
              <w:spacing w:after="0"/>
              <w:rPr>
                <w:sz w:val="15"/>
                <w:szCs w:val="15"/>
                <w:color w:val="auto"/>
              </w:rPr>
            </w:pPr>
          </w:p>
        </w:tc>
        <w:tc>
          <w:tcPr>
            <w:tcW w:w="170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$953</w:t>
            </w:r>
          </w:p>
        </w:tc>
        <w:tc>
          <w:tcPr>
            <w:tcW w:w="1460" w:type="dxa"/>
            <w:vAlign w:val="bottom"/>
          </w:tcPr>
          <w:p>
            <w:pPr>
              <w:jc w:val="right"/>
              <w:spacing w:after="0" w:line="173" w:lineRule="exact"/>
              <w:rPr>
                <w:sz w:val="20"/>
                <w:szCs w:val="20"/>
                <w:color w:val="auto"/>
              </w:rPr>
            </w:pPr>
            <w:r>
              <w:rPr>
                <w:rFonts w:ascii="Arial" w:cs="Arial" w:eastAsia="Arial" w:hAnsi="Arial"/>
                <w:sz w:val="18"/>
                <w:szCs w:val="18"/>
                <w:color w:val="auto"/>
              </w:rPr>
              <w:t>($1,916)</w:t>
            </w:r>
          </w:p>
        </w:tc>
        <w:tc>
          <w:tcPr>
            <w:tcW w:w="820" w:type="dxa"/>
            <w:vAlign w:val="bottom"/>
          </w:tcPr>
          <w:p>
            <w:pPr>
              <w:spacing w:after="0"/>
              <w:rPr>
                <w:sz w:val="15"/>
                <w:szCs w:val="15"/>
                <w:color w:val="auto"/>
              </w:rPr>
            </w:pPr>
          </w:p>
        </w:tc>
        <w:tc>
          <w:tcPr>
            <w:tcW w:w="700" w:type="dxa"/>
            <w:vAlign w:val="bottom"/>
          </w:tcPr>
          <w:p>
            <w:pPr>
              <w:jc w:val="right"/>
              <w:ind w:right="150"/>
              <w:spacing w:after="0" w:line="173" w:lineRule="exact"/>
              <w:rPr>
                <w:sz w:val="20"/>
                <w:szCs w:val="20"/>
                <w:color w:val="auto"/>
              </w:rPr>
            </w:pPr>
            <w:r>
              <w:rPr>
                <w:rFonts w:ascii="Arial" w:cs="Arial" w:eastAsia="Arial" w:hAnsi="Arial"/>
                <w:sz w:val="18"/>
                <w:szCs w:val="18"/>
                <w:b w:val="1"/>
                <w:bCs w:val="1"/>
                <w:color w:val="auto"/>
              </w:rPr>
              <w:t>$404</w:t>
            </w:r>
          </w:p>
        </w:tc>
        <w:tc>
          <w:tcPr>
            <w:tcW w:w="1220" w:type="dxa"/>
            <w:vAlign w:val="bottom"/>
          </w:tcPr>
          <w:p>
            <w:pPr>
              <w:jc w:val="right"/>
              <w:spacing w:after="0" w:line="173" w:lineRule="exact"/>
              <w:rPr>
                <w:sz w:val="20"/>
                <w:szCs w:val="20"/>
                <w:color w:val="auto"/>
              </w:rPr>
            </w:pPr>
            <w:r>
              <w:rPr>
                <w:rFonts w:ascii="Arial" w:cs="Arial" w:eastAsia="Arial" w:hAnsi="Arial"/>
                <w:sz w:val="18"/>
                <w:szCs w:val="18"/>
                <w:color w:val="auto"/>
              </w:rPr>
              <w:t>($3,819)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Bank fees and amortization of debt issuance costs</w:t>
            </w:r>
          </w:p>
        </w:tc>
        <w:tc>
          <w:tcPr>
            <w:tcW w:w="140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219</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271</w:t>
            </w:r>
          </w:p>
        </w:tc>
        <w:tc>
          <w:tcPr>
            <w:tcW w:w="820" w:type="dxa"/>
            <w:vAlign w:val="bottom"/>
          </w:tcPr>
          <w:p>
            <w:pPr>
              <w:spacing w:after="0"/>
              <w:rPr>
                <w:sz w:val="17"/>
                <w:szCs w:val="17"/>
                <w:color w:val="auto"/>
              </w:rPr>
            </w:pPr>
          </w:p>
        </w:tc>
        <w:tc>
          <w:tcPr>
            <w:tcW w:w="70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764</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Gain on sale of investment</w:t>
            </w:r>
          </w:p>
        </w:tc>
        <w:tc>
          <w:tcPr>
            <w:tcW w:w="140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spacing w:after="0"/>
              <w:rPr>
                <w:sz w:val="17"/>
                <w:szCs w:val="17"/>
                <w:color w:val="auto"/>
              </w:rPr>
            </w:pPr>
          </w:p>
        </w:tc>
        <w:tc>
          <w:tcPr>
            <w:tcW w:w="7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(872)</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Gain on insurance recovery</w:t>
            </w:r>
          </w:p>
        </w:tc>
        <w:tc>
          <w:tcPr>
            <w:tcW w:w="140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(165)</w:t>
            </w:r>
          </w:p>
        </w:tc>
        <w:tc>
          <w:tcPr>
            <w:tcW w:w="820" w:type="dxa"/>
            <w:vAlign w:val="bottom"/>
          </w:tcPr>
          <w:p>
            <w:pPr>
              <w:spacing w:after="0"/>
              <w:rPr>
                <w:sz w:val="17"/>
                <w:szCs w:val="17"/>
                <w:color w:val="auto"/>
              </w:rPr>
            </w:pPr>
          </w:p>
        </w:tc>
        <w:tc>
          <w:tcPr>
            <w:tcW w:w="70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(1,126)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8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488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$1,249</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($1,864)</w:t>
            </w:r>
          </w:p>
        </w:tc>
        <w:tc>
          <w:tcPr>
            <w:tcW w:w="8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$784</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right="160" w:firstLine="648"/>
        <w:spacing w:after="0" w:line="246" w:lineRule="auto"/>
        <w:rPr>
          <w:sz w:val="20"/>
          <w:szCs w:val="20"/>
          <w:color w:val="auto"/>
        </w:rPr>
      </w:pPr>
      <w:r>
        <w:rPr>
          <w:rFonts w:ascii="Arial" w:cs="Arial" w:eastAsia="Arial" w:hAnsi="Arial"/>
          <w:sz w:val="18"/>
          <w:szCs w:val="18"/>
          <w:color w:val="auto"/>
        </w:rPr>
        <w:t>In March 2015, the Company sold its total equity investment in an unaffiliated company. The value of the investment was written off in 2004, resulting in a gain of $0.9 million in the first quarter of 2015.</w:t>
      </w:r>
    </w:p>
    <w:p>
      <w:pPr>
        <w:spacing w:after="0" w:line="156"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In July 2013, the Company’s manufacturing facility in Germany was damaged by severe weather. At that time, the Company expensed the remaining book value of the damaged property, but that value was minimal. The insurance recovery gain recorded in 2014 represents the finalization of the insurance claim.</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7. Income Taxes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components of income tax expense for the three and nine months ended September 30, 2015 and 2014: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6200" w:type="dxa"/>
            <w:vAlign w:val="bottom"/>
            <w:tcBorders>
              <w:top w:val="single" w:sz="8" w:color="auto"/>
            </w:tcBorders>
          </w:tcPr>
          <w:p>
            <w:pPr>
              <w:spacing w:after="0"/>
              <w:rPr>
                <w:sz w:val="16"/>
                <w:szCs w:val="16"/>
                <w:color w:val="auto"/>
              </w:rPr>
            </w:pPr>
          </w:p>
        </w:tc>
        <w:tc>
          <w:tcPr>
            <w:tcW w:w="2780" w:type="dxa"/>
            <w:vAlign w:val="bottom"/>
            <w:tcBorders>
              <w:top w:val="single" w:sz="8" w:color="auto"/>
            </w:tcBorders>
            <w:gridSpan w:val="2"/>
          </w:tcPr>
          <w:p>
            <w:pPr>
              <w:ind w:left="400"/>
              <w:spacing w:after="0" w:line="194" w:lineRule="exact"/>
              <w:rPr>
                <w:sz w:val="20"/>
                <w:szCs w:val="20"/>
                <w:color w:val="auto"/>
              </w:rPr>
            </w:pPr>
            <w:r>
              <w:rPr>
                <w:rFonts w:ascii="Arial" w:cs="Arial" w:eastAsia="Arial" w:hAnsi="Arial"/>
                <w:sz w:val="18"/>
                <w:szCs w:val="18"/>
                <w:b w:val="1"/>
                <w:bCs w:val="1"/>
                <w:color w:val="auto"/>
              </w:rPr>
              <w:t>Three months ended</w:t>
            </w:r>
          </w:p>
        </w:tc>
        <w:tc>
          <w:tcPr>
            <w:tcW w:w="2420" w:type="dxa"/>
            <w:vAlign w:val="bottom"/>
            <w:tcBorders>
              <w:top w:val="single" w:sz="8" w:color="auto"/>
            </w:tcBorders>
            <w:gridSpan w:val="2"/>
          </w:tcPr>
          <w:p>
            <w:pPr>
              <w:jc w:val="right"/>
              <w:ind w:right="250"/>
              <w:spacing w:after="0" w:line="194" w:lineRule="exact"/>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2780" w:type="dxa"/>
            <w:vAlign w:val="bottom"/>
            <w:gridSpan w:val="2"/>
          </w:tcPr>
          <w:p>
            <w:pPr>
              <w:jc w:val="right"/>
              <w:ind w:right="790"/>
              <w:spacing w:after="0" w:line="202" w:lineRule="exact"/>
              <w:rPr>
                <w:sz w:val="20"/>
                <w:szCs w:val="20"/>
                <w:color w:val="auto"/>
              </w:rPr>
            </w:pPr>
            <w:r>
              <w:rPr>
                <w:rFonts w:ascii="Arial" w:cs="Arial" w:eastAsia="Arial" w:hAnsi="Arial"/>
                <w:sz w:val="18"/>
                <w:szCs w:val="18"/>
                <w:b w:val="1"/>
                <w:bCs w:val="1"/>
                <w:color w:val="auto"/>
              </w:rPr>
              <w:t>September 30,</w:t>
            </w:r>
          </w:p>
        </w:tc>
        <w:tc>
          <w:tcPr>
            <w:tcW w:w="2420" w:type="dxa"/>
            <w:vAlign w:val="bottom"/>
            <w:gridSpan w:val="2"/>
          </w:tcPr>
          <w:p>
            <w:pPr>
              <w:jc w:val="right"/>
              <w:ind w:right="470"/>
              <w:spacing w:after="0" w:line="202"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6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14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2015</w:t>
            </w: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398"/>
        </w:trPr>
        <w:tc>
          <w:tcPr>
            <w:tcW w:w="6220" w:type="dxa"/>
            <w:vAlign w:val="bottom"/>
            <w:gridSpan w:val="2"/>
          </w:tcPr>
          <w:p>
            <w:pPr>
              <w:spacing w:after="0"/>
              <w:rPr>
                <w:sz w:val="20"/>
                <w:szCs w:val="20"/>
                <w:color w:val="auto"/>
              </w:rPr>
            </w:pPr>
            <w:r>
              <w:rPr>
                <w:rFonts w:ascii="Arial" w:cs="Arial" w:eastAsia="Arial" w:hAnsi="Arial"/>
                <w:sz w:val="18"/>
                <w:szCs w:val="18"/>
                <w:color w:val="auto"/>
              </w:rPr>
              <w:t>Income tax based on income from continuing operations, at estimated tax</w:t>
            </w:r>
          </w:p>
        </w:tc>
        <w:tc>
          <w:tcPr>
            <w:tcW w:w="14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$8,331</w:t>
            </w:r>
          </w:p>
        </w:tc>
        <w:tc>
          <w:tcPr>
            <w:tcW w:w="1360" w:type="dxa"/>
            <w:vAlign w:val="bottom"/>
          </w:tcPr>
          <w:p>
            <w:pPr>
              <w:spacing w:after="0"/>
              <w:rPr>
                <w:sz w:val="24"/>
                <w:szCs w:val="24"/>
                <w:color w:val="auto"/>
              </w:rPr>
            </w:pPr>
          </w:p>
        </w:tc>
        <w:tc>
          <w:tcPr>
            <w:tcW w:w="13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$15,285</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220" w:type="dxa"/>
            <w:vAlign w:val="bottom"/>
            <w:gridSpan w:val="2"/>
          </w:tcPr>
          <w:p>
            <w:pPr>
              <w:spacing w:after="0" w:line="181" w:lineRule="exact"/>
              <w:rPr>
                <w:sz w:val="20"/>
                <w:szCs w:val="20"/>
                <w:color w:val="auto"/>
              </w:rPr>
            </w:pPr>
            <w:r>
              <w:rPr>
                <w:rFonts w:ascii="Arial" w:cs="Arial" w:eastAsia="Arial" w:hAnsi="Arial"/>
                <w:sz w:val="18"/>
                <w:szCs w:val="18"/>
                <w:color w:val="auto"/>
              </w:rPr>
              <w:t>rates of 38.0% and 34.9%, respectively</w:t>
            </w:r>
          </w:p>
        </w:tc>
        <w:tc>
          <w:tcPr>
            <w:tcW w:w="1420" w:type="dxa"/>
            <w:vAlign w:val="bottom"/>
            <w:vMerge w:val="continue"/>
          </w:tcPr>
          <w:p>
            <w:pPr>
              <w:spacing w:after="0"/>
              <w:rPr>
                <w:sz w:val="15"/>
                <w:szCs w:val="15"/>
                <w:color w:val="auto"/>
              </w:rPr>
            </w:pPr>
          </w:p>
        </w:tc>
        <w:tc>
          <w:tcPr>
            <w:tcW w:w="1360" w:type="dxa"/>
            <w:vAlign w:val="bottom"/>
          </w:tcPr>
          <w:p>
            <w:pPr>
              <w:jc w:val="right"/>
              <w:ind w:right="290"/>
              <w:spacing w:after="0" w:line="181" w:lineRule="exact"/>
              <w:rPr>
                <w:sz w:val="20"/>
                <w:szCs w:val="20"/>
                <w:color w:val="auto"/>
              </w:rPr>
            </w:pPr>
            <w:r>
              <w:rPr>
                <w:rFonts w:ascii="Arial" w:cs="Arial" w:eastAsia="Arial" w:hAnsi="Arial"/>
                <w:sz w:val="18"/>
                <w:szCs w:val="18"/>
                <w:color w:val="auto"/>
              </w:rPr>
              <w:t>$6,470</w:t>
            </w:r>
          </w:p>
        </w:tc>
        <w:tc>
          <w:tcPr>
            <w:tcW w:w="1340" w:type="dxa"/>
            <w:vAlign w:val="bottom"/>
            <w:vMerge w:val="continue"/>
          </w:tcPr>
          <w:p>
            <w:pPr>
              <w:spacing w:after="0"/>
              <w:rPr>
                <w:sz w:val="15"/>
                <w:szCs w:val="15"/>
                <w:color w:val="auto"/>
              </w:rPr>
            </w:pPr>
          </w:p>
        </w:tc>
        <w:tc>
          <w:tcPr>
            <w:tcW w:w="10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$19,226</w:t>
            </w:r>
          </w:p>
        </w:tc>
        <w:tc>
          <w:tcPr>
            <w:tcW w:w="0" w:type="dxa"/>
            <w:vAlign w:val="bottom"/>
          </w:tcPr>
          <w:p>
            <w:pPr>
              <w:spacing w:after="0"/>
              <w:rPr>
                <w:sz w:val="1"/>
                <w:szCs w:val="1"/>
                <w:color w:val="auto"/>
              </w:rPr>
            </w:pPr>
          </w:p>
        </w:tc>
      </w:tr>
      <w:tr>
        <w:trPr>
          <w:trHeight w:val="225"/>
        </w:trPr>
        <w:tc>
          <w:tcPr>
            <w:tcW w:w="6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Provision for change in estimated tax rates</w:t>
            </w: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(1,002)</w:t>
            </w: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(243)</w:t>
            </w: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6220" w:type="dxa"/>
            <w:vAlign w:val="bottom"/>
            <w:gridSpan w:val="2"/>
          </w:tcPr>
          <w:p>
            <w:pPr>
              <w:spacing w:after="0"/>
              <w:rPr>
                <w:sz w:val="20"/>
                <w:szCs w:val="20"/>
                <w:color w:val="auto"/>
              </w:rPr>
            </w:pPr>
            <w:r>
              <w:rPr>
                <w:rFonts w:ascii="Arial" w:cs="Arial" w:eastAsia="Arial" w:hAnsi="Arial"/>
                <w:sz w:val="18"/>
                <w:szCs w:val="18"/>
                <w:color w:val="auto"/>
              </w:rPr>
              <w:t>Income tax before discrete items</w:t>
            </w:r>
          </w:p>
        </w:tc>
        <w:tc>
          <w:tcPr>
            <w:tcW w:w="1420" w:type="dxa"/>
            <w:vAlign w:val="bottom"/>
          </w:tcPr>
          <w:p>
            <w:pPr>
              <w:jc w:val="right"/>
              <w:ind w:right="330"/>
              <w:spacing w:after="0"/>
              <w:rPr>
                <w:sz w:val="20"/>
                <w:szCs w:val="20"/>
                <w:color w:val="auto"/>
              </w:rPr>
            </w:pPr>
            <w:r>
              <w:rPr>
                <w:rFonts w:ascii="Arial" w:cs="Arial" w:eastAsia="Arial" w:hAnsi="Arial"/>
                <w:sz w:val="18"/>
                <w:szCs w:val="18"/>
                <w:b w:val="1"/>
                <w:bCs w:val="1"/>
                <w:color w:val="auto"/>
              </w:rPr>
              <w:t>7,329</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6,227</w:t>
            </w: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15,285</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19,226</w:t>
            </w:r>
          </w:p>
        </w:tc>
        <w:tc>
          <w:tcPr>
            <w:tcW w:w="0" w:type="dxa"/>
            <w:vAlign w:val="bottom"/>
          </w:tcPr>
          <w:p>
            <w:pPr>
              <w:spacing w:after="0"/>
              <w:rPr>
                <w:sz w:val="1"/>
                <w:szCs w:val="1"/>
                <w:color w:val="auto"/>
              </w:rPr>
            </w:pPr>
          </w:p>
        </w:tc>
      </w:tr>
      <w:tr>
        <w:trPr>
          <w:trHeight w:val="368"/>
        </w:trPr>
        <w:tc>
          <w:tcPr>
            <w:tcW w:w="6220" w:type="dxa"/>
            <w:vAlign w:val="bottom"/>
            <w:gridSpan w:val="2"/>
          </w:tcPr>
          <w:p>
            <w:pPr>
              <w:spacing w:after="0"/>
              <w:rPr>
                <w:sz w:val="20"/>
                <w:szCs w:val="20"/>
                <w:color w:val="auto"/>
              </w:rPr>
            </w:pPr>
            <w:r>
              <w:rPr>
                <w:rFonts w:ascii="Arial" w:cs="Arial" w:eastAsia="Arial" w:hAnsi="Arial"/>
                <w:sz w:val="18"/>
                <w:szCs w:val="18"/>
                <w:color w:val="auto"/>
              </w:rPr>
              <w:t>Discrete tax expense/(benefit):</w:t>
            </w:r>
          </w:p>
        </w:tc>
        <w:tc>
          <w:tcPr>
            <w:tcW w:w="14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4,521</w:t>
            </w:r>
          </w:p>
        </w:tc>
        <w:tc>
          <w:tcPr>
            <w:tcW w:w="1360" w:type="dxa"/>
            <w:vAlign w:val="bottom"/>
          </w:tcPr>
          <w:p>
            <w:pPr>
              <w:spacing w:after="0"/>
              <w:rPr>
                <w:sz w:val="24"/>
                <w:szCs w:val="24"/>
                <w:color w:val="auto"/>
              </w:rPr>
            </w:pPr>
          </w:p>
        </w:tc>
        <w:tc>
          <w:tcPr>
            <w:tcW w:w="13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4,505</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00" w:type="dxa"/>
            <w:vAlign w:val="bottom"/>
          </w:tcPr>
          <w:p>
            <w:pPr>
              <w:ind w:left="340"/>
              <w:spacing w:after="0" w:line="181" w:lineRule="exact"/>
              <w:rPr>
                <w:sz w:val="20"/>
                <w:szCs w:val="20"/>
                <w:color w:val="auto"/>
              </w:rPr>
            </w:pPr>
            <w:r>
              <w:rPr>
                <w:rFonts w:ascii="Arial" w:cs="Arial" w:eastAsia="Arial" w:hAnsi="Arial"/>
                <w:sz w:val="18"/>
                <w:szCs w:val="18"/>
                <w:color w:val="auto"/>
              </w:rPr>
              <w:t>Provision for/resolution of tax audits and contingencies, net</w:t>
            </w:r>
          </w:p>
        </w:tc>
        <w:tc>
          <w:tcPr>
            <w:tcW w:w="1420" w:type="dxa"/>
            <w:vAlign w:val="bottom"/>
            <w:vMerge w:val="continue"/>
          </w:tcPr>
          <w:p>
            <w:pPr>
              <w:spacing w:after="0"/>
              <w:rPr>
                <w:sz w:val="15"/>
                <w:szCs w:val="15"/>
                <w:color w:val="auto"/>
              </w:rPr>
            </w:pPr>
          </w:p>
        </w:tc>
        <w:tc>
          <w:tcPr>
            <w:tcW w:w="1360" w:type="dxa"/>
            <w:vAlign w:val="bottom"/>
          </w:tcPr>
          <w:p>
            <w:pPr>
              <w:jc w:val="right"/>
              <w:ind w:right="290"/>
              <w:spacing w:after="0" w:line="181" w:lineRule="exact"/>
              <w:rPr>
                <w:sz w:val="20"/>
                <w:szCs w:val="20"/>
                <w:color w:val="auto"/>
              </w:rPr>
            </w:pPr>
            <w:r>
              <w:rPr>
                <w:rFonts w:ascii="Arial" w:cs="Arial" w:eastAsia="Arial" w:hAnsi="Arial"/>
                <w:sz w:val="18"/>
                <w:szCs w:val="18"/>
                <w:color w:val="auto"/>
              </w:rPr>
              <w:t>330</w:t>
            </w:r>
          </w:p>
        </w:tc>
        <w:tc>
          <w:tcPr>
            <w:tcW w:w="1340" w:type="dxa"/>
            <w:vAlign w:val="bottom"/>
            <w:vMerge w:val="continue"/>
          </w:tcPr>
          <w:p>
            <w:pPr>
              <w:spacing w:after="0"/>
              <w:rPr>
                <w:sz w:val="15"/>
                <w:szCs w:val="15"/>
                <w:color w:val="auto"/>
              </w:rPr>
            </w:pPr>
          </w:p>
        </w:tc>
        <w:tc>
          <w:tcPr>
            <w:tcW w:w="10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340"/>
              <w:spacing w:after="0" w:line="202" w:lineRule="exact"/>
              <w:rPr>
                <w:sz w:val="20"/>
                <w:szCs w:val="20"/>
                <w:color w:val="auto"/>
              </w:rPr>
            </w:pPr>
            <w:r>
              <w:rPr>
                <w:rFonts w:ascii="Arial" w:cs="Arial" w:eastAsia="Arial" w:hAnsi="Arial"/>
                <w:sz w:val="18"/>
                <w:szCs w:val="18"/>
                <w:color w:val="auto"/>
              </w:rPr>
              <w:t>Other discrete tax adjustments, net</w:t>
            </w:r>
          </w:p>
        </w:tc>
        <w:tc>
          <w:tcPr>
            <w:tcW w:w="142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968</w:t>
            </w:r>
          </w:p>
        </w:tc>
        <w:tc>
          <w:tcPr>
            <w:tcW w:w="13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1,152</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340"/>
              <w:spacing w:after="0" w:line="202" w:lineRule="exact"/>
              <w:rPr>
                <w:sz w:val="20"/>
                <w:szCs w:val="20"/>
                <w:color w:val="auto"/>
              </w:rPr>
            </w:pPr>
            <w:r>
              <w:rPr>
                <w:rFonts w:ascii="Arial" w:cs="Arial" w:eastAsia="Arial" w:hAnsi="Arial"/>
                <w:sz w:val="18"/>
                <w:szCs w:val="18"/>
                <w:color w:val="auto"/>
              </w:rPr>
              <w:t>Adjustments to prior period tax liabilities</w:t>
            </w:r>
          </w:p>
        </w:tc>
        <w:tc>
          <w:tcPr>
            <w:tcW w:w="142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(581)</w:t>
            </w:r>
          </w:p>
        </w:tc>
        <w:tc>
          <w:tcPr>
            <w:tcW w:w="13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205</w:t>
            </w:r>
          </w:p>
        </w:tc>
        <w:tc>
          <w:tcPr>
            <w:tcW w:w="134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(641)</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340"/>
              <w:spacing w:after="0" w:line="202" w:lineRule="exact"/>
              <w:rPr>
                <w:sz w:val="20"/>
                <w:szCs w:val="20"/>
                <w:color w:val="auto"/>
              </w:rPr>
            </w:pPr>
            <w:r>
              <w:rPr>
                <w:rFonts w:ascii="Arial" w:cs="Arial" w:eastAsia="Arial" w:hAnsi="Arial"/>
                <w:sz w:val="18"/>
                <w:szCs w:val="18"/>
                <w:color w:val="auto"/>
              </w:rPr>
              <w:t>Provision for/adjustment to beginning of year valuation allowance</w:t>
            </w:r>
          </w:p>
        </w:tc>
        <w:tc>
          <w:tcPr>
            <w:tcW w:w="142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Enacted tax legislation</w:t>
            </w:r>
          </w:p>
        </w:tc>
        <w:tc>
          <w:tcPr>
            <w:tcW w:w="1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6</w:t>
            </w: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97</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6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income tax expense</w:t>
            </w:r>
          </w:p>
        </w:tc>
        <w:tc>
          <w:tcPr>
            <w:tcW w:w="14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$12,243</w:t>
            </w:r>
          </w:p>
        </w:tc>
        <w:tc>
          <w:tcPr>
            <w:tcW w:w="13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$6,762</w:t>
            </w:r>
          </w:p>
        </w:tc>
        <w:tc>
          <w:tcPr>
            <w:tcW w:w="13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$20,398</w:t>
            </w: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$21,435</w:t>
            </w:r>
          </w:p>
        </w:tc>
        <w:tc>
          <w:tcPr>
            <w:tcW w:w="0" w:type="dxa"/>
            <w:vAlign w:val="bottom"/>
          </w:tcPr>
          <w:p>
            <w:pPr>
              <w:spacing w:after="0"/>
              <w:rPr>
                <w:sz w:val="1"/>
                <w:szCs w:val="1"/>
                <w:color w:val="auto"/>
              </w:rPr>
            </w:pPr>
          </w:p>
        </w:tc>
      </w:tr>
    </w:tbl>
    <w:p>
      <w:pPr>
        <w:spacing w:after="0" w:line="377"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The third-quarter estimated effective tax rate on continuing operations was 38.0 percent in 2015, as compared to 34.9 percent for the same period in 2014.</w:t>
      </w:r>
    </w:p>
    <w:p>
      <w:pPr>
        <w:spacing w:after="0" w:line="15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Company records the residual U.S. and foreign taxes on certain amounts of current year foreign earnings that have been targeted for repatriation to the U.S. As a result, such amounts are not considered to be permanently reinvested, and the Company accrued as part of the income tax provision before discrete items, for the residual taxes on these earnings to the extent they cannot be repatriated in a tax-free manner. At September 30th, 2015, the Company had a deferred tax liability of $0.5 million on $9.4 million of prior year non-U.S. earnings that had been targeted for future repatriation to the U.S.</w:t>
      </w:r>
    </w:p>
    <w:p>
      <w:pPr>
        <w:spacing w:after="0" w:line="17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conduct business globally and, as a result, the Company files income tax returns in the U.S. federal jurisdiction and various state and foreign jurisdictions. In the normal course of business we are subject to examination by taxing authorities throughout the world, including major jurisdictions such as the United States, Brazil, Canada, France, Germany, Italy, Mexico, and Switzerland. The open tax years in these jurisdictions range from 2000 to 2014. We are currently under audit in the U.S. and in other non-U.S. tax jurisdictions, including but not limited to Canada, Germany, Switzerland and Italy.</w:t>
      </w:r>
    </w:p>
    <w:p>
      <w:pPr>
        <w:spacing w:after="0" w:line="16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It is reasonably possible that over the next twelve months the amount of unrecognized tax benefits may change within a range of a net increase of $ 4.4 million to a net decrease of $3.0 million, from the reevaluation of uncertain tax positions arising in examinations, in appeals, or in the courts, or from the closure of tax statutes.</w:t>
      </w:r>
    </w:p>
    <w:p>
      <w:pPr>
        <w:spacing w:after="0" w:line="16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Company previously recognized current and deferred tax benefits of approximately $ 25.3 million on their corporate income tax returns filed in Germany related to a 1999 reorganization that have been challenged by the German tax authorities in the course of an audit. In 2008 the German Federal Tax Court (FTC) denied tax benefits to other taxpayers in a case involving German tax laws relevant to our reorganization. One of these cases involved a non-German party, and in the ruling in that case, the FTC acknowledged that the German law in question may be violative of European Union (EU) principles and referred the issue to the European Court of Justice (ECJ) for its determination on this issue. In September 2009, the ECJ issued an opinion in this case that is generally favorable to the other taxpayer and referred the case back to the FTC for further consideration. In May 2010, the FTC</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p>
      <w:pPr>
        <w:jc w:val="both"/>
        <w:spacing w:after="0" w:line="236" w:lineRule="auto"/>
        <w:rPr>
          <w:sz w:val="20"/>
          <w:szCs w:val="20"/>
          <w:color w:val="auto"/>
        </w:rPr>
      </w:pPr>
      <w:r>
        <w:rPr>
          <w:rFonts w:ascii="Arial" w:cs="Arial" w:eastAsia="Arial" w:hAnsi="Arial"/>
          <w:sz w:val="18"/>
          <w:szCs w:val="18"/>
          <w:color w:val="auto"/>
        </w:rPr>
        <w:t>released its decision, in which it resolved certain tax issues that may be relevant to our audit and remanded the case to a lower court for further development. In 2012, the lower court decided in favor of the taxpayer and the government appealed the findings to the FTC. On July 2, 2014, the FTC conducted a hearing in the aforementioned case involving the other taxpayer, and the taxpayer lost. The final written decision of the FTC was published during the fourth quarter of 2014. Although the decision of the FTC in the case is not determinative of the outcome in our case, management viewed the conclusion of this matter as an opportunity to approach the German tax authorities with the goal of a settlement agreement. We were required to pay tax and interest of approximately $14.5 million to the German tax authorities in order to pursue our appeal position. In anticipation of a settlement, a portion of the prepaid taxes and interest along with certain deferred tax assets were adjusted downward by $6.3 million in the third quarter of 2014 and by $5.8 million in the third quarter of 2015. The recognition of the uncertain tax position in deferred tax assets was partially offset by a reduction in a valuation allowance that offset the deferred tax assets. The remaining tax benefits sustained on the books are related to current tax benefits that were recognized in earlier tax years. Included in the range above are approximately $ 4.4 million of tax benefits that will continue to be challenged by the German tax authorities if the terms of the anticipated settlement were to change.</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Earnings Per Share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w:t>
      </w:r>
    </w:p>
    <w:p>
      <w:pPr>
        <w:spacing w:after="0"/>
        <w:rPr>
          <w:sz w:val="20"/>
          <w:szCs w:val="20"/>
          <w:color w:val="auto"/>
        </w:rPr>
      </w:pPr>
      <w:r>
        <w:rPr>
          <w:rFonts w:ascii="Arial" w:cs="Arial" w:eastAsia="Arial" w:hAnsi="Arial"/>
          <w:sz w:val="18"/>
          <w:szCs w:val="18"/>
          <w:color w:val="auto"/>
        </w:rPr>
        <w:t>follows:</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40" w:type="dxa"/>
            <w:vAlign w:val="bottom"/>
            <w:tcBorders>
              <w:top w:val="single" w:sz="8" w:color="auto"/>
            </w:tcBorders>
          </w:tcPr>
          <w:p>
            <w:pPr>
              <w:spacing w:after="0"/>
              <w:rPr>
                <w:sz w:val="16"/>
                <w:szCs w:val="16"/>
                <w:color w:val="auto"/>
              </w:rPr>
            </w:pPr>
          </w:p>
        </w:tc>
        <w:tc>
          <w:tcPr>
            <w:tcW w:w="3620" w:type="dxa"/>
            <w:vAlign w:val="bottom"/>
            <w:tcBorders>
              <w:top w:val="single" w:sz="8" w:color="auto"/>
            </w:tcBorders>
            <w:gridSpan w:val="2"/>
          </w:tcPr>
          <w:p>
            <w:pPr>
              <w:ind w:left="1280"/>
              <w:spacing w:after="0" w:line="194" w:lineRule="exact"/>
              <w:rPr>
                <w:sz w:val="20"/>
                <w:szCs w:val="20"/>
                <w:color w:val="auto"/>
              </w:rPr>
            </w:pPr>
            <w:r>
              <w:rPr>
                <w:rFonts w:ascii="Arial" w:cs="Arial" w:eastAsia="Arial" w:hAnsi="Arial"/>
                <w:sz w:val="18"/>
                <w:szCs w:val="18"/>
                <w:b w:val="1"/>
                <w:bCs w:val="1"/>
                <w:color w:val="auto"/>
              </w:rPr>
              <w:t>Three months ended</w:t>
            </w:r>
          </w:p>
        </w:tc>
        <w:tc>
          <w:tcPr>
            <w:tcW w:w="2460" w:type="dxa"/>
            <w:vAlign w:val="bottom"/>
            <w:tcBorders>
              <w:top w:val="single" w:sz="8" w:color="auto"/>
            </w:tcBorders>
            <w:gridSpan w:val="2"/>
          </w:tcPr>
          <w:p>
            <w:pPr>
              <w:jc w:val="right"/>
              <w:ind w:right="250"/>
              <w:spacing w:after="0" w:line="194" w:lineRule="exact"/>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03"/>
        </w:trPr>
        <w:tc>
          <w:tcPr>
            <w:tcW w:w="5340" w:type="dxa"/>
            <w:vAlign w:val="bottom"/>
          </w:tcPr>
          <w:p>
            <w:pPr>
              <w:spacing w:after="0"/>
              <w:rPr>
                <w:sz w:val="17"/>
                <w:szCs w:val="17"/>
                <w:color w:val="auto"/>
              </w:rPr>
            </w:pPr>
          </w:p>
        </w:tc>
        <w:tc>
          <w:tcPr>
            <w:tcW w:w="3620" w:type="dxa"/>
            <w:vAlign w:val="bottom"/>
            <w:gridSpan w:val="2"/>
          </w:tcPr>
          <w:p>
            <w:pPr>
              <w:jc w:val="right"/>
              <w:ind w:right="750"/>
              <w:spacing w:after="0" w:line="202" w:lineRule="exact"/>
              <w:rPr>
                <w:sz w:val="20"/>
                <w:szCs w:val="20"/>
                <w:color w:val="auto"/>
              </w:rPr>
            </w:pPr>
            <w:r>
              <w:rPr>
                <w:rFonts w:ascii="Arial" w:cs="Arial" w:eastAsia="Arial" w:hAnsi="Arial"/>
                <w:sz w:val="18"/>
                <w:szCs w:val="18"/>
                <w:b w:val="1"/>
                <w:bCs w:val="1"/>
                <w:color w:val="auto"/>
              </w:rPr>
              <w:t>September 30,</w:t>
            </w:r>
          </w:p>
        </w:tc>
        <w:tc>
          <w:tcPr>
            <w:tcW w:w="2460" w:type="dxa"/>
            <w:vAlign w:val="bottom"/>
            <w:gridSpan w:val="2"/>
          </w:tcPr>
          <w:p>
            <w:pPr>
              <w:jc w:val="right"/>
              <w:ind w:right="470"/>
              <w:spacing w:after="0" w:line="202"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market price and earnings per share)</w:t>
            </w:r>
          </w:p>
        </w:tc>
        <w:tc>
          <w:tcPr>
            <w:tcW w:w="2260" w:type="dxa"/>
            <w:vAlign w:val="bottom"/>
            <w:tcBorders>
              <w:bottom w:val="single" w:sz="8" w:color="auto"/>
            </w:tcBorders>
          </w:tcPr>
          <w:p>
            <w:pPr>
              <w:ind w:left="1280"/>
              <w:spacing w:after="0"/>
              <w:rPr>
                <w:sz w:val="20"/>
                <w:szCs w:val="20"/>
                <w:color w:val="auto"/>
              </w:rPr>
            </w:pPr>
            <w:r>
              <w:rPr>
                <w:rFonts w:ascii="Arial" w:cs="Arial" w:eastAsia="Arial" w:hAnsi="Arial"/>
                <w:sz w:val="18"/>
                <w:szCs w:val="18"/>
                <w:b w:val="1"/>
                <w:bCs w:val="1"/>
                <w:color w:val="auto"/>
              </w:rPr>
              <w:t>2015</w:t>
            </w: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399"/>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the Company</w:t>
            </w:r>
          </w:p>
        </w:tc>
        <w:tc>
          <w:tcPr>
            <w:tcW w:w="2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$9,658</w:t>
            </w: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$11,812</w:t>
            </w: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$19,699</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$33,652</w:t>
            </w:r>
          </w:p>
        </w:tc>
        <w:tc>
          <w:tcPr>
            <w:tcW w:w="0" w:type="dxa"/>
            <w:vAlign w:val="bottom"/>
          </w:tcPr>
          <w:p>
            <w:pPr>
              <w:spacing w:after="0"/>
              <w:rPr>
                <w:sz w:val="1"/>
                <w:szCs w:val="1"/>
                <w:color w:val="auto"/>
              </w:rPr>
            </w:pPr>
          </w:p>
        </w:tc>
      </w:tr>
      <w:tr>
        <w:trPr>
          <w:trHeight w:val="398"/>
        </w:trPr>
        <w:tc>
          <w:tcPr>
            <w:tcW w:w="534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2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40" w:type="dxa"/>
            <w:vAlign w:val="bottom"/>
          </w:tcPr>
          <w:p>
            <w:pPr>
              <w:ind w:left="180"/>
              <w:spacing w:after="0" w:line="202" w:lineRule="exact"/>
              <w:rPr>
                <w:sz w:val="20"/>
                <w:szCs w:val="20"/>
                <w:color w:val="auto"/>
              </w:rPr>
            </w:pPr>
            <w:r>
              <w:rPr>
                <w:rFonts w:ascii="Arial" w:cs="Arial" w:eastAsia="Arial" w:hAnsi="Arial"/>
                <w:sz w:val="18"/>
                <w:szCs w:val="18"/>
                <w:color w:val="auto"/>
              </w:rPr>
              <w:t>Weighted average number of shares used in</w:t>
            </w:r>
          </w:p>
        </w:tc>
        <w:tc>
          <w:tcPr>
            <w:tcW w:w="22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32,012</w:t>
            </w:r>
          </w:p>
        </w:tc>
        <w:tc>
          <w:tcPr>
            <w:tcW w:w="1360" w:type="dxa"/>
            <w:vAlign w:val="bottom"/>
          </w:tcPr>
          <w:p>
            <w:pPr>
              <w:spacing w:after="0"/>
              <w:rPr>
                <w:sz w:val="17"/>
                <w:szCs w:val="17"/>
                <w:color w:val="auto"/>
              </w:rPr>
            </w:pPr>
          </w:p>
        </w:tc>
        <w:tc>
          <w:tcPr>
            <w:tcW w:w="13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31,965</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340" w:type="dxa"/>
            <w:vAlign w:val="bottom"/>
          </w:tcPr>
          <w:p>
            <w:pPr>
              <w:ind w:left="180"/>
              <w:spacing w:after="0" w:line="181" w:lineRule="exact"/>
              <w:rPr>
                <w:sz w:val="20"/>
                <w:szCs w:val="20"/>
                <w:color w:val="auto"/>
              </w:rPr>
            </w:pPr>
            <w:r>
              <w:rPr>
                <w:rFonts w:ascii="Arial" w:cs="Arial" w:eastAsia="Arial" w:hAnsi="Arial"/>
                <w:sz w:val="18"/>
                <w:szCs w:val="18"/>
                <w:color w:val="auto"/>
              </w:rPr>
              <w:t>calculating basic net income per share</w:t>
            </w:r>
          </w:p>
        </w:tc>
        <w:tc>
          <w:tcPr>
            <w:tcW w:w="2260" w:type="dxa"/>
            <w:vAlign w:val="bottom"/>
            <w:vMerge w:val="continue"/>
          </w:tcPr>
          <w:p>
            <w:pPr>
              <w:spacing w:after="0"/>
              <w:rPr>
                <w:sz w:val="15"/>
                <w:szCs w:val="15"/>
                <w:color w:val="auto"/>
              </w:rPr>
            </w:pPr>
          </w:p>
        </w:tc>
        <w:tc>
          <w:tcPr>
            <w:tcW w:w="1360" w:type="dxa"/>
            <w:vAlign w:val="bottom"/>
          </w:tcPr>
          <w:p>
            <w:pPr>
              <w:jc w:val="right"/>
              <w:ind w:right="250"/>
              <w:spacing w:after="0" w:line="181" w:lineRule="exact"/>
              <w:rPr>
                <w:sz w:val="20"/>
                <w:szCs w:val="20"/>
                <w:color w:val="auto"/>
              </w:rPr>
            </w:pPr>
            <w:r>
              <w:rPr>
                <w:rFonts w:ascii="Arial" w:cs="Arial" w:eastAsia="Arial" w:hAnsi="Arial"/>
                <w:sz w:val="18"/>
                <w:szCs w:val="18"/>
                <w:color w:val="auto"/>
              </w:rPr>
              <w:t>31,848</w:t>
            </w:r>
          </w:p>
        </w:tc>
        <w:tc>
          <w:tcPr>
            <w:tcW w:w="1360" w:type="dxa"/>
            <w:vAlign w:val="bottom"/>
            <w:vMerge w:val="continue"/>
          </w:tcPr>
          <w:p>
            <w:pPr>
              <w:spacing w:after="0"/>
              <w:rPr>
                <w:sz w:val="15"/>
                <w:szCs w:val="15"/>
                <w:color w:val="auto"/>
              </w:rPr>
            </w:pPr>
          </w:p>
        </w:tc>
        <w:tc>
          <w:tcPr>
            <w:tcW w:w="11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31,822</w:t>
            </w:r>
          </w:p>
        </w:tc>
        <w:tc>
          <w:tcPr>
            <w:tcW w:w="0" w:type="dxa"/>
            <w:vAlign w:val="bottom"/>
          </w:tcPr>
          <w:p>
            <w:pPr>
              <w:spacing w:after="0"/>
              <w:rPr>
                <w:sz w:val="1"/>
                <w:szCs w:val="1"/>
                <w:color w:val="auto"/>
              </w:rPr>
            </w:pPr>
          </w:p>
        </w:tc>
      </w:tr>
      <w:tr>
        <w:trPr>
          <w:trHeight w:val="225"/>
        </w:trPr>
        <w:tc>
          <w:tcPr>
            <w:tcW w:w="5340" w:type="dxa"/>
            <w:vAlign w:val="bottom"/>
          </w:tcPr>
          <w:p>
            <w:pPr>
              <w:spacing w:after="0"/>
              <w:rPr>
                <w:sz w:val="20"/>
                <w:szCs w:val="20"/>
                <w:color w:val="auto"/>
              </w:rPr>
            </w:pPr>
            <w:r>
              <w:rPr>
                <w:rFonts w:ascii="Arial" w:cs="Arial" w:eastAsia="Arial" w:hAnsi="Arial"/>
                <w:sz w:val="18"/>
                <w:szCs w:val="18"/>
                <w:b w:val="1"/>
                <w:bCs w:val="1"/>
                <w:color w:val="auto"/>
              </w:rPr>
              <w:t>Effect of dilutive stock-based compensation plans:</w:t>
            </w:r>
          </w:p>
        </w:tc>
        <w:tc>
          <w:tcPr>
            <w:tcW w:w="22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43</w:t>
            </w:r>
          </w:p>
        </w:tc>
        <w:tc>
          <w:tcPr>
            <w:tcW w:w="1360" w:type="dxa"/>
            <w:vAlign w:val="bottom"/>
          </w:tcPr>
          <w:p>
            <w:pPr>
              <w:spacing w:after="0"/>
              <w:rPr>
                <w:sz w:val="19"/>
                <w:szCs w:val="19"/>
                <w:color w:val="auto"/>
              </w:rPr>
            </w:pPr>
          </w:p>
        </w:tc>
        <w:tc>
          <w:tcPr>
            <w:tcW w:w="13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63</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34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Stock options</w:t>
            </w:r>
          </w:p>
        </w:tc>
        <w:tc>
          <w:tcPr>
            <w:tcW w:w="226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98</w:t>
            </w:r>
          </w:p>
        </w:tc>
        <w:tc>
          <w:tcPr>
            <w:tcW w:w="136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398"/>
        </w:trPr>
        <w:tc>
          <w:tcPr>
            <w:tcW w:w="5340" w:type="dxa"/>
            <w:vAlign w:val="bottom"/>
          </w:tcPr>
          <w:p>
            <w:pPr>
              <w:spacing w:after="0"/>
              <w:rPr>
                <w:sz w:val="20"/>
                <w:szCs w:val="20"/>
                <w:color w:val="auto"/>
              </w:rPr>
            </w:pPr>
            <w:r>
              <w:rPr>
                <w:rFonts w:ascii="Arial" w:cs="Arial" w:eastAsia="Arial" w:hAnsi="Arial"/>
                <w:sz w:val="18"/>
                <w:szCs w:val="18"/>
                <w:color w:val="auto"/>
              </w:rPr>
              <w:t>Weighted average number of shares used in</w:t>
            </w:r>
          </w:p>
        </w:tc>
        <w:tc>
          <w:tcPr>
            <w:tcW w:w="22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32,055</w:t>
            </w:r>
          </w:p>
        </w:tc>
        <w:tc>
          <w:tcPr>
            <w:tcW w:w="1360" w:type="dxa"/>
            <w:vAlign w:val="bottom"/>
          </w:tcPr>
          <w:p>
            <w:pPr>
              <w:spacing w:after="0"/>
              <w:rPr>
                <w:sz w:val="24"/>
                <w:szCs w:val="24"/>
                <w:color w:val="auto"/>
              </w:rPr>
            </w:pPr>
          </w:p>
        </w:tc>
        <w:tc>
          <w:tcPr>
            <w:tcW w:w="13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32,028</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calculating diluted net income per share</w:t>
            </w:r>
          </w:p>
        </w:tc>
        <w:tc>
          <w:tcPr>
            <w:tcW w:w="226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31,946</w:t>
            </w:r>
          </w:p>
        </w:tc>
        <w:tc>
          <w:tcPr>
            <w:tcW w:w="136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31,924</w:t>
            </w:r>
          </w:p>
        </w:tc>
        <w:tc>
          <w:tcPr>
            <w:tcW w:w="0" w:type="dxa"/>
            <w:vAlign w:val="bottom"/>
          </w:tcPr>
          <w:p>
            <w:pPr>
              <w:spacing w:after="0"/>
              <w:rPr>
                <w:sz w:val="1"/>
                <w:szCs w:val="1"/>
                <w:color w:val="auto"/>
              </w:rPr>
            </w:pPr>
          </w:p>
        </w:tc>
      </w:tr>
      <w:tr>
        <w:trPr>
          <w:trHeight w:val="398"/>
        </w:trPr>
        <w:tc>
          <w:tcPr>
            <w:tcW w:w="5340" w:type="dxa"/>
            <w:vAlign w:val="bottom"/>
          </w:tcPr>
          <w:p>
            <w:pPr>
              <w:spacing w:after="0"/>
              <w:rPr>
                <w:sz w:val="20"/>
                <w:szCs w:val="20"/>
                <w:color w:val="auto"/>
              </w:rPr>
            </w:pPr>
            <w:r>
              <w:rPr>
                <w:rFonts w:ascii="Arial" w:cs="Arial" w:eastAsia="Arial" w:hAnsi="Arial"/>
                <w:sz w:val="18"/>
                <w:szCs w:val="18"/>
                <w:color w:val="auto"/>
              </w:rPr>
              <w:t>Average market price of common stock used</w:t>
            </w:r>
          </w:p>
        </w:tc>
        <w:tc>
          <w:tcPr>
            <w:tcW w:w="22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$33.89</w:t>
            </w:r>
          </w:p>
        </w:tc>
        <w:tc>
          <w:tcPr>
            <w:tcW w:w="1360" w:type="dxa"/>
            <w:vAlign w:val="bottom"/>
          </w:tcPr>
          <w:p>
            <w:pPr>
              <w:spacing w:after="0"/>
              <w:rPr>
                <w:sz w:val="24"/>
                <w:szCs w:val="24"/>
                <w:color w:val="auto"/>
              </w:rPr>
            </w:pPr>
          </w:p>
        </w:tc>
        <w:tc>
          <w:tcPr>
            <w:tcW w:w="13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$37.10</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for calculation of dilutive shares</w:t>
            </w:r>
          </w:p>
        </w:tc>
        <w:tc>
          <w:tcPr>
            <w:tcW w:w="226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$37.20</w:t>
            </w:r>
          </w:p>
        </w:tc>
        <w:tc>
          <w:tcPr>
            <w:tcW w:w="136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$36.38</w:t>
            </w:r>
          </w:p>
        </w:tc>
        <w:tc>
          <w:tcPr>
            <w:tcW w:w="0" w:type="dxa"/>
            <w:vAlign w:val="bottom"/>
          </w:tcPr>
          <w:p>
            <w:pPr>
              <w:spacing w:after="0"/>
              <w:rPr>
                <w:sz w:val="1"/>
                <w:szCs w:val="1"/>
                <w:color w:val="auto"/>
              </w:rPr>
            </w:pPr>
          </w:p>
        </w:tc>
      </w:tr>
      <w:tr>
        <w:trPr>
          <w:trHeight w:val="398"/>
        </w:trPr>
        <w:tc>
          <w:tcPr>
            <w:tcW w:w="5340" w:type="dxa"/>
            <w:vAlign w:val="bottom"/>
          </w:tcPr>
          <w:p>
            <w:pPr>
              <w:spacing w:after="0"/>
              <w:rPr>
                <w:sz w:val="20"/>
                <w:szCs w:val="20"/>
                <w:color w:val="auto"/>
              </w:rPr>
            </w:pPr>
            <w:r>
              <w:rPr>
                <w:rFonts w:ascii="Arial" w:cs="Arial" w:eastAsia="Arial" w:hAnsi="Arial"/>
                <w:sz w:val="18"/>
                <w:szCs w:val="18"/>
                <w:b w:val="1"/>
                <w:bCs w:val="1"/>
                <w:color w:val="auto"/>
              </w:rPr>
              <w:t>Earnings per share attributable to Company shareholders:</w:t>
            </w:r>
          </w:p>
        </w:tc>
        <w:tc>
          <w:tcPr>
            <w:tcW w:w="22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$0.30</w:t>
            </w:r>
          </w:p>
        </w:tc>
        <w:tc>
          <w:tcPr>
            <w:tcW w:w="1360" w:type="dxa"/>
            <w:vAlign w:val="bottom"/>
          </w:tcPr>
          <w:p>
            <w:pPr>
              <w:spacing w:after="0"/>
              <w:rPr>
                <w:sz w:val="24"/>
                <w:szCs w:val="24"/>
                <w:color w:val="auto"/>
              </w:rPr>
            </w:pPr>
          </w:p>
        </w:tc>
        <w:tc>
          <w:tcPr>
            <w:tcW w:w="13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$0.62</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340" w:type="dxa"/>
            <w:vAlign w:val="bottom"/>
          </w:tcPr>
          <w:p>
            <w:pPr>
              <w:ind w:left="180"/>
              <w:spacing w:after="0" w:line="181" w:lineRule="exact"/>
              <w:rPr>
                <w:sz w:val="20"/>
                <w:szCs w:val="20"/>
                <w:color w:val="auto"/>
              </w:rPr>
            </w:pPr>
            <w:r>
              <w:rPr>
                <w:rFonts w:ascii="Arial" w:cs="Arial" w:eastAsia="Arial" w:hAnsi="Arial"/>
                <w:sz w:val="18"/>
                <w:szCs w:val="18"/>
                <w:color w:val="auto"/>
              </w:rPr>
              <w:t>Basic</w:t>
            </w:r>
          </w:p>
        </w:tc>
        <w:tc>
          <w:tcPr>
            <w:tcW w:w="2260" w:type="dxa"/>
            <w:vAlign w:val="bottom"/>
            <w:vMerge w:val="continue"/>
          </w:tcPr>
          <w:p>
            <w:pPr>
              <w:spacing w:after="0"/>
              <w:rPr>
                <w:sz w:val="15"/>
                <w:szCs w:val="15"/>
                <w:color w:val="auto"/>
              </w:rPr>
            </w:pPr>
          </w:p>
        </w:tc>
        <w:tc>
          <w:tcPr>
            <w:tcW w:w="1360" w:type="dxa"/>
            <w:vAlign w:val="bottom"/>
          </w:tcPr>
          <w:p>
            <w:pPr>
              <w:jc w:val="right"/>
              <w:ind w:right="250"/>
              <w:spacing w:after="0" w:line="181" w:lineRule="exact"/>
              <w:rPr>
                <w:sz w:val="20"/>
                <w:szCs w:val="20"/>
                <w:color w:val="auto"/>
              </w:rPr>
            </w:pPr>
            <w:r>
              <w:rPr>
                <w:rFonts w:ascii="Arial" w:cs="Arial" w:eastAsia="Arial" w:hAnsi="Arial"/>
                <w:sz w:val="18"/>
                <w:szCs w:val="18"/>
                <w:color w:val="auto"/>
              </w:rPr>
              <w:t>$0.37</w:t>
            </w:r>
          </w:p>
        </w:tc>
        <w:tc>
          <w:tcPr>
            <w:tcW w:w="1360" w:type="dxa"/>
            <w:vAlign w:val="bottom"/>
            <w:vMerge w:val="continue"/>
          </w:tcPr>
          <w:p>
            <w:pPr>
              <w:spacing w:after="0"/>
              <w:rPr>
                <w:sz w:val="15"/>
                <w:szCs w:val="15"/>
                <w:color w:val="auto"/>
              </w:rPr>
            </w:pPr>
          </w:p>
        </w:tc>
        <w:tc>
          <w:tcPr>
            <w:tcW w:w="11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5"/>
        </w:trPr>
        <w:tc>
          <w:tcPr>
            <w:tcW w:w="53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Diluted</w:t>
            </w:r>
          </w:p>
        </w:tc>
        <w:tc>
          <w:tcPr>
            <w:tcW w:w="2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$0.30</w:t>
            </w: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$0.37</w:t>
            </w: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$0.62</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696"/>
        </w:trPr>
        <w:tc>
          <w:tcPr>
            <w:tcW w:w="5340" w:type="dxa"/>
            <w:vAlign w:val="bottom"/>
          </w:tcPr>
          <w:p>
            <w:pPr>
              <w:spacing w:after="0"/>
              <w:rPr>
                <w:sz w:val="24"/>
                <w:szCs w:val="24"/>
                <w:color w:val="auto"/>
              </w:rPr>
            </w:pPr>
          </w:p>
        </w:tc>
        <w:tc>
          <w:tcPr>
            <w:tcW w:w="2260" w:type="dxa"/>
            <w:vAlign w:val="bottom"/>
          </w:tcPr>
          <w:p>
            <w:pPr>
              <w:jc w:val="right"/>
              <w:ind w:right="1710"/>
              <w:spacing w:after="0"/>
              <w:rPr>
                <w:sz w:val="20"/>
                <w:szCs w:val="20"/>
                <w:color w:val="auto"/>
              </w:rPr>
            </w:pPr>
            <w:r>
              <w:rPr>
                <w:rFonts w:ascii="Arial" w:cs="Arial" w:eastAsia="Arial" w:hAnsi="Arial"/>
                <w:sz w:val="18"/>
                <w:szCs w:val="18"/>
                <w:color w:val="auto"/>
              </w:rPr>
              <w:t>13</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34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9. Accumulated Other Comprehensive Income/ (Loss)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changes in the components of AOCI for the period December 31, 2014 to September 30,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8"/>
              </w:rPr>
              <w:t>Pension and</w:t>
            </w:r>
          </w:p>
        </w:tc>
        <w:tc>
          <w:tcPr>
            <w:tcW w:w="13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5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postretirement</w:t>
            </w:r>
          </w:p>
        </w:tc>
        <w:tc>
          <w:tcPr>
            <w:tcW w:w="13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Derivative</w:t>
            </w:r>
          </w:p>
        </w:tc>
        <w:tc>
          <w:tcPr>
            <w:tcW w:w="1540" w:type="dxa"/>
            <w:vAlign w:val="bottom"/>
            <w:gridSpan w:val="2"/>
          </w:tcPr>
          <w:p>
            <w:pPr>
              <w:jc w:val="center"/>
              <w:ind w:left="70"/>
              <w:spacing w:after="0" w:line="202" w:lineRule="exact"/>
              <w:rPr>
                <w:sz w:val="20"/>
                <w:szCs w:val="20"/>
                <w:color w:val="auto"/>
              </w:rPr>
            </w:pPr>
            <w:r>
              <w:rPr>
                <w:rFonts w:ascii="Arial" w:cs="Arial" w:eastAsia="Arial" w:hAnsi="Arial"/>
                <w:sz w:val="18"/>
                <w:szCs w:val="18"/>
                <w:b w:val="1"/>
                <w:bCs w:val="1"/>
                <w:color w:val="auto"/>
                <w:w w:val="97"/>
              </w:rPr>
              <w:t>Total Other</w:t>
            </w:r>
          </w:p>
        </w:tc>
      </w:tr>
      <w:tr>
        <w:trPr>
          <w:trHeight w:val="203"/>
        </w:trPr>
        <w:tc>
          <w:tcPr>
            <w:tcW w:w="5500" w:type="dxa"/>
            <w:vAlign w:val="bottom"/>
          </w:tcPr>
          <w:p>
            <w:pPr>
              <w:spacing w:after="0"/>
              <w:rPr>
                <w:sz w:val="17"/>
                <w:szCs w:val="17"/>
                <w:color w:val="auto"/>
              </w:rPr>
            </w:pPr>
          </w:p>
        </w:tc>
        <w:tc>
          <w:tcPr>
            <w:tcW w:w="150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Translation</w:t>
            </w:r>
          </w:p>
        </w:tc>
        <w:tc>
          <w:tcPr>
            <w:tcW w:w="1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liability</w:t>
            </w:r>
          </w:p>
        </w:tc>
        <w:tc>
          <w:tcPr>
            <w:tcW w:w="13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valuation</w:t>
            </w:r>
          </w:p>
        </w:tc>
        <w:tc>
          <w:tcPr>
            <w:tcW w:w="1540" w:type="dxa"/>
            <w:vAlign w:val="bottom"/>
            <w:gridSpan w:val="2"/>
          </w:tcPr>
          <w:p>
            <w:pPr>
              <w:jc w:val="center"/>
              <w:ind w:left="90"/>
              <w:spacing w:after="0" w:line="202" w:lineRule="exact"/>
              <w:rPr>
                <w:sz w:val="20"/>
                <w:szCs w:val="20"/>
                <w:color w:val="auto"/>
              </w:rPr>
            </w:pPr>
            <w:r>
              <w:rPr>
                <w:rFonts w:ascii="Arial" w:cs="Arial" w:eastAsia="Arial" w:hAnsi="Arial"/>
                <w:sz w:val="18"/>
                <w:szCs w:val="18"/>
                <w:b w:val="1"/>
                <w:bCs w:val="1"/>
                <w:color w:val="auto"/>
              </w:rPr>
              <w:t>Comprehensive</w:t>
            </w:r>
          </w:p>
        </w:tc>
      </w:tr>
      <w:tr>
        <w:trPr>
          <w:trHeight w:val="225"/>
        </w:trPr>
        <w:tc>
          <w:tcPr>
            <w:tcW w:w="550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adjustments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9"/>
              </w:rPr>
              <w:t>adjustments</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9"/>
              </w:rPr>
              <w:t>adjustment</w:t>
            </w:r>
          </w:p>
        </w:tc>
        <w:tc>
          <w:tcPr>
            <w:tcW w:w="154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9"/>
              </w:rPr>
              <w:t>Income/(loss)</w:t>
            </w:r>
          </w:p>
        </w:tc>
      </w:tr>
      <w:tr>
        <w:trPr>
          <w:trHeight w:val="196"/>
        </w:trPr>
        <w:tc>
          <w:tcPr>
            <w:tcW w:w="55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December 31, 2014</w:t>
            </w:r>
          </w:p>
        </w:tc>
        <w:tc>
          <w:tcPr>
            <w:tcW w:w="15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($55,240)</w:t>
            </w:r>
          </w:p>
        </w:tc>
        <w:tc>
          <w:tcPr>
            <w:tcW w:w="160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($51,666)</w:t>
            </w:r>
          </w:p>
        </w:tc>
        <w:tc>
          <w:tcPr>
            <w:tcW w:w="130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($861)</w:t>
            </w:r>
          </w:p>
        </w:tc>
        <w:tc>
          <w:tcPr>
            <w:tcW w:w="1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($107,767)</w:t>
            </w:r>
          </w:p>
        </w:tc>
        <w:tc>
          <w:tcPr>
            <w:tcW w:w="20" w:type="dxa"/>
            <w:vAlign w:val="bottom"/>
          </w:tcPr>
          <w:p>
            <w:pPr>
              <w:spacing w:after="0"/>
              <w:rPr>
                <w:sz w:val="17"/>
                <w:szCs w:val="17"/>
                <w:color w:val="auto"/>
              </w:rPr>
            </w:pPr>
          </w:p>
        </w:tc>
      </w:tr>
      <w:tr>
        <w:trPr>
          <w:trHeight w:val="195"/>
        </w:trPr>
        <w:tc>
          <w:tcPr>
            <w:tcW w:w="5500" w:type="dxa"/>
            <w:vAlign w:val="bottom"/>
          </w:tcPr>
          <w:p>
            <w:pPr>
              <w:spacing w:after="0" w:line="195" w:lineRule="exact"/>
              <w:rPr>
                <w:sz w:val="20"/>
                <w:szCs w:val="20"/>
                <w:color w:val="auto"/>
              </w:rPr>
            </w:pPr>
            <w:r>
              <w:rPr>
                <w:rFonts w:ascii="Arial" w:cs="Arial" w:eastAsia="Arial" w:hAnsi="Arial"/>
                <w:sz w:val="18"/>
                <w:szCs w:val="18"/>
                <w:color w:val="auto"/>
              </w:rPr>
              <w:t>Other comprehensive income/(loss) before reclassifications</w:t>
            </w:r>
          </w:p>
        </w:tc>
        <w:tc>
          <w:tcPr>
            <w:tcW w:w="150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(44,316)</w:t>
            </w:r>
          </w:p>
        </w:tc>
        <w:tc>
          <w:tcPr>
            <w:tcW w:w="160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1,735</w:t>
            </w:r>
          </w:p>
        </w:tc>
        <w:tc>
          <w:tcPr>
            <w:tcW w:w="1300" w:type="dxa"/>
            <w:vAlign w:val="bottom"/>
          </w:tcPr>
          <w:p>
            <w:pPr>
              <w:jc w:val="right"/>
              <w:ind w:right="90"/>
              <w:spacing w:after="0" w:line="195" w:lineRule="exact"/>
              <w:rPr>
                <w:sz w:val="20"/>
                <w:szCs w:val="20"/>
                <w:color w:val="auto"/>
              </w:rPr>
            </w:pPr>
            <w:r>
              <w:rPr>
                <w:rFonts w:ascii="Arial" w:cs="Arial" w:eastAsia="Arial" w:hAnsi="Arial"/>
                <w:sz w:val="18"/>
                <w:szCs w:val="18"/>
                <w:color w:val="auto"/>
              </w:rPr>
              <w:t>(2,374)</w:t>
            </w:r>
          </w:p>
        </w:tc>
        <w:tc>
          <w:tcPr>
            <w:tcW w:w="1520" w:type="dxa"/>
            <w:vAlign w:val="bottom"/>
          </w:tcPr>
          <w:p>
            <w:pPr>
              <w:jc w:val="right"/>
              <w:spacing w:after="0" w:line="195" w:lineRule="exact"/>
              <w:rPr>
                <w:sz w:val="20"/>
                <w:szCs w:val="20"/>
                <w:color w:val="auto"/>
              </w:rPr>
            </w:pPr>
            <w:r>
              <w:rPr>
                <w:rFonts w:ascii="Arial" w:cs="Arial" w:eastAsia="Arial" w:hAnsi="Arial"/>
                <w:sz w:val="18"/>
                <w:szCs w:val="18"/>
                <w:color w:val="auto"/>
              </w:rPr>
              <w:t>(44,955)</w:t>
            </w:r>
          </w:p>
        </w:tc>
        <w:tc>
          <w:tcPr>
            <w:tcW w:w="20" w:type="dxa"/>
            <w:vAlign w:val="bottom"/>
          </w:tcPr>
          <w:p>
            <w:pPr>
              <w:spacing w:after="0"/>
              <w:rPr>
                <w:sz w:val="16"/>
                <w:szCs w:val="16"/>
                <w:color w:val="auto"/>
              </w:rPr>
            </w:pP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auto"/>
              </w:rPr>
              <w:t>Interest expense related to swaps reclassified to the Statement of</w:t>
            </w:r>
          </w:p>
        </w:tc>
        <w:tc>
          <w:tcPr>
            <w:tcW w:w="15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7"/>
        </w:trPr>
        <w:tc>
          <w:tcPr>
            <w:tcW w:w="5500" w:type="dxa"/>
            <w:vAlign w:val="bottom"/>
          </w:tcPr>
          <w:p>
            <w:pPr>
              <w:spacing w:after="0"/>
              <w:rPr>
                <w:sz w:val="20"/>
                <w:szCs w:val="20"/>
                <w:color w:val="auto"/>
              </w:rPr>
            </w:pPr>
            <w:r>
              <w:rPr>
                <w:rFonts w:ascii="Arial" w:cs="Arial" w:eastAsia="Arial" w:hAnsi="Arial"/>
                <w:sz w:val="18"/>
                <w:szCs w:val="18"/>
                <w:color w:val="auto"/>
              </w:rPr>
              <w:t>Income, net of tax</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939</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939</w:t>
            </w:r>
          </w:p>
        </w:tc>
        <w:tc>
          <w:tcPr>
            <w:tcW w:w="20" w:type="dxa"/>
            <w:vAlign w:val="bottom"/>
          </w:tcPr>
          <w:p>
            <w:pPr>
              <w:spacing w:after="0"/>
              <w:rPr>
                <w:sz w:val="18"/>
                <w:szCs w:val="18"/>
                <w:color w:val="auto"/>
              </w:rPr>
            </w:pPr>
          </w:p>
        </w:tc>
      </w:tr>
      <w:tr>
        <w:trPr>
          <w:trHeight w:val="364"/>
        </w:trPr>
        <w:tc>
          <w:tcPr>
            <w:tcW w:w="5500" w:type="dxa"/>
            <w:vAlign w:val="bottom"/>
          </w:tcPr>
          <w:p>
            <w:pPr>
              <w:spacing w:after="0"/>
              <w:rPr>
                <w:sz w:val="20"/>
                <w:szCs w:val="20"/>
                <w:color w:val="auto"/>
              </w:rPr>
            </w:pPr>
            <w:r>
              <w:rPr>
                <w:rFonts w:ascii="Arial" w:cs="Arial" w:eastAsia="Arial" w:hAnsi="Arial"/>
                <w:sz w:val="18"/>
                <w:szCs w:val="18"/>
                <w:color w:val="auto"/>
              </w:rPr>
              <w:t>Pension and postretirement liability adjustments reclassified to</w:t>
            </w:r>
          </w:p>
        </w:tc>
        <w:tc>
          <w:tcPr>
            <w:tcW w:w="1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55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Statement of Income, net of tax</w:t>
            </w:r>
          </w:p>
        </w:tc>
        <w:tc>
          <w:tcPr>
            <w:tcW w:w="150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714</w:t>
            </w:r>
          </w:p>
        </w:tc>
        <w:tc>
          <w:tcPr>
            <w:tcW w:w="130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714</w:t>
            </w:r>
          </w:p>
        </w:tc>
        <w:tc>
          <w:tcPr>
            <w:tcW w:w="20" w:type="dxa"/>
            <w:vAlign w:val="bottom"/>
          </w:tcPr>
          <w:p>
            <w:pPr>
              <w:spacing w:after="0"/>
              <w:rPr>
                <w:sz w:val="17"/>
                <w:szCs w:val="17"/>
                <w:color w:val="auto"/>
              </w:rPr>
            </w:pPr>
          </w:p>
        </w:tc>
      </w:tr>
      <w:tr>
        <w:trPr>
          <w:trHeight w:val="196"/>
        </w:trPr>
        <w:tc>
          <w:tcPr>
            <w:tcW w:w="55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current period other comprehensive income/(loss)</w:t>
            </w:r>
          </w:p>
        </w:tc>
        <w:tc>
          <w:tcPr>
            <w:tcW w:w="15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(44,316)</w:t>
            </w:r>
          </w:p>
        </w:tc>
        <w:tc>
          <w:tcPr>
            <w:tcW w:w="16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2,449</w:t>
            </w:r>
          </w:p>
        </w:tc>
        <w:tc>
          <w:tcPr>
            <w:tcW w:w="13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(1,435)</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(43,302)</w:t>
            </w:r>
          </w:p>
        </w:tc>
        <w:tc>
          <w:tcPr>
            <w:tcW w:w="20" w:type="dxa"/>
            <w:vAlign w:val="bottom"/>
          </w:tcPr>
          <w:p>
            <w:pPr>
              <w:spacing w:after="0"/>
              <w:rPr>
                <w:sz w:val="17"/>
                <w:szCs w:val="17"/>
                <w:color w:val="auto"/>
              </w:rPr>
            </w:pPr>
          </w:p>
        </w:tc>
      </w:tr>
      <w:tr>
        <w:trPr>
          <w:trHeight w:val="196"/>
        </w:trPr>
        <w:tc>
          <w:tcPr>
            <w:tcW w:w="55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September 30, 2015</w:t>
            </w:r>
          </w:p>
        </w:tc>
        <w:tc>
          <w:tcPr>
            <w:tcW w:w="15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($99,556)</w:t>
            </w:r>
          </w:p>
        </w:tc>
        <w:tc>
          <w:tcPr>
            <w:tcW w:w="160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($49,217)</w:t>
            </w:r>
          </w:p>
        </w:tc>
        <w:tc>
          <w:tcPr>
            <w:tcW w:w="13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($2,296)</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($151,069)</w:t>
            </w: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changes in the components of AOCI for the period December 31, 2013 to September 30, 2014: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8"/>
              </w:rPr>
              <w:t>Pension and</w:t>
            </w:r>
          </w:p>
        </w:tc>
        <w:tc>
          <w:tcPr>
            <w:tcW w:w="13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postretirement</w:t>
            </w:r>
          </w:p>
        </w:tc>
        <w:tc>
          <w:tcPr>
            <w:tcW w:w="13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Derivative</w:t>
            </w:r>
          </w:p>
        </w:tc>
        <w:tc>
          <w:tcPr>
            <w:tcW w:w="1540" w:type="dxa"/>
            <w:vAlign w:val="bottom"/>
            <w:gridSpan w:val="2"/>
          </w:tcPr>
          <w:p>
            <w:pPr>
              <w:jc w:val="center"/>
              <w:ind w:left="70"/>
              <w:spacing w:after="0" w:line="202" w:lineRule="exact"/>
              <w:rPr>
                <w:sz w:val="20"/>
                <w:szCs w:val="20"/>
                <w:color w:val="auto"/>
              </w:rPr>
            </w:pPr>
            <w:r>
              <w:rPr>
                <w:rFonts w:ascii="Arial" w:cs="Arial" w:eastAsia="Arial" w:hAnsi="Arial"/>
                <w:sz w:val="18"/>
                <w:szCs w:val="18"/>
                <w:b w:val="1"/>
                <w:bCs w:val="1"/>
                <w:color w:val="auto"/>
                <w:w w:val="97"/>
              </w:rPr>
              <w:t>Total Other</w:t>
            </w:r>
          </w:p>
        </w:tc>
        <w:tc>
          <w:tcPr>
            <w:tcW w:w="0" w:type="dxa"/>
            <w:vAlign w:val="bottom"/>
          </w:tcPr>
          <w:p>
            <w:pPr>
              <w:spacing w:after="0"/>
              <w:rPr>
                <w:sz w:val="1"/>
                <w:szCs w:val="1"/>
                <w:color w:val="auto"/>
              </w:rPr>
            </w:pPr>
          </w:p>
        </w:tc>
      </w:tr>
      <w:tr>
        <w:trPr>
          <w:trHeight w:val="203"/>
        </w:trPr>
        <w:tc>
          <w:tcPr>
            <w:tcW w:w="5420" w:type="dxa"/>
            <w:vAlign w:val="bottom"/>
          </w:tcPr>
          <w:p>
            <w:pPr>
              <w:spacing w:after="0"/>
              <w:rPr>
                <w:sz w:val="17"/>
                <w:szCs w:val="17"/>
                <w:color w:val="auto"/>
              </w:rPr>
            </w:pPr>
          </w:p>
        </w:tc>
        <w:tc>
          <w:tcPr>
            <w:tcW w:w="160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Translation</w:t>
            </w: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liability</w:t>
            </w:r>
          </w:p>
        </w:tc>
        <w:tc>
          <w:tcPr>
            <w:tcW w:w="13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valuation</w:t>
            </w:r>
          </w:p>
        </w:tc>
        <w:tc>
          <w:tcPr>
            <w:tcW w:w="1540" w:type="dxa"/>
            <w:vAlign w:val="bottom"/>
            <w:gridSpan w:val="2"/>
          </w:tcPr>
          <w:p>
            <w:pPr>
              <w:jc w:val="center"/>
              <w:ind w:left="90"/>
              <w:spacing w:after="0" w:line="202" w:lineRule="exact"/>
              <w:rPr>
                <w:sz w:val="20"/>
                <w:szCs w:val="20"/>
                <w:color w:val="auto"/>
              </w:rPr>
            </w:pPr>
            <w:r>
              <w:rPr>
                <w:rFonts w:ascii="Arial" w:cs="Arial" w:eastAsia="Arial" w:hAnsi="Arial"/>
                <w:sz w:val="18"/>
                <w:szCs w:val="18"/>
                <w:b w:val="1"/>
                <w:bCs w:val="1"/>
                <w:color w:val="auto"/>
              </w:rPr>
              <w:t>Comprehensive</w:t>
            </w:r>
          </w:p>
        </w:tc>
        <w:tc>
          <w:tcPr>
            <w:tcW w:w="0" w:type="dxa"/>
            <w:vAlign w:val="bottom"/>
          </w:tcPr>
          <w:p>
            <w:pPr>
              <w:spacing w:after="0"/>
              <w:rPr>
                <w:sz w:val="1"/>
                <w:szCs w:val="1"/>
                <w:color w:val="auto"/>
              </w:rPr>
            </w:pPr>
          </w:p>
        </w:tc>
      </w:tr>
      <w:tr>
        <w:trPr>
          <w:trHeight w:val="225"/>
        </w:trPr>
        <w:tc>
          <w:tcPr>
            <w:tcW w:w="542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600" w:type="dxa"/>
            <w:vAlign w:val="bottom"/>
          </w:tcPr>
          <w:p>
            <w:pPr>
              <w:jc w:val="right"/>
              <w:ind w:right="70"/>
              <w:spacing w:after="0"/>
              <w:rPr>
                <w:sz w:val="20"/>
                <w:szCs w:val="20"/>
                <w:color w:val="auto"/>
              </w:rPr>
            </w:pPr>
            <w:r>
              <w:rPr>
                <w:rFonts w:ascii="Arial" w:cs="Arial" w:eastAsia="Arial" w:hAnsi="Arial"/>
                <w:sz w:val="18"/>
                <w:szCs w:val="18"/>
                <w:b w:val="1"/>
                <w:bCs w:val="1"/>
                <w:color w:val="auto"/>
              </w:rPr>
              <w:t>adjustments</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9"/>
              </w:rPr>
              <w:t>adjustments</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9"/>
              </w:rPr>
              <w:t>adjustment</w:t>
            </w:r>
          </w:p>
        </w:tc>
        <w:tc>
          <w:tcPr>
            <w:tcW w:w="154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9"/>
              </w:rPr>
              <w:t>Income/(loss)</w:t>
            </w:r>
          </w:p>
        </w:tc>
        <w:tc>
          <w:tcPr>
            <w:tcW w:w="0" w:type="dxa"/>
            <w:vAlign w:val="bottom"/>
          </w:tcPr>
          <w:p>
            <w:pPr>
              <w:spacing w:after="0"/>
              <w:rPr>
                <w:sz w:val="1"/>
                <w:szCs w:val="1"/>
                <w:color w:val="auto"/>
              </w:rPr>
            </w:pPr>
          </w:p>
        </w:tc>
      </w:tr>
      <w:tr>
        <w:trPr>
          <w:trHeight w:val="196"/>
        </w:trPr>
        <w:tc>
          <w:tcPr>
            <w:tcW w:w="54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December 31, 2013</w:t>
            </w:r>
          </w:p>
        </w:tc>
        <w:tc>
          <w:tcPr>
            <w:tcW w:w="160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($138)</w:t>
            </w:r>
          </w:p>
        </w:tc>
        <w:tc>
          <w:tcPr>
            <w:tcW w:w="158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($48,383)</w:t>
            </w:r>
          </w:p>
        </w:tc>
        <w:tc>
          <w:tcPr>
            <w:tcW w:w="130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($977)</w:t>
            </w:r>
          </w:p>
        </w:tc>
        <w:tc>
          <w:tcPr>
            <w:tcW w:w="1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($49,498)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420" w:type="dxa"/>
            <w:vAlign w:val="bottom"/>
          </w:tcPr>
          <w:p>
            <w:pPr>
              <w:spacing w:after="0" w:line="195" w:lineRule="exact"/>
              <w:rPr>
                <w:sz w:val="20"/>
                <w:szCs w:val="20"/>
                <w:color w:val="auto"/>
              </w:rPr>
            </w:pPr>
            <w:r>
              <w:rPr>
                <w:rFonts w:ascii="Arial" w:cs="Arial" w:eastAsia="Arial" w:hAnsi="Arial"/>
                <w:sz w:val="18"/>
                <w:szCs w:val="18"/>
                <w:color w:val="auto"/>
              </w:rPr>
              <w:t>Other comprehensive income/(loss) before reclassifications</w:t>
            </w:r>
          </w:p>
        </w:tc>
        <w:tc>
          <w:tcPr>
            <w:tcW w:w="160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(30,703)</w:t>
            </w:r>
          </w:p>
        </w:tc>
        <w:tc>
          <w:tcPr>
            <w:tcW w:w="158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998</w:t>
            </w:r>
          </w:p>
        </w:tc>
        <w:tc>
          <w:tcPr>
            <w:tcW w:w="1300" w:type="dxa"/>
            <w:vAlign w:val="bottom"/>
          </w:tcPr>
          <w:p>
            <w:pPr>
              <w:jc w:val="right"/>
              <w:ind w:right="90"/>
              <w:spacing w:after="0" w:line="195" w:lineRule="exact"/>
              <w:rPr>
                <w:sz w:val="20"/>
                <w:szCs w:val="20"/>
                <w:color w:val="auto"/>
              </w:rPr>
            </w:pPr>
            <w:r>
              <w:rPr>
                <w:rFonts w:ascii="Arial" w:cs="Arial" w:eastAsia="Arial" w:hAnsi="Arial"/>
                <w:sz w:val="18"/>
                <w:szCs w:val="18"/>
                <w:color w:val="auto"/>
              </w:rPr>
              <w:t>(530)</w:t>
            </w:r>
          </w:p>
        </w:tc>
        <w:tc>
          <w:tcPr>
            <w:tcW w:w="1520" w:type="dxa"/>
            <w:vAlign w:val="bottom"/>
          </w:tcPr>
          <w:p>
            <w:pPr>
              <w:jc w:val="right"/>
              <w:spacing w:after="0" w:line="195" w:lineRule="exact"/>
              <w:rPr>
                <w:sz w:val="20"/>
                <w:szCs w:val="20"/>
                <w:color w:val="auto"/>
              </w:rPr>
            </w:pPr>
            <w:r>
              <w:rPr>
                <w:rFonts w:ascii="Arial" w:cs="Arial" w:eastAsia="Arial" w:hAnsi="Arial"/>
                <w:sz w:val="18"/>
                <w:szCs w:val="18"/>
                <w:color w:val="auto"/>
              </w:rPr>
              <w:t>(30,235)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Interest expense related to swaps reclassified to the Statement of</w:t>
            </w:r>
          </w:p>
        </w:tc>
        <w:tc>
          <w:tcPr>
            <w:tcW w:w="1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420" w:type="dxa"/>
            <w:vAlign w:val="bottom"/>
          </w:tcPr>
          <w:p>
            <w:pPr>
              <w:spacing w:after="0"/>
              <w:rPr>
                <w:sz w:val="20"/>
                <w:szCs w:val="20"/>
                <w:color w:val="auto"/>
              </w:rPr>
            </w:pPr>
            <w:r>
              <w:rPr>
                <w:rFonts w:ascii="Arial" w:cs="Arial" w:eastAsia="Arial" w:hAnsi="Arial"/>
                <w:sz w:val="18"/>
                <w:szCs w:val="18"/>
                <w:color w:val="auto"/>
              </w:rPr>
              <w:t>Income, net of tax</w:t>
            </w:r>
          </w:p>
        </w:tc>
        <w:tc>
          <w:tcPr>
            <w:tcW w:w="1600" w:type="dxa"/>
            <w:vAlign w:val="bottom"/>
            <w:vMerge w:val="restart"/>
          </w:tcPr>
          <w:p>
            <w:pPr>
              <w:jc w:val="right"/>
              <w:ind w:right="190"/>
              <w:spacing w:after="0"/>
              <w:rPr>
                <w:sz w:val="20"/>
                <w:szCs w:val="20"/>
                <w:color w:val="auto"/>
              </w:rPr>
            </w:pPr>
            <w:r>
              <w:rPr>
                <w:rFonts w:ascii="Arial" w:cs="Arial" w:eastAsia="Arial" w:hAnsi="Arial"/>
                <w:sz w:val="18"/>
                <w:szCs w:val="18"/>
                <w:color w:val="auto"/>
              </w:rPr>
              <w:t>-</w:t>
            </w:r>
          </w:p>
        </w:tc>
        <w:tc>
          <w:tcPr>
            <w:tcW w:w="1580" w:type="dxa"/>
            <w:vAlign w:val="bottom"/>
            <w:vMerge w:val="restart"/>
          </w:tcPr>
          <w:p>
            <w:pPr>
              <w:jc w:val="right"/>
              <w:ind w:right="23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150"/>
              <w:spacing w:after="0"/>
              <w:rPr>
                <w:sz w:val="20"/>
                <w:szCs w:val="20"/>
                <w:color w:val="auto"/>
              </w:rPr>
            </w:pPr>
            <w:r>
              <w:rPr>
                <w:rFonts w:ascii="Arial" w:cs="Arial" w:eastAsia="Arial" w:hAnsi="Arial"/>
                <w:sz w:val="18"/>
                <w:szCs w:val="18"/>
                <w:color w:val="auto"/>
              </w:rPr>
              <w:t>873</w:t>
            </w:r>
          </w:p>
        </w:tc>
        <w:tc>
          <w:tcPr>
            <w:tcW w:w="1520" w:type="dxa"/>
            <w:vAlign w:val="bottom"/>
            <w:vMerge w:val="restart"/>
          </w:tcPr>
          <w:p>
            <w:pPr>
              <w:jc w:val="right"/>
              <w:ind w:right="50"/>
              <w:spacing w:after="0"/>
              <w:rPr>
                <w:sz w:val="20"/>
                <w:szCs w:val="20"/>
                <w:color w:val="auto"/>
              </w:rPr>
            </w:pPr>
            <w:r>
              <w:rPr>
                <w:rFonts w:ascii="Arial" w:cs="Arial" w:eastAsia="Arial" w:hAnsi="Arial"/>
                <w:sz w:val="18"/>
                <w:szCs w:val="18"/>
                <w:color w:val="auto"/>
              </w:rPr>
              <w:t>873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420" w:type="dxa"/>
            <w:vAlign w:val="bottom"/>
            <w:vMerge w:val="restart"/>
          </w:tcPr>
          <w:p>
            <w:pPr>
              <w:spacing w:after="0"/>
              <w:rPr>
                <w:sz w:val="20"/>
                <w:szCs w:val="20"/>
                <w:color w:val="auto"/>
              </w:rPr>
            </w:pPr>
            <w:r>
              <w:rPr>
                <w:rFonts w:ascii="Arial" w:cs="Arial" w:eastAsia="Arial" w:hAnsi="Arial"/>
                <w:sz w:val="18"/>
                <w:szCs w:val="18"/>
                <w:color w:val="auto"/>
              </w:rPr>
              <w:t>Pension and postretirement liability adjustments reclassified to</w:t>
            </w:r>
          </w:p>
        </w:tc>
        <w:tc>
          <w:tcPr>
            <w:tcW w:w="16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420" w:type="dxa"/>
            <w:vAlign w:val="bottom"/>
            <w:vMerge w:val="continue"/>
          </w:tcPr>
          <w:p>
            <w:pPr>
              <w:spacing w:after="0"/>
              <w:rPr>
                <w:sz w:val="16"/>
                <w:szCs w:val="16"/>
                <w:color w:val="auto"/>
              </w:rPr>
            </w:pPr>
          </w:p>
        </w:tc>
        <w:tc>
          <w:tcPr>
            <w:tcW w:w="16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Statement of Income, net of tax</w:t>
            </w:r>
          </w:p>
        </w:tc>
        <w:tc>
          <w:tcPr>
            <w:tcW w:w="16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421</w:t>
            </w:r>
          </w:p>
        </w:tc>
        <w:tc>
          <w:tcPr>
            <w:tcW w:w="1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421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current period other comprehensive income/(loss)</w:t>
            </w:r>
          </w:p>
        </w:tc>
        <w:tc>
          <w:tcPr>
            <w:tcW w:w="16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(30,703)</w:t>
            </w:r>
          </w:p>
        </w:tc>
        <w:tc>
          <w:tcPr>
            <w:tcW w:w="15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1,419</w:t>
            </w:r>
          </w:p>
        </w:tc>
        <w:tc>
          <w:tcPr>
            <w:tcW w:w="13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343</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(28,941)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September 30, 2014</w:t>
            </w:r>
          </w:p>
        </w:tc>
        <w:tc>
          <w:tcPr>
            <w:tcW w:w="16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($30,841)</w:t>
            </w:r>
          </w:p>
        </w:tc>
        <w:tc>
          <w:tcPr>
            <w:tcW w:w="15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($46,964)</w:t>
            </w:r>
          </w:p>
        </w:tc>
        <w:tc>
          <w:tcPr>
            <w:tcW w:w="13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($634)</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($78,439)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9"/>
        </w:trPr>
        <w:tc>
          <w:tcPr>
            <w:tcW w:w="5420" w:type="dxa"/>
            <w:vAlign w:val="bottom"/>
          </w:tcPr>
          <w:p>
            <w:pPr>
              <w:spacing w:after="0"/>
              <w:rPr>
                <w:sz w:val="24"/>
                <w:szCs w:val="24"/>
                <w:color w:val="auto"/>
              </w:rPr>
            </w:pPr>
          </w:p>
        </w:tc>
        <w:tc>
          <w:tcPr>
            <w:tcW w:w="1600" w:type="dxa"/>
            <w:vAlign w:val="bottom"/>
          </w:tcPr>
          <w:p>
            <w:pPr>
              <w:jc w:val="right"/>
              <w:ind w:right="1130"/>
              <w:spacing w:after="0"/>
              <w:rPr>
                <w:sz w:val="20"/>
                <w:szCs w:val="20"/>
                <w:color w:val="auto"/>
              </w:rPr>
            </w:pPr>
            <w:r>
              <w:rPr>
                <w:rFonts w:ascii="Arial" w:cs="Arial" w:eastAsia="Arial" w:hAnsi="Arial"/>
                <w:sz w:val="18"/>
                <w:szCs w:val="18"/>
                <w:color w:val="auto"/>
              </w:rPr>
              <w:t>14</w:t>
            </w:r>
          </w:p>
        </w:tc>
        <w:tc>
          <w:tcPr>
            <w:tcW w:w="1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4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18" w:right="219" w:bottom="1440" w:gutter="0" w:footer="0" w:header="0"/>
        </w:sectPr>
      </w:pPr>
    </w:p>
    <w:bookmarkStart w:id="14" w:name="page15"/>
    <w:bookmarkEnd w:id="14"/>
    <w:p>
      <w:pPr>
        <w:ind w:right="80" w:firstLine="648"/>
        <w:spacing w:after="0" w:line="245" w:lineRule="auto"/>
        <w:rPr>
          <w:sz w:val="20"/>
          <w:szCs w:val="20"/>
          <w:color w:val="auto"/>
        </w:rPr>
      </w:pPr>
      <w:r>
        <w:rPr>
          <w:rFonts w:ascii="Arial" w:cs="Arial" w:eastAsia="Arial" w:hAnsi="Arial"/>
          <w:sz w:val="18"/>
          <w:szCs w:val="18"/>
          <w:color w:val="auto"/>
        </w:rPr>
        <w:t>The table below presents the expense/(income) amounts reclassified, and the line items of the Statement of Income that were affected for the periods ended September 30, 2015 and 2014.</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6100" w:type="dxa"/>
            <w:vAlign w:val="bottom"/>
            <w:tcBorders>
              <w:top w:val="single" w:sz="8" w:color="auto"/>
            </w:tcBorders>
          </w:tcPr>
          <w:p>
            <w:pPr>
              <w:spacing w:after="0"/>
              <w:rPr>
                <w:sz w:val="16"/>
                <w:szCs w:val="16"/>
                <w:color w:val="auto"/>
              </w:rPr>
            </w:pPr>
          </w:p>
        </w:tc>
        <w:tc>
          <w:tcPr>
            <w:tcW w:w="2900" w:type="dxa"/>
            <w:vAlign w:val="bottom"/>
            <w:tcBorders>
              <w:top w:val="single" w:sz="8" w:color="auto"/>
            </w:tcBorders>
            <w:gridSpan w:val="2"/>
          </w:tcPr>
          <w:p>
            <w:pPr>
              <w:ind w:left="500"/>
              <w:spacing w:after="0" w:line="194" w:lineRule="exact"/>
              <w:rPr>
                <w:sz w:val="20"/>
                <w:szCs w:val="20"/>
                <w:color w:val="auto"/>
              </w:rPr>
            </w:pPr>
            <w:r>
              <w:rPr>
                <w:rFonts w:ascii="Arial" w:cs="Arial" w:eastAsia="Arial" w:hAnsi="Arial"/>
                <w:sz w:val="18"/>
                <w:szCs w:val="18"/>
                <w:b w:val="1"/>
                <w:bCs w:val="1"/>
                <w:color w:val="auto"/>
              </w:rPr>
              <w:t>Three months ended</w:t>
            </w:r>
          </w:p>
        </w:tc>
        <w:tc>
          <w:tcPr>
            <w:tcW w:w="2400" w:type="dxa"/>
            <w:vAlign w:val="bottom"/>
            <w:tcBorders>
              <w:top w:val="single" w:sz="8" w:color="auto"/>
            </w:tcBorders>
            <w:gridSpan w:val="2"/>
          </w:tcPr>
          <w:p>
            <w:pPr>
              <w:jc w:val="right"/>
              <w:ind w:right="290"/>
              <w:spacing w:after="0" w:line="194" w:lineRule="exact"/>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2900" w:type="dxa"/>
            <w:vAlign w:val="bottom"/>
            <w:gridSpan w:val="2"/>
          </w:tcPr>
          <w:p>
            <w:pPr>
              <w:jc w:val="right"/>
              <w:ind w:right="810"/>
              <w:spacing w:after="0" w:line="202" w:lineRule="exact"/>
              <w:rPr>
                <w:sz w:val="20"/>
                <w:szCs w:val="20"/>
                <w:color w:val="auto"/>
              </w:rPr>
            </w:pPr>
            <w:r>
              <w:rPr>
                <w:rFonts w:ascii="Arial" w:cs="Arial" w:eastAsia="Arial" w:hAnsi="Arial"/>
                <w:sz w:val="18"/>
                <w:szCs w:val="18"/>
                <w:b w:val="1"/>
                <w:bCs w:val="1"/>
                <w:color w:val="auto"/>
              </w:rPr>
              <w:t>September 30,</w:t>
            </w:r>
          </w:p>
        </w:tc>
        <w:tc>
          <w:tcPr>
            <w:tcW w:w="2400" w:type="dxa"/>
            <w:vAlign w:val="bottom"/>
            <w:gridSpan w:val="2"/>
          </w:tcPr>
          <w:p>
            <w:pPr>
              <w:jc w:val="right"/>
              <w:ind w:right="470"/>
              <w:spacing w:after="0" w:line="202"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6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152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2015</w:t>
            </w: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173"/>
        </w:trPr>
        <w:tc>
          <w:tcPr>
            <w:tcW w:w="6120" w:type="dxa"/>
            <w:vAlign w:val="bottom"/>
            <w:gridSpan w:val="2"/>
          </w:tcPr>
          <w:p>
            <w:pPr>
              <w:spacing w:after="0" w:line="173" w:lineRule="exact"/>
              <w:rPr>
                <w:sz w:val="20"/>
                <w:szCs w:val="20"/>
                <w:color w:val="auto"/>
              </w:rPr>
            </w:pPr>
            <w:r>
              <w:rPr>
                <w:rFonts w:ascii="Arial" w:cs="Arial" w:eastAsia="Arial" w:hAnsi="Arial"/>
                <w:sz w:val="18"/>
                <w:szCs w:val="18"/>
                <w:b w:val="1"/>
                <w:bCs w:val="1"/>
                <w:color w:val="auto"/>
              </w:rPr>
              <w:t>Pretax Derivative valuation reclassified from Accumulated Other</w:t>
            </w:r>
          </w:p>
        </w:tc>
        <w:tc>
          <w:tcPr>
            <w:tcW w:w="1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Income/(loss):</w:t>
            </w:r>
          </w:p>
        </w:tc>
        <w:tc>
          <w:tcPr>
            <w:tcW w:w="15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340"/>
              <w:spacing w:after="0" w:line="202" w:lineRule="exact"/>
              <w:rPr>
                <w:sz w:val="20"/>
                <w:szCs w:val="20"/>
                <w:color w:val="auto"/>
              </w:rPr>
            </w:pPr>
            <w:r>
              <w:rPr>
                <w:rFonts w:ascii="Arial" w:cs="Arial" w:eastAsia="Arial" w:hAnsi="Arial"/>
                <w:sz w:val="18"/>
                <w:szCs w:val="18"/>
                <w:color w:val="auto"/>
              </w:rPr>
              <w:t>Payments made on interest rate swaps included in Income</w:t>
            </w:r>
          </w:p>
        </w:tc>
        <w:tc>
          <w:tcPr>
            <w:tcW w:w="15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$587</w:t>
            </w:r>
          </w:p>
        </w:tc>
        <w:tc>
          <w:tcPr>
            <w:tcW w:w="1380" w:type="dxa"/>
            <w:vAlign w:val="bottom"/>
          </w:tcPr>
          <w:p>
            <w:pPr>
              <w:spacing w:after="0"/>
              <w:rPr>
                <w:sz w:val="17"/>
                <w:szCs w:val="17"/>
                <w:color w:val="auto"/>
              </w:rPr>
            </w:pPr>
          </w:p>
        </w:tc>
        <w:tc>
          <w:tcPr>
            <w:tcW w:w="13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$1,540</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100" w:type="dxa"/>
            <w:vAlign w:val="bottom"/>
          </w:tcPr>
          <w:p>
            <w:pPr>
              <w:ind w:left="340"/>
              <w:spacing w:after="0" w:line="181" w:lineRule="exact"/>
              <w:rPr>
                <w:sz w:val="20"/>
                <w:szCs w:val="20"/>
                <w:color w:val="auto"/>
              </w:rPr>
            </w:pPr>
            <w:r>
              <w:rPr>
                <w:rFonts w:ascii="Arial" w:cs="Arial" w:eastAsia="Arial" w:hAnsi="Arial"/>
                <w:sz w:val="18"/>
                <w:szCs w:val="18"/>
                <w:color w:val="auto"/>
              </w:rPr>
              <w:t>before taxes(a)</w:t>
            </w:r>
          </w:p>
        </w:tc>
        <w:tc>
          <w:tcPr>
            <w:tcW w:w="1520" w:type="dxa"/>
            <w:vAlign w:val="bottom"/>
            <w:vMerge w:val="continue"/>
          </w:tcPr>
          <w:p>
            <w:pPr>
              <w:spacing w:after="0"/>
              <w:rPr>
                <w:sz w:val="15"/>
                <w:szCs w:val="15"/>
                <w:color w:val="auto"/>
              </w:rPr>
            </w:pPr>
          </w:p>
        </w:tc>
        <w:tc>
          <w:tcPr>
            <w:tcW w:w="1380" w:type="dxa"/>
            <w:vAlign w:val="bottom"/>
          </w:tcPr>
          <w:p>
            <w:pPr>
              <w:jc w:val="right"/>
              <w:ind w:right="310"/>
              <w:spacing w:after="0" w:line="181" w:lineRule="exact"/>
              <w:rPr>
                <w:sz w:val="20"/>
                <w:szCs w:val="20"/>
                <w:color w:val="auto"/>
              </w:rPr>
            </w:pPr>
            <w:r>
              <w:rPr>
                <w:rFonts w:ascii="Arial" w:cs="Arial" w:eastAsia="Arial" w:hAnsi="Arial"/>
                <w:sz w:val="18"/>
                <w:szCs w:val="18"/>
                <w:color w:val="auto"/>
              </w:rPr>
              <w:t>$480</w:t>
            </w:r>
          </w:p>
        </w:tc>
        <w:tc>
          <w:tcPr>
            <w:tcW w:w="1340" w:type="dxa"/>
            <w:vAlign w:val="bottom"/>
            <w:vMerge w:val="continue"/>
          </w:tcPr>
          <w:p>
            <w:pPr>
              <w:spacing w:after="0"/>
              <w:rPr>
                <w:sz w:val="15"/>
                <w:szCs w:val="15"/>
                <w:color w:val="auto"/>
              </w:rPr>
            </w:pPr>
          </w:p>
        </w:tc>
        <w:tc>
          <w:tcPr>
            <w:tcW w:w="10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Income tax effect</w:t>
            </w: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(229)</w:t>
            </w: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(187)</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(601)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100" w:type="dxa"/>
            <w:vAlign w:val="bottom"/>
          </w:tcPr>
          <w:p>
            <w:pPr>
              <w:spacing w:after="0" w:line="195" w:lineRule="exact"/>
              <w:rPr>
                <w:sz w:val="20"/>
                <w:szCs w:val="20"/>
                <w:color w:val="auto"/>
              </w:rPr>
            </w:pPr>
            <w:r>
              <w:rPr>
                <w:rFonts w:ascii="Arial" w:cs="Arial" w:eastAsia="Arial" w:hAnsi="Arial"/>
                <w:sz w:val="18"/>
                <w:szCs w:val="18"/>
                <w:color w:val="auto"/>
              </w:rPr>
              <w:t>Effect on net income due to items reclassified from Accumulated Other</w:t>
            </w:r>
          </w:p>
        </w:tc>
        <w:tc>
          <w:tcPr>
            <w:tcW w:w="15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$358</w:t>
            </w:r>
          </w:p>
        </w:tc>
        <w:tc>
          <w:tcPr>
            <w:tcW w:w="1380" w:type="dxa"/>
            <w:vAlign w:val="bottom"/>
          </w:tcPr>
          <w:p>
            <w:pPr>
              <w:spacing w:after="0"/>
              <w:rPr>
                <w:sz w:val="16"/>
                <w:szCs w:val="16"/>
                <w:color w:val="auto"/>
              </w:rPr>
            </w:pPr>
          </w:p>
        </w:tc>
        <w:tc>
          <w:tcPr>
            <w:tcW w:w="13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$939</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12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Comprehensive Income/(loss)</w:t>
            </w:r>
          </w:p>
        </w:tc>
        <w:tc>
          <w:tcPr>
            <w:tcW w:w="1520" w:type="dxa"/>
            <w:vAlign w:val="bottom"/>
            <w:tcBorders>
              <w:bottom w:val="single" w:sz="8" w:color="auto"/>
            </w:tcBorders>
            <w:vMerge w:val="continue"/>
          </w:tcPr>
          <w:p>
            <w:pPr>
              <w:spacing w:after="0"/>
              <w:rPr>
                <w:sz w:val="17"/>
                <w:szCs w:val="17"/>
                <w:color w:val="auto"/>
              </w:rPr>
            </w:pPr>
          </w:p>
        </w:tc>
        <w:tc>
          <w:tcPr>
            <w:tcW w:w="138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$293</w:t>
            </w:r>
          </w:p>
        </w:tc>
        <w:tc>
          <w:tcPr>
            <w:tcW w:w="134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376"/>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Pretax pension and postretirement liabilities reclassified from</w:t>
            </w: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Accumulated Other Comprehensive Income/(loss):</w:t>
            </w:r>
          </w:p>
        </w:tc>
        <w:tc>
          <w:tcPr>
            <w:tcW w:w="15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($1,110)</w:t>
            </w:r>
          </w:p>
        </w:tc>
        <w:tc>
          <w:tcPr>
            <w:tcW w:w="1380" w:type="dxa"/>
            <w:vAlign w:val="bottom"/>
          </w:tcPr>
          <w:p>
            <w:pPr>
              <w:spacing w:after="0"/>
              <w:rPr>
                <w:sz w:val="19"/>
                <w:szCs w:val="19"/>
                <w:color w:val="auto"/>
              </w:rPr>
            </w:pPr>
          </w:p>
        </w:tc>
        <w:tc>
          <w:tcPr>
            <w:tcW w:w="13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($3,330)</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100" w:type="dxa"/>
            <w:vAlign w:val="bottom"/>
          </w:tcPr>
          <w:p>
            <w:pPr>
              <w:ind w:left="340"/>
              <w:spacing w:after="0" w:line="181" w:lineRule="exact"/>
              <w:rPr>
                <w:sz w:val="20"/>
                <w:szCs w:val="20"/>
                <w:color w:val="auto"/>
              </w:rPr>
            </w:pPr>
            <w:r>
              <w:rPr>
                <w:rFonts w:ascii="Arial" w:cs="Arial" w:eastAsia="Arial" w:hAnsi="Arial"/>
                <w:sz w:val="18"/>
                <w:szCs w:val="18"/>
                <w:color w:val="auto"/>
              </w:rPr>
              <w:t>Amortization of prior service credit</w:t>
            </w:r>
          </w:p>
        </w:tc>
        <w:tc>
          <w:tcPr>
            <w:tcW w:w="1520" w:type="dxa"/>
            <w:vAlign w:val="bottom"/>
            <w:vMerge w:val="continue"/>
          </w:tcPr>
          <w:p>
            <w:pPr>
              <w:spacing w:after="0"/>
              <w:rPr>
                <w:sz w:val="15"/>
                <w:szCs w:val="15"/>
                <w:color w:val="auto"/>
              </w:rPr>
            </w:pPr>
          </w:p>
        </w:tc>
        <w:tc>
          <w:tcPr>
            <w:tcW w:w="1380" w:type="dxa"/>
            <w:vAlign w:val="bottom"/>
          </w:tcPr>
          <w:p>
            <w:pPr>
              <w:jc w:val="right"/>
              <w:ind w:right="250"/>
              <w:spacing w:after="0" w:line="181" w:lineRule="exact"/>
              <w:rPr>
                <w:sz w:val="20"/>
                <w:szCs w:val="20"/>
                <w:color w:val="auto"/>
              </w:rPr>
            </w:pPr>
            <w:r>
              <w:rPr>
                <w:rFonts w:ascii="Arial" w:cs="Arial" w:eastAsia="Arial" w:hAnsi="Arial"/>
                <w:sz w:val="18"/>
                <w:szCs w:val="18"/>
                <w:color w:val="auto"/>
              </w:rPr>
              <w:t>($1,108)</w:t>
            </w:r>
          </w:p>
        </w:tc>
        <w:tc>
          <w:tcPr>
            <w:tcW w:w="1340" w:type="dxa"/>
            <w:vAlign w:val="bottom"/>
            <w:vMerge w:val="continue"/>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Amortization of net actuarial loss</w:t>
            </w:r>
          </w:p>
        </w:tc>
        <w:tc>
          <w:tcPr>
            <w:tcW w:w="1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1,462</w:t>
            </w:r>
          </w:p>
        </w:tc>
        <w:tc>
          <w:tcPr>
            <w:tcW w:w="13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1,343</w:t>
            </w:r>
          </w:p>
        </w:tc>
        <w:tc>
          <w:tcPr>
            <w:tcW w:w="1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4,428</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4,026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00" w:type="dxa"/>
            <w:vAlign w:val="bottom"/>
          </w:tcPr>
          <w:p>
            <w:pPr>
              <w:spacing w:after="0" w:line="173" w:lineRule="exact"/>
              <w:rPr>
                <w:sz w:val="20"/>
                <w:szCs w:val="20"/>
                <w:color w:val="auto"/>
              </w:rPr>
            </w:pPr>
            <w:r>
              <w:rPr>
                <w:rFonts w:ascii="Arial" w:cs="Arial" w:eastAsia="Arial" w:hAnsi="Arial"/>
                <w:sz w:val="18"/>
                <w:szCs w:val="18"/>
                <w:color w:val="auto"/>
              </w:rPr>
              <w:t>Total pretax amount reclassified (b)</w:t>
            </w:r>
          </w:p>
        </w:tc>
        <w:tc>
          <w:tcPr>
            <w:tcW w:w="1520" w:type="dxa"/>
            <w:vAlign w:val="bottom"/>
          </w:tcPr>
          <w:p>
            <w:pPr>
              <w:jc w:val="right"/>
              <w:ind w:right="330"/>
              <w:spacing w:after="0" w:line="173" w:lineRule="exact"/>
              <w:rPr>
                <w:sz w:val="20"/>
                <w:szCs w:val="20"/>
                <w:color w:val="auto"/>
              </w:rPr>
            </w:pPr>
            <w:r>
              <w:rPr>
                <w:rFonts w:ascii="Arial" w:cs="Arial" w:eastAsia="Arial" w:hAnsi="Arial"/>
                <w:sz w:val="18"/>
                <w:szCs w:val="18"/>
                <w:b w:val="1"/>
                <w:bCs w:val="1"/>
                <w:color w:val="auto"/>
              </w:rPr>
              <w:t>352</w:t>
            </w:r>
          </w:p>
        </w:tc>
        <w:tc>
          <w:tcPr>
            <w:tcW w:w="1380" w:type="dxa"/>
            <w:vAlign w:val="bottom"/>
          </w:tcPr>
          <w:p>
            <w:pPr>
              <w:jc w:val="right"/>
              <w:ind w:right="310"/>
              <w:spacing w:after="0" w:line="173" w:lineRule="exact"/>
              <w:rPr>
                <w:sz w:val="20"/>
                <w:szCs w:val="20"/>
                <w:color w:val="auto"/>
              </w:rPr>
            </w:pPr>
            <w:r>
              <w:rPr>
                <w:rFonts w:ascii="Arial" w:cs="Arial" w:eastAsia="Arial" w:hAnsi="Arial"/>
                <w:sz w:val="18"/>
                <w:szCs w:val="18"/>
                <w:color w:val="auto"/>
              </w:rPr>
              <w:t>235</w:t>
            </w:r>
          </w:p>
        </w:tc>
        <w:tc>
          <w:tcPr>
            <w:tcW w:w="1340" w:type="dxa"/>
            <w:vAlign w:val="bottom"/>
          </w:tcPr>
          <w:p>
            <w:pPr>
              <w:jc w:val="right"/>
              <w:ind w:right="310"/>
              <w:spacing w:after="0" w:line="173" w:lineRule="exact"/>
              <w:rPr>
                <w:sz w:val="20"/>
                <w:szCs w:val="20"/>
                <w:color w:val="auto"/>
              </w:rPr>
            </w:pPr>
            <w:r>
              <w:rPr>
                <w:rFonts w:ascii="Arial" w:cs="Arial" w:eastAsia="Arial" w:hAnsi="Arial"/>
                <w:sz w:val="18"/>
                <w:szCs w:val="18"/>
                <w:b w:val="1"/>
                <w:bCs w:val="1"/>
                <w:color w:val="auto"/>
              </w:rPr>
              <w:t>1,098</w:t>
            </w:r>
          </w:p>
        </w:tc>
        <w:tc>
          <w:tcPr>
            <w:tcW w:w="1060" w:type="dxa"/>
            <w:vAlign w:val="bottom"/>
          </w:tcPr>
          <w:p>
            <w:pPr>
              <w:jc w:val="right"/>
              <w:ind w:right="10"/>
              <w:spacing w:after="0" w:line="173" w:lineRule="exact"/>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25"/>
        </w:trPr>
        <w:tc>
          <w:tcPr>
            <w:tcW w:w="6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effect</w:t>
            </w: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(123)</w:t>
            </w: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(94)</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(384)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195"/>
        </w:trPr>
        <w:tc>
          <w:tcPr>
            <w:tcW w:w="6120" w:type="dxa"/>
            <w:vAlign w:val="bottom"/>
            <w:gridSpan w:val="2"/>
          </w:tcPr>
          <w:p>
            <w:pPr>
              <w:spacing w:after="0" w:line="195" w:lineRule="exact"/>
              <w:rPr>
                <w:sz w:val="20"/>
                <w:szCs w:val="20"/>
                <w:color w:val="auto"/>
              </w:rPr>
            </w:pPr>
            <w:r>
              <w:rPr>
                <w:rFonts w:ascii="Arial" w:cs="Arial" w:eastAsia="Arial" w:hAnsi="Arial"/>
                <w:sz w:val="18"/>
                <w:szCs w:val="18"/>
                <w:color w:val="auto"/>
              </w:rPr>
              <w:t>Effect on net income due to items reclassified from Accumulated Other</w:t>
            </w:r>
          </w:p>
        </w:tc>
        <w:tc>
          <w:tcPr>
            <w:tcW w:w="15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$229</w:t>
            </w:r>
          </w:p>
        </w:tc>
        <w:tc>
          <w:tcPr>
            <w:tcW w:w="1380" w:type="dxa"/>
            <w:vAlign w:val="bottom"/>
          </w:tcPr>
          <w:p>
            <w:pPr>
              <w:spacing w:after="0"/>
              <w:rPr>
                <w:sz w:val="16"/>
                <w:szCs w:val="16"/>
                <w:color w:val="auto"/>
              </w:rPr>
            </w:pPr>
          </w:p>
        </w:tc>
        <w:tc>
          <w:tcPr>
            <w:tcW w:w="13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$714</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12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Comprehensive Income/(loss)</w:t>
            </w:r>
          </w:p>
        </w:tc>
        <w:tc>
          <w:tcPr>
            <w:tcW w:w="1520" w:type="dxa"/>
            <w:vAlign w:val="bottom"/>
            <w:tcBorders>
              <w:bottom w:val="single" w:sz="8" w:color="auto"/>
            </w:tcBorders>
            <w:vMerge w:val="continue"/>
          </w:tcPr>
          <w:p>
            <w:pPr>
              <w:spacing w:after="0"/>
              <w:rPr>
                <w:sz w:val="17"/>
                <w:szCs w:val="17"/>
                <w:color w:val="auto"/>
              </w:rPr>
            </w:pPr>
          </w:p>
        </w:tc>
        <w:tc>
          <w:tcPr>
            <w:tcW w:w="138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$141</w:t>
            </w:r>
          </w:p>
        </w:tc>
        <w:tc>
          <w:tcPr>
            <w:tcW w:w="134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Included in Interest expense.</w:t>
      </w:r>
    </w:p>
    <w:p>
      <w:pPr>
        <w:ind w:left="340" w:right="400" w:hanging="332"/>
        <w:spacing w:after="0" w:line="246"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accumulated other comprehensive income/ (loss) components are included in the computation of net periodic pension cost (see Note 4).</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Accounts Receivable</w:t>
      </w:r>
    </w:p>
    <w:p>
      <w:pPr>
        <w:spacing w:after="0" w:line="207"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Accounts receivable includes trade receivables and revenue in excess of progress billings on long-term contracts in the Albany Engineered Composites business. The Company maintains allowances for doubtful accounts for estimated losses resulting from the inability of its customers to make required payments. The Company determines the allowance based on historical write-off experience, customer-specific facts and economic conditions. If the financial condition of the Company’s customers were to deteriorate, resulting in an impairment of their ability to make payments, additional allowances may be required.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2015 and December 31, 2014, Accounts receivable consisted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80" w:type="dxa"/>
            <w:vAlign w:val="bottom"/>
            <w:tcBorders>
              <w:top w:val="single" w:sz="8" w:color="auto"/>
            </w:tcBorders>
          </w:tcPr>
          <w:p>
            <w:pPr>
              <w:spacing w:after="0"/>
              <w:rPr>
                <w:sz w:val="16"/>
                <w:szCs w:val="16"/>
                <w:color w:val="auto"/>
              </w:rPr>
            </w:pPr>
          </w:p>
        </w:tc>
        <w:tc>
          <w:tcPr>
            <w:tcW w:w="4220" w:type="dxa"/>
            <w:vAlign w:val="bottom"/>
            <w:tcBorders>
              <w:top w:val="single" w:sz="8" w:color="auto"/>
            </w:tcBorders>
          </w:tcPr>
          <w:p>
            <w:pPr>
              <w:jc w:val="right"/>
              <w:ind w:right="90"/>
              <w:spacing w:after="0" w:line="194" w:lineRule="exact"/>
              <w:rPr>
                <w:sz w:val="20"/>
                <w:szCs w:val="20"/>
                <w:color w:val="auto"/>
              </w:rPr>
            </w:pPr>
            <w:r>
              <w:rPr>
                <w:rFonts w:ascii="Arial" w:cs="Arial" w:eastAsia="Arial" w:hAnsi="Arial"/>
                <w:sz w:val="18"/>
                <w:szCs w:val="18"/>
                <w:b w:val="1"/>
                <w:bCs w:val="1"/>
                <w:color w:val="auto"/>
              </w:rPr>
              <w:t>September 30,</w:t>
            </w:r>
          </w:p>
        </w:tc>
        <w:tc>
          <w:tcPr>
            <w:tcW w:w="132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December 31,</w:t>
            </w:r>
          </w:p>
        </w:tc>
      </w:tr>
      <w:tr>
        <w:trPr>
          <w:trHeight w:val="225"/>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4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173"/>
        </w:trPr>
        <w:tc>
          <w:tcPr>
            <w:tcW w:w="5880" w:type="dxa"/>
            <w:vAlign w:val="bottom"/>
          </w:tcPr>
          <w:p>
            <w:pPr>
              <w:spacing w:after="0" w:line="173" w:lineRule="exact"/>
              <w:rPr>
                <w:sz w:val="20"/>
                <w:szCs w:val="20"/>
                <w:color w:val="auto"/>
              </w:rPr>
            </w:pPr>
            <w:r>
              <w:rPr>
                <w:rFonts w:ascii="Arial" w:cs="Arial" w:eastAsia="Arial" w:hAnsi="Arial"/>
                <w:sz w:val="18"/>
                <w:szCs w:val="18"/>
                <w:color w:val="auto"/>
              </w:rPr>
              <w:t>Trade and other accounts receivable</w:t>
            </w:r>
          </w:p>
        </w:tc>
        <w:tc>
          <w:tcPr>
            <w:tcW w:w="4220" w:type="dxa"/>
            <w:vAlign w:val="bottom"/>
          </w:tcPr>
          <w:p>
            <w:pPr>
              <w:jc w:val="right"/>
              <w:ind w:right="230"/>
              <w:spacing w:after="0" w:line="173" w:lineRule="exact"/>
              <w:rPr>
                <w:sz w:val="20"/>
                <w:szCs w:val="20"/>
                <w:color w:val="auto"/>
              </w:rPr>
            </w:pPr>
            <w:r>
              <w:rPr>
                <w:rFonts w:ascii="Arial" w:cs="Arial" w:eastAsia="Arial" w:hAnsi="Arial"/>
                <w:sz w:val="18"/>
                <w:szCs w:val="18"/>
                <w:b w:val="1"/>
                <w:bCs w:val="1"/>
                <w:color w:val="auto"/>
              </w:rPr>
              <w:t>$132,749</w:t>
            </w:r>
          </w:p>
        </w:tc>
        <w:tc>
          <w:tcPr>
            <w:tcW w:w="1320" w:type="dxa"/>
            <w:vAlign w:val="bottom"/>
          </w:tcPr>
          <w:p>
            <w:pPr>
              <w:jc w:val="right"/>
              <w:ind w:right="30"/>
              <w:spacing w:after="0" w:line="173" w:lineRule="exact"/>
              <w:rPr>
                <w:sz w:val="20"/>
                <w:szCs w:val="20"/>
                <w:color w:val="auto"/>
              </w:rPr>
            </w:pPr>
            <w:r>
              <w:rPr>
                <w:rFonts w:ascii="Arial" w:cs="Arial" w:eastAsia="Arial" w:hAnsi="Arial"/>
                <w:sz w:val="18"/>
                <w:szCs w:val="18"/>
                <w:color w:val="auto"/>
              </w:rPr>
              <w:t>$136,479</w:t>
            </w: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Bank promissory notes</w:t>
            </w:r>
          </w:p>
        </w:tc>
        <w:tc>
          <w:tcPr>
            <w:tcW w:w="422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15,858</w:t>
            </w: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17,426</w:t>
            </w: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Revenue in excess of progress billings</w:t>
            </w:r>
          </w:p>
        </w:tc>
        <w:tc>
          <w:tcPr>
            <w:tcW w:w="422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12,134</w:t>
            </w: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13,045</w:t>
            </w:r>
          </w:p>
        </w:tc>
      </w:tr>
      <w:tr>
        <w:trPr>
          <w:trHeight w:val="225"/>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Allowance for doubtful accounts</w:t>
            </w:r>
          </w:p>
        </w:tc>
        <w:tc>
          <w:tcPr>
            <w:tcW w:w="4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(8,833)</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(8,713)</w:t>
            </w:r>
          </w:p>
        </w:tc>
      </w:tr>
      <w:tr>
        <w:trPr>
          <w:trHeight w:val="196"/>
        </w:trPr>
        <w:tc>
          <w:tcPr>
            <w:tcW w:w="58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accounts receivable</w:t>
            </w:r>
          </w:p>
        </w:tc>
        <w:tc>
          <w:tcPr>
            <w:tcW w:w="42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$151,908</w:t>
            </w:r>
          </w:p>
        </w:tc>
        <w:tc>
          <w:tcPr>
            <w:tcW w:w="13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$158,237</w:t>
            </w:r>
          </w:p>
        </w:tc>
      </w:tr>
    </w:tbl>
    <w:p>
      <w:pPr>
        <w:spacing w:after="0" w:line="377"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In connection with certain sales in Asia Pacific, the Company accepts a bank promissory note as customer payment. The notes may be presented for payment at maturity, which is less than one year.</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11. Inventories</w:t>
      </w:r>
    </w:p>
    <w:p>
      <w:pPr>
        <w:spacing w:after="0" w:line="193"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Inventories are stated at the lower of cost or market, and are valued at average cost, net of reserves. Costs included in inventory are raw materials, labor, supplies, and allocable depreciation and overhead. The Company maintains reserves for possible impairment in the value of inventories. Such reserves can be specific to certain inventory, or general based on judgments about the overall condition of the inventory. General reserves are established based on percentage write-downs applied to aged inventories, or for inventories that are slow-moving. If actual results differ from estimates, additional inventory write-downs may be necessary. These general reserves for aged inventory are relieved through income only when the inventory is sold.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2015 and December 31, 2014, inventories consisted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80" w:type="dxa"/>
            <w:vAlign w:val="bottom"/>
            <w:tcBorders>
              <w:top w:val="single" w:sz="8" w:color="auto"/>
            </w:tcBorders>
          </w:tcPr>
          <w:p>
            <w:pPr>
              <w:spacing w:after="0"/>
              <w:rPr>
                <w:sz w:val="16"/>
                <w:szCs w:val="16"/>
                <w:color w:val="auto"/>
              </w:rPr>
            </w:pPr>
          </w:p>
        </w:tc>
        <w:tc>
          <w:tcPr>
            <w:tcW w:w="5100" w:type="dxa"/>
            <w:vAlign w:val="bottom"/>
            <w:tcBorders>
              <w:top w:val="single" w:sz="8" w:color="auto"/>
            </w:tcBorders>
          </w:tcPr>
          <w:p>
            <w:pPr>
              <w:jc w:val="right"/>
              <w:ind w:right="90"/>
              <w:spacing w:after="0" w:line="194" w:lineRule="exact"/>
              <w:rPr>
                <w:sz w:val="20"/>
                <w:szCs w:val="20"/>
                <w:color w:val="auto"/>
              </w:rPr>
            </w:pPr>
            <w:r>
              <w:rPr>
                <w:rFonts w:ascii="Arial" w:cs="Arial" w:eastAsia="Arial" w:hAnsi="Arial"/>
                <w:sz w:val="18"/>
                <w:szCs w:val="18"/>
                <w:b w:val="1"/>
                <w:bCs w:val="1"/>
                <w:color w:val="auto"/>
              </w:rPr>
              <w:t>September 30,</w:t>
            </w:r>
          </w:p>
        </w:tc>
        <w:tc>
          <w:tcPr>
            <w:tcW w:w="13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December 31,</w:t>
            </w:r>
          </w:p>
        </w:tc>
      </w:tr>
      <w:tr>
        <w:trPr>
          <w:trHeight w:val="225"/>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5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173"/>
        </w:trPr>
        <w:tc>
          <w:tcPr>
            <w:tcW w:w="4980" w:type="dxa"/>
            <w:vAlign w:val="bottom"/>
          </w:tcPr>
          <w:p>
            <w:pPr>
              <w:spacing w:after="0" w:line="173" w:lineRule="exact"/>
              <w:rPr>
                <w:sz w:val="20"/>
                <w:szCs w:val="20"/>
                <w:color w:val="auto"/>
              </w:rPr>
            </w:pPr>
            <w:r>
              <w:rPr>
                <w:rFonts w:ascii="Arial" w:cs="Arial" w:eastAsia="Arial" w:hAnsi="Arial"/>
                <w:sz w:val="18"/>
                <w:szCs w:val="18"/>
                <w:b w:val="1"/>
                <w:bCs w:val="1"/>
                <w:color w:val="auto"/>
              </w:rPr>
              <w:t>Raw materials</w:t>
            </w:r>
          </w:p>
        </w:tc>
        <w:tc>
          <w:tcPr>
            <w:tcW w:w="5100" w:type="dxa"/>
            <w:vAlign w:val="bottom"/>
          </w:tcPr>
          <w:p>
            <w:pPr>
              <w:jc w:val="right"/>
              <w:ind w:right="210"/>
              <w:spacing w:after="0" w:line="173" w:lineRule="exact"/>
              <w:rPr>
                <w:sz w:val="20"/>
                <w:szCs w:val="20"/>
                <w:color w:val="auto"/>
              </w:rPr>
            </w:pPr>
            <w:r>
              <w:rPr>
                <w:rFonts w:ascii="Arial" w:cs="Arial" w:eastAsia="Arial" w:hAnsi="Arial"/>
                <w:sz w:val="18"/>
                <w:szCs w:val="18"/>
                <w:b w:val="1"/>
                <w:bCs w:val="1"/>
                <w:color w:val="auto"/>
              </w:rPr>
              <w:t>$28,971</w:t>
            </w:r>
          </w:p>
        </w:tc>
        <w:tc>
          <w:tcPr>
            <w:tcW w:w="1340" w:type="dxa"/>
            <w:vAlign w:val="bottom"/>
          </w:tcPr>
          <w:p>
            <w:pPr>
              <w:jc w:val="right"/>
              <w:ind w:right="30"/>
              <w:spacing w:after="0" w:line="173" w:lineRule="exact"/>
              <w:rPr>
                <w:sz w:val="20"/>
                <w:szCs w:val="20"/>
                <w:color w:val="auto"/>
              </w:rPr>
            </w:pPr>
            <w:r>
              <w:rPr>
                <w:rFonts w:ascii="Arial" w:cs="Arial" w:eastAsia="Arial" w:hAnsi="Arial"/>
                <w:sz w:val="18"/>
                <w:szCs w:val="18"/>
                <w:color w:val="auto"/>
              </w:rPr>
              <w:t>$27,006</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Work in process</w:t>
            </w:r>
          </w:p>
        </w:tc>
        <w:tc>
          <w:tcPr>
            <w:tcW w:w="510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45,253</w:t>
            </w:r>
          </w:p>
        </w:tc>
        <w:tc>
          <w:tcPr>
            <w:tcW w:w="1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43,512</w:t>
            </w:r>
          </w:p>
        </w:tc>
      </w:tr>
      <w:tr>
        <w:trPr>
          <w:trHeight w:val="225"/>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Finished goods</w:t>
            </w:r>
          </w:p>
        </w:tc>
        <w:tc>
          <w:tcPr>
            <w:tcW w:w="5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36,041</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36,756</w:t>
            </w:r>
          </w:p>
        </w:tc>
      </w:tr>
      <w:tr>
        <w:trPr>
          <w:trHeight w:val="196"/>
        </w:trPr>
        <w:tc>
          <w:tcPr>
            <w:tcW w:w="49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inventories</w:t>
            </w:r>
          </w:p>
        </w:tc>
        <w:tc>
          <w:tcPr>
            <w:tcW w:w="51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$110,265</w:t>
            </w:r>
          </w:p>
        </w:tc>
        <w:tc>
          <w:tcPr>
            <w:tcW w:w="13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$107,274</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Goodwill and Other Intangible Assets</w:t>
      </w:r>
    </w:p>
    <w:p>
      <w:pPr>
        <w:spacing w:after="0" w:line="207" w:lineRule="exact"/>
        <w:rPr>
          <w:sz w:val="20"/>
          <w:szCs w:val="20"/>
          <w:color w:val="auto"/>
        </w:rPr>
      </w:pPr>
    </w:p>
    <w:p>
      <w:pPr>
        <w:jc w:val="both"/>
        <w:ind w:right="180" w:firstLine="648"/>
        <w:spacing w:after="0"/>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Goodwill represents the excess of the purchase price over the fair value of the net tangible and identifiable intangible assets acquired in each business combination. Our reporting units are consistent with our operating segments.</w:t>
      </w:r>
    </w:p>
    <w:p>
      <w:pPr>
        <w:spacing w:after="0" w:line="189"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 events, such as significant changes in the business climate, plant closures, changes in product offerings, or other circumstances indicate that the carrying amount may not be recoverable.</w:t>
      </w:r>
    </w:p>
    <w:p>
      <w:pPr>
        <w:spacing w:after="0" w:line="188"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To determine fair value, we utilize two market-based approaches and an income approach. Under the market-based approaches, we utilize information regarding the Company as well as publicly available industry information to determine earnings multiples and sales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189" w:lineRule="exact"/>
        <w:rPr>
          <w:sz w:val="20"/>
          <w:szCs w:val="20"/>
          <w:color w:val="auto"/>
        </w:rPr>
      </w:pPr>
    </w:p>
    <w:p>
      <w:pPr>
        <w:jc w:val="both"/>
        <w:ind w:right="580" w:firstLine="648"/>
        <w:spacing w:after="0"/>
        <w:rPr>
          <w:sz w:val="20"/>
          <w:szCs w:val="20"/>
          <w:color w:val="auto"/>
        </w:rPr>
      </w:pPr>
      <w:r>
        <w:rPr>
          <w:rFonts w:ascii="Arial" w:cs="Arial" w:eastAsia="Arial" w:hAnsi="Arial"/>
          <w:sz w:val="18"/>
          <w:szCs w:val="18"/>
          <w:color w:val="auto"/>
        </w:rPr>
        <w:t>The entire balance of goodwill on our books is attributable to the Machine Clothing business. In the second quarter of 2015, the Company applied the qualitative assessment approach in performing its annual evaluation of goodwill and concluded that no impairment provision was required. There were no amounts at risk due to the large spread between the fair and carrying values.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6" w:name="page17"/>
    <w:bookmarkEnd w:id="16"/>
    <w:p>
      <w:pPr>
        <w:ind w:right="540" w:firstLine="648"/>
        <w:spacing w:after="0" w:line="246" w:lineRule="auto"/>
        <w:rPr>
          <w:sz w:val="20"/>
          <w:szCs w:val="20"/>
          <w:color w:val="auto"/>
        </w:rPr>
      </w:pPr>
      <w:r>
        <w:rPr>
          <w:rFonts w:ascii="Arial" w:cs="Arial" w:eastAsia="Arial" w:hAnsi="Arial"/>
          <w:sz w:val="18"/>
          <w:szCs w:val="18"/>
          <w:color w:val="auto"/>
        </w:rPr>
        <w:t>We are continuing to amortize certain patents, trade names, customer contracts and technology assets that have finite lives. The changes in intangible assets and goodwill from December 31, 2014 to September 30, 2015,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4220" w:type="dxa"/>
            <w:vAlign w:val="bottom"/>
            <w:tcBorders>
              <w:top w:val="single" w:sz="8" w:color="auto"/>
            </w:tcBorders>
          </w:tcPr>
          <w:p>
            <w:pPr>
              <w:spacing w:after="0"/>
              <w:rPr>
                <w:sz w:val="16"/>
                <w:szCs w:val="16"/>
                <w:color w:val="auto"/>
              </w:rPr>
            </w:pPr>
          </w:p>
        </w:tc>
        <w:tc>
          <w:tcPr>
            <w:tcW w:w="2980" w:type="dxa"/>
            <w:vAlign w:val="bottom"/>
            <w:tcBorders>
              <w:top w:val="single" w:sz="8" w:color="auto"/>
            </w:tcBorders>
          </w:tcPr>
          <w:p>
            <w:pPr>
              <w:jc w:val="right"/>
              <w:ind w:right="90"/>
              <w:spacing w:after="0" w:line="194" w:lineRule="exact"/>
              <w:rPr>
                <w:sz w:val="20"/>
                <w:szCs w:val="20"/>
                <w:color w:val="auto"/>
              </w:rPr>
            </w:pPr>
            <w:r>
              <w:rPr>
                <w:rFonts w:ascii="Arial" w:cs="Arial" w:eastAsia="Arial" w:hAnsi="Arial"/>
                <w:sz w:val="18"/>
                <w:szCs w:val="18"/>
                <w:b w:val="1"/>
                <w:bCs w:val="1"/>
                <w:color w:val="auto"/>
              </w:rPr>
              <w:t>December 31,</w:t>
            </w:r>
          </w:p>
        </w:tc>
        <w:tc>
          <w:tcPr>
            <w:tcW w:w="14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90"/>
              <w:spacing w:after="0" w:line="194" w:lineRule="exact"/>
              <w:rPr>
                <w:sz w:val="20"/>
                <w:szCs w:val="20"/>
                <w:color w:val="auto"/>
              </w:rPr>
            </w:pPr>
            <w:r>
              <w:rPr>
                <w:rFonts w:ascii="Arial" w:cs="Arial" w:eastAsia="Arial" w:hAnsi="Arial"/>
                <w:sz w:val="18"/>
                <w:szCs w:val="18"/>
                <w:b w:val="1"/>
                <w:bCs w:val="1"/>
                <w:color w:val="auto"/>
              </w:rPr>
              <w:t>Currency</w:t>
            </w:r>
          </w:p>
        </w:tc>
        <w:tc>
          <w:tcPr>
            <w:tcW w:w="14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Amortization</w:t>
            </w: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Translation</w:t>
            </w:r>
          </w:p>
        </w:tc>
        <w:tc>
          <w:tcPr>
            <w:tcW w:w="14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398"/>
        </w:trPr>
        <w:tc>
          <w:tcPr>
            <w:tcW w:w="4240" w:type="dxa"/>
            <w:vAlign w:val="bottom"/>
            <w:gridSpan w:val="2"/>
          </w:tcPr>
          <w:p>
            <w:pPr>
              <w:spacing w:after="0"/>
              <w:rPr>
                <w:sz w:val="20"/>
                <w:szCs w:val="20"/>
                <w:color w:val="auto"/>
              </w:rPr>
            </w:pPr>
            <w:r>
              <w:rPr>
                <w:rFonts w:ascii="Arial" w:cs="Arial" w:eastAsia="Arial" w:hAnsi="Arial"/>
                <w:sz w:val="18"/>
                <w:szCs w:val="18"/>
                <w:color w:val="auto"/>
              </w:rPr>
              <w:t>Amortized intangible assets:</w:t>
            </w:r>
          </w:p>
        </w:tc>
        <w:tc>
          <w:tcPr>
            <w:tcW w:w="2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20" w:type="dxa"/>
            <w:vAlign w:val="bottom"/>
          </w:tcPr>
          <w:p>
            <w:pPr>
              <w:ind w:left="120"/>
              <w:spacing w:after="0" w:line="181" w:lineRule="exact"/>
              <w:rPr>
                <w:sz w:val="20"/>
                <w:szCs w:val="20"/>
                <w:color w:val="auto"/>
              </w:rPr>
            </w:pPr>
            <w:r>
              <w:rPr>
                <w:rFonts w:ascii="Arial" w:cs="Arial" w:eastAsia="Arial" w:hAnsi="Arial"/>
                <w:sz w:val="18"/>
                <w:szCs w:val="18"/>
                <w:color w:val="auto"/>
              </w:rPr>
              <w:t>AEC trade names</w:t>
            </w:r>
          </w:p>
        </w:tc>
        <w:tc>
          <w:tcPr>
            <w:tcW w:w="2980" w:type="dxa"/>
            <w:vAlign w:val="bottom"/>
          </w:tcPr>
          <w:p>
            <w:pPr>
              <w:jc w:val="right"/>
              <w:ind w:right="190"/>
              <w:spacing w:after="0" w:line="181" w:lineRule="exact"/>
              <w:rPr>
                <w:sz w:val="20"/>
                <w:szCs w:val="20"/>
                <w:color w:val="auto"/>
              </w:rPr>
            </w:pPr>
            <w:r>
              <w:rPr>
                <w:rFonts w:ascii="Arial" w:cs="Arial" w:eastAsia="Arial" w:hAnsi="Arial"/>
                <w:sz w:val="18"/>
                <w:szCs w:val="18"/>
                <w:color w:val="auto"/>
              </w:rPr>
              <w:t>$29</w:t>
            </w:r>
          </w:p>
        </w:tc>
        <w:tc>
          <w:tcPr>
            <w:tcW w:w="1440" w:type="dxa"/>
            <w:vAlign w:val="bottom"/>
          </w:tcPr>
          <w:p>
            <w:pPr>
              <w:jc w:val="right"/>
              <w:ind w:right="150"/>
              <w:spacing w:after="0" w:line="181" w:lineRule="exact"/>
              <w:rPr>
                <w:sz w:val="20"/>
                <w:szCs w:val="20"/>
                <w:color w:val="auto"/>
              </w:rPr>
            </w:pPr>
            <w:r>
              <w:rPr>
                <w:rFonts w:ascii="Arial" w:cs="Arial" w:eastAsia="Arial" w:hAnsi="Arial"/>
                <w:sz w:val="18"/>
                <w:szCs w:val="18"/>
                <w:color w:val="auto"/>
              </w:rPr>
              <w:t>($3)</w:t>
            </w:r>
          </w:p>
        </w:tc>
        <w:tc>
          <w:tcPr>
            <w:tcW w:w="1320" w:type="dxa"/>
            <w:vAlign w:val="bottom"/>
          </w:tcPr>
          <w:p>
            <w:pPr>
              <w:jc w:val="right"/>
              <w:ind w:right="170"/>
              <w:spacing w:after="0" w:line="181" w:lineRule="exact"/>
              <w:rPr>
                <w:sz w:val="20"/>
                <w:szCs w:val="20"/>
                <w:color w:val="auto"/>
              </w:rPr>
            </w:pPr>
            <w:r>
              <w:rPr>
                <w:rFonts w:ascii="Arial" w:cs="Arial" w:eastAsia="Arial" w:hAnsi="Arial"/>
                <w:sz w:val="18"/>
                <w:szCs w:val="18"/>
                <w:color w:val="auto"/>
              </w:rPr>
              <w:t>$-</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tcPr>
          <w:p>
            <w:pPr>
              <w:ind w:left="120"/>
              <w:spacing w:after="0" w:line="202" w:lineRule="exact"/>
              <w:rPr>
                <w:sz w:val="20"/>
                <w:szCs w:val="20"/>
                <w:color w:val="auto"/>
              </w:rPr>
            </w:pPr>
            <w:r>
              <w:rPr>
                <w:rFonts w:ascii="Arial" w:cs="Arial" w:eastAsia="Arial" w:hAnsi="Arial"/>
                <w:sz w:val="18"/>
                <w:szCs w:val="18"/>
                <w:color w:val="auto"/>
              </w:rPr>
              <w:t>AEC customer contracts</w:t>
            </w:r>
          </w:p>
        </w:tc>
        <w:tc>
          <w:tcPr>
            <w:tcW w:w="29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202</w:t>
            </w:r>
          </w:p>
        </w:tc>
        <w:tc>
          <w:tcPr>
            <w:tcW w:w="14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(152)</w:t>
            </w:r>
          </w:p>
        </w:tc>
        <w:tc>
          <w:tcPr>
            <w:tcW w:w="13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AEC technology</w:t>
            </w:r>
          </w:p>
        </w:tc>
        <w:tc>
          <w:tcPr>
            <w:tcW w:w="2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154</w:t>
            </w: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136</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amortized intangible assets</w:t>
            </w:r>
          </w:p>
        </w:tc>
        <w:tc>
          <w:tcPr>
            <w:tcW w:w="29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$385</w:t>
            </w:r>
          </w:p>
        </w:tc>
        <w:tc>
          <w:tcPr>
            <w:tcW w:w="14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($173)</w:t>
            </w:r>
          </w:p>
        </w:tc>
        <w:tc>
          <w:tcPr>
            <w:tcW w:w="132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$212</w:t>
            </w:r>
          </w:p>
        </w:tc>
        <w:tc>
          <w:tcPr>
            <w:tcW w:w="0" w:type="dxa"/>
            <w:vAlign w:val="bottom"/>
          </w:tcPr>
          <w:p>
            <w:pPr>
              <w:spacing w:after="0"/>
              <w:rPr>
                <w:sz w:val="1"/>
                <w:szCs w:val="1"/>
                <w:color w:val="auto"/>
              </w:rPr>
            </w:pPr>
          </w:p>
        </w:tc>
      </w:tr>
      <w:tr>
        <w:trPr>
          <w:trHeight w:val="398"/>
        </w:trPr>
        <w:tc>
          <w:tcPr>
            <w:tcW w:w="4240" w:type="dxa"/>
            <w:vAlign w:val="bottom"/>
            <w:gridSpan w:val="2"/>
          </w:tcPr>
          <w:p>
            <w:pPr>
              <w:spacing w:after="0"/>
              <w:rPr>
                <w:sz w:val="20"/>
                <w:szCs w:val="20"/>
                <w:color w:val="auto"/>
              </w:rPr>
            </w:pPr>
            <w:r>
              <w:rPr>
                <w:rFonts w:ascii="Arial" w:cs="Arial" w:eastAsia="Arial" w:hAnsi="Arial"/>
                <w:sz w:val="18"/>
                <w:szCs w:val="18"/>
                <w:color w:val="auto"/>
              </w:rPr>
              <w:t>Unamortized intangible assets:</w:t>
            </w:r>
          </w:p>
        </w:tc>
        <w:tc>
          <w:tcPr>
            <w:tcW w:w="2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$67,590</w:t>
            </w:r>
          </w:p>
        </w:tc>
        <w:tc>
          <w:tcPr>
            <w:tcW w:w="0" w:type="dxa"/>
            <w:vAlign w:val="bottom"/>
          </w:tcPr>
          <w:p>
            <w:pPr>
              <w:spacing w:after="0"/>
              <w:rPr>
                <w:sz w:val="1"/>
                <w:szCs w:val="1"/>
                <w:color w:val="auto"/>
              </w:rPr>
            </w:pPr>
          </w:p>
        </w:tc>
      </w:tr>
      <w:tr>
        <w:trPr>
          <w:trHeight w:val="203"/>
        </w:trPr>
        <w:tc>
          <w:tcPr>
            <w:tcW w:w="424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Goodwill</w:t>
            </w:r>
          </w:p>
        </w:tc>
        <w:tc>
          <w:tcPr>
            <w:tcW w:w="29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$71,680</w:t>
            </w:r>
          </w:p>
        </w:tc>
        <w:tc>
          <w:tcPr>
            <w:tcW w:w="144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($4,090)</w:t>
            </w:r>
          </w:p>
        </w:tc>
        <w:tc>
          <w:tcPr>
            <w:tcW w:w="14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Estimated amortization expense of intangibles for the years ending December 31, 2015 through 2019,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20" w:type="dxa"/>
            <w:vAlign w:val="bottom"/>
            <w:tcBorders>
              <w:top w:val="single" w:sz="8" w:color="auto"/>
            </w:tcBorders>
          </w:tcPr>
          <w:p>
            <w:pPr>
              <w:spacing w:after="0"/>
              <w:rPr>
                <w:sz w:val="16"/>
                <w:szCs w:val="16"/>
                <w:color w:val="auto"/>
              </w:rPr>
            </w:pPr>
          </w:p>
        </w:tc>
        <w:tc>
          <w:tcPr>
            <w:tcW w:w="25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Annual amortization</w:t>
            </w:r>
          </w:p>
        </w:tc>
      </w:tr>
      <w:tr>
        <w:trPr>
          <w:trHeight w:val="225"/>
        </w:trPr>
        <w:tc>
          <w:tcPr>
            <w:tcW w:w="202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Year</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 thousands)</w:t>
            </w:r>
          </w:p>
        </w:tc>
      </w:tr>
      <w:tr>
        <w:trPr>
          <w:trHeight w:val="195"/>
        </w:trPr>
        <w:tc>
          <w:tcPr>
            <w:tcW w:w="2020" w:type="dxa"/>
            <w:vAlign w:val="bottom"/>
          </w:tcPr>
          <w:p>
            <w:pPr>
              <w:ind w:left="820"/>
              <w:spacing w:after="0" w:line="195" w:lineRule="exact"/>
              <w:rPr>
                <w:sz w:val="20"/>
                <w:szCs w:val="20"/>
                <w:color w:val="auto"/>
              </w:rPr>
            </w:pPr>
            <w:r>
              <w:rPr>
                <w:rFonts w:ascii="Arial" w:cs="Arial" w:eastAsia="Arial" w:hAnsi="Arial"/>
                <w:sz w:val="18"/>
                <w:szCs w:val="18"/>
                <w:color w:val="auto"/>
              </w:rPr>
              <w:t>2015</w:t>
            </w:r>
          </w:p>
        </w:tc>
        <w:tc>
          <w:tcPr>
            <w:tcW w:w="2560" w:type="dxa"/>
            <w:vAlign w:val="bottom"/>
          </w:tcPr>
          <w:p>
            <w:pPr>
              <w:jc w:val="right"/>
              <w:spacing w:after="0" w:line="195" w:lineRule="exact"/>
              <w:rPr>
                <w:sz w:val="20"/>
                <w:szCs w:val="20"/>
                <w:color w:val="auto"/>
              </w:rPr>
            </w:pPr>
            <w:r>
              <w:rPr>
                <w:rFonts w:ascii="Arial" w:cs="Arial" w:eastAsia="Arial" w:hAnsi="Arial"/>
                <w:sz w:val="18"/>
                <w:szCs w:val="18"/>
                <w:color w:val="auto"/>
              </w:rPr>
              <w:t>$231</w:t>
            </w:r>
          </w:p>
        </w:tc>
      </w:tr>
      <w:tr>
        <w:trPr>
          <w:trHeight w:val="203"/>
        </w:trPr>
        <w:tc>
          <w:tcPr>
            <w:tcW w:w="2020" w:type="dxa"/>
            <w:vAlign w:val="bottom"/>
          </w:tcPr>
          <w:p>
            <w:pPr>
              <w:ind w:left="820"/>
              <w:spacing w:after="0" w:line="202" w:lineRule="exact"/>
              <w:rPr>
                <w:sz w:val="20"/>
                <w:szCs w:val="20"/>
                <w:color w:val="auto"/>
              </w:rPr>
            </w:pPr>
            <w:r>
              <w:rPr>
                <w:rFonts w:ascii="Arial" w:cs="Arial" w:eastAsia="Arial" w:hAnsi="Arial"/>
                <w:sz w:val="18"/>
                <w:szCs w:val="18"/>
                <w:color w:val="auto"/>
              </w:rPr>
              <w:t>2016</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r>
      <w:tr>
        <w:trPr>
          <w:trHeight w:val="203"/>
        </w:trPr>
        <w:tc>
          <w:tcPr>
            <w:tcW w:w="2020" w:type="dxa"/>
            <w:vAlign w:val="bottom"/>
          </w:tcPr>
          <w:p>
            <w:pPr>
              <w:ind w:left="820"/>
              <w:spacing w:after="0" w:line="202" w:lineRule="exact"/>
              <w:rPr>
                <w:sz w:val="20"/>
                <w:szCs w:val="20"/>
                <w:color w:val="auto"/>
              </w:rPr>
            </w:pPr>
            <w:r>
              <w:rPr>
                <w:rFonts w:ascii="Arial" w:cs="Arial" w:eastAsia="Arial" w:hAnsi="Arial"/>
                <w:sz w:val="18"/>
                <w:szCs w:val="18"/>
                <w:color w:val="auto"/>
              </w:rPr>
              <w:t>2017</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r>
      <w:tr>
        <w:trPr>
          <w:trHeight w:val="203"/>
        </w:trPr>
        <w:tc>
          <w:tcPr>
            <w:tcW w:w="2020" w:type="dxa"/>
            <w:vAlign w:val="bottom"/>
          </w:tcPr>
          <w:p>
            <w:pPr>
              <w:ind w:left="820"/>
              <w:spacing w:after="0" w:line="202" w:lineRule="exact"/>
              <w:rPr>
                <w:sz w:val="20"/>
                <w:szCs w:val="20"/>
                <w:color w:val="auto"/>
              </w:rPr>
            </w:pPr>
            <w:r>
              <w:rPr>
                <w:rFonts w:ascii="Arial" w:cs="Arial" w:eastAsia="Arial" w:hAnsi="Arial"/>
                <w:sz w:val="18"/>
                <w:szCs w:val="18"/>
                <w:color w:val="auto"/>
              </w:rPr>
              <w:t>2018</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r>
      <w:tr>
        <w:trPr>
          <w:trHeight w:val="203"/>
        </w:trPr>
        <w:tc>
          <w:tcPr>
            <w:tcW w:w="2020" w:type="dxa"/>
            <w:vAlign w:val="bottom"/>
            <w:tcBorders>
              <w:bottom w:val="single" w:sz="8" w:color="auto"/>
            </w:tcBorders>
          </w:tcPr>
          <w:p>
            <w:pPr>
              <w:ind w:left="820"/>
              <w:spacing w:after="0" w:line="203" w:lineRule="exact"/>
              <w:rPr>
                <w:sz w:val="20"/>
                <w:szCs w:val="20"/>
                <w:color w:val="auto"/>
              </w:rPr>
            </w:pPr>
            <w:r>
              <w:rPr>
                <w:rFonts w:ascii="Arial" w:cs="Arial" w:eastAsia="Arial" w:hAnsi="Arial"/>
                <w:sz w:val="18"/>
                <w:szCs w:val="18"/>
                <w:color w:val="auto"/>
              </w:rPr>
              <w:t>2019</w:t>
            </w:r>
          </w:p>
        </w:tc>
        <w:tc>
          <w:tcPr>
            <w:tcW w:w="2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13. Financial Instruments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principally to banks and bondholders, consists of:</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right"/>
              <w:ind w:right="70"/>
              <w:spacing w:after="0" w:line="194" w:lineRule="exact"/>
              <w:rPr>
                <w:sz w:val="20"/>
                <w:szCs w:val="20"/>
                <w:color w:val="auto"/>
              </w:rPr>
            </w:pPr>
            <w:r>
              <w:rPr>
                <w:rFonts w:ascii="Arial" w:cs="Arial" w:eastAsia="Arial" w:hAnsi="Arial"/>
                <w:sz w:val="18"/>
                <w:szCs w:val="18"/>
                <w:b w:val="1"/>
                <w:bCs w:val="1"/>
                <w:color w:val="auto"/>
              </w:rPr>
              <w:t>September 30,</w:t>
            </w:r>
          </w:p>
        </w:tc>
        <w:tc>
          <w:tcPr>
            <w:tcW w:w="132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8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interest rates)</w:t>
            </w:r>
          </w:p>
        </w:tc>
        <w:tc>
          <w:tcPr>
            <w:tcW w:w="16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412"/>
        </w:trPr>
        <w:tc>
          <w:tcPr>
            <w:tcW w:w="8440" w:type="dxa"/>
            <w:vAlign w:val="bottom"/>
          </w:tcPr>
          <w:p>
            <w:pPr>
              <w:spacing w:after="0"/>
              <w:rPr>
                <w:sz w:val="20"/>
                <w:szCs w:val="20"/>
                <w:color w:val="auto"/>
              </w:rPr>
            </w:pPr>
            <w:r>
              <w:rPr>
                <w:rFonts w:ascii="Arial" w:cs="Arial" w:eastAsia="Arial" w:hAnsi="Arial"/>
                <w:sz w:val="18"/>
                <w:szCs w:val="18"/>
                <w:color w:val="auto"/>
              </w:rPr>
              <w:t>Private placement with a fixed interest rate of 6.84%, due 2015 and 2017</w:t>
            </w:r>
          </w:p>
        </w:tc>
        <w:tc>
          <w:tcPr>
            <w:tcW w:w="1660" w:type="dxa"/>
            <w:vAlign w:val="bottom"/>
          </w:tcPr>
          <w:p>
            <w:pPr>
              <w:jc w:val="right"/>
              <w:ind w:right="210"/>
              <w:spacing w:after="0"/>
              <w:rPr>
                <w:sz w:val="20"/>
                <w:szCs w:val="20"/>
                <w:color w:val="auto"/>
              </w:rPr>
            </w:pPr>
            <w:r>
              <w:rPr>
                <w:rFonts w:ascii="Arial" w:cs="Arial" w:eastAsia="Arial" w:hAnsi="Arial"/>
                <w:sz w:val="18"/>
                <w:szCs w:val="18"/>
                <w:b w:val="1"/>
                <w:bCs w:val="1"/>
                <w:color w:val="auto"/>
              </w:rPr>
              <w:t>$100,000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391"/>
        </w:trPr>
        <w:tc>
          <w:tcPr>
            <w:tcW w:w="8440" w:type="dxa"/>
            <w:vAlign w:val="bottom"/>
          </w:tcPr>
          <w:p>
            <w:pPr>
              <w:spacing w:after="0"/>
              <w:rPr>
                <w:sz w:val="20"/>
                <w:szCs w:val="20"/>
                <w:color w:val="auto"/>
              </w:rPr>
            </w:pPr>
            <w:r>
              <w:rPr>
                <w:rFonts w:ascii="Arial" w:cs="Arial" w:eastAsia="Arial" w:hAnsi="Arial"/>
                <w:sz w:val="18"/>
                <w:szCs w:val="18"/>
                <w:color w:val="auto"/>
              </w:rPr>
              <w:t>Credit agreement with borrowings outstanding at an end of period interest rate of 2.36% in 2015 and</w:t>
            </w:r>
          </w:p>
        </w:tc>
        <w:tc>
          <w:tcPr>
            <w:tcW w:w="1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2.69% in 2014 (including the effect of interest rate hedging transactions, as described below), due in</w:t>
            </w:r>
          </w:p>
        </w:tc>
        <w:tc>
          <w:tcPr>
            <w:tcW w:w="16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170,000</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440" w:type="dxa"/>
            <w:vAlign w:val="bottom"/>
          </w:tcPr>
          <w:p>
            <w:pPr>
              <w:spacing w:after="0"/>
              <w:rPr>
                <w:sz w:val="20"/>
                <w:szCs w:val="20"/>
                <w:color w:val="auto"/>
              </w:rPr>
            </w:pPr>
            <w:r>
              <w:rPr>
                <w:rFonts w:ascii="Arial" w:cs="Arial" w:eastAsia="Arial" w:hAnsi="Arial"/>
                <w:sz w:val="18"/>
                <w:szCs w:val="18"/>
                <w:color w:val="auto"/>
              </w:rPr>
              <w:t>2020</w:t>
            </w:r>
          </w:p>
        </w:tc>
        <w:tc>
          <w:tcPr>
            <w:tcW w:w="1660" w:type="dxa"/>
            <w:vAlign w:val="bottom"/>
            <w:vMerge w:val="continue"/>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172,000</w:t>
            </w:r>
          </w:p>
        </w:tc>
        <w:tc>
          <w:tcPr>
            <w:tcW w:w="0" w:type="dxa"/>
            <w:vAlign w:val="bottom"/>
          </w:tcPr>
          <w:p>
            <w:pPr>
              <w:spacing w:after="0"/>
              <w:rPr>
                <w:sz w:val="1"/>
                <w:szCs w:val="1"/>
                <w:color w:val="auto"/>
              </w:rPr>
            </w:pPr>
          </w:p>
        </w:tc>
      </w:tr>
      <w:tr>
        <w:trPr>
          <w:trHeight w:val="391"/>
        </w:trPr>
        <w:tc>
          <w:tcPr>
            <w:tcW w:w="8440" w:type="dxa"/>
            <w:vAlign w:val="bottom"/>
          </w:tcPr>
          <w:p>
            <w:pPr>
              <w:spacing w:after="0"/>
              <w:rPr>
                <w:sz w:val="20"/>
                <w:szCs w:val="20"/>
                <w:color w:val="auto"/>
              </w:rPr>
            </w:pPr>
            <w:r>
              <w:rPr>
                <w:rFonts w:ascii="Arial" w:cs="Arial" w:eastAsia="Arial" w:hAnsi="Arial"/>
                <w:sz w:val="18"/>
                <w:szCs w:val="18"/>
                <w:color w:val="auto"/>
              </w:rPr>
              <w:t>Various notes and mortgages relative to operations principally outside the United States, at an average</w:t>
            </w:r>
          </w:p>
        </w:tc>
        <w:tc>
          <w:tcPr>
            <w:tcW w:w="16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100</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end of period rate of 5.5% in 2015 and 2014, due in varying amounts through 2021</w:t>
            </w:r>
          </w:p>
        </w:tc>
        <w:tc>
          <w:tcPr>
            <w:tcW w:w="166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412"/>
        </w:trPr>
        <w:tc>
          <w:tcPr>
            <w:tcW w:w="8440" w:type="dxa"/>
            <w:vAlign w:val="bottom"/>
          </w:tcPr>
          <w:p>
            <w:pPr>
              <w:spacing w:after="0"/>
              <w:rPr>
                <w:sz w:val="20"/>
                <w:szCs w:val="20"/>
                <w:color w:val="auto"/>
              </w:rPr>
            </w:pPr>
            <w:r>
              <w:rPr>
                <w:rFonts w:ascii="Arial" w:cs="Arial" w:eastAsia="Arial" w:hAnsi="Arial"/>
                <w:sz w:val="18"/>
                <w:szCs w:val="18"/>
                <w:color w:val="auto"/>
              </w:rPr>
              <w:t>Long-term debt</w:t>
            </w:r>
          </w:p>
        </w:tc>
        <w:tc>
          <w:tcPr>
            <w:tcW w:w="1660" w:type="dxa"/>
            <w:vAlign w:val="bottom"/>
          </w:tcPr>
          <w:p>
            <w:pPr>
              <w:jc w:val="right"/>
              <w:ind w:right="210"/>
              <w:spacing w:after="0"/>
              <w:rPr>
                <w:sz w:val="20"/>
                <w:szCs w:val="20"/>
                <w:color w:val="auto"/>
              </w:rPr>
            </w:pPr>
            <w:r>
              <w:rPr>
                <w:rFonts w:ascii="Arial" w:cs="Arial" w:eastAsia="Arial" w:hAnsi="Arial"/>
                <w:sz w:val="18"/>
                <w:szCs w:val="18"/>
                <w:b w:val="1"/>
                <w:bCs w:val="1"/>
                <w:color w:val="auto"/>
              </w:rPr>
              <w:t>270,100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272,111</w:t>
            </w:r>
          </w:p>
        </w:tc>
        <w:tc>
          <w:tcPr>
            <w:tcW w:w="0" w:type="dxa"/>
            <w:vAlign w:val="bottom"/>
          </w:tcPr>
          <w:p>
            <w:pPr>
              <w:spacing w:after="0"/>
              <w:rPr>
                <w:sz w:val="1"/>
                <w:szCs w:val="1"/>
                <w:color w:val="auto"/>
              </w:rPr>
            </w:pPr>
          </w:p>
        </w:tc>
      </w:tr>
      <w:tr>
        <w:trPr>
          <w:trHeight w:val="392"/>
        </w:trPr>
        <w:tc>
          <w:tcPr>
            <w:tcW w:w="8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w:t>
            </w:r>
          </w:p>
        </w:tc>
        <w:tc>
          <w:tcPr>
            <w:tcW w:w="1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(50,016)</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(50,015)</w:t>
            </w:r>
          </w:p>
        </w:tc>
        <w:tc>
          <w:tcPr>
            <w:tcW w:w="0" w:type="dxa"/>
            <w:vAlign w:val="bottom"/>
          </w:tcPr>
          <w:p>
            <w:pPr>
              <w:spacing w:after="0"/>
              <w:rPr>
                <w:sz w:val="1"/>
                <w:szCs w:val="1"/>
                <w:color w:val="auto"/>
              </w:rPr>
            </w:pPr>
          </w:p>
        </w:tc>
      </w:tr>
      <w:tr>
        <w:trPr>
          <w:trHeight w:val="399"/>
        </w:trPr>
        <w:tc>
          <w:tcPr>
            <w:tcW w:w="8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debt, net of current portion</w:t>
            </w:r>
          </w:p>
        </w:tc>
        <w:tc>
          <w:tcPr>
            <w:tcW w:w="1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$220,084</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$222,096</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A note agreement and guaranty (“Prudential Agreement”) was originally entered into in October 2005 with the Prudential Insurance Company of America, and certain other purchasers, with interest at 6.84% and a maturity date of October 25, 2017. The remaining obligation under the Prudential Agreement of $100 million has a mandatory payment of $50 million due on October 25, 2015, and the final payment is due October 25, 2017. At the noteholders’ election, certain prepayments may also be required in connection with certain asset dispositions or financings. The notes may not otherwise be prepaid without a premium, under certain market conditions. The Prudential Agreement contains customary terms, as well as affirmative covenants, negative covenants, and events of default, comparable to those in our current principal credit facility agreement (as described below). The Prudential Agreement has been amended a number of times, most recently in June 2015, in order to maintain terms comparable to our current principal credit facility. For disclosure purposes, we are required to measure the fair value of outstanding debt on a recurring basis. As of September 30, 2015, the fair value of this debt was approximately $106.5 million, and was measured using active market interest rates, which would be considered Level 2 for fair value measurement purposes.</w:t>
      </w:r>
    </w:p>
    <w:p>
      <w:pPr>
        <w:spacing w:after="0" w:line="193" w:lineRule="exact"/>
        <w:rPr>
          <w:sz w:val="20"/>
          <w:szCs w:val="20"/>
          <w:color w:val="auto"/>
        </w:rPr>
      </w:pPr>
    </w:p>
    <w:p>
      <w:pPr>
        <w:ind w:right="240" w:firstLine="648"/>
        <w:spacing w:after="0" w:line="238" w:lineRule="auto"/>
        <w:rPr>
          <w:sz w:val="20"/>
          <w:szCs w:val="20"/>
          <w:color w:val="auto"/>
        </w:rPr>
      </w:pPr>
      <w:r>
        <w:rPr>
          <w:rFonts w:ascii="Arial" w:cs="Arial" w:eastAsia="Arial" w:hAnsi="Arial"/>
          <w:sz w:val="18"/>
          <w:szCs w:val="18"/>
          <w:color w:val="auto"/>
        </w:rPr>
        <w:t>On June 18, 2015, we entered into a $400 million, unsecured Five-Year Revolving Credit Facility Agreement (“Credit Agreement”), under which $170 million of borrowings were outstanding as of September 30, 2015. The Credit Agreement replaced a $330 million five-year credit agreement entered into in 2013. The applicable interest rate for borrowings under the Credit Agreement is, as it was under the former agreement, LIBOR plus a spread, based on our leverage ratio at the time of borrowing. At the time of the last borrowing on September 16, 2015, the spread was 1.375%. The spread is based on a pricing grid, which ranges from 1.25% to 1.75%, based on our leverage ratio.</w:t>
      </w:r>
    </w:p>
    <w:p>
      <w:pPr>
        <w:spacing w:after="0" w:line="203" w:lineRule="exact"/>
        <w:rPr>
          <w:sz w:val="20"/>
          <w:szCs w:val="20"/>
          <w:color w:val="auto"/>
        </w:rPr>
      </w:pPr>
    </w:p>
    <w:p>
      <w:pPr>
        <w:jc w:val="both"/>
        <w:ind w:right="260" w:firstLine="648"/>
        <w:spacing w:after="0" w:line="239" w:lineRule="auto"/>
        <w:rPr>
          <w:sz w:val="20"/>
          <w:szCs w:val="20"/>
          <w:color w:val="auto"/>
        </w:rPr>
      </w:pPr>
      <w:r>
        <w:rPr>
          <w:rFonts w:ascii="Arial" w:cs="Arial" w:eastAsia="Arial" w:hAnsi="Arial"/>
          <w:sz w:val="18"/>
          <w:szCs w:val="18"/>
          <w:color w:val="auto"/>
        </w:rPr>
        <w:t>Our ability to borrow additional amounts under the Credit Agreement is conditional upon the absence of any defaults, as well as the absence of any material adverse change (as defined in the Credit Agreement). Based on our maximum leverage ratio and our Consolidated EBITDA (as defined in the Credit Agreement), and without modification to any other credit agreements, as of September 30, 2015, we would have been able to borrow an additional $230 million under the Credit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8" w:name="page19"/>
    <w:bookmarkEnd w:id="18"/>
    <w:p>
      <w:pPr>
        <w:jc w:val="both"/>
        <w:ind w:right="360" w:firstLine="648"/>
        <w:spacing w:after="0"/>
        <w:rPr>
          <w:sz w:val="20"/>
          <w:szCs w:val="20"/>
          <w:color w:val="auto"/>
        </w:rPr>
      </w:pPr>
      <w:r>
        <w:rPr>
          <w:rFonts w:ascii="Arial" w:cs="Arial" w:eastAsia="Arial" w:hAnsi="Arial"/>
          <w:sz w:val="18"/>
          <w:szCs w:val="18"/>
          <w:color w:val="auto"/>
        </w:rPr>
        <w:t>On July 16, 2010, we entered into interest rate hedging transactions that had the effect of fixing the LIBOR portion of the effective interest rate (before addition of the spread) on $105 million of the indebtedness. The net effect was to fix the effective interest rate on $105 million of indebtedness at 2.04%, plus the applicable spread. The agreements expired on July 16, 2015.</w:t>
      </w:r>
    </w:p>
    <w:p>
      <w:pPr>
        <w:spacing w:after="0" w:line="202"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On May 20, 2013, we entered into interest rate hedging transactions for the period July 16, 2015 through March 16, 2018. These transactions have the effect of fixing the LIBOR portion of the effective interest rate (before addition of the spread) on $110 million of indebtedness drawn under the Credit Agreement at the rate of 1.414% during this period. Under the terms of these transactions, we pay the fixed rate of 1.414% and the counterparties pay a floating rate based on the one-month LIBOR rate at each monthly calculation date, which on September 16, 2015 was 0.2100%. The net effect is to fix the effective interest rate on $110 million of indebtedness at 1.414%, plus the applicable spread, during the swap period. On September 16, 2015, the all-in-rate on the $110 million of debt was 2.789%</w:t>
      </w:r>
    </w:p>
    <w:p>
      <w:pPr>
        <w:spacing w:after="0" w:line="205" w:lineRule="exact"/>
        <w:rPr>
          <w:sz w:val="20"/>
          <w:szCs w:val="20"/>
          <w:color w:val="auto"/>
        </w:rPr>
      </w:pPr>
    </w:p>
    <w:p>
      <w:pPr>
        <w:ind w:right="160" w:firstLine="648"/>
        <w:spacing w:after="0" w:line="237" w:lineRule="auto"/>
        <w:rPr>
          <w:sz w:val="20"/>
          <w:szCs w:val="20"/>
          <w:color w:val="auto"/>
        </w:rPr>
      </w:pPr>
      <w:r>
        <w:rPr>
          <w:rFonts w:ascii="Arial" w:cs="Arial" w:eastAsia="Arial" w:hAnsi="Arial"/>
          <w:sz w:val="18"/>
          <w:szCs w:val="18"/>
          <w:color w:val="auto"/>
        </w:rPr>
        <w:t>On July 16, 2015, we entered into interest rate hedging transactions for the period March 16, 2018 through June 16, 2020. These transactions have the effect of fixing the LIBOR portion of the effective interest rate (before addition of the spread) on $120 million of indebtedness drawn under the Credit Agreement at the rate of 2.43% during this period. Under the terms of these transactions, we pay the fixed rate of 2.43% and the counterparties pay a floating rate based on the one-month LIBOR rate at each monthly calculation date, which on September 16, 2015 was 0.2100%. The net effect is to fix the effective interest rate on $120 million of indebtedness at 2.43%, plus the applicable spread, during the swap period.</w:t>
      </w:r>
    </w:p>
    <w:p>
      <w:pPr>
        <w:spacing w:after="0" w:line="205" w:lineRule="exact"/>
        <w:rPr>
          <w:sz w:val="20"/>
          <w:szCs w:val="20"/>
          <w:color w:val="auto"/>
        </w:rPr>
      </w:pPr>
    </w:p>
    <w:p>
      <w:pPr>
        <w:ind w:right="880" w:firstLine="648"/>
        <w:spacing w:after="0" w:line="246" w:lineRule="auto"/>
        <w:rPr>
          <w:sz w:val="20"/>
          <w:szCs w:val="20"/>
          <w:color w:val="auto"/>
        </w:rPr>
      </w:pPr>
      <w:r>
        <w:rPr>
          <w:rFonts w:ascii="Arial" w:cs="Arial" w:eastAsia="Arial" w:hAnsi="Arial"/>
          <w:sz w:val="18"/>
          <w:szCs w:val="18"/>
          <w:color w:val="auto"/>
        </w:rPr>
        <w:t>These interest rate swaps are accounted for as a hedge of future cash flows, as further described in Note 14 of the Notes to Consolidated Financial Statements. No cash collateral was received or pledged in relation to the swap agreements.</w:t>
      </w:r>
    </w:p>
    <w:p>
      <w:pPr>
        <w:spacing w:after="0" w:line="197" w:lineRule="exact"/>
        <w:rPr>
          <w:sz w:val="20"/>
          <w:szCs w:val="20"/>
          <w:color w:val="auto"/>
        </w:rPr>
      </w:pPr>
    </w:p>
    <w:p>
      <w:pPr>
        <w:ind w:right="600" w:firstLine="648"/>
        <w:spacing w:after="0" w:line="246" w:lineRule="auto"/>
        <w:rPr>
          <w:sz w:val="20"/>
          <w:szCs w:val="20"/>
          <w:color w:val="auto"/>
        </w:rPr>
      </w:pPr>
      <w:r>
        <w:rPr>
          <w:rFonts w:ascii="Arial" w:cs="Arial" w:eastAsia="Arial" w:hAnsi="Arial"/>
          <w:sz w:val="18"/>
          <w:szCs w:val="18"/>
          <w:color w:val="auto"/>
        </w:rPr>
        <w:t>Under the Credit Agreement and Prudential Agreement, we are currently required to maintain a leverage ratio (as defined in the agreements) of not greater than 3.50 to 1.00 and minimum interest coverage (as defined) of 3.00 to 1.00.</w:t>
      </w:r>
    </w:p>
    <w:p>
      <w:pPr>
        <w:spacing w:after="0" w:line="197" w:lineRule="exact"/>
        <w:rPr>
          <w:sz w:val="20"/>
          <w:szCs w:val="20"/>
          <w:color w:val="auto"/>
        </w:rPr>
      </w:pPr>
    </w:p>
    <w:p>
      <w:pPr>
        <w:jc w:val="both"/>
        <w:ind w:right="260" w:firstLine="648"/>
        <w:spacing w:after="0"/>
        <w:rPr>
          <w:sz w:val="20"/>
          <w:szCs w:val="20"/>
          <w:color w:val="auto"/>
        </w:rPr>
      </w:pPr>
      <w:r>
        <w:rPr>
          <w:rFonts w:ascii="Arial" w:cs="Arial" w:eastAsia="Arial" w:hAnsi="Arial"/>
          <w:sz w:val="18"/>
          <w:szCs w:val="18"/>
          <w:color w:val="auto"/>
        </w:rPr>
        <w:t>As of September 30, 2015, our leverage ratio was 1.29 to 1.00 and our interest coverage ratio was 13.00 to 1.00. We may purchase our Common Stock or pay dividends to the extent our leverage ratio remains at or below 3.50 to 1.00, and may make acquisitions with cash provided our leverage ratio would not exceed 3.50 to 1.00 after giving pro forma effect to the acquisition.</w:t>
      </w:r>
    </w:p>
    <w:p>
      <w:pPr>
        <w:spacing w:after="0" w:line="189"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Indebtedness under each of the Prudential Agreement and the Credit Agreement is ranked equally in right of payment to all unsecured senior debt.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debt covenants as of September 30, 2015.</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Fair-Value Measurements</w:t>
      </w:r>
    </w:p>
    <w:p>
      <w:pPr>
        <w:spacing w:after="0" w:line="234"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 inputs and minimizes the use of unobservable inputs by requiring that the most observable inputs be used when available. Level 3 inputs are unobservable data points for the asset or liability, and include situations in which there is little, if any, market activity for the asset or liability. In 2015 we reclassified land and building related to the former manufacturing facility in Germany as Asset held for sale in the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140" w:right="279" w:bottom="1440" w:gutter="0" w:footer="0" w:header="0"/>
        </w:sectPr>
      </w:pPr>
    </w:p>
    <w:bookmarkStart w:id="19" w:name="page20"/>
    <w:bookmarkEnd w:id="19"/>
    <w:p>
      <w:pPr>
        <w:jc w:val="both"/>
        <w:ind w:right="380"/>
        <w:spacing w:after="0"/>
        <w:rPr>
          <w:sz w:val="20"/>
          <w:szCs w:val="20"/>
          <w:color w:val="auto"/>
        </w:rPr>
      </w:pPr>
      <w:r>
        <w:rPr>
          <w:rFonts w:ascii="Arial" w:cs="Arial" w:eastAsia="Arial" w:hAnsi="Arial"/>
          <w:sz w:val="18"/>
          <w:szCs w:val="18"/>
          <w:color w:val="auto"/>
        </w:rPr>
        <w:t>accompanying Consolidated Balance Sheets. As of September 30, 2015 and December 31, 2014, we have Level 3 financial assets of $5.1 million and $9.1 million, respectively. The value as of September 30, 2015 was determined based on preliminary offers from active market participants.</w:t>
      </w:r>
    </w:p>
    <w:p>
      <w:pPr>
        <w:spacing w:after="0" w:line="202" w:lineRule="exact"/>
        <w:rPr>
          <w:sz w:val="20"/>
          <w:szCs w:val="20"/>
          <w:color w:val="auto"/>
        </w:rPr>
      </w:pPr>
    </w:p>
    <w:p>
      <w:pPr>
        <w:ind w:right="680" w:firstLine="648"/>
        <w:spacing w:after="0" w:line="246" w:lineRule="auto"/>
        <w:rPr>
          <w:sz w:val="20"/>
          <w:szCs w:val="20"/>
          <w:color w:val="auto"/>
        </w:rPr>
      </w:pPr>
      <w:r>
        <w:rPr>
          <w:rFonts w:ascii="Arial" w:cs="Arial" w:eastAsia="Arial" w:hAnsi="Arial"/>
          <w:sz w:val="18"/>
          <w:szCs w:val="18"/>
          <w:color w:val="auto"/>
        </w:rPr>
        <w:t>The following table presents the fair-value hierarchy for our Level 1 and Level 2 financial and non-financial assets and liabilities measured at fair value on a recurring basis: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740" w:type="dxa"/>
            <w:vAlign w:val="bottom"/>
            <w:tcBorders>
              <w:top w:val="single" w:sz="8" w:color="auto"/>
            </w:tcBorders>
            <w:gridSpan w:val="2"/>
          </w:tcPr>
          <w:p>
            <w:pPr>
              <w:jc w:val="right"/>
              <w:ind w:right="890"/>
              <w:spacing w:after="0" w:line="194" w:lineRule="exact"/>
              <w:rPr>
                <w:sz w:val="20"/>
                <w:szCs w:val="20"/>
                <w:color w:val="auto"/>
              </w:rPr>
            </w:pPr>
            <w:r>
              <w:rPr>
                <w:rFonts w:ascii="Arial" w:cs="Arial" w:eastAsia="Arial" w:hAnsi="Arial"/>
                <w:sz w:val="18"/>
                <w:szCs w:val="18"/>
                <w:b w:val="1"/>
                <w:bCs w:val="1"/>
                <w:color w:val="auto"/>
              </w:rPr>
              <w:t>September 30, 2015</w:t>
            </w:r>
          </w:p>
        </w:tc>
        <w:tc>
          <w:tcPr>
            <w:tcW w:w="80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gridSpan w:val="2"/>
          </w:tcPr>
          <w:p>
            <w:pPr>
              <w:jc w:val="right"/>
              <w:ind w:right="750"/>
              <w:spacing w:after="0" w:line="194" w:lineRule="exact"/>
              <w:rPr>
                <w:sz w:val="20"/>
                <w:szCs w:val="20"/>
                <w:color w:val="auto"/>
              </w:rPr>
            </w:pPr>
            <w:r>
              <w:rPr>
                <w:rFonts w:ascii="Arial" w:cs="Arial" w:eastAsia="Arial" w:hAnsi="Arial"/>
                <w:sz w:val="18"/>
                <w:szCs w:val="18"/>
                <w:b w:val="1"/>
                <w:bCs w:val="1"/>
                <w:color w:val="auto"/>
                <w:w w:val="99"/>
              </w:rPr>
              <w:t>December 31, 2014</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280" w:type="dxa"/>
            <w:vAlign w:val="bottom"/>
          </w:tcPr>
          <w:p>
            <w:pPr>
              <w:jc w:val="center"/>
              <w:ind w:left="250"/>
              <w:spacing w:after="0" w:line="202" w:lineRule="exact"/>
              <w:rPr>
                <w:sz w:val="20"/>
                <w:szCs w:val="20"/>
                <w:color w:val="auto"/>
              </w:rPr>
            </w:pPr>
            <w:r>
              <w:rPr>
                <w:rFonts w:ascii="Arial" w:cs="Arial" w:eastAsia="Arial" w:hAnsi="Arial"/>
                <w:sz w:val="18"/>
                <w:szCs w:val="18"/>
                <w:b w:val="1"/>
                <w:bCs w:val="1"/>
                <w:color w:val="auto"/>
                <w:w w:val="98"/>
              </w:rPr>
              <w:t>Quoted</w:t>
            </w:r>
          </w:p>
        </w:tc>
        <w:tc>
          <w:tcPr>
            <w:tcW w:w="144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Significant</w:t>
            </w:r>
          </w:p>
        </w:tc>
        <w:tc>
          <w:tcPr>
            <w:tcW w:w="1300" w:type="dxa"/>
            <w:vAlign w:val="bottom"/>
          </w:tcPr>
          <w:p>
            <w:pPr>
              <w:spacing w:after="0"/>
              <w:rPr>
                <w:sz w:val="17"/>
                <w:szCs w:val="17"/>
                <w:color w:val="auto"/>
              </w:rPr>
            </w:pP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rPr>
              <w:t>Quoted</w:t>
            </w:r>
          </w:p>
        </w:tc>
        <w:tc>
          <w:tcPr>
            <w:tcW w:w="1240" w:type="dxa"/>
            <w:vAlign w:val="bottom"/>
          </w:tcPr>
          <w:p>
            <w:pPr>
              <w:jc w:val="center"/>
              <w:ind w:right="110"/>
              <w:spacing w:after="0" w:line="202" w:lineRule="exact"/>
              <w:rPr>
                <w:sz w:val="20"/>
                <w:szCs w:val="20"/>
                <w:color w:val="auto"/>
              </w:rPr>
            </w:pPr>
            <w:r>
              <w:rPr>
                <w:rFonts w:ascii="Arial" w:cs="Arial" w:eastAsia="Arial" w:hAnsi="Arial"/>
                <w:sz w:val="18"/>
                <w:szCs w:val="18"/>
                <w:color w:val="auto"/>
              </w:rPr>
              <w:t>Significant</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280" w:type="dxa"/>
            <w:vAlign w:val="bottom"/>
          </w:tcPr>
          <w:p>
            <w:pPr>
              <w:jc w:val="center"/>
              <w:ind w:left="250"/>
              <w:spacing w:after="0" w:line="202" w:lineRule="exact"/>
              <w:rPr>
                <w:sz w:val="20"/>
                <w:szCs w:val="20"/>
                <w:color w:val="auto"/>
              </w:rPr>
            </w:pPr>
            <w:r>
              <w:rPr>
                <w:rFonts w:ascii="Arial" w:cs="Arial" w:eastAsia="Arial" w:hAnsi="Arial"/>
                <w:sz w:val="18"/>
                <w:szCs w:val="18"/>
                <w:b w:val="1"/>
                <w:bCs w:val="1"/>
                <w:color w:val="auto"/>
                <w:w w:val="99"/>
              </w:rPr>
              <w:t>prices in</w:t>
            </w:r>
          </w:p>
        </w:tc>
        <w:tc>
          <w:tcPr>
            <w:tcW w:w="144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7"/>
              </w:rPr>
              <w:t>other</w:t>
            </w:r>
          </w:p>
        </w:tc>
        <w:tc>
          <w:tcPr>
            <w:tcW w:w="1300" w:type="dxa"/>
            <w:vAlign w:val="bottom"/>
          </w:tcPr>
          <w:p>
            <w:pPr>
              <w:spacing w:after="0"/>
              <w:rPr>
                <w:sz w:val="17"/>
                <w:szCs w:val="17"/>
                <w:color w:val="auto"/>
              </w:rPr>
            </w:pP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9"/>
              </w:rPr>
              <w:t>prices</w:t>
            </w:r>
          </w:p>
        </w:tc>
        <w:tc>
          <w:tcPr>
            <w:tcW w:w="124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97"/>
              </w:rPr>
              <w:t>other</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280" w:type="dxa"/>
            <w:vAlign w:val="bottom"/>
          </w:tcPr>
          <w:p>
            <w:pPr>
              <w:jc w:val="center"/>
              <w:ind w:left="250"/>
              <w:spacing w:after="0" w:line="202" w:lineRule="exact"/>
              <w:rPr>
                <w:sz w:val="20"/>
                <w:szCs w:val="20"/>
                <w:color w:val="auto"/>
              </w:rPr>
            </w:pPr>
            <w:r>
              <w:rPr>
                <w:rFonts w:ascii="Arial" w:cs="Arial" w:eastAsia="Arial" w:hAnsi="Arial"/>
                <w:sz w:val="18"/>
                <w:szCs w:val="18"/>
                <w:b w:val="1"/>
                <w:bCs w:val="1"/>
                <w:color w:val="auto"/>
                <w:w w:val="97"/>
              </w:rPr>
              <w:t>active</w:t>
            </w:r>
          </w:p>
        </w:tc>
        <w:tc>
          <w:tcPr>
            <w:tcW w:w="144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rPr>
              <w:t>observable</w:t>
            </w:r>
          </w:p>
        </w:tc>
        <w:tc>
          <w:tcPr>
            <w:tcW w:w="13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Unobservable</w:t>
            </w: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9"/>
              </w:rPr>
              <w:t>in active</w:t>
            </w:r>
          </w:p>
        </w:tc>
        <w:tc>
          <w:tcPr>
            <w:tcW w:w="124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99"/>
              </w:rPr>
              <w:t>observable</w:t>
            </w:r>
          </w:p>
        </w:tc>
        <w:tc>
          <w:tcPr>
            <w:tcW w:w="12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9"/>
              </w:rPr>
              <w:t>Unobservable</w:t>
            </w:r>
          </w:p>
        </w:tc>
        <w:tc>
          <w:tcPr>
            <w:tcW w:w="0" w:type="dxa"/>
            <w:vAlign w:val="bottom"/>
          </w:tcPr>
          <w:p>
            <w:pPr>
              <w:spacing w:after="0"/>
              <w:rPr>
                <w:sz w:val="1"/>
                <w:szCs w:val="1"/>
                <w:color w:val="auto"/>
              </w:rPr>
            </w:pPr>
          </w:p>
        </w:tc>
      </w:tr>
      <w:tr>
        <w:trPr>
          <w:trHeight w:val="239"/>
        </w:trPr>
        <w:tc>
          <w:tcPr>
            <w:tcW w:w="4120" w:type="dxa"/>
            <w:vAlign w:val="bottom"/>
          </w:tcPr>
          <w:p>
            <w:pPr>
              <w:spacing w:after="0"/>
              <w:rPr>
                <w:sz w:val="20"/>
                <w:szCs w:val="20"/>
                <w:color w:val="auto"/>
              </w:rPr>
            </w:pPr>
          </w:p>
        </w:tc>
        <w:tc>
          <w:tcPr>
            <w:tcW w:w="1280" w:type="dxa"/>
            <w:vAlign w:val="bottom"/>
          </w:tcPr>
          <w:p>
            <w:pPr>
              <w:jc w:val="center"/>
              <w:ind w:left="250"/>
              <w:spacing w:after="0"/>
              <w:rPr>
                <w:sz w:val="20"/>
                <w:szCs w:val="20"/>
                <w:color w:val="auto"/>
              </w:rPr>
            </w:pPr>
            <w:r>
              <w:rPr>
                <w:rFonts w:ascii="Arial" w:cs="Arial" w:eastAsia="Arial" w:hAnsi="Arial"/>
                <w:sz w:val="18"/>
                <w:szCs w:val="18"/>
                <w:b w:val="1"/>
                <w:bCs w:val="1"/>
                <w:color w:val="auto"/>
              </w:rPr>
              <w:t>markets</w:t>
            </w: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inputs</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9"/>
              </w:rPr>
              <w:t>inputs</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markets</w:t>
            </w:r>
          </w:p>
        </w:tc>
        <w:tc>
          <w:tcPr>
            <w:tcW w:w="1240" w:type="dxa"/>
            <w:vAlign w:val="bottom"/>
          </w:tcPr>
          <w:p>
            <w:pPr>
              <w:jc w:val="center"/>
              <w:ind w:right="110"/>
              <w:spacing w:after="0"/>
              <w:rPr>
                <w:sz w:val="20"/>
                <w:szCs w:val="20"/>
                <w:color w:val="auto"/>
              </w:rPr>
            </w:pPr>
            <w:r>
              <w:rPr>
                <w:rFonts w:ascii="Arial" w:cs="Arial" w:eastAsia="Arial" w:hAnsi="Arial"/>
                <w:sz w:val="18"/>
                <w:szCs w:val="18"/>
                <w:color w:val="auto"/>
                <w:w w:val="99"/>
              </w:rPr>
              <w:t>inputs</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inputs</w:t>
            </w:r>
          </w:p>
        </w:tc>
        <w:tc>
          <w:tcPr>
            <w:tcW w:w="0" w:type="dxa"/>
            <w:vAlign w:val="bottom"/>
          </w:tcPr>
          <w:p>
            <w:pPr>
              <w:spacing w:after="0"/>
              <w:rPr>
                <w:sz w:val="1"/>
                <w:szCs w:val="1"/>
                <w:color w:val="auto"/>
              </w:rPr>
            </w:pPr>
          </w:p>
        </w:tc>
      </w:tr>
      <w:tr>
        <w:trPr>
          <w:trHeight w:val="392"/>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28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98"/>
              </w:rPr>
              <w:t>(Level 1)</w:t>
            </w:r>
          </w:p>
        </w:tc>
        <w:tc>
          <w:tcPr>
            <w:tcW w:w="14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(Level 2)</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(Level 3)</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(Level 1)</w:t>
            </w:r>
          </w:p>
        </w:tc>
        <w:tc>
          <w:tcPr>
            <w:tcW w:w="12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(Level 2)</w:t>
            </w:r>
          </w:p>
        </w:tc>
        <w:tc>
          <w:tcPr>
            <w:tcW w:w="12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(Level 3)</w:t>
            </w:r>
          </w:p>
        </w:tc>
        <w:tc>
          <w:tcPr>
            <w:tcW w:w="0" w:type="dxa"/>
            <w:vAlign w:val="bottom"/>
          </w:tcPr>
          <w:p>
            <w:pPr>
              <w:spacing w:after="0"/>
              <w:rPr>
                <w:sz w:val="1"/>
                <w:szCs w:val="1"/>
                <w:color w:val="auto"/>
              </w:rPr>
            </w:pPr>
          </w:p>
        </w:tc>
      </w:tr>
      <w:tr>
        <w:trPr>
          <w:trHeight w:val="177"/>
        </w:trPr>
        <w:tc>
          <w:tcPr>
            <w:tcW w:w="4120" w:type="dxa"/>
            <w:vAlign w:val="bottom"/>
          </w:tcPr>
          <w:p>
            <w:pPr>
              <w:spacing w:after="0" w:line="177" w:lineRule="exact"/>
              <w:rPr>
                <w:sz w:val="20"/>
                <w:szCs w:val="20"/>
                <w:color w:val="auto"/>
              </w:rPr>
            </w:pPr>
            <w:r>
              <w:rPr>
                <w:rFonts w:ascii="Arial" w:cs="Arial" w:eastAsia="Arial" w:hAnsi="Arial"/>
                <w:sz w:val="18"/>
                <w:szCs w:val="18"/>
                <w:b w:val="1"/>
                <w:bCs w:val="1"/>
                <w:color w:val="auto"/>
              </w:rPr>
              <w:t>Fair Value</w:t>
            </w:r>
          </w:p>
        </w:tc>
        <w:tc>
          <w:tcPr>
            <w:tcW w:w="1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120" w:type="dxa"/>
            <w:vAlign w:val="bottom"/>
          </w:tcPr>
          <w:p>
            <w:pPr>
              <w:spacing w:after="0"/>
              <w:rPr>
                <w:sz w:val="20"/>
                <w:szCs w:val="20"/>
                <w:color w:val="auto"/>
              </w:rPr>
            </w:pPr>
            <w:r>
              <w:rPr>
                <w:rFonts w:ascii="Arial" w:cs="Arial" w:eastAsia="Arial" w:hAnsi="Arial"/>
                <w:sz w:val="18"/>
                <w:szCs w:val="18"/>
                <w:i w:val="1"/>
                <w:iCs w:val="1"/>
                <w:color w:val="auto"/>
              </w:rPr>
              <w:t>Assets:</w:t>
            </w:r>
          </w:p>
        </w:tc>
        <w:tc>
          <w:tcPr>
            <w:tcW w:w="12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$16,043</w:t>
            </w:r>
          </w:p>
        </w:tc>
        <w:tc>
          <w:tcPr>
            <w:tcW w:w="14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w:t>
            </w:r>
          </w:p>
        </w:tc>
        <w:tc>
          <w:tcPr>
            <w:tcW w:w="13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120" w:type="dxa"/>
            <w:vAlign w:val="bottom"/>
          </w:tcPr>
          <w:p>
            <w:pPr>
              <w:ind w:left="140"/>
              <w:spacing w:after="0" w:line="181" w:lineRule="exact"/>
              <w:rPr>
                <w:sz w:val="20"/>
                <w:szCs w:val="20"/>
                <w:color w:val="auto"/>
              </w:rPr>
            </w:pPr>
            <w:r>
              <w:rPr>
                <w:rFonts w:ascii="Arial" w:cs="Arial" w:eastAsia="Arial" w:hAnsi="Arial"/>
                <w:sz w:val="18"/>
                <w:szCs w:val="18"/>
                <w:color w:val="auto"/>
              </w:rPr>
              <w:t>Cash equivalents</w:t>
            </w:r>
          </w:p>
        </w:tc>
        <w:tc>
          <w:tcPr>
            <w:tcW w:w="128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8"/>
                <w:szCs w:val="18"/>
                <w:color w:val="auto"/>
              </w:rPr>
              <w:t>$14,096</w:t>
            </w:r>
          </w:p>
        </w:tc>
        <w:tc>
          <w:tcPr>
            <w:tcW w:w="1240" w:type="dxa"/>
            <w:vAlign w:val="bottom"/>
          </w:tcPr>
          <w:p>
            <w:pPr>
              <w:jc w:val="right"/>
              <w:ind w:right="170"/>
              <w:spacing w:after="0" w:line="181"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1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120" w:type="dxa"/>
            <w:vAlign w:val="bottom"/>
          </w:tcPr>
          <w:p>
            <w:pPr>
              <w:ind w:left="140"/>
              <w:spacing w:after="0"/>
              <w:rPr>
                <w:sz w:val="20"/>
                <w:szCs w:val="20"/>
                <w:color w:val="auto"/>
              </w:rPr>
            </w:pPr>
            <w:r>
              <w:rPr>
                <w:rFonts w:ascii="Arial" w:cs="Arial" w:eastAsia="Arial" w:hAnsi="Arial"/>
                <w:sz w:val="18"/>
                <w:szCs w:val="18"/>
                <w:color w:val="auto"/>
              </w:rPr>
              <w:t>Asset held for sale</w:t>
            </w:r>
          </w:p>
        </w:tc>
        <w:tc>
          <w:tcPr>
            <w:tcW w:w="1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5,112</w:t>
            </w:r>
          </w:p>
        </w:tc>
        <w:tc>
          <w:tcPr>
            <w:tcW w:w="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9,102</w:t>
            </w:r>
          </w:p>
        </w:tc>
        <w:tc>
          <w:tcPr>
            <w:tcW w:w="0" w:type="dxa"/>
            <w:vAlign w:val="bottom"/>
          </w:tcPr>
          <w:p>
            <w:pPr>
              <w:spacing w:after="0"/>
              <w:rPr>
                <w:sz w:val="1"/>
                <w:szCs w:val="1"/>
                <w:color w:val="auto"/>
              </w:rPr>
            </w:pPr>
          </w:p>
        </w:tc>
      </w:tr>
      <w:tr>
        <w:trPr>
          <w:trHeight w:val="203"/>
        </w:trPr>
        <w:tc>
          <w:tcPr>
            <w:tcW w:w="4120" w:type="dxa"/>
            <w:vAlign w:val="bottom"/>
          </w:tcPr>
          <w:p>
            <w:pPr>
              <w:ind w:left="14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2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104</w:t>
            </w:r>
          </w:p>
        </w:tc>
        <w:tc>
          <w:tcPr>
            <w:tcW w:w="14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w:t>
            </w:r>
          </w:p>
        </w:tc>
        <w:tc>
          <w:tcPr>
            <w:tcW w:w="13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120" w:type="dxa"/>
            <w:vAlign w:val="bottom"/>
          </w:tcPr>
          <w:p>
            <w:pPr>
              <w:ind w:left="260"/>
              <w:spacing w:after="0" w:line="185" w:lineRule="exact"/>
              <w:rPr>
                <w:sz w:val="20"/>
                <w:szCs w:val="20"/>
                <w:color w:val="auto"/>
              </w:rPr>
            </w:pPr>
            <w:r>
              <w:rPr>
                <w:rFonts w:ascii="Arial" w:cs="Arial" w:eastAsia="Arial" w:hAnsi="Arial"/>
                <w:sz w:val="18"/>
                <w:szCs w:val="18"/>
                <w:color w:val="auto"/>
              </w:rPr>
              <w:t>Foreign currency options</w:t>
            </w:r>
          </w:p>
        </w:tc>
        <w:tc>
          <w:tcPr>
            <w:tcW w:w="128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800" w:type="dxa"/>
            <w:vAlign w:val="bottom"/>
          </w:tcPr>
          <w:p>
            <w:pPr>
              <w:jc w:val="right"/>
              <w:spacing w:after="0" w:line="185" w:lineRule="exact"/>
              <w:rPr>
                <w:sz w:val="20"/>
                <w:szCs w:val="20"/>
                <w:color w:val="auto"/>
              </w:rPr>
            </w:pPr>
            <w:r>
              <w:rPr>
                <w:rFonts w:ascii="Arial" w:cs="Arial" w:eastAsia="Arial" w:hAnsi="Arial"/>
                <w:sz w:val="18"/>
                <w:szCs w:val="18"/>
                <w:color w:val="auto"/>
              </w:rPr>
              <w:t>69</w:t>
            </w:r>
          </w:p>
        </w:tc>
        <w:tc>
          <w:tcPr>
            <w:tcW w:w="1240" w:type="dxa"/>
            <w:vAlign w:val="bottom"/>
          </w:tcPr>
          <w:p>
            <w:pPr>
              <w:jc w:val="right"/>
              <w:ind w:right="170"/>
              <w:spacing w:after="0" w:line="185"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10"/>
              <w:spacing w:after="0" w:line="18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120" w:type="dxa"/>
            <w:vAlign w:val="bottom"/>
          </w:tcPr>
          <w:p>
            <w:pPr>
              <w:ind w:left="140"/>
              <w:spacing w:after="0"/>
              <w:rPr>
                <w:sz w:val="20"/>
                <w:szCs w:val="20"/>
                <w:color w:val="auto"/>
              </w:rPr>
            </w:pPr>
            <w:r>
              <w:rPr>
                <w:rFonts w:ascii="Arial" w:cs="Arial" w:eastAsia="Arial" w:hAnsi="Arial"/>
                <w:sz w:val="18"/>
                <w:szCs w:val="18"/>
                <w:i w:val="1"/>
                <w:iCs w:val="1"/>
                <w:color w:val="auto"/>
              </w:rPr>
              <w:t>Other Assets:</w:t>
            </w:r>
          </w:p>
        </w:tc>
        <w:tc>
          <w:tcPr>
            <w:tcW w:w="1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60"/>
              <w:spacing w:after="0" w:line="202" w:lineRule="exact"/>
              <w:rPr>
                <w:sz w:val="20"/>
                <w:szCs w:val="20"/>
                <w:color w:val="auto"/>
              </w:rPr>
            </w:pPr>
            <w:r>
              <w:rPr>
                <w:rFonts w:ascii="Arial" w:cs="Arial" w:eastAsia="Arial" w:hAnsi="Arial"/>
                <w:sz w:val="18"/>
                <w:szCs w:val="18"/>
                <w:color w:val="auto"/>
              </w:rPr>
              <w:t>Common stock of unaffiliated foreign public</w:t>
            </w:r>
          </w:p>
        </w:tc>
        <w:tc>
          <w:tcPr>
            <w:tcW w:w="12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817</w:t>
            </w:r>
          </w:p>
        </w:tc>
        <w:tc>
          <w:tcPr>
            <w:tcW w:w="14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w:t>
            </w:r>
          </w:p>
        </w:tc>
        <w:tc>
          <w:tcPr>
            <w:tcW w:w="13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120" w:type="dxa"/>
            <w:vAlign w:val="bottom"/>
          </w:tcPr>
          <w:p>
            <w:pPr>
              <w:ind w:left="260"/>
              <w:spacing w:after="0" w:line="185" w:lineRule="exact"/>
              <w:rPr>
                <w:sz w:val="20"/>
                <w:szCs w:val="20"/>
                <w:color w:val="auto"/>
              </w:rPr>
            </w:pPr>
            <w:r>
              <w:rPr>
                <w:rFonts w:ascii="Arial" w:cs="Arial" w:eastAsia="Arial" w:hAnsi="Arial"/>
                <w:sz w:val="18"/>
                <w:szCs w:val="18"/>
                <w:color w:val="auto"/>
              </w:rPr>
              <w:t>company</w:t>
            </w:r>
          </w:p>
        </w:tc>
        <w:tc>
          <w:tcPr>
            <w:tcW w:w="128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800" w:type="dxa"/>
            <w:vAlign w:val="bottom"/>
          </w:tcPr>
          <w:p>
            <w:pPr>
              <w:jc w:val="right"/>
              <w:spacing w:after="0" w:line="185" w:lineRule="exact"/>
              <w:rPr>
                <w:sz w:val="20"/>
                <w:szCs w:val="20"/>
                <w:color w:val="auto"/>
              </w:rPr>
            </w:pPr>
            <w:r>
              <w:rPr>
                <w:rFonts w:ascii="Arial" w:cs="Arial" w:eastAsia="Arial" w:hAnsi="Arial"/>
                <w:sz w:val="18"/>
                <w:szCs w:val="18"/>
                <w:color w:val="auto"/>
              </w:rPr>
              <w:t>701</w:t>
            </w:r>
          </w:p>
        </w:tc>
        <w:tc>
          <w:tcPr>
            <w:tcW w:w="1240" w:type="dxa"/>
            <w:vAlign w:val="bottom"/>
          </w:tcPr>
          <w:p>
            <w:pPr>
              <w:jc w:val="right"/>
              <w:ind w:right="170"/>
              <w:spacing w:after="0" w:line="185"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10"/>
              <w:spacing w:after="0" w:line="18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120" w:type="dxa"/>
            <w:vAlign w:val="bottom"/>
          </w:tcPr>
          <w:p>
            <w:pPr>
              <w:spacing w:after="0"/>
              <w:rPr>
                <w:sz w:val="20"/>
                <w:szCs w:val="20"/>
                <w:color w:val="auto"/>
              </w:rPr>
            </w:pPr>
            <w:r>
              <w:rPr>
                <w:rFonts w:ascii="Arial" w:cs="Arial" w:eastAsia="Arial" w:hAnsi="Arial"/>
                <w:sz w:val="18"/>
                <w:szCs w:val="18"/>
                <w:i w:val="1"/>
                <w:iCs w:val="1"/>
                <w:color w:val="auto"/>
              </w:rPr>
              <w:t>Liabilities:</w:t>
            </w:r>
          </w:p>
        </w:tc>
        <w:tc>
          <w:tcPr>
            <w:tcW w:w="1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140"/>
              <w:spacing w:after="0"/>
              <w:rPr>
                <w:sz w:val="20"/>
                <w:szCs w:val="20"/>
                <w:color w:val="auto"/>
              </w:rPr>
            </w:pPr>
            <w:r>
              <w:rPr>
                <w:rFonts w:ascii="Arial" w:cs="Arial" w:eastAsia="Arial" w:hAnsi="Arial"/>
                <w:sz w:val="18"/>
                <w:szCs w:val="18"/>
                <w:color w:val="auto"/>
              </w:rPr>
              <w:t>Other noncurrent liabilities:</w:t>
            </w:r>
          </w:p>
        </w:tc>
        <w:tc>
          <w:tcPr>
            <w:tcW w:w="1280" w:type="dxa"/>
            <w:vAlign w:val="bottom"/>
          </w:tcPr>
          <w:p>
            <w:pPr>
              <w:spacing w:after="0"/>
              <w:rPr>
                <w:sz w:val="18"/>
                <w:szCs w:val="18"/>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(3,765)</w:t>
            </w:r>
            <w:r>
              <w:rPr>
                <w:rFonts w:ascii="Arial" w:cs="Arial" w:eastAsia="Arial" w:hAnsi="Arial"/>
                <w:sz w:val="30"/>
                <w:szCs w:val="30"/>
                <w:color w:val="auto"/>
                <w:vertAlign w:val="superscript"/>
              </w:rPr>
              <w:t>(a)</w:t>
            </w: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(1,411)</w:t>
            </w:r>
            <w:r>
              <w:rPr>
                <w:rFonts w:ascii="Arial" w:cs="Arial" w:eastAsia="Arial" w:hAnsi="Arial"/>
                <w:sz w:val="30"/>
                <w:szCs w:val="30"/>
                <w:color w:val="auto"/>
                <w:vertAlign w:val="superscript"/>
              </w:rPr>
              <w:t>(b)</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4120" w:type="dxa"/>
            <w:vAlign w:val="bottom"/>
          </w:tcPr>
          <w:p>
            <w:pPr>
              <w:ind w:left="260"/>
              <w:spacing w:after="0"/>
              <w:rPr>
                <w:sz w:val="20"/>
                <w:szCs w:val="20"/>
                <w:color w:val="auto"/>
              </w:rPr>
            </w:pPr>
            <w:r>
              <w:rPr>
                <w:rFonts w:ascii="Arial" w:cs="Arial" w:eastAsia="Arial" w:hAnsi="Arial"/>
                <w:sz w:val="18"/>
                <w:szCs w:val="18"/>
                <w:color w:val="auto"/>
              </w:rPr>
              <w:t>Interest rate swaps</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44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41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4"/>
          <w:szCs w:val="14"/>
          <w:color w:val="auto"/>
        </w:rPr>
      </w:pPr>
      <w:r>
        <w:rPr>
          <w:rFonts w:ascii="Arial" w:cs="Arial" w:eastAsia="Arial" w:hAnsi="Arial"/>
          <w:sz w:val="14"/>
          <w:szCs w:val="14"/>
          <w:color w:val="auto"/>
        </w:rPr>
        <w:t>Net of $6.5 million receivable floating leg and $10.3 million liability fixed leg</w:t>
      </w:r>
    </w:p>
    <w:p>
      <w:pPr>
        <w:spacing w:after="0" w:line="41" w:lineRule="exact"/>
        <w:rPr>
          <w:rFonts w:ascii="Arial" w:cs="Arial" w:eastAsia="Arial" w:hAnsi="Arial"/>
          <w:sz w:val="14"/>
          <w:szCs w:val="14"/>
          <w:color w:val="auto"/>
        </w:rPr>
      </w:pPr>
    </w:p>
    <w:p>
      <w:pPr>
        <w:ind w:left="1300" w:hanging="320"/>
        <w:spacing w:after="0"/>
        <w:tabs>
          <w:tab w:leader="none" w:pos="1300" w:val="left"/>
        </w:tabs>
        <w:numPr>
          <w:ilvl w:val="0"/>
          <w:numId w:val="4"/>
        </w:numPr>
        <w:rPr>
          <w:rFonts w:ascii="Arial" w:cs="Arial" w:eastAsia="Arial" w:hAnsi="Arial"/>
          <w:sz w:val="14"/>
          <w:szCs w:val="14"/>
          <w:color w:val="auto"/>
        </w:rPr>
      </w:pPr>
      <w:r>
        <w:rPr>
          <w:rFonts w:ascii="Arial" w:cs="Arial" w:eastAsia="Arial" w:hAnsi="Arial"/>
          <w:sz w:val="14"/>
          <w:szCs w:val="14"/>
          <w:color w:val="auto"/>
        </w:rPr>
        <w:t>Net of $4.3 million receivable floating leg and $5.7 million liability fixed leg</w:t>
      </w:r>
    </w:p>
    <w:p>
      <w:pPr>
        <w:spacing w:after="0" w:line="212"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197" w:lineRule="exact"/>
        <w:rPr>
          <w:sz w:val="20"/>
          <w:szCs w:val="20"/>
          <w:color w:val="auto"/>
        </w:rPr>
      </w:pPr>
    </w:p>
    <w:p>
      <w:pPr>
        <w:ind w:right="140" w:firstLine="648"/>
        <w:spacing w:after="0" w:line="237" w:lineRule="auto"/>
        <w:rPr>
          <w:sz w:val="20"/>
          <w:szCs w:val="20"/>
          <w:color w:val="auto"/>
        </w:rPr>
      </w:pPr>
      <w:r>
        <w:rPr>
          <w:rFonts w:ascii="Arial" w:cs="Arial" w:eastAsia="Arial" w:hAnsi="Arial"/>
          <w:sz w:val="18"/>
          <w:szCs w:val="18"/>
          <w:color w:val="auto"/>
        </w:rPr>
        <w:t>The common stock of the unaffiliated foreign public company is traded in an active market exchange. The shares are measured at fair value using closing stock prices and are recorded in the Consolidated Balance Sheets as Other assets. The securities are classified as available for sale, and as a result any unrealized gain or loss is recorded in the Shareholders’ Equity section of the Consolidated Balance Sheets rather than in the Consolidated Statements of Income. When the security is sold or impaired, gains and losses are reported on the Consolidated Statements of Income. Investments are considered to be impaired when a decline in fair value is judged to be other than temporary.</w:t>
      </w:r>
    </w:p>
    <w:p>
      <w:pPr>
        <w:spacing w:after="0" w:line="205" w:lineRule="exact"/>
        <w:rPr>
          <w:sz w:val="20"/>
          <w:szCs w:val="20"/>
          <w:color w:val="auto"/>
        </w:rPr>
      </w:pPr>
    </w:p>
    <w:p>
      <w:pPr>
        <w:ind w:right="180" w:firstLine="648"/>
        <w:spacing w:after="0"/>
        <w:rPr>
          <w:sz w:val="20"/>
          <w:szCs w:val="20"/>
          <w:color w:val="auto"/>
        </w:rPr>
      </w:pPr>
      <w:r>
        <w:rPr>
          <w:rFonts w:ascii="Arial" w:cs="Arial" w:eastAsia="Arial" w:hAnsi="Arial"/>
          <w:sz w:val="18"/>
          <w:szCs w:val="18"/>
          <w:color w:val="auto"/>
        </w:rPr>
        <w:t>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Accounts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payable, as applicable. Changes in fair value of these instruments are recorded as gains or losses within Other (income)/expenses, net.</w:t>
      </w:r>
    </w:p>
    <w:p>
      <w:pPr>
        <w:spacing w:after="0" w:line="211"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 instruments. We seek to control risk by evaluating the creditworthiness of counterparties and by monitoring the currency exchange and interest rate markets while reviewing the hedging risks and contracts to ensure compliance with our internal guidelines and policies.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w:t>
      </w:r>
    </w:p>
    <w:p>
      <w:pPr>
        <w:spacing w:after="0" w:line="212"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Changes in exchange rates can result in revaluation gains and losses that are recorded in Selling, General and Administrative expenses or Other (income)/expenses, net. Revaluation gains and losses occur when our business units have cash, intercompany (recorded in Other (income)/expenses, net) or third-party trade (recorded in Selling, General and Administrative expenses) receivable or payable balances in a currency other than their local reporting (or functional) currency.</w:t>
      </w:r>
    </w:p>
    <w:p>
      <w:pPr>
        <w:spacing w:after="0" w:line="202" w:lineRule="exact"/>
        <w:rPr>
          <w:sz w:val="20"/>
          <w:szCs w:val="20"/>
          <w:color w:val="auto"/>
        </w:rPr>
      </w:pPr>
    </w:p>
    <w:p>
      <w:pPr>
        <w:ind w:right="200" w:firstLine="648"/>
        <w:spacing w:after="0" w:line="239" w:lineRule="auto"/>
        <w:rPr>
          <w:sz w:val="20"/>
          <w:szCs w:val="20"/>
          <w:color w:val="auto"/>
        </w:rPr>
      </w:pPr>
      <w:r>
        <w:rPr>
          <w:rFonts w:ascii="Arial" w:cs="Arial" w:eastAsia="Arial" w:hAnsi="Arial"/>
          <w:sz w:val="18"/>
          <w:szCs w:val="18"/>
          <w:color w:val="auto"/>
        </w:rPr>
        <w:t>Operating results can also be affected by the translation of sales and costs, for each non-U.S. subsidiary, from the local functional currency to the U.S. dollar. The translation effect on the Consolidated Statements of Income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pacing w:after="0" w:line="202"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The interest rate swaps are accounted for as hedges of future cash flows. The fair value of our interest rate swaps are derived from a discounted cash flow analysis based on the terms of the contract and the interest rate curve, and is included in Other assets and/or Other noncurrent liabilities in the Consolidated Balance Sheets. Unrealized gains and losses on the swaps flow through the caption Derivative valuation adjustment in the Shareholders’ equity section of the Consolidated Balance Sheets, to the extent that the hedges are highly effective. As of September 30, 2015, these interest rate swaps were determined to be highly effective hedges of interest rate cash flow risk. Any gains and losses related to the ineffective portion of the hedges will be recognized in the current period in earnings. Amounts accumulated in Other comprehensive income are reclassified as Interest expense, net when the related interest payments (that is, the hedged forecasted transactions) affect earnings. Interest expense related to the swaps totaled $1.5 million for the nine month period ended September 30, 2015 and $1.4 million for the nine month period ended 2014.</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Gains/ (losses) related to changes in fair value of derivative instruments that were recognized in Other (income)/expenses, net in the</w:t>
      </w:r>
    </w:p>
    <w:p>
      <w:pPr>
        <w:spacing w:after="0"/>
        <w:rPr>
          <w:sz w:val="20"/>
          <w:szCs w:val="20"/>
          <w:color w:val="auto"/>
        </w:rPr>
      </w:pPr>
      <w:r>
        <w:rPr>
          <w:rFonts w:ascii="Arial" w:cs="Arial" w:eastAsia="Arial" w:hAnsi="Arial"/>
          <w:sz w:val="18"/>
          <w:szCs w:val="18"/>
          <w:color w:val="auto"/>
        </w:rPr>
        <w:t>Statements of Income were as follows: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40" w:type="dxa"/>
            <w:vAlign w:val="bottom"/>
            <w:tcBorders>
              <w:top w:val="single" w:sz="8" w:color="auto"/>
            </w:tcBorders>
          </w:tcPr>
          <w:p>
            <w:pPr>
              <w:spacing w:after="0"/>
              <w:rPr>
                <w:sz w:val="16"/>
                <w:szCs w:val="16"/>
                <w:color w:val="auto"/>
              </w:rPr>
            </w:pPr>
          </w:p>
        </w:tc>
        <w:tc>
          <w:tcPr>
            <w:tcW w:w="4100" w:type="dxa"/>
            <w:vAlign w:val="bottom"/>
            <w:tcBorders>
              <w:top w:val="single" w:sz="8" w:color="auto"/>
            </w:tcBorders>
            <w:gridSpan w:val="2"/>
          </w:tcPr>
          <w:p>
            <w:pPr>
              <w:jc w:val="center"/>
              <w:ind w:left="990"/>
              <w:spacing w:after="0" w:line="194" w:lineRule="exact"/>
              <w:rPr>
                <w:sz w:val="20"/>
                <w:szCs w:val="20"/>
                <w:color w:val="auto"/>
              </w:rPr>
            </w:pPr>
            <w:r>
              <w:rPr>
                <w:rFonts w:ascii="Arial" w:cs="Arial" w:eastAsia="Arial" w:hAnsi="Arial"/>
                <w:sz w:val="18"/>
                <w:szCs w:val="18"/>
                <w:b w:val="1"/>
                <w:bCs w:val="1"/>
                <w:color w:val="auto"/>
              </w:rPr>
              <w:t>Three months ended</w:t>
            </w:r>
          </w:p>
        </w:tc>
        <w:tc>
          <w:tcPr>
            <w:tcW w:w="2480" w:type="dxa"/>
            <w:vAlign w:val="bottom"/>
            <w:tcBorders>
              <w:top w:val="single" w:sz="8" w:color="auto"/>
            </w:tcBorders>
            <w:gridSpan w:val="2"/>
          </w:tcPr>
          <w:p>
            <w:pPr>
              <w:jc w:val="center"/>
              <w:spacing w:after="0" w:line="194" w:lineRule="exact"/>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203"/>
        </w:trPr>
        <w:tc>
          <w:tcPr>
            <w:tcW w:w="4840" w:type="dxa"/>
            <w:vAlign w:val="bottom"/>
          </w:tcPr>
          <w:p>
            <w:pPr>
              <w:spacing w:after="0"/>
              <w:rPr>
                <w:sz w:val="17"/>
                <w:szCs w:val="17"/>
                <w:color w:val="auto"/>
              </w:rPr>
            </w:pPr>
          </w:p>
        </w:tc>
        <w:tc>
          <w:tcPr>
            <w:tcW w:w="4100" w:type="dxa"/>
            <w:vAlign w:val="bottom"/>
            <w:gridSpan w:val="2"/>
          </w:tcPr>
          <w:p>
            <w:pPr>
              <w:jc w:val="center"/>
              <w:ind w:left="1050"/>
              <w:spacing w:after="0" w:line="202" w:lineRule="exact"/>
              <w:rPr>
                <w:sz w:val="20"/>
                <w:szCs w:val="20"/>
                <w:color w:val="auto"/>
              </w:rPr>
            </w:pPr>
            <w:r>
              <w:rPr>
                <w:rFonts w:ascii="Arial" w:cs="Arial" w:eastAsia="Arial" w:hAnsi="Arial"/>
                <w:sz w:val="18"/>
                <w:szCs w:val="18"/>
                <w:b w:val="1"/>
                <w:bCs w:val="1"/>
                <w:color w:val="auto"/>
              </w:rPr>
              <w:t>September 30,</w:t>
            </w:r>
          </w:p>
        </w:tc>
        <w:tc>
          <w:tcPr>
            <w:tcW w:w="24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7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398"/>
        </w:trPr>
        <w:tc>
          <w:tcPr>
            <w:tcW w:w="4840" w:type="dxa"/>
            <w:vAlign w:val="bottom"/>
          </w:tcPr>
          <w:p>
            <w:pPr>
              <w:spacing w:after="0"/>
              <w:rPr>
                <w:sz w:val="20"/>
                <w:szCs w:val="20"/>
                <w:color w:val="auto"/>
              </w:rPr>
            </w:pPr>
            <w:r>
              <w:rPr>
                <w:rFonts w:ascii="Arial" w:cs="Arial" w:eastAsia="Arial" w:hAnsi="Arial"/>
                <w:sz w:val="18"/>
                <w:szCs w:val="18"/>
                <w:color w:val="auto"/>
              </w:rPr>
              <w:t>Derivatives not designated as hedging instruments</w:t>
            </w:r>
          </w:p>
        </w:tc>
        <w:tc>
          <w:tcPr>
            <w:tcW w:w="27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$25</w:t>
            </w:r>
          </w:p>
        </w:tc>
        <w:tc>
          <w:tcPr>
            <w:tcW w:w="1380" w:type="dxa"/>
            <w:vAlign w:val="bottom"/>
          </w:tcPr>
          <w:p>
            <w:pPr>
              <w:spacing w:after="0"/>
              <w:rPr>
                <w:sz w:val="24"/>
                <w:szCs w:val="24"/>
                <w:color w:val="auto"/>
              </w:rPr>
            </w:pPr>
          </w:p>
        </w:tc>
        <w:tc>
          <w:tcPr>
            <w:tcW w:w="12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$150</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8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Foreign currency options</w:t>
            </w:r>
          </w:p>
        </w:tc>
        <w:tc>
          <w:tcPr>
            <w:tcW w:w="2720" w:type="dxa"/>
            <w:vAlign w:val="bottom"/>
            <w:tcBorders>
              <w:bottom w:val="single" w:sz="8" w:color="auto"/>
            </w:tcBorders>
            <w:vMerge w:val="continue"/>
          </w:tcPr>
          <w:p>
            <w:pPr>
              <w:spacing w:after="0"/>
              <w:rPr>
                <w:sz w:val="17"/>
                <w:szCs w:val="17"/>
                <w:color w:val="auto"/>
              </w:rPr>
            </w:pPr>
          </w:p>
        </w:tc>
        <w:tc>
          <w:tcPr>
            <w:tcW w:w="138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($142)</w:t>
            </w:r>
          </w:p>
        </w:tc>
        <w:tc>
          <w:tcPr>
            <w:tcW w:w="128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709"/>
        </w:trPr>
        <w:tc>
          <w:tcPr>
            <w:tcW w:w="4840" w:type="dxa"/>
            <w:vAlign w:val="bottom"/>
          </w:tcPr>
          <w:p>
            <w:pPr>
              <w:spacing w:after="0"/>
              <w:rPr>
                <w:sz w:val="24"/>
                <w:szCs w:val="24"/>
                <w:color w:val="auto"/>
              </w:rPr>
            </w:pPr>
          </w:p>
        </w:tc>
        <w:tc>
          <w:tcPr>
            <w:tcW w:w="2720" w:type="dxa"/>
            <w:vAlign w:val="bottom"/>
          </w:tcPr>
          <w:p>
            <w:pPr>
              <w:jc w:val="right"/>
              <w:ind w:right="1670"/>
              <w:spacing w:after="0"/>
              <w:rPr>
                <w:sz w:val="20"/>
                <w:szCs w:val="20"/>
                <w:color w:val="auto"/>
              </w:rPr>
            </w:pPr>
            <w:r>
              <w:rPr>
                <w:rFonts w:ascii="Arial" w:cs="Arial" w:eastAsia="Arial" w:hAnsi="Arial"/>
                <w:sz w:val="18"/>
                <w:szCs w:val="18"/>
                <w:color w:val="auto"/>
              </w:rPr>
              <w:t>21</w:t>
            </w: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84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15.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Litigation</w:t>
      </w:r>
    </w:p>
    <w:p>
      <w:pPr>
        <w:spacing w:after="0" w:line="207"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products that we previously manufactured. We produced asbestos-containing paper machine clothing synthetic dryer fabrics marketed during the period from 1967 to 1976 and used in certain paper mills. Such fabrics generally had a useful life of three to twelve months.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defending 3,773 claims as of September 30, 2015.</w:t>
      </w:r>
    </w:p>
    <w:p>
      <w:pPr>
        <w:spacing w:after="0" w:line="171" w:lineRule="exact"/>
        <w:rPr>
          <w:sz w:val="20"/>
          <w:szCs w:val="20"/>
          <w:color w:val="auto"/>
        </w:rPr>
      </w:pPr>
    </w:p>
    <w:p>
      <w:pPr>
        <w:ind w:right="660" w:firstLine="648"/>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3000" w:type="dxa"/>
            <w:vAlign w:val="bottom"/>
            <w:tcBorders>
              <w:top w:val="single" w:sz="8" w:color="auto"/>
              <w:left w:val="single" w:sz="8" w:color="auto"/>
              <w:right w:val="single" w:sz="8" w:color="auto"/>
            </w:tcBorders>
          </w:tcPr>
          <w:p>
            <w:pPr>
              <w:ind w:left="1000"/>
              <w:spacing w:after="0" w:line="194" w:lineRule="exact"/>
              <w:rPr>
                <w:sz w:val="20"/>
                <w:szCs w:val="20"/>
                <w:color w:val="auto"/>
              </w:rPr>
            </w:pPr>
            <w:r>
              <w:rPr>
                <w:rFonts w:ascii="Arial" w:cs="Arial" w:eastAsia="Arial" w:hAnsi="Arial"/>
                <w:sz w:val="18"/>
                <w:szCs w:val="18"/>
                <w:b w:val="1"/>
                <w:bCs w:val="1"/>
                <w:color w:val="auto"/>
              </w:rPr>
              <w:t>Year ended</w:t>
            </w:r>
          </w:p>
        </w:tc>
        <w:tc>
          <w:tcPr>
            <w:tcW w:w="1700" w:type="dxa"/>
            <w:vAlign w:val="bottom"/>
            <w:tcBorders>
              <w:top w:val="single" w:sz="8" w:color="auto"/>
              <w:right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w w:val="98"/>
              </w:rPr>
              <w:t>Opening Number of</w:t>
            </w:r>
          </w:p>
        </w:tc>
        <w:tc>
          <w:tcPr>
            <w:tcW w:w="162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Claims</w:t>
            </w:r>
          </w:p>
        </w:tc>
        <w:tc>
          <w:tcPr>
            <w:tcW w:w="1700" w:type="dxa"/>
            <w:vAlign w:val="bottom"/>
            <w:tcBorders>
              <w:top w:val="single" w:sz="8" w:color="auto"/>
              <w:right w:val="single" w:sz="8" w:color="auto"/>
            </w:tcBorders>
          </w:tcPr>
          <w:p>
            <w:pPr>
              <w:jc w:val="right"/>
              <w:ind w:right="270"/>
              <w:spacing w:after="0" w:line="194" w:lineRule="exact"/>
              <w:rPr>
                <w:sz w:val="20"/>
                <w:szCs w:val="20"/>
                <w:color w:val="auto"/>
              </w:rPr>
            </w:pPr>
            <w:r>
              <w:rPr>
                <w:rFonts w:ascii="Arial" w:cs="Arial" w:eastAsia="Arial" w:hAnsi="Arial"/>
                <w:sz w:val="18"/>
                <w:szCs w:val="18"/>
                <w:b w:val="1"/>
                <w:bCs w:val="1"/>
                <w:color w:val="auto"/>
              </w:rPr>
              <w:t>New Claims</w:t>
            </w:r>
          </w:p>
        </w:tc>
        <w:tc>
          <w:tcPr>
            <w:tcW w:w="1700" w:type="dxa"/>
            <w:vAlign w:val="bottom"/>
            <w:tcBorders>
              <w:top w:val="single" w:sz="8" w:color="auto"/>
              <w:right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Closing Number of</w:t>
            </w:r>
          </w:p>
        </w:tc>
        <w:tc>
          <w:tcPr>
            <w:tcW w:w="172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Amounts Paid</w:t>
            </w:r>
          </w:p>
        </w:tc>
      </w:tr>
      <w:tr>
        <w:trPr>
          <w:trHeight w:val="203"/>
        </w:trPr>
        <w:tc>
          <w:tcPr>
            <w:tcW w:w="3000" w:type="dxa"/>
            <w:vAlign w:val="bottom"/>
            <w:tcBorders>
              <w:left w:val="single" w:sz="8" w:color="auto"/>
              <w:right w:val="single" w:sz="8" w:color="auto"/>
            </w:tcBorders>
          </w:tcPr>
          <w:p>
            <w:pPr>
              <w:ind w:left="920"/>
              <w:spacing w:after="0" w:line="202" w:lineRule="exact"/>
              <w:rPr>
                <w:sz w:val="20"/>
                <w:szCs w:val="20"/>
                <w:color w:val="auto"/>
              </w:rPr>
            </w:pPr>
            <w:r>
              <w:rPr>
                <w:rFonts w:ascii="Arial" w:cs="Arial" w:eastAsia="Arial" w:hAnsi="Arial"/>
                <w:sz w:val="18"/>
                <w:szCs w:val="18"/>
                <w:b w:val="1"/>
                <w:bCs w:val="1"/>
                <w:color w:val="auto"/>
              </w:rPr>
              <w:t>December 31,</w:t>
            </w:r>
          </w:p>
        </w:tc>
        <w:tc>
          <w:tcPr>
            <w:tcW w:w="1700" w:type="dxa"/>
            <w:vAlign w:val="bottom"/>
            <w:tcBorders>
              <w:right w:val="single" w:sz="8" w:color="auto"/>
            </w:tcBorders>
          </w:tcPr>
          <w:p>
            <w:pPr>
              <w:jc w:val="right"/>
              <w:ind w:right="470"/>
              <w:spacing w:after="0" w:line="202" w:lineRule="exact"/>
              <w:rPr>
                <w:sz w:val="20"/>
                <w:szCs w:val="20"/>
                <w:color w:val="auto"/>
              </w:rPr>
            </w:pPr>
            <w:r>
              <w:rPr>
                <w:rFonts w:ascii="Arial" w:cs="Arial" w:eastAsia="Arial" w:hAnsi="Arial"/>
                <w:sz w:val="18"/>
                <w:szCs w:val="18"/>
                <w:b w:val="1"/>
                <w:bCs w:val="1"/>
                <w:color w:val="auto"/>
              </w:rPr>
              <w:t>Claims</w:t>
            </w:r>
          </w:p>
        </w:tc>
        <w:tc>
          <w:tcPr>
            <w:tcW w:w="16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Dismissed,Settled,</w:t>
            </w:r>
          </w:p>
        </w:tc>
        <w:tc>
          <w:tcPr>
            <w:tcW w:w="17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jc w:val="right"/>
              <w:ind w:right="470"/>
              <w:spacing w:after="0" w:line="202" w:lineRule="exact"/>
              <w:rPr>
                <w:sz w:val="20"/>
                <w:szCs w:val="20"/>
                <w:color w:val="auto"/>
              </w:rPr>
            </w:pPr>
            <w:r>
              <w:rPr>
                <w:rFonts w:ascii="Arial" w:cs="Arial" w:eastAsia="Arial" w:hAnsi="Arial"/>
                <w:sz w:val="18"/>
                <w:szCs w:val="18"/>
                <w:b w:val="1"/>
                <w:bCs w:val="1"/>
                <w:color w:val="auto"/>
              </w:rPr>
              <w:t>Claims</w:t>
            </w:r>
          </w:p>
        </w:tc>
        <w:tc>
          <w:tcPr>
            <w:tcW w:w="17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(thousands) to</w:t>
            </w:r>
          </w:p>
        </w:tc>
      </w:tr>
      <w:tr>
        <w:trPr>
          <w:trHeight w:val="225"/>
        </w:trPr>
        <w:tc>
          <w:tcPr>
            <w:tcW w:w="3000" w:type="dxa"/>
            <w:vAlign w:val="bottom"/>
            <w:tcBorders>
              <w:left w:val="single" w:sz="8" w:color="auto"/>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or Resolved</w:t>
            </w:r>
          </w:p>
        </w:tc>
        <w:tc>
          <w:tcPr>
            <w:tcW w:w="17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Settle or Resolve</w:t>
            </w:r>
          </w:p>
        </w:tc>
      </w:tr>
      <w:tr>
        <w:trPr>
          <w:trHeight w:val="196"/>
        </w:trPr>
        <w:tc>
          <w:tcPr>
            <w:tcW w:w="300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2005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29,411</w:t>
            </w:r>
          </w:p>
        </w:tc>
        <w:tc>
          <w:tcPr>
            <w:tcW w:w="16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6,257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1,297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24,451</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$504</w:t>
            </w:r>
          </w:p>
        </w:tc>
      </w:tr>
      <w:tr>
        <w:trPr>
          <w:trHeight w:val="196"/>
        </w:trPr>
        <w:tc>
          <w:tcPr>
            <w:tcW w:w="300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2006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24,451</w:t>
            </w:r>
          </w:p>
        </w:tc>
        <w:tc>
          <w:tcPr>
            <w:tcW w:w="16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6,841</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1,806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19,416</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3,879</w:t>
            </w:r>
          </w:p>
        </w:tc>
      </w:tr>
      <w:tr>
        <w:trPr>
          <w:trHeight w:val="196"/>
        </w:trPr>
        <w:tc>
          <w:tcPr>
            <w:tcW w:w="300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2007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19,416</w:t>
            </w:r>
          </w:p>
        </w:tc>
        <w:tc>
          <w:tcPr>
            <w:tcW w:w="16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808</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190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18,798</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300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2008</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18,798</w:t>
            </w:r>
          </w:p>
        </w:tc>
        <w:tc>
          <w:tcPr>
            <w:tcW w:w="16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523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18,385</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300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2009</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18,385</w:t>
            </w:r>
          </w:p>
        </w:tc>
        <w:tc>
          <w:tcPr>
            <w:tcW w:w="16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9,482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8,945</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300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2010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8,945</w:t>
            </w:r>
          </w:p>
        </w:tc>
        <w:tc>
          <w:tcPr>
            <w:tcW w:w="16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3,963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188</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5,170</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159</w:t>
            </w:r>
          </w:p>
        </w:tc>
      </w:tr>
      <w:tr>
        <w:trPr>
          <w:trHeight w:val="196"/>
        </w:trPr>
        <w:tc>
          <w:tcPr>
            <w:tcW w:w="300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2011</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5,170</w:t>
            </w:r>
          </w:p>
        </w:tc>
        <w:tc>
          <w:tcPr>
            <w:tcW w:w="16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789</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4,446</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1,111</w:t>
            </w:r>
          </w:p>
        </w:tc>
      </w:tr>
      <w:tr>
        <w:trPr>
          <w:trHeight w:val="196"/>
        </w:trPr>
        <w:tc>
          <w:tcPr>
            <w:tcW w:w="300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2012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4,446</w:t>
            </w:r>
          </w:p>
        </w:tc>
        <w:tc>
          <w:tcPr>
            <w:tcW w:w="16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4,463</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530</w:t>
            </w:r>
          </w:p>
        </w:tc>
      </w:tr>
      <w:tr>
        <w:trPr>
          <w:trHeight w:val="196"/>
        </w:trPr>
        <w:tc>
          <w:tcPr>
            <w:tcW w:w="300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2013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4,463</w:t>
            </w:r>
          </w:p>
        </w:tc>
        <w:tc>
          <w:tcPr>
            <w:tcW w:w="16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230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4,299</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300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2014</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4,299</w:t>
            </w:r>
          </w:p>
        </w:tc>
        <w:tc>
          <w:tcPr>
            <w:tcW w:w="16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625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147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3,821</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437</w:t>
            </w:r>
          </w:p>
        </w:tc>
      </w:tr>
      <w:tr>
        <w:trPr>
          <w:trHeight w:val="196"/>
        </w:trPr>
        <w:tc>
          <w:tcPr>
            <w:tcW w:w="300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As of September 30, 2015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3,821</w:t>
            </w:r>
          </w:p>
        </w:tc>
        <w:tc>
          <w:tcPr>
            <w:tcW w:w="16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54</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3,773</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$84</w:t>
            </w:r>
          </w:p>
        </w:tc>
      </w:tr>
    </w:tbl>
    <w:p>
      <w:pPr>
        <w:spacing w:after="0" w:line="377"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w:t>
      </w:r>
    </w:p>
    <w:p>
      <w:pPr>
        <w:spacing w:after="0" w:line="156"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Exposure and disease information sufficient to meaningfully estimate a range of possible loss of a particular claim is typically not available until late in the discovery process, and often not until a trial date is imminent and a settlement demand has been received. For these reasons, we do not believe a meaningful estimate can be made regarding the range of possible loss with respect to pending or future claims.</w:t>
      </w:r>
    </w:p>
    <w:p>
      <w:pPr>
        <w:spacing w:after="0" w:line="176"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insurer, Liberty Mutual, has defended each case and funded settlements under a standard reservation of rights. As of September 30, 2015 we had resolved, by means of settlement or dismissal, 37,327 claims. The total cost of resolving all claims was $9.3 million. Of this amount, almost 100% was paid by our insurance carrier. The Company’s insurer has confirmed that although the coverage limits under two (of approximately 23) primary insurance policies have been exhausted, there still remains approximately $3 million in coverage limits under other applicable primary policies, and $140 million in coverage under excess umbrella coverage policies that should be available with respect to current and future asbestos claims.</w:t>
      </w:r>
    </w:p>
    <w:p>
      <w:pPr>
        <w:spacing w:after="0" w:line="163" w:lineRule="exact"/>
        <w:rPr>
          <w:sz w:val="20"/>
          <w:szCs w:val="20"/>
          <w:color w:val="auto"/>
        </w:rPr>
      </w:pPr>
    </w:p>
    <w:p>
      <w:pPr>
        <w:ind w:right="280" w:firstLine="648"/>
        <w:spacing w:after="0"/>
        <w:rPr>
          <w:sz w:val="20"/>
          <w:szCs w:val="20"/>
          <w:color w:val="auto"/>
        </w:rPr>
      </w:pPr>
      <w:r>
        <w:rPr>
          <w:rFonts w:ascii="Arial" w:cs="Arial" w:eastAsia="Arial" w:hAnsi="Arial"/>
          <w:sz w:val="18"/>
          <w:szCs w:val="18"/>
          <w:color w:val="auto"/>
        </w:rPr>
        <w:t>Brandon Drying Fabrics, Inc. (“Brandon”), a subsidiary of Geschmay Corp., which is a subsidiary of the Company, is also a separate defendant in many of the asbestos cases in which Albany is named as a defendant. Brandon was defending against 7,713 claims as of September 30, 2015.</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22" w:name="page23"/>
    <w:bookmarkEnd w:id="22"/>
    <w:p>
      <w:pPr>
        <w:ind w:right="660" w:firstLine="648"/>
        <w:spacing w:after="0" w:line="245"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3000" w:type="dxa"/>
            <w:vAlign w:val="bottom"/>
            <w:tcBorders>
              <w:top w:val="single" w:sz="8" w:color="auto"/>
              <w:left w:val="single" w:sz="8" w:color="auto"/>
              <w:right w:val="single" w:sz="8" w:color="auto"/>
            </w:tcBorders>
          </w:tcPr>
          <w:p>
            <w:pPr>
              <w:ind w:left="1000"/>
              <w:spacing w:after="0" w:line="194" w:lineRule="exact"/>
              <w:rPr>
                <w:sz w:val="20"/>
                <w:szCs w:val="20"/>
                <w:color w:val="auto"/>
              </w:rPr>
            </w:pPr>
            <w:r>
              <w:rPr>
                <w:rFonts w:ascii="Arial" w:cs="Arial" w:eastAsia="Arial" w:hAnsi="Arial"/>
                <w:sz w:val="18"/>
                <w:szCs w:val="18"/>
                <w:b w:val="1"/>
                <w:bCs w:val="1"/>
                <w:color w:val="auto"/>
              </w:rPr>
              <w:t>Year ended</w:t>
            </w:r>
          </w:p>
        </w:tc>
        <w:tc>
          <w:tcPr>
            <w:tcW w:w="1700" w:type="dxa"/>
            <w:vAlign w:val="bottom"/>
            <w:tcBorders>
              <w:top w:val="single" w:sz="8" w:color="auto"/>
              <w:right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w w:val="98"/>
              </w:rPr>
              <w:t>Opening Number of</w:t>
            </w:r>
          </w:p>
        </w:tc>
        <w:tc>
          <w:tcPr>
            <w:tcW w:w="162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Claims</w:t>
            </w:r>
          </w:p>
        </w:tc>
        <w:tc>
          <w:tcPr>
            <w:tcW w:w="1700" w:type="dxa"/>
            <w:vAlign w:val="bottom"/>
            <w:tcBorders>
              <w:top w:val="single" w:sz="8" w:color="auto"/>
              <w:right w:val="single" w:sz="8" w:color="auto"/>
            </w:tcBorders>
          </w:tcPr>
          <w:p>
            <w:pPr>
              <w:jc w:val="right"/>
              <w:ind w:right="270"/>
              <w:spacing w:after="0" w:line="194" w:lineRule="exact"/>
              <w:rPr>
                <w:sz w:val="20"/>
                <w:szCs w:val="20"/>
                <w:color w:val="auto"/>
              </w:rPr>
            </w:pPr>
            <w:r>
              <w:rPr>
                <w:rFonts w:ascii="Arial" w:cs="Arial" w:eastAsia="Arial" w:hAnsi="Arial"/>
                <w:sz w:val="18"/>
                <w:szCs w:val="18"/>
                <w:b w:val="1"/>
                <w:bCs w:val="1"/>
                <w:color w:val="auto"/>
              </w:rPr>
              <w:t>New Claims</w:t>
            </w:r>
          </w:p>
        </w:tc>
        <w:tc>
          <w:tcPr>
            <w:tcW w:w="1700" w:type="dxa"/>
            <w:vAlign w:val="bottom"/>
            <w:tcBorders>
              <w:top w:val="single" w:sz="8" w:color="auto"/>
              <w:right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Closing Number of</w:t>
            </w:r>
          </w:p>
        </w:tc>
        <w:tc>
          <w:tcPr>
            <w:tcW w:w="170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Amounts Paid</w:t>
            </w:r>
          </w:p>
        </w:tc>
      </w:tr>
      <w:tr>
        <w:trPr>
          <w:trHeight w:val="203"/>
        </w:trPr>
        <w:tc>
          <w:tcPr>
            <w:tcW w:w="3000" w:type="dxa"/>
            <w:vAlign w:val="bottom"/>
            <w:tcBorders>
              <w:left w:val="single" w:sz="8" w:color="auto"/>
              <w:right w:val="single" w:sz="8" w:color="auto"/>
            </w:tcBorders>
          </w:tcPr>
          <w:p>
            <w:pPr>
              <w:ind w:left="920"/>
              <w:spacing w:after="0" w:line="202" w:lineRule="exact"/>
              <w:rPr>
                <w:sz w:val="20"/>
                <w:szCs w:val="20"/>
                <w:color w:val="auto"/>
              </w:rPr>
            </w:pPr>
            <w:r>
              <w:rPr>
                <w:rFonts w:ascii="Arial" w:cs="Arial" w:eastAsia="Arial" w:hAnsi="Arial"/>
                <w:sz w:val="18"/>
                <w:szCs w:val="18"/>
                <w:b w:val="1"/>
                <w:bCs w:val="1"/>
                <w:color w:val="auto"/>
              </w:rPr>
              <w:t>December 31,</w:t>
            </w:r>
          </w:p>
        </w:tc>
        <w:tc>
          <w:tcPr>
            <w:tcW w:w="1700" w:type="dxa"/>
            <w:vAlign w:val="bottom"/>
            <w:tcBorders>
              <w:right w:val="single" w:sz="8" w:color="auto"/>
            </w:tcBorders>
          </w:tcPr>
          <w:p>
            <w:pPr>
              <w:jc w:val="right"/>
              <w:ind w:right="470"/>
              <w:spacing w:after="0" w:line="202" w:lineRule="exact"/>
              <w:rPr>
                <w:sz w:val="20"/>
                <w:szCs w:val="20"/>
                <w:color w:val="auto"/>
              </w:rPr>
            </w:pPr>
            <w:r>
              <w:rPr>
                <w:rFonts w:ascii="Arial" w:cs="Arial" w:eastAsia="Arial" w:hAnsi="Arial"/>
                <w:sz w:val="18"/>
                <w:szCs w:val="18"/>
                <w:b w:val="1"/>
                <w:bCs w:val="1"/>
                <w:color w:val="auto"/>
              </w:rPr>
              <w:t>Claims</w:t>
            </w:r>
          </w:p>
        </w:tc>
        <w:tc>
          <w:tcPr>
            <w:tcW w:w="16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Dismissed,Settled,</w:t>
            </w:r>
          </w:p>
        </w:tc>
        <w:tc>
          <w:tcPr>
            <w:tcW w:w="17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jc w:val="right"/>
              <w:ind w:right="470"/>
              <w:spacing w:after="0" w:line="202" w:lineRule="exact"/>
              <w:rPr>
                <w:sz w:val="20"/>
                <w:szCs w:val="20"/>
                <w:color w:val="auto"/>
              </w:rPr>
            </w:pPr>
            <w:r>
              <w:rPr>
                <w:rFonts w:ascii="Arial" w:cs="Arial" w:eastAsia="Arial" w:hAnsi="Arial"/>
                <w:sz w:val="18"/>
                <w:szCs w:val="18"/>
                <w:b w:val="1"/>
                <w:bCs w:val="1"/>
                <w:color w:val="auto"/>
              </w:rPr>
              <w:t>Claims</w:t>
            </w:r>
          </w:p>
        </w:tc>
        <w:tc>
          <w:tcPr>
            <w:tcW w:w="17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(thousands) to</w:t>
            </w:r>
          </w:p>
        </w:tc>
      </w:tr>
      <w:tr>
        <w:trPr>
          <w:trHeight w:val="225"/>
        </w:trPr>
        <w:tc>
          <w:tcPr>
            <w:tcW w:w="3000" w:type="dxa"/>
            <w:vAlign w:val="bottom"/>
            <w:tcBorders>
              <w:left w:val="single" w:sz="8" w:color="auto"/>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or Resolved</w:t>
            </w:r>
          </w:p>
        </w:tc>
        <w:tc>
          <w:tcPr>
            <w:tcW w:w="17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Settle or Resolve</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9,985</w:t>
            </w:r>
          </w:p>
        </w:tc>
        <w:tc>
          <w:tcPr>
            <w:tcW w:w="16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642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9,566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9,566</w:t>
            </w:r>
          </w:p>
        </w:tc>
        <w:tc>
          <w:tcPr>
            <w:tcW w:w="16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1,182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730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9,114</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9,114</w:t>
            </w:r>
          </w:p>
        </w:tc>
        <w:tc>
          <w:tcPr>
            <w:tcW w:w="16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462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88</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8,740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2008</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8,740</w:t>
            </w:r>
          </w:p>
        </w:tc>
        <w:tc>
          <w:tcPr>
            <w:tcW w:w="16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8,664</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2009</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8,664</w:t>
            </w:r>
          </w:p>
        </w:tc>
        <w:tc>
          <w:tcPr>
            <w:tcW w:w="16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760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7,907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2010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7,907</w:t>
            </w:r>
          </w:p>
        </w:tc>
        <w:tc>
          <w:tcPr>
            <w:tcW w:w="16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7,869</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2011</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7,869</w:t>
            </w:r>
          </w:p>
        </w:tc>
        <w:tc>
          <w:tcPr>
            <w:tcW w:w="16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7,877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2012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7,877</w:t>
            </w:r>
          </w:p>
        </w:tc>
        <w:tc>
          <w:tcPr>
            <w:tcW w:w="16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7,867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2013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7,867</w:t>
            </w:r>
          </w:p>
        </w:tc>
        <w:tc>
          <w:tcPr>
            <w:tcW w:w="16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7,815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2014</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7,815</w:t>
            </w:r>
          </w:p>
        </w:tc>
        <w:tc>
          <w:tcPr>
            <w:tcW w:w="16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7,730</w:t>
            </w:r>
          </w:p>
        </w:tc>
        <w:tc>
          <w:tcPr>
            <w:tcW w:w="1700" w:type="dxa"/>
            <w:vAlign w:val="bottom"/>
            <w:tcBorders>
              <w:bottom w:val="single" w:sz="8" w:color="auto"/>
              <w:right w:val="single" w:sz="8" w:color="auto"/>
            </w:tcBorders>
          </w:tcPr>
          <w:p>
            <w:pPr>
              <w:spacing w:after="0"/>
              <w:rPr>
                <w:sz w:val="17"/>
                <w:szCs w:val="17"/>
                <w:color w:val="auto"/>
              </w:rPr>
            </w:pP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As of September 30, 2015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7,730</w:t>
            </w:r>
          </w:p>
        </w:tc>
        <w:tc>
          <w:tcPr>
            <w:tcW w:w="16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18</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7,713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r>
    </w:tbl>
    <w:p>
      <w:pPr>
        <w:spacing w:after="0" w:line="391"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We acquired Geschmay Corp., formerly known as Wangner Systems Corporation, in 1999. Brandon is a wholly owned subsidiary of Geschmay Corp. In 1978, Brandon acquired certain assets from Abney Mills (“Abney”), a South Carolina textile manufacturer. Among the assets acquired by Brandon from Abney were assets of Abney’s wholly owned subsidiary, Brandon Sales, Inc. which had sold, among other things, dryer fabrics containing asbestos made by its parent, Abney. Although Brandon manufactured and sold dryer fabrics under its own name subsequent to the asset purchase, none of such fabrics contained asbestos. Because Brandon did not manufacture asbestos-containing products, and because it does not believe that it was the legal successor to, or otherwise responsible for obligations of Abney with respect to products manufactured by Abney, it believes it has strong defenses to the claims that have been asserted against it. As of September 30, 2015, Brandon has resolved, by means of settlement or dismissal, 9,893 claims for a total of $0.2 million. Brandon’s insurance carriers initially agreed to pay 88.2% of the total indemnification and defense costs related to these proceedings, subject to the standard reservation of rights. The remaining 11.8% of the costs had been borne directly by Brandon. During 2004, Brandon’s insurance carriers agreed to cover 100% of indemnification and defense costs, subject to policy limits and the standard reservation of rights, and to reimburse Brandon for all indemnity and defense costs paid directly by Brandon related to these proceedings.</w:t>
      </w:r>
    </w:p>
    <w:p>
      <w:pPr>
        <w:spacing w:after="0" w:line="164" w:lineRule="exact"/>
        <w:rPr>
          <w:sz w:val="20"/>
          <w:szCs w:val="20"/>
          <w:color w:val="auto"/>
        </w:rPr>
      </w:pPr>
    </w:p>
    <w:p>
      <w:pPr>
        <w:ind w:right="300" w:firstLine="648"/>
        <w:spacing w:after="0"/>
        <w:rPr>
          <w:sz w:val="20"/>
          <w:szCs w:val="20"/>
          <w:color w:val="auto"/>
        </w:rPr>
      </w:pPr>
      <w:r>
        <w:rPr>
          <w:rFonts w:ascii="Arial" w:cs="Arial" w:eastAsia="Arial" w:hAnsi="Arial"/>
          <w:sz w:val="18"/>
          <w:szCs w:val="18"/>
          <w:color w:val="auto"/>
        </w:rPr>
        <w:t>For the same reasons set forth above with respect to Albany’s claims, as well as the fact that no amounts have been paid to resolve any Brandon claims since 2001, we do not believe a meaningful estimate can be made regarding the range of possible loss with respect to these remaining claims.</w:t>
      </w:r>
    </w:p>
    <w:p>
      <w:pPr>
        <w:spacing w:after="0" w:line="162"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178"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Although we do not believe, based on currently available information and for the reasons stated above, that a meaningful estimate of a range of possible loss can be made with respect to such</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3" w:name="page24"/>
    <w:bookmarkEnd w:id="23"/>
    <w:p>
      <w:pPr>
        <w:ind w:right="80"/>
        <w:spacing w:after="0" w:line="238" w:lineRule="auto"/>
        <w:rPr>
          <w:sz w:val="20"/>
          <w:szCs w:val="20"/>
          <w:color w:val="auto"/>
        </w:rPr>
      </w:pPr>
      <w:r>
        <w:rPr>
          <w:rFonts w:ascii="Arial" w:cs="Arial" w:eastAsia="Arial" w:hAnsi="Arial"/>
          <w:sz w:val="18"/>
          <w:szCs w:val="18"/>
          <w:color w:val="auto"/>
        </w:rPr>
        <w:t>claims, based on our understanding of the insurance policies available, how settlement amounts have been allocated to various policies, our settlement experience, the absence of any judgments against the Company or Brandon, the ratio of paper mill claims to total claims filed, and the defenses available, we currently do not anticipate any material liability relating to the resolution of the aforementioned pending proceedings in excess of existing insurance limits.</w:t>
      </w:r>
    </w:p>
    <w:p>
      <w:pPr>
        <w:spacing w:after="0" w:line="164"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Consequently, 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and the trends in claims against us to date, we do not anticipate that additional claims likely to be filed against us in the future will have a material adverse effect on our financial position, results of operations, or cash flows. We are aware that litigation is inherently uncertain, especially when the outcome is dependent primarily on determinations of factual matters to be made by juries.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Changes in Shareholders’ Equity</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changes in Shareholders’ Equity:</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7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150"/>
              <w:spacing w:after="0" w:line="194" w:lineRule="exact"/>
              <w:rPr>
                <w:sz w:val="20"/>
                <w:szCs w:val="20"/>
                <w:color w:val="auto"/>
              </w:rPr>
            </w:pPr>
            <w:r>
              <w:rPr>
                <w:rFonts w:ascii="Arial" w:cs="Arial" w:eastAsia="Arial" w:hAnsi="Arial"/>
                <w:sz w:val="18"/>
                <w:szCs w:val="18"/>
                <w:b w:val="1"/>
                <w:bCs w:val="1"/>
                <w:color w:val="auto"/>
              </w:rPr>
              <w:t>Common</w:t>
            </w:r>
          </w:p>
        </w:tc>
        <w:tc>
          <w:tcPr>
            <w:tcW w:w="1160" w:type="dxa"/>
            <w:vAlign w:val="bottom"/>
            <w:tcBorders>
              <w:top w:val="single" w:sz="8" w:color="auto"/>
            </w:tcBorders>
          </w:tcPr>
          <w:p>
            <w:pPr>
              <w:jc w:val="right"/>
              <w:ind w:right="90"/>
              <w:spacing w:after="0" w:line="194" w:lineRule="exact"/>
              <w:rPr>
                <w:sz w:val="20"/>
                <w:szCs w:val="20"/>
                <w:color w:val="auto"/>
              </w:rPr>
            </w:pPr>
            <w:r>
              <w:rPr>
                <w:rFonts w:ascii="Arial" w:cs="Arial" w:eastAsia="Arial" w:hAnsi="Arial"/>
                <w:sz w:val="18"/>
                <w:szCs w:val="18"/>
                <w:b w:val="1"/>
                <w:bCs w:val="1"/>
                <w:color w:val="auto"/>
              </w:rPr>
              <w:t>Additional</w:t>
            </w:r>
          </w:p>
        </w:tc>
        <w:tc>
          <w:tcPr>
            <w:tcW w:w="112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tcPr>
          <w:p>
            <w:pPr>
              <w:jc w:val="right"/>
              <w:ind w:right="490"/>
              <w:spacing w:after="0" w:line="194" w:lineRule="exact"/>
              <w:rPr>
                <w:sz w:val="20"/>
                <w:szCs w:val="20"/>
                <w:color w:val="auto"/>
              </w:rPr>
            </w:pPr>
            <w:r>
              <w:rPr>
                <w:rFonts w:ascii="Arial" w:cs="Arial" w:eastAsia="Arial" w:hAnsi="Arial"/>
                <w:sz w:val="18"/>
                <w:szCs w:val="18"/>
                <w:b w:val="1"/>
                <w:bCs w:val="1"/>
                <w:color w:val="auto"/>
              </w:rPr>
              <w:t>Accumulated</w:t>
            </w:r>
          </w:p>
        </w:tc>
        <w:tc>
          <w:tcPr>
            <w:tcW w:w="11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330"/>
              <w:spacing w:after="0" w:line="194" w:lineRule="exact"/>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6"/>
                <w:szCs w:val="16"/>
                <w:color w:val="auto"/>
              </w:rPr>
            </w:pPr>
          </w:p>
        </w:tc>
      </w:tr>
      <w:tr>
        <w:trPr>
          <w:trHeight w:val="203"/>
        </w:trPr>
        <w:tc>
          <w:tcPr>
            <w:tcW w:w="1780" w:type="dxa"/>
            <w:vAlign w:val="bottom"/>
          </w:tcPr>
          <w:p>
            <w:pPr>
              <w:spacing w:after="0"/>
              <w:rPr>
                <w:sz w:val="17"/>
                <w:szCs w:val="17"/>
                <w:color w:val="auto"/>
              </w:rPr>
            </w:pP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Stock Class</w:t>
            </w:r>
          </w:p>
        </w:tc>
        <w:tc>
          <w:tcPr>
            <w:tcW w:w="116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paid in</w:t>
            </w:r>
          </w:p>
        </w:tc>
        <w:tc>
          <w:tcPr>
            <w:tcW w:w="112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Retained</w:t>
            </w:r>
          </w:p>
        </w:tc>
        <w:tc>
          <w:tcPr>
            <w:tcW w:w="2240" w:type="dxa"/>
            <w:vAlign w:val="bottom"/>
          </w:tcPr>
          <w:p>
            <w:pPr>
              <w:jc w:val="right"/>
              <w:ind w:right="470"/>
              <w:spacing w:after="0" w:line="202" w:lineRule="exact"/>
              <w:rPr>
                <w:sz w:val="20"/>
                <w:szCs w:val="20"/>
                <w:color w:val="auto"/>
              </w:rPr>
            </w:pPr>
            <w:r>
              <w:rPr>
                <w:rFonts w:ascii="Arial" w:cs="Arial" w:eastAsia="Arial" w:hAnsi="Arial"/>
                <w:sz w:val="18"/>
                <w:szCs w:val="18"/>
                <w:b w:val="1"/>
                <w:bCs w:val="1"/>
                <w:color w:val="auto"/>
              </w:rPr>
              <w:t>items of other</w:t>
            </w:r>
          </w:p>
        </w:tc>
        <w:tc>
          <w:tcPr>
            <w:tcW w:w="112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Treasury</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Noncontrolling</w:t>
            </w:r>
          </w:p>
        </w:tc>
        <w:tc>
          <w:tcPr>
            <w:tcW w:w="1300" w:type="dxa"/>
            <w:vAlign w:val="bottom"/>
            <w:gridSpan w:val="2"/>
          </w:tcPr>
          <w:p>
            <w:pPr>
              <w:jc w:val="center"/>
              <w:ind w:left="10"/>
              <w:spacing w:after="0" w:line="202" w:lineRule="exact"/>
              <w:rPr>
                <w:sz w:val="20"/>
                <w:szCs w:val="20"/>
                <w:color w:val="auto"/>
              </w:rPr>
            </w:pPr>
            <w:r>
              <w:rPr>
                <w:rFonts w:ascii="Arial" w:cs="Arial" w:eastAsia="Arial" w:hAnsi="Arial"/>
                <w:sz w:val="18"/>
                <w:szCs w:val="18"/>
                <w:b w:val="1"/>
                <w:bCs w:val="1"/>
                <w:color w:val="auto"/>
                <w:w w:val="99"/>
              </w:rPr>
              <w:t>Shareholders’</w:t>
            </w:r>
          </w:p>
        </w:tc>
      </w:tr>
      <w:tr>
        <w:trPr>
          <w:trHeight w:val="225"/>
        </w:trPr>
        <w:tc>
          <w:tcPr>
            <w:tcW w:w="17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rPr>
              <w:t>A and B</w:t>
            </w:r>
          </w:p>
        </w:tc>
        <w:tc>
          <w:tcPr>
            <w:tcW w:w="1160" w:type="dxa"/>
            <w:vAlign w:val="bottom"/>
          </w:tcPr>
          <w:p>
            <w:pPr>
              <w:jc w:val="right"/>
              <w:ind w:right="210"/>
              <w:spacing w:after="0"/>
              <w:rPr>
                <w:sz w:val="20"/>
                <w:szCs w:val="20"/>
                <w:color w:val="auto"/>
              </w:rPr>
            </w:pPr>
            <w:r>
              <w:rPr>
                <w:rFonts w:ascii="Arial" w:cs="Arial" w:eastAsia="Arial" w:hAnsi="Arial"/>
                <w:sz w:val="18"/>
                <w:szCs w:val="18"/>
                <w:b w:val="1"/>
                <w:bCs w:val="1"/>
                <w:color w:val="auto"/>
              </w:rPr>
              <w:t>capital</w:t>
            </w: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earnings</w:t>
            </w:r>
          </w:p>
        </w:tc>
        <w:tc>
          <w:tcPr>
            <w:tcW w:w="2240" w:type="dxa"/>
            <w:vAlign w:val="bottom"/>
          </w:tcPr>
          <w:p>
            <w:pPr>
              <w:jc w:val="right"/>
              <w:ind w:right="30"/>
              <w:spacing w:after="0"/>
              <w:rPr>
                <w:sz w:val="20"/>
                <w:szCs w:val="20"/>
                <w:color w:val="auto"/>
              </w:rPr>
            </w:pPr>
            <w:r>
              <w:rPr>
                <w:rFonts w:ascii="Arial" w:cs="Arial" w:eastAsia="Arial" w:hAnsi="Arial"/>
                <w:sz w:val="18"/>
                <w:szCs w:val="18"/>
                <w:b w:val="1"/>
                <w:bCs w:val="1"/>
                <w:color w:val="auto"/>
              </w:rPr>
              <w:t>comprehensive income</w:t>
            </w: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stock</w:t>
            </w:r>
          </w:p>
        </w:tc>
        <w:tc>
          <w:tcPr>
            <w:tcW w:w="1500" w:type="dxa"/>
            <w:vAlign w:val="bottom"/>
          </w:tcPr>
          <w:p>
            <w:pPr>
              <w:jc w:val="right"/>
              <w:ind w:right="330"/>
              <w:spacing w:after="0"/>
              <w:rPr>
                <w:sz w:val="20"/>
                <w:szCs w:val="20"/>
                <w:color w:val="auto"/>
              </w:rPr>
            </w:pPr>
            <w:r>
              <w:rPr>
                <w:rFonts w:ascii="Arial" w:cs="Arial" w:eastAsia="Arial" w:hAnsi="Arial"/>
                <w:sz w:val="18"/>
                <w:szCs w:val="18"/>
                <w:b w:val="1"/>
                <w:bCs w:val="1"/>
                <w:color w:val="auto"/>
              </w:rPr>
              <w:t>Interest</w:t>
            </w: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Equity</w:t>
            </w:r>
          </w:p>
        </w:tc>
      </w:tr>
      <w:tr>
        <w:trPr>
          <w:trHeight w:val="196"/>
        </w:trPr>
        <w:tc>
          <w:tcPr>
            <w:tcW w:w="17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December 31, 2014</w:t>
            </w:r>
          </w:p>
        </w:tc>
        <w:tc>
          <w:tcPr>
            <w:tcW w:w="122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$40</w:t>
            </w:r>
          </w:p>
        </w:tc>
        <w:tc>
          <w:tcPr>
            <w:tcW w:w="116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$418,972</w:t>
            </w:r>
          </w:p>
        </w:tc>
        <w:tc>
          <w:tcPr>
            <w:tcW w:w="112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$456,105</w:t>
            </w:r>
          </w:p>
        </w:tc>
        <w:tc>
          <w:tcPr>
            <w:tcW w:w="2240" w:type="dxa"/>
            <w:vAlign w:val="bottom"/>
            <w:tcBorders>
              <w:top w:val="single" w:sz="8" w:color="auto"/>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($107,767)</w:t>
            </w:r>
          </w:p>
        </w:tc>
        <w:tc>
          <w:tcPr>
            <w:tcW w:w="11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($257,481)</w:t>
            </w:r>
          </w:p>
        </w:tc>
        <w:tc>
          <w:tcPr>
            <w:tcW w:w="150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$3,699</w:t>
            </w:r>
          </w:p>
        </w:tc>
        <w:tc>
          <w:tcPr>
            <w:tcW w:w="128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$513,568</w:t>
            </w:r>
          </w:p>
        </w:tc>
        <w:tc>
          <w:tcPr>
            <w:tcW w:w="20" w:type="dxa"/>
            <w:vAlign w:val="bottom"/>
          </w:tcPr>
          <w:p>
            <w:pPr>
              <w:spacing w:after="0"/>
              <w:rPr>
                <w:sz w:val="17"/>
                <w:szCs w:val="17"/>
                <w:color w:val="auto"/>
              </w:rPr>
            </w:pPr>
          </w:p>
        </w:tc>
      </w:tr>
      <w:tr>
        <w:trPr>
          <w:trHeight w:val="195"/>
        </w:trPr>
        <w:tc>
          <w:tcPr>
            <w:tcW w:w="1780" w:type="dxa"/>
            <w:vAlign w:val="bottom"/>
          </w:tcPr>
          <w:p>
            <w:pPr>
              <w:spacing w:after="0" w:line="195" w:lineRule="exact"/>
              <w:rPr>
                <w:sz w:val="20"/>
                <w:szCs w:val="20"/>
                <w:color w:val="auto"/>
              </w:rPr>
            </w:pPr>
            <w:r>
              <w:rPr>
                <w:rFonts w:ascii="Arial" w:cs="Arial" w:eastAsia="Arial" w:hAnsi="Arial"/>
                <w:sz w:val="18"/>
                <w:szCs w:val="18"/>
                <w:color w:val="auto"/>
              </w:rPr>
              <w:t>Net income</w:t>
            </w:r>
          </w:p>
        </w:tc>
        <w:tc>
          <w:tcPr>
            <w:tcW w:w="122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line="195" w:lineRule="exact"/>
              <w:rPr>
                <w:sz w:val="20"/>
                <w:szCs w:val="20"/>
                <w:color w:val="auto"/>
              </w:rPr>
            </w:pPr>
            <w:r>
              <w:rPr>
                <w:rFonts w:ascii="Arial" w:cs="Arial" w:eastAsia="Arial" w:hAnsi="Arial"/>
                <w:sz w:val="18"/>
                <w:szCs w:val="18"/>
                <w:color w:val="auto"/>
              </w:rPr>
              <w:t>19,699</w:t>
            </w:r>
          </w:p>
        </w:tc>
        <w:tc>
          <w:tcPr>
            <w:tcW w:w="2240" w:type="dxa"/>
            <w:vAlign w:val="bottom"/>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line="195"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100</w:t>
            </w:r>
          </w:p>
        </w:tc>
        <w:tc>
          <w:tcPr>
            <w:tcW w:w="12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19,799</w:t>
            </w:r>
          </w:p>
        </w:tc>
        <w:tc>
          <w:tcPr>
            <w:tcW w:w="20" w:type="dxa"/>
            <w:vAlign w:val="bottom"/>
          </w:tcPr>
          <w:p>
            <w:pPr>
              <w:spacing w:after="0"/>
              <w:rPr>
                <w:sz w:val="16"/>
                <w:szCs w:val="16"/>
                <w:color w:val="auto"/>
              </w:rPr>
            </w:pPr>
          </w:p>
        </w:tc>
      </w:tr>
      <w:tr>
        <w:trPr>
          <w:trHeight w:val="203"/>
        </w:trPr>
        <w:tc>
          <w:tcPr>
            <w:tcW w:w="1780" w:type="dxa"/>
            <w:vAlign w:val="bottom"/>
          </w:tcPr>
          <w:p>
            <w:pPr>
              <w:spacing w:after="0" w:line="202" w:lineRule="exact"/>
              <w:rPr>
                <w:sz w:val="20"/>
                <w:szCs w:val="20"/>
                <w:color w:val="auto"/>
              </w:rPr>
            </w:pPr>
            <w:r>
              <w:rPr>
                <w:rFonts w:ascii="Arial" w:cs="Arial" w:eastAsia="Arial" w:hAnsi="Arial"/>
                <w:sz w:val="18"/>
                <w:szCs w:val="18"/>
                <w:color w:val="auto"/>
              </w:rPr>
              <w:t>Compensation and</w:t>
            </w: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780" w:type="dxa"/>
            <w:vAlign w:val="bottom"/>
          </w:tcPr>
          <w:p>
            <w:pPr>
              <w:spacing w:after="0" w:line="202" w:lineRule="exact"/>
              <w:rPr>
                <w:sz w:val="20"/>
                <w:szCs w:val="20"/>
                <w:color w:val="auto"/>
              </w:rPr>
            </w:pPr>
            <w:r>
              <w:rPr>
                <w:rFonts w:ascii="Arial" w:cs="Arial" w:eastAsia="Arial" w:hAnsi="Arial"/>
                <w:sz w:val="18"/>
                <w:szCs w:val="18"/>
                <w:color w:val="auto"/>
              </w:rPr>
              <w:t>benefits paid or</w:t>
            </w: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780" w:type="dxa"/>
            <w:vAlign w:val="bottom"/>
          </w:tcPr>
          <w:p>
            <w:pPr>
              <w:spacing w:after="0" w:line="202" w:lineRule="exact"/>
              <w:rPr>
                <w:sz w:val="20"/>
                <w:szCs w:val="20"/>
                <w:color w:val="auto"/>
              </w:rPr>
            </w:pPr>
            <w:r>
              <w:rPr>
                <w:rFonts w:ascii="Arial" w:cs="Arial" w:eastAsia="Arial" w:hAnsi="Arial"/>
                <w:sz w:val="18"/>
                <w:szCs w:val="18"/>
                <w:color w:val="auto"/>
              </w:rPr>
              <w:t>payable in shares</w:t>
            </w:r>
          </w:p>
        </w:tc>
        <w:tc>
          <w:tcPr>
            <w:tcW w:w="12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1,118</w:t>
            </w:r>
          </w:p>
        </w:tc>
        <w:tc>
          <w:tcPr>
            <w:tcW w:w="11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224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1,118</w:t>
            </w:r>
          </w:p>
        </w:tc>
        <w:tc>
          <w:tcPr>
            <w:tcW w:w="20" w:type="dxa"/>
            <w:vAlign w:val="bottom"/>
          </w:tcPr>
          <w:p>
            <w:pPr>
              <w:spacing w:after="0"/>
              <w:rPr>
                <w:sz w:val="17"/>
                <w:szCs w:val="17"/>
                <w:color w:val="auto"/>
              </w:rPr>
            </w:pPr>
          </w:p>
        </w:tc>
      </w:tr>
      <w:tr>
        <w:trPr>
          <w:trHeight w:val="203"/>
        </w:trPr>
        <w:tc>
          <w:tcPr>
            <w:tcW w:w="1780" w:type="dxa"/>
            <w:vAlign w:val="bottom"/>
          </w:tcPr>
          <w:p>
            <w:pPr>
              <w:spacing w:after="0" w:line="202" w:lineRule="exact"/>
              <w:rPr>
                <w:sz w:val="20"/>
                <w:szCs w:val="20"/>
                <w:color w:val="auto"/>
              </w:rPr>
            </w:pPr>
            <w:r>
              <w:rPr>
                <w:rFonts w:ascii="Arial" w:cs="Arial" w:eastAsia="Arial" w:hAnsi="Arial"/>
                <w:sz w:val="18"/>
                <w:szCs w:val="18"/>
                <w:color w:val="auto"/>
              </w:rPr>
              <w:t>Options exercised</w:t>
            </w:r>
          </w:p>
        </w:tc>
        <w:tc>
          <w:tcPr>
            <w:tcW w:w="12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2,401</w:t>
            </w:r>
          </w:p>
        </w:tc>
        <w:tc>
          <w:tcPr>
            <w:tcW w:w="11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224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2,401</w:t>
            </w:r>
          </w:p>
        </w:tc>
        <w:tc>
          <w:tcPr>
            <w:tcW w:w="20" w:type="dxa"/>
            <w:vAlign w:val="bottom"/>
          </w:tcPr>
          <w:p>
            <w:pPr>
              <w:spacing w:after="0"/>
              <w:rPr>
                <w:sz w:val="17"/>
                <w:szCs w:val="17"/>
                <w:color w:val="auto"/>
              </w:rPr>
            </w:pPr>
          </w:p>
        </w:tc>
      </w:tr>
      <w:tr>
        <w:trPr>
          <w:trHeight w:val="203"/>
        </w:trPr>
        <w:tc>
          <w:tcPr>
            <w:tcW w:w="1780" w:type="dxa"/>
            <w:vAlign w:val="bottom"/>
          </w:tcPr>
          <w:p>
            <w:pPr>
              <w:spacing w:after="0" w:line="202" w:lineRule="exact"/>
              <w:rPr>
                <w:sz w:val="20"/>
                <w:szCs w:val="20"/>
                <w:color w:val="auto"/>
              </w:rPr>
            </w:pPr>
            <w:r>
              <w:rPr>
                <w:rFonts w:ascii="Arial" w:cs="Arial" w:eastAsia="Arial" w:hAnsi="Arial"/>
                <w:sz w:val="18"/>
                <w:szCs w:val="18"/>
                <w:color w:val="auto"/>
              </w:rPr>
              <w:t>Shares issued to</w:t>
            </w: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7"/>
        </w:trPr>
        <w:tc>
          <w:tcPr>
            <w:tcW w:w="1780" w:type="dxa"/>
            <w:vAlign w:val="bottom"/>
          </w:tcPr>
          <w:p>
            <w:pPr>
              <w:spacing w:after="0"/>
              <w:rPr>
                <w:sz w:val="20"/>
                <w:szCs w:val="20"/>
                <w:color w:val="auto"/>
              </w:rPr>
            </w:pPr>
            <w:r>
              <w:rPr>
                <w:rFonts w:ascii="Arial" w:cs="Arial" w:eastAsia="Arial" w:hAnsi="Arial"/>
                <w:sz w:val="18"/>
                <w:szCs w:val="18"/>
                <w:color w:val="auto"/>
              </w:rPr>
              <w:t>Directors'</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76</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90</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18"/>
                <w:szCs w:val="18"/>
                <w:color w:val="auto"/>
              </w:rPr>
            </w:pPr>
          </w:p>
        </w:tc>
      </w:tr>
      <w:tr>
        <w:trPr>
          <w:trHeight w:val="404"/>
        </w:trPr>
        <w:tc>
          <w:tcPr>
            <w:tcW w:w="1780" w:type="dxa"/>
            <w:vAlign w:val="bottom"/>
          </w:tcPr>
          <w:p>
            <w:pPr>
              <w:spacing w:after="0"/>
              <w:rPr>
                <w:sz w:val="20"/>
                <w:szCs w:val="20"/>
                <w:color w:val="auto"/>
              </w:rPr>
            </w:pPr>
            <w:r>
              <w:rPr>
                <w:rFonts w:ascii="Arial" w:cs="Arial" w:eastAsia="Arial" w:hAnsi="Arial"/>
                <w:sz w:val="18"/>
                <w:szCs w:val="18"/>
                <w:color w:val="auto"/>
              </w:rPr>
              <w:t>Dividends declared</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(15,991)</w:t>
            </w:r>
          </w:p>
        </w:tc>
        <w:tc>
          <w:tcPr>
            <w:tcW w:w="22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(15,991)</w:t>
            </w:r>
          </w:p>
        </w:tc>
        <w:tc>
          <w:tcPr>
            <w:tcW w:w="20" w:type="dxa"/>
            <w:vAlign w:val="bottom"/>
          </w:tcPr>
          <w:p>
            <w:pPr>
              <w:spacing w:after="0"/>
              <w:rPr>
                <w:sz w:val="24"/>
                <w:szCs w:val="24"/>
                <w:color w:val="auto"/>
              </w:rPr>
            </w:pPr>
          </w:p>
        </w:tc>
      </w:tr>
      <w:tr>
        <w:trPr>
          <w:trHeight w:val="203"/>
        </w:trPr>
        <w:tc>
          <w:tcPr>
            <w:tcW w:w="1780" w:type="dxa"/>
            <w:vAlign w:val="bottom"/>
          </w:tcPr>
          <w:p>
            <w:pPr>
              <w:spacing w:after="0" w:line="202" w:lineRule="exact"/>
              <w:rPr>
                <w:sz w:val="20"/>
                <w:szCs w:val="20"/>
                <w:color w:val="auto"/>
              </w:rPr>
            </w:pPr>
            <w:r>
              <w:rPr>
                <w:rFonts w:ascii="Arial" w:cs="Arial" w:eastAsia="Arial" w:hAnsi="Arial"/>
                <w:sz w:val="18"/>
                <w:szCs w:val="18"/>
                <w:color w:val="auto"/>
              </w:rPr>
              <w:t>Cumulative</w:t>
            </w: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780" w:type="dxa"/>
            <w:vAlign w:val="bottom"/>
          </w:tcPr>
          <w:p>
            <w:pPr>
              <w:spacing w:after="0" w:line="202" w:lineRule="exact"/>
              <w:rPr>
                <w:sz w:val="20"/>
                <w:szCs w:val="20"/>
                <w:color w:val="auto"/>
              </w:rPr>
            </w:pPr>
            <w:r>
              <w:rPr>
                <w:rFonts w:ascii="Arial" w:cs="Arial" w:eastAsia="Arial" w:hAnsi="Arial"/>
                <w:sz w:val="18"/>
                <w:szCs w:val="18"/>
                <w:color w:val="auto"/>
              </w:rPr>
              <w:t>translation</w:t>
            </w: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780" w:type="dxa"/>
            <w:vAlign w:val="bottom"/>
          </w:tcPr>
          <w:p>
            <w:pPr>
              <w:spacing w:after="0" w:line="202" w:lineRule="exact"/>
              <w:rPr>
                <w:sz w:val="20"/>
                <w:szCs w:val="20"/>
                <w:color w:val="auto"/>
              </w:rPr>
            </w:pPr>
            <w:r>
              <w:rPr>
                <w:rFonts w:ascii="Arial" w:cs="Arial" w:eastAsia="Arial" w:hAnsi="Arial"/>
                <w:sz w:val="18"/>
                <w:szCs w:val="18"/>
                <w:color w:val="auto"/>
              </w:rPr>
              <w:t>adjustments</w:t>
            </w:r>
          </w:p>
        </w:tc>
        <w:tc>
          <w:tcPr>
            <w:tcW w:w="12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22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(44,316)</w:t>
            </w:r>
          </w:p>
        </w:tc>
        <w:tc>
          <w:tcPr>
            <w:tcW w:w="11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(44,315)</w:t>
            </w:r>
          </w:p>
        </w:tc>
        <w:tc>
          <w:tcPr>
            <w:tcW w:w="20" w:type="dxa"/>
            <w:vAlign w:val="bottom"/>
          </w:tcPr>
          <w:p>
            <w:pPr>
              <w:spacing w:after="0"/>
              <w:rPr>
                <w:sz w:val="17"/>
                <w:szCs w:val="17"/>
                <w:color w:val="auto"/>
              </w:rPr>
            </w:pPr>
          </w:p>
        </w:tc>
      </w:tr>
      <w:tr>
        <w:trPr>
          <w:trHeight w:val="203"/>
        </w:trPr>
        <w:tc>
          <w:tcPr>
            <w:tcW w:w="1780" w:type="dxa"/>
            <w:vAlign w:val="bottom"/>
          </w:tcPr>
          <w:p>
            <w:pPr>
              <w:spacing w:after="0" w:line="202" w:lineRule="exact"/>
              <w:rPr>
                <w:sz w:val="20"/>
                <w:szCs w:val="20"/>
                <w:color w:val="auto"/>
              </w:rPr>
            </w:pPr>
            <w:r>
              <w:rPr>
                <w:rFonts w:ascii="Arial" w:cs="Arial" w:eastAsia="Arial" w:hAnsi="Arial"/>
                <w:sz w:val="18"/>
                <w:szCs w:val="18"/>
                <w:color w:val="auto"/>
              </w:rPr>
              <w:t>Pension and</w:t>
            </w: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780" w:type="dxa"/>
            <w:vAlign w:val="bottom"/>
          </w:tcPr>
          <w:p>
            <w:pPr>
              <w:spacing w:after="0" w:line="202" w:lineRule="exact"/>
              <w:rPr>
                <w:sz w:val="20"/>
                <w:szCs w:val="20"/>
                <w:color w:val="auto"/>
              </w:rPr>
            </w:pPr>
            <w:r>
              <w:rPr>
                <w:rFonts w:ascii="Arial" w:cs="Arial" w:eastAsia="Arial" w:hAnsi="Arial"/>
                <w:sz w:val="18"/>
                <w:szCs w:val="18"/>
                <w:color w:val="auto"/>
              </w:rPr>
              <w:t>postretirement</w:t>
            </w: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780" w:type="dxa"/>
            <w:vAlign w:val="bottom"/>
          </w:tcPr>
          <w:p>
            <w:pPr>
              <w:spacing w:after="0" w:line="202" w:lineRule="exact"/>
              <w:rPr>
                <w:sz w:val="20"/>
                <w:szCs w:val="20"/>
                <w:color w:val="auto"/>
              </w:rPr>
            </w:pPr>
            <w:r>
              <w:rPr>
                <w:rFonts w:ascii="Arial" w:cs="Arial" w:eastAsia="Arial" w:hAnsi="Arial"/>
                <w:sz w:val="18"/>
                <w:szCs w:val="18"/>
                <w:color w:val="auto"/>
              </w:rPr>
              <w:t>liability adjustments</w:t>
            </w:r>
          </w:p>
        </w:tc>
        <w:tc>
          <w:tcPr>
            <w:tcW w:w="12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224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2,449</w:t>
            </w:r>
          </w:p>
        </w:tc>
        <w:tc>
          <w:tcPr>
            <w:tcW w:w="11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2,449</w:t>
            </w:r>
          </w:p>
        </w:tc>
        <w:tc>
          <w:tcPr>
            <w:tcW w:w="20" w:type="dxa"/>
            <w:vAlign w:val="bottom"/>
          </w:tcPr>
          <w:p>
            <w:pPr>
              <w:spacing w:after="0"/>
              <w:rPr>
                <w:sz w:val="17"/>
                <w:szCs w:val="17"/>
                <w:color w:val="auto"/>
              </w:rPr>
            </w:pPr>
          </w:p>
        </w:tc>
      </w:tr>
      <w:tr>
        <w:trPr>
          <w:trHeight w:val="203"/>
        </w:trPr>
        <w:tc>
          <w:tcPr>
            <w:tcW w:w="1780" w:type="dxa"/>
            <w:vAlign w:val="bottom"/>
          </w:tcPr>
          <w:p>
            <w:pPr>
              <w:spacing w:after="0" w:line="202" w:lineRule="exact"/>
              <w:rPr>
                <w:sz w:val="20"/>
                <w:szCs w:val="20"/>
                <w:color w:val="auto"/>
              </w:rPr>
            </w:pPr>
            <w:r>
              <w:rPr>
                <w:rFonts w:ascii="Arial" w:cs="Arial" w:eastAsia="Arial" w:hAnsi="Arial"/>
                <w:sz w:val="18"/>
                <w:szCs w:val="18"/>
                <w:color w:val="auto"/>
              </w:rPr>
              <w:t>Derivative valuation</w:t>
            </w: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7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adjustment</w:t>
            </w:r>
          </w:p>
        </w:tc>
        <w:tc>
          <w:tcPr>
            <w:tcW w:w="12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(1,435)</w:t>
            </w:r>
          </w:p>
        </w:tc>
        <w:tc>
          <w:tcPr>
            <w:tcW w:w="112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(1,435)</w:t>
            </w:r>
          </w:p>
        </w:tc>
        <w:tc>
          <w:tcPr>
            <w:tcW w:w="20" w:type="dxa"/>
            <w:vAlign w:val="bottom"/>
          </w:tcPr>
          <w:p>
            <w:pPr>
              <w:spacing w:after="0"/>
              <w:rPr>
                <w:sz w:val="17"/>
                <w:szCs w:val="17"/>
                <w:color w:val="auto"/>
              </w:rPr>
            </w:pPr>
          </w:p>
        </w:tc>
      </w:tr>
      <w:tr>
        <w:trPr>
          <w:trHeight w:val="196"/>
        </w:trPr>
        <w:tc>
          <w:tcPr>
            <w:tcW w:w="17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September 30, 2015</w:t>
            </w:r>
          </w:p>
        </w:tc>
        <w:tc>
          <w:tcPr>
            <w:tcW w:w="12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$40</w:t>
            </w:r>
          </w:p>
        </w:tc>
        <w:tc>
          <w:tcPr>
            <w:tcW w:w="11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$422,567</w:t>
            </w:r>
          </w:p>
        </w:tc>
        <w:tc>
          <w:tcPr>
            <w:tcW w:w="11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$459,813</w:t>
            </w:r>
          </w:p>
        </w:tc>
        <w:tc>
          <w:tcPr>
            <w:tcW w:w="22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($151,069)</w:t>
            </w:r>
          </w:p>
        </w:tc>
        <w:tc>
          <w:tcPr>
            <w:tcW w:w="11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($257,391)</w:t>
            </w:r>
          </w:p>
        </w:tc>
        <w:tc>
          <w:tcPr>
            <w:tcW w:w="15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$3,800</w:t>
            </w:r>
          </w:p>
        </w:tc>
        <w:tc>
          <w:tcPr>
            <w:tcW w:w="12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$477,760</w:t>
            </w: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Recent Accounting Pronouncements</w:t>
      </w:r>
    </w:p>
    <w:p>
      <w:pPr>
        <w:spacing w:after="0" w:line="220" w:lineRule="exact"/>
        <w:rPr>
          <w:sz w:val="20"/>
          <w:szCs w:val="20"/>
          <w:color w:val="auto"/>
        </w:rPr>
      </w:pPr>
    </w:p>
    <w:p>
      <w:pPr>
        <w:ind w:right="200" w:firstLine="648"/>
        <w:spacing w:after="0" w:line="238" w:lineRule="auto"/>
        <w:rPr>
          <w:sz w:val="20"/>
          <w:szCs w:val="20"/>
          <w:color w:val="auto"/>
        </w:rPr>
      </w:pPr>
      <w:r>
        <w:rPr>
          <w:rFonts w:ascii="Arial" w:cs="Arial" w:eastAsia="Arial" w:hAnsi="Arial"/>
          <w:sz w:val="18"/>
          <w:szCs w:val="18"/>
          <w:color w:val="auto"/>
        </w:rPr>
        <w:t>In May 2014, an accounting update was issued that replaces the existing revenue recognition framework regarding contracts with customers. In July 2015, the FASB agreed to defer by one year, the mandatory effective date of the revenue recognition standard. This accounting update is effective for reporting periods beginning after December 31, 2017. Early adoption is permitted but not before the original effective date, which is for reporting periods beginning after December 31, 2016. We have not determined the impact of this update on our financial statements.</w:t>
      </w:r>
    </w:p>
    <w:p>
      <w:pPr>
        <w:spacing w:after="0" w:line="189"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In January 2015, an accounting update was issued which eliminates the concept of extraordinary items from U.S. GAAP. This accounting update is effective for reporting periods beginning after December 15, 2015. We do not expect the adoption of this update to have a significant effect on our financial statements, absent any future transactions that would have qualified for extraordinary item presentation under the prior guidance.</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24" w:name="page25"/>
    <w:bookmarkEnd w:id="24"/>
    <w:p>
      <w:pPr>
        <w:ind w:right="200" w:firstLine="648"/>
        <w:spacing w:after="0" w:line="239" w:lineRule="auto"/>
        <w:rPr>
          <w:sz w:val="20"/>
          <w:szCs w:val="20"/>
          <w:color w:val="auto"/>
        </w:rPr>
      </w:pPr>
      <w:r>
        <w:rPr>
          <w:rFonts w:ascii="Arial" w:cs="Arial" w:eastAsia="Arial" w:hAnsi="Arial"/>
          <w:sz w:val="18"/>
          <w:szCs w:val="18"/>
          <w:color w:val="auto"/>
        </w:rPr>
        <w:t>In February 2015, amended accounting guidance was issued which changes the evaluation of variable interest entities regarding whether they should consolidate limited partnerships and similar entities, or whether fees are paid to a decision maker or service provider, or whether they are held by related parties. This accounting update is effective for reporting periods beginning after December 15, 2015. We do not expect the adoption of this update to have a significant effect on our financial statements.</w:t>
      </w:r>
    </w:p>
    <w:p>
      <w:pPr>
        <w:spacing w:after="0" w:line="188" w:lineRule="exact"/>
        <w:rPr>
          <w:sz w:val="20"/>
          <w:szCs w:val="20"/>
          <w:color w:val="auto"/>
        </w:rPr>
      </w:pPr>
    </w:p>
    <w:p>
      <w:pPr>
        <w:ind w:right="220" w:firstLine="648"/>
        <w:spacing w:after="0" w:line="239" w:lineRule="auto"/>
        <w:rPr>
          <w:sz w:val="20"/>
          <w:szCs w:val="20"/>
          <w:color w:val="auto"/>
        </w:rPr>
      </w:pPr>
      <w:r>
        <w:rPr>
          <w:rFonts w:ascii="Arial" w:cs="Arial" w:eastAsia="Arial" w:hAnsi="Arial"/>
          <w:sz w:val="18"/>
          <w:szCs w:val="18"/>
          <w:color w:val="auto"/>
        </w:rPr>
        <w:t>In April 2015 and August 2015, accounting updates were issued which requires that debt issuance costs related to certain types of recognized debt liability be presented in the balance sheet as a direct deduction of that debt, which may result in a minor netting down of our assets and liabilities. This accounting update is effective for reporting periods beginning after December 15, 2015. We do not expect the adoption of this update to have an effect on our financial statements.</w:t>
      </w:r>
    </w:p>
    <w:p>
      <w:pPr>
        <w:spacing w:after="0" w:line="188"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In April 2015, an accounting update was issued which clarifies that if a license is acquired as part of fees paid in a cloud computing arrangement, then the license should be accounted for in the same manner as other software licenses. This accounting update is effective for reporting periods beginning after December 15, 2015. We do not expect the adoption of this update to have a significant effect on our financial statements.</w:t>
      </w:r>
    </w:p>
    <w:p>
      <w:pPr>
        <w:spacing w:after="0" w:line="188"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In May 2015, an accounting update was issued which eliminates the requirement to categorize investments in the fair value hierarchy if their fair value is measured at net asset value (NAV) per share. This accounting update is effective for reporting periods beginning after December 15, 2015. We do not expect the adoption of this update to have a significant effect on our financial statements.</w:t>
      </w:r>
    </w:p>
    <w:p>
      <w:pPr>
        <w:spacing w:after="0" w:line="189" w:lineRule="exact"/>
        <w:rPr>
          <w:sz w:val="20"/>
          <w:szCs w:val="20"/>
          <w:color w:val="auto"/>
        </w:rPr>
      </w:pPr>
    </w:p>
    <w:p>
      <w:pPr>
        <w:jc w:val="both"/>
        <w:ind w:right="120" w:firstLine="648"/>
        <w:spacing w:after="0" w:line="239" w:lineRule="auto"/>
        <w:rPr>
          <w:sz w:val="20"/>
          <w:szCs w:val="20"/>
          <w:color w:val="auto"/>
        </w:rPr>
      </w:pPr>
      <w:r>
        <w:rPr>
          <w:rFonts w:ascii="Arial" w:cs="Arial" w:eastAsia="Arial" w:hAnsi="Arial"/>
          <w:sz w:val="18"/>
          <w:szCs w:val="18"/>
          <w:color w:val="auto"/>
        </w:rPr>
        <w:t>In July 2015, an accounting update was issued simplifying the measurement of inventory from the lower of cost or market to lower of cost net realizable value. This accounting update eliminates the requirement for consideration of replacement cost or net realizable value less normal profit margin measurements. This accounting update is effective for reporting periods beginning after December 15, 2016. We do not expect the adoption of this update to have a significant effect on our financial statements.</w:t>
      </w:r>
    </w:p>
    <w:p>
      <w:pPr>
        <w:spacing w:after="0" w:line="188"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In September 2015, an accounting update was issued which eliminates the requirement for an acquirer to retrospectively adjust the financial statements for measurement-period adjustments that occur in periods after a business combination is consummated. This accounting update is effective for reporting periods beginning after December 15, 2015. We do not expect the adoption of this update to have a significant effect on our financial statements.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92" w:lineRule="exact"/>
        <w:rPr>
          <w:sz w:val="20"/>
          <w:szCs w:val="20"/>
          <w:color w:val="auto"/>
        </w:rPr>
      </w:pPr>
    </w:p>
    <w:p>
      <w:pPr>
        <w:ind w:right="380" w:firstLine="648"/>
        <w:spacing w:after="0"/>
        <w:rPr>
          <w:sz w:val="20"/>
          <w:szCs w:val="20"/>
          <w:color w:val="auto"/>
        </w:rPr>
      </w:pPr>
      <w:r>
        <w:rPr>
          <w:rFonts w:ascii="Arial" w:cs="Arial" w:eastAsia="Arial" w:hAnsi="Arial"/>
          <w:sz w:val="18"/>
          <w:szCs w:val="18"/>
          <w:color w:val="auto"/>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7"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“intend,” “estimate,” “anticipate,” ”may,” “plan,” “project,” “will,” “should” and variations of such words or similar expressions are intended, but are not the exclusive means, to identify forward-looking statements. Because forward-looking statements are subject to risks and uncertainties, (including, without limitation, those set forth in the Company’s most recent Annual Report on Form 10-K or prior Quarterly Reports on Form 10-Q) actual results may differ materially from those expressed or implied by the forward-looking statements.</w:t>
      </w:r>
    </w:p>
    <w:p>
      <w:pPr>
        <w:spacing w:after="0" w:line="163" w:lineRule="exact"/>
        <w:rPr>
          <w:sz w:val="20"/>
          <w:szCs w:val="20"/>
          <w:color w:val="auto"/>
        </w:rPr>
      </w:pPr>
    </w:p>
    <w:p>
      <w:pPr>
        <w:ind w:right="500" w:firstLine="648"/>
        <w:spacing w:after="0" w:line="246" w:lineRule="auto"/>
        <w:rPr>
          <w:sz w:val="20"/>
          <w:szCs w:val="20"/>
          <w:color w:val="auto"/>
        </w:rPr>
      </w:pPr>
      <w:r>
        <w:rPr>
          <w:rFonts w:ascii="Arial" w:cs="Arial" w:eastAsia="Arial" w:hAnsi="Arial"/>
          <w:sz w:val="18"/>
          <w:szCs w:val="18"/>
          <w:color w:val="auto"/>
        </w:rPr>
        <w:t>There are a number of risks, uncertainties, and other important factors that could cause actual results to differ materially from the forward-looking statements, including, but not limited to:</w:t>
      </w:r>
    </w:p>
    <w:p>
      <w:pPr>
        <w:spacing w:after="0" w:line="156" w:lineRule="exact"/>
        <w:rPr>
          <w:sz w:val="20"/>
          <w:szCs w:val="20"/>
          <w:color w:val="auto"/>
        </w:rPr>
      </w:pPr>
    </w:p>
    <w:p>
      <w:pPr>
        <w:ind w:left="880" w:right="40" w:hanging="147"/>
        <w:spacing w:after="0" w:line="246"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Conditions in the industries in which our Machine Clothing segment competes, including the paper industry, along with general risks associated with economic downturns;</w:t>
      </w:r>
    </w:p>
    <w:p>
      <w:pPr>
        <w:spacing w:after="0" w:line="169" w:lineRule="exact"/>
        <w:rPr>
          <w:rFonts w:ascii="Arial" w:cs="Arial" w:eastAsia="Arial" w:hAnsi="Arial"/>
          <w:sz w:val="18"/>
          <w:szCs w:val="18"/>
          <w:color w:val="auto"/>
        </w:rPr>
      </w:pPr>
    </w:p>
    <w:p>
      <w:pPr>
        <w:ind w:left="880" w:right="880" w:hanging="147"/>
        <w:spacing w:after="0" w:line="246"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Recent declines in demand for paper in certain regions and market segments could continue at a rate that is greater than anticipated, and growth in demand in other segments or regions could be lower or slower than anticipated;</w:t>
      </w:r>
    </w:p>
    <w:p>
      <w:pPr>
        <w:spacing w:after="0" w:line="156" w:lineRule="exact"/>
        <w:rPr>
          <w:rFonts w:ascii="Arial" w:cs="Arial" w:eastAsia="Arial" w:hAnsi="Arial"/>
          <w:sz w:val="18"/>
          <w:szCs w:val="18"/>
          <w:color w:val="auto"/>
        </w:rPr>
      </w:pPr>
    </w:p>
    <w:p>
      <w:pPr>
        <w:ind w:left="880" w:hanging="147"/>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achieve or maintain anticipated profitable growth in our Albany Engineered Composites segment; and</w:t>
      </w:r>
    </w:p>
    <w:p>
      <w:pPr>
        <w:spacing w:after="0" w:line="184" w:lineRule="exact"/>
        <w:rPr>
          <w:rFonts w:ascii="Arial" w:cs="Arial" w:eastAsia="Arial" w:hAnsi="Arial"/>
          <w:sz w:val="18"/>
          <w:szCs w:val="18"/>
          <w:color w:val="auto"/>
        </w:rPr>
      </w:pPr>
    </w:p>
    <w:p>
      <w:pPr>
        <w:ind w:left="880" w:hanging="147"/>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risks and uncertainties detailed in this report.</w:t>
      </w:r>
    </w:p>
    <w:p>
      <w:pPr>
        <w:spacing w:after="0" w:line="198"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Further information concerning important factors that could cause actual events or results to be materially different from the forward-looking statements can be found in “Business Environment and Trends” sections of this quarterly report, as well as in the “Risk Factors” section of our most recent Annual Report on Form 10-K. While we believe such assessments to have a reasonable basis, such assessments are, by their nature, inherently uncertain. This report sets forth a number of assumptions regarding these assessments, including projected timing and volume of demand for aircraft and for LEAP aircraft engines. Such assumptions could prove incorrect. Although we believe the expectations reflected in our forward-looking statements are based on reasonable assumptions, it is not possible to foresee or identify all factors that could have a material and negative impact on our future performance. The forward-looking statements included or incorporated by reference in this report are made on the basis of our assumptions and analyses, as of the time the statements are made, in light of our experience and perception of historical conditions, expected future developments, and other factors believed to be appropriate under the circumstances.</w:t>
      </w:r>
    </w:p>
    <w:p>
      <w:pPr>
        <w:spacing w:after="0" w:line="152"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0"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Our reportable segments, Machine Clothing (MC) and Albany Engineered Composites (AEC), draw on many of the same advanced textiles and materials processing capabilities, and compete on the basis of proprietary, product-based advantage that is grounded in those core capabilities. As a result, technology and manufacturing advances in one tend to benefit the other.</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6" w:name="page27"/>
    <w:bookmarkEnd w:id="26"/>
    <w:p>
      <w:pPr>
        <w:ind w:right="60" w:firstLine="648"/>
        <w:spacing w:after="0" w:line="236" w:lineRule="auto"/>
        <w:rPr>
          <w:sz w:val="20"/>
          <w:szCs w:val="20"/>
          <w:color w:val="auto"/>
        </w:rPr>
      </w:pPr>
      <w:r>
        <w:rPr>
          <w:rFonts w:ascii="Arial" w:cs="Arial" w:eastAsia="Arial" w:hAnsi="Arial"/>
          <w:sz w:val="18"/>
          <w:szCs w:val="18"/>
          <w:color w:val="auto"/>
        </w:rPr>
        <w:t>The Machine Clothing segment is the Company’s long-established core business and primary generator of cash. While the paper and paperboard industry in our traditional geographic markets has suffered from well-documented declines in publication grades, the industry is still expected to grow slightly on a global basis, driven by demand for packaging and tissue grades, as well as the expansion of paper consumption and production in Asia and South America. We feel we are now well-positioned in these markets, with high-quality, low-cost production in growth markets, substantially lower fixed costs in mature markets, and continued strength in new product development, field services, and manufacturing technology. Although we consider the market for Machine Clothing as having flat growth potential, the business has been a significant generator of cash, and we seek to maintain the cash-generating potential of this business by maintaining the low costs that we achieved through restructuring, and competing vigorously by using our differentiated products and services to reduce our customers’ total cost of operation and improve their paper quality.</w:t>
      </w:r>
    </w:p>
    <w:p>
      <w:pPr>
        <w:spacing w:after="0" w:line="194"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We believe that AEC provides the greatest growth potential, both near and long term, for our Company. Our strategy is to grow organically by focusing our proprietary technology on high-value aerospace and defense applications that cannot be served effectively by conventional composites. We are also pursuing opportunities outside of aerospace, such as applications for the automotive industry. AEC (including Albany Safran Composites, LLC (“ASC”), in which our customer SAFRAN Group owns a 10 percent noncontrolling interest) supplies a number of customers in the aerospace industry. AEC’s largest aerospace customer is the SAFRAN Group. Through ASC, AEC develops and sells composite aerospace components to SAFRAN, with the most significant program at present being the production of fan blades and other components for the LEAP engine. AEC (through ASC and otherwise) is also developing other new and potentially significant composite products for aerospace (engine and airframe) applications.</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net sales by business segment:</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60" w:type="dxa"/>
            <w:vAlign w:val="bottom"/>
            <w:tcBorders>
              <w:top w:val="single" w:sz="8" w:color="auto"/>
            </w:tcBorders>
          </w:tcPr>
          <w:p>
            <w:pPr>
              <w:spacing w:after="0"/>
              <w:rPr>
                <w:sz w:val="16"/>
                <w:szCs w:val="16"/>
                <w:color w:val="auto"/>
              </w:rPr>
            </w:pPr>
          </w:p>
        </w:tc>
        <w:tc>
          <w:tcPr>
            <w:tcW w:w="2780" w:type="dxa"/>
            <w:vAlign w:val="bottom"/>
            <w:tcBorders>
              <w:top w:val="single" w:sz="8" w:color="auto"/>
            </w:tcBorders>
            <w:gridSpan w:val="2"/>
          </w:tcPr>
          <w:p>
            <w:pPr>
              <w:jc w:val="right"/>
              <w:ind w:right="470"/>
              <w:spacing w:after="0" w:line="194" w:lineRule="exact"/>
              <w:rPr>
                <w:sz w:val="20"/>
                <w:szCs w:val="20"/>
                <w:color w:val="auto"/>
              </w:rPr>
            </w:pPr>
            <w:r>
              <w:rPr>
                <w:rFonts w:ascii="Arial" w:cs="Arial" w:eastAsia="Arial" w:hAnsi="Arial"/>
                <w:sz w:val="18"/>
                <w:szCs w:val="18"/>
                <w:b w:val="1"/>
                <w:bCs w:val="1"/>
                <w:color w:val="auto"/>
              </w:rPr>
              <w:t>Three months ended</w:t>
            </w:r>
          </w:p>
        </w:tc>
        <w:tc>
          <w:tcPr>
            <w:tcW w:w="1420" w:type="dxa"/>
            <w:vAlign w:val="bottom"/>
            <w:tcBorders>
              <w:top w:val="single" w:sz="8" w:color="auto"/>
            </w:tcBorders>
          </w:tcPr>
          <w:p>
            <w:pPr>
              <w:spacing w:after="0"/>
              <w:rPr>
                <w:sz w:val="16"/>
                <w:szCs w:val="16"/>
                <w:color w:val="auto"/>
              </w:rPr>
            </w:pPr>
          </w:p>
        </w:tc>
        <w:tc>
          <w:tcPr>
            <w:tcW w:w="2620" w:type="dxa"/>
            <w:vAlign w:val="bottom"/>
            <w:tcBorders>
              <w:top w:val="single" w:sz="8" w:color="auto"/>
            </w:tcBorders>
            <w:gridSpan w:val="2"/>
          </w:tcPr>
          <w:p>
            <w:pPr>
              <w:jc w:val="right"/>
              <w:ind w:right="450"/>
              <w:spacing w:after="0" w:line="194" w:lineRule="exact"/>
              <w:rPr>
                <w:sz w:val="20"/>
                <w:szCs w:val="20"/>
                <w:color w:val="auto"/>
              </w:rPr>
            </w:pPr>
            <w:r>
              <w:rPr>
                <w:rFonts w:ascii="Arial" w:cs="Arial" w:eastAsia="Arial" w:hAnsi="Arial"/>
                <w:sz w:val="18"/>
                <w:szCs w:val="18"/>
                <w:b w:val="1"/>
                <w:bCs w:val="1"/>
                <w:color w:val="auto"/>
              </w:rPr>
              <w:t>Nine months ended</w:t>
            </w:r>
          </w:p>
        </w:tc>
        <w:tc>
          <w:tcPr>
            <w:tcW w:w="1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360" w:type="dxa"/>
            <w:vAlign w:val="bottom"/>
          </w:tcPr>
          <w:p>
            <w:pPr>
              <w:spacing w:after="0"/>
              <w:rPr>
                <w:sz w:val="20"/>
                <w:szCs w:val="20"/>
                <w:color w:val="auto"/>
              </w:rPr>
            </w:pPr>
          </w:p>
        </w:tc>
        <w:tc>
          <w:tcPr>
            <w:tcW w:w="278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September 30,</w:t>
            </w:r>
          </w:p>
        </w:tc>
        <w:tc>
          <w:tcPr>
            <w:tcW w:w="1420" w:type="dxa"/>
            <w:vAlign w:val="bottom"/>
            <w:vMerge w:val="restart"/>
          </w:tcPr>
          <w:p>
            <w:pPr>
              <w:jc w:val="right"/>
              <w:ind w:right="610"/>
              <w:spacing w:after="0"/>
              <w:rPr>
                <w:sz w:val="20"/>
                <w:szCs w:val="20"/>
                <w:color w:val="auto"/>
              </w:rPr>
            </w:pPr>
            <w:r>
              <w:rPr>
                <w:rFonts w:ascii="Arial" w:cs="Arial" w:eastAsia="Arial" w:hAnsi="Arial"/>
                <w:sz w:val="18"/>
                <w:szCs w:val="18"/>
                <w:color w:val="auto"/>
              </w:rPr>
              <w:t>%</w:t>
            </w:r>
          </w:p>
        </w:tc>
        <w:tc>
          <w:tcPr>
            <w:tcW w:w="262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3360" w:type="dxa"/>
            <w:vAlign w:val="bottom"/>
            <w:vMerge w:val="restart"/>
          </w:tcPr>
          <w:p>
            <w:pPr>
              <w:spacing w:after="0"/>
              <w:rPr>
                <w:sz w:val="20"/>
                <w:szCs w:val="20"/>
                <w:color w:val="auto"/>
              </w:rPr>
            </w:pPr>
            <w:r>
              <w:rPr>
                <w:rFonts w:ascii="Arial" w:cs="Arial" w:eastAsia="Arial" w:hAnsi="Arial"/>
                <w:sz w:val="18"/>
                <w:szCs w:val="18"/>
                <w:b w:val="1"/>
                <w:bCs w:val="1"/>
                <w:color w:val="auto"/>
              </w:rPr>
              <w:t>(in thousands, except percentages)</w:t>
            </w:r>
          </w:p>
        </w:tc>
        <w:tc>
          <w:tcPr>
            <w:tcW w:w="14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38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420" w:type="dxa"/>
            <w:vAlign w:val="bottom"/>
            <w:vMerge w:val="continue"/>
          </w:tcPr>
          <w:p>
            <w:pPr>
              <w:spacing w:after="0"/>
              <w:rPr>
                <w:sz w:val="16"/>
                <w:szCs w:val="16"/>
                <w:color w:val="auto"/>
              </w:rPr>
            </w:pPr>
          </w:p>
        </w:tc>
        <w:tc>
          <w:tcPr>
            <w:tcW w:w="13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32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60" w:type="dxa"/>
            <w:vAlign w:val="bottom"/>
            <w:tcBorders>
              <w:bottom w:val="single" w:sz="8" w:color="auto"/>
            </w:tcBorders>
            <w:vMerge w:val="continue"/>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142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rPr>
              <w:t>Change</w:t>
            </w:r>
          </w:p>
        </w:tc>
        <w:tc>
          <w:tcPr>
            <w:tcW w:w="130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173"/>
        </w:trPr>
        <w:tc>
          <w:tcPr>
            <w:tcW w:w="336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1400" w:type="dxa"/>
            <w:vAlign w:val="bottom"/>
          </w:tcPr>
          <w:p>
            <w:pPr>
              <w:jc w:val="right"/>
              <w:ind w:right="210"/>
              <w:spacing w:after="0" w:line="173" w:lineRule="exact"/>
              <w:rPr>
                <w:sz w:val="20"/>
                <w:szCs w:val="20"/>
                <w:color w:val="auto"/>
              </w:rPr>
            </w:pPr>
            <w:r>
              <w:rPr>
                <w:rFonts w:ascii="Arial" w:cs="Arial" w:eastAsia="Arial" w:hAnsi="Arial"/>
                <w:sz w:val="18"/>
                <w:szCs w:val="18"/>
                <w:b w:val="1"/>
                <w:bCs w:val="1"/>
                <w:color w:val="auto"/>
              </w:rPr>
              <w:t>$154,522</w:t>
            </w:r>
          </w:p>
        </w:tc>
        <w:tc>
          <w:tcPr>
            <w:tcW w:w="1380" w:type="dxa"/>
            <w:vAlign w:val="bottom"/>
          </w:tcPr>
          <w:p>
            <w:pPr>
              <w:jc w:val="right"/>
              <w:ind w:right="250"/>
              <w:spacing w:after="0" w:line="173" w:lineRule="exact"/>
              <w:rPr>
                <w:sz w:val="20"/>
                <w:szCs w:val="20"/>
                <w:color w:val="auto"/>
              </w:rPr>
            </w:pPr>
            <w:r>
              <w:rPr>
                <w:rFonts w:ascii="Arial" w:cs="Arial" w:eastAsia="Arial" w:hAnsi="Arial"/>
                <w:sz w:val="18"/>
                <w:szCs w:val="18"/>
                <w:color w:val="auto"/>
              </w:rPr>
              <w:t>$157,891</w:t>
            </w:r>
          </w:p>
        </w:tc>
        <w:tc>
          <w:tcPr>
            <w:tcW w:w="1420" w:type="dxa"/>
            <w:vAlign w:val="bottom"/>
          </w:tcPr>
          <w:p>
            <w:pPr>
              <w:jc w:val="right"/>
              <w:ind w:right="150"/>
              <w:spacing w:after="0" w:line="173" w:lineRule="exact"/>
              <w:rPr>
                <w:sz w:val="20"/>
                <w:szCs w:val="20"/>
                <w:color w:val="auto"/>
              </w:rPr>
            </w:pPr>
            <w:r>
              <w:rPr>
                <w:rFonts w:ascii="Arial" w:cs="Arial" w:eastAsia="Arial" w:hAnsi="Arial"/>
                <w:sz w:val="18"/>
                <w:szCs w:val="18"/>
                <w:color w:val="auto"/>
              </w:rPr>
              <w:t>-2.1%</w:t>
            </w:r>
          </w:p>
        </w:tc>
        <w:tc>
          <w:tcPr>
            <w:tcW w:w="1300" w:type="dxa"/>
            <w:vAlign w:val="bottom"/>
          </w:tcPr>
          <w:p>
            <w:pPr>
              <w:jc w:val="right"/>
              <w:ind w:right="210"/>
              <w:spacing w:after="0" w:line="173" w:lineRule="exact"/>
              <w:rPr>
                <w:sz w:val="20"/>
                <w:szCs w:val="20"/>
                <w:color w:val="auto"/>
              </w:rPr>
            </w:pPr>
            <w:r>
              <w:rPr>
                <w:rFonts w:ascii="Arial" w:cs="Arial" w:eastAsia="Arial" w:hAnsi="Arial"/>
                <w:sz w:val="18"/>
                <w:szCs w:val="18"/>
                <w:b w:val="1"/>
                <w:bCs w:val="1"/>
                <w:color w:val="auto"/>
              </w:rPr>
              <w:t>$463,577</w:t>
            </w:r>
          </w:p>
        </w:tc>
        <w:tc>
          <w:tcPr>
            <w:tcW w:w="1320" w:type="dxa"/>
            <w:vAlign w:val="bottom"/>
          </w:tcPr>
          <w:p>
            <w:pPr>
              <w:jc w:val="right"/>
              <w:ind w:right="190"/>
              <w:spacing w:after="0" w:line="173" w:lineRule="exact"/>
              <w:rPr>
                <w:sz w:val="20"/>
                <w:szCs w:val="20"/>
                <w:color w:val="auto"/>
              </w:rPr>
            </w:pPr>
            <w:r>
              <w:rPr>
                <w:rFonts w:ascii="Arial" w:cs="Arial" w:eastAsia="Arial" w:hAnsi="Arial"/>
                <w:sz w:val="18"/>
                <w:szCs w:val="18"/>
                <w:color w:val="auto"/>
              </w:rPr>
              <w:t>$494,788</w:t>
            </w:r>
          </w:p>
        </w:tc>
        <w:tc>
          <w:tcPr>
            <w:tcW w:w="1240" w:type="dxa"/>
            <w:vAlign w:val="bottom"/>
          </w:tcPr>
          <w:p>
            <w:pPr>
              <w:jc w:val="right"/>
              <w:spacing w:after="0" w:line="173"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5"/>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Albany Engineered Composites</w:t>
            </w:r>
          </w:p>
        </w:tc>
        <w:tc>
          <w:tcPr>
            <w:tcW w:w="1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24,267</w:t>
            </w: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21,970</w:t>
            </w: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10.5%</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68,825</w:t>
            </w: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58,898</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196"/>
        </w:trPr>
        <w:tc>
          <w:tcPr>
            <w:tcW w:w="33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$178,789</w:t>
            </w:r>
          </w:p>
        </w:tc>
        <w:tc>
          <w:tcPr>
            <w:tcW w:w="13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$179,861</w:t>
            </w:r>
          </w:p>
        </w:tc>
        <w:tc>
          <w:tcPr>
            <w:tcW w:w="142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-0.6%</w:t>
            </w:r>
          </w:p>
        </w:tc>
        <w:tc>
          <w:tcPr>
            <w:tcW w:w="13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$532,402</w:t>
            </w:r>
          </w:p>
        </w:tc>
        <w:tc>
          <w:tcPr>
            <w:tcW w:w="132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$553,686</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20" w:lineRule="exact"/>
        <w:rPr>
          <w:sz w:val="20"/>
          <w:szCs w:val="20"/>
          <w:color w:val="auto"/>
        </w:rPr>
      </w:pPr>
    </w:p>
    <w:p>
      <w:pPr>
        <w:ind w:left="660" w:right="780" w:hanging="373"/>
        <w:spacing w:after="0" w:line="24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net sales by $9.5 million during the third quarter of 2015 as compared to 2014.</w:t>
      </w:r>
    </w:p>
    <w:p>
      <w:pPr>
        <w:spacing w:after="0" w:line="88" w:lineRule="exact"/>
        <w:rPr>
          <w:rFonts w:ascii="Arial" w:cs="Arial" w:eastAsia="Arial" w:hAnsi="Arial"/>
          <w:sz w:val="18"/>
          <w:szCs w:val="18"/>
          <w:color w:val="auto"/>
        </w:rPr>
      </w:pPr>
    </w:p>
    <w:p>
      <w:pPr>
        <w:ind w:left="660" w:hanging="37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117" w:lineRule="exact"/>
        <w:rPr>
          <w:rFonts w:ascii="Arial" w:cs="Arial" w:eastAsia="Arial" w:hAnsi="Arial"/>
          <w:sz w:val="18"/>
          <w:szCs w:val="18"/>
          <w:color w:val="auto"/>
        </w:rPr>
      </w:pPr>
    </w:p>
    <w:p>
      <w:pPr>
        <w:ind w:left="1300" w:hanging="365"/>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Net sales increased 4.7% compared to the same period in 2014.</w:t>
      </w:r>
    </w:p>
    <w:p>
      <w:pPr>
        <w:spacing w:after="0" w:line="36" w:lineRule="exact"/>
        <w:rPr>
          <w:rFonts w:ascii="Arial" w:cs="Arial" w:eastAsia="Arial" w:hAnsi="Arial"/>
          <w:sz w:val="18"/>
          <w:szCs w:val="18"/>
          <w:color w:val="auto"/>
        </w:rPr>
      </w:pPr>
    </w:p>
    <w:p>
      <w:pPr>
        <w:ind w:left="1300" w:right="220" w:hanging="365"/>
        <w:spacing w:after="0" w:line="262"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Net sales in MC increased 3.8%, principally due to global strength in the packaging and pulp grades, which offset declines in publication grades.</w:t>
      </w:r>
    </w:p>
    <w:p>
      <w:pPr>
        <w:spacing w:after="0" w:line="74" w:lineRule="exact"/>
        <w:rPr>
          <w:rFonts w:ascii="Arial" w:cs="Arial" w:eastAsia="Arial" w:hAnsi="Arial"/>
          <w:sz w:val="18"/>
          <w:szCs w:val="18"/>
          <w:color w:val="auto"/>
        </w:rPr>
      </w:pPr>
    </w:p>
    <w:p>
      <w:pPr>
        <w:ind w:left="1300" w:hanging="365"/>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Net sales in AEC increased 11.2%, principally due to growth in the LEAP program.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Nine month comparison</w:t>
      </w:r>
    </w:p>
    <w:p>
      <w:pPr>
        <w:spacing w:after="0" w:line="18" w:lineRule="exact"/>
        <w:rPr>
          <w:sz w:val="20"/>
          <w:szCs w:val="20"/>
          <w:color w:val="auto"/>
        </w:rPr>
      </w:pPr>
    </w:p>
    <w:p>
      <w:pPr>
        <w:ind w:left="660" w:right="340" w:hanging="373"/>
        <w:spacing w:after="0" w:line="24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net sales by $31.6 million during the first nine months of 2015 as compared to 2014.</w:t>
      </w:r>
    </w:p>
    <w:p>
      <w:pPr>
        <w:spacing w:after="0" w:line="88" w:lineRule="exact"/>
        <w:rPr>
          <w:rFonts w:ascii="Arial" w:cs="Arial" w:eastAsia="Arial" w:hAnsi="Arial"/>
          <w:sz w:val="18"/>
          <w:szCs w:val="18"/>
          <w:color w:val="auto"/>
        </w:rPr>
      </w:pPr>
    </w:p>
    <w:p>
      <w:pPr>
        <w:ind w:left="660" w:hanging="37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117" w:lineRule="exact"/>
        <w:rPr>
          <w:rFonts w:ascii="Arial" w:cs="Arial" w:eastAsia="Arial" w:hAnsi="Arial"/>
          <w:sz w:val="18"/>
          <w:szCs w:val="18"/>
          <w:color w:val="auto"/>
        </w:rPr>
      </w:pPr>
    </w:p>
    <w:p>
      <w:pPr>
        <w:ind w:left="1300" w:hanging="365"/>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Net sales increased 1.9% compared to the same period in 2014.</w:t>
      </w:r>
    </w:p>
    <w:p>
      <w:pPr>
        <w:spacing w:after="0" w:line="117" w:lineRule="exact"/>
        <w:rPr>
          <w:rFonts w:ascii="Arial" w:cs="Arial" w:eastAsia="Arial" w:hAnsi="Arial"/>
          <w:sz w:val="18"/>
          <w:szCs w:val="18"/>
          <w:color w:val="auto"/>
        </w:rPr>
      </w:pPr>
    </w:p>
    <w:p>
      <w:pPr>
        <w:ind w:left="1300" w:right="140" w:hanging="365"/>
        <w:spacing w:after="0" w:line="246"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Net sales in MC decreased 0.1%. Regionally, declines in North America were offset by higher sales in Asia. Globally, declines in publication grades were offset by higher sales in packaging and pulp grades.</w:t>
      </w:r>
    </w:p>
    <w:p>
      <w:pPr>
        <w:spacing w:after="0" w:line="88" w:lineRule="exact"/>
        <w:rPr>
          <w:rFonts w:ascii="Arial" w:cs="Arial" w:eastAsia="Arial" w:hAnsi="Arial"/>
          <w:sz w:val="18"/>
          <w:szCs w:val="18"/>
          <w:color w:val="auto"/>
        </w:rPr>
      </w:pPr>
    </w:p>
    <w:p>
      <w:pPr>
        <w:ind w:left="1300" w:hanging="365"/>
        <w:spacing w:after="0" w:line="246"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Net sales in AEC increased 18.4% due to growth in the LEAP program, which includes the effect of low sales in the first quarter of 2014 resulting from a change in invoicing terms, which created a temporary lag in sales.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gross profit by business segment: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20" w:type="dxa"/>
            <w:vAlign w:val="bottom"/>
            <w:tcBorders>
              <w:top w:val="single" w:sz="8" w:color="auto"/>
            </w:tcBorders>
          </w:tcPr>
          <w:p>
            <w:pPr>
              <w:spacing w:after="0"/>
              <w:rPr>
                <w:sz w:val="16"/>
                <w:szCs w:val="16"/>
                <w:color w:val="auto"/>
              </w:rPr>
            </w:pPr>
          </w:p>
        </w:tc>
        <w:tc>
          <w:tcPr>
            <w:tcW w:w="4140" w:type="dxa"/>
            <w:vAlign w:val="bottom"/>
            <w:tcBorders>
              <w:top w:val="single" w:sz="8" w:color="auto"/>
            </w:tcBorders>
            <w:gridSpan w:val="2"/>
          </w:tcPr>
          <w:p>
            <w:pPr>
              <w:jc w:val="right"/>
              <w:ind w:right="530"/>
              <w:spacing w:after="0" w:line="194" w:lineRule="exact"/>
              <w:rPr>
                <w:sz w:val="20"/>
                <w:szCs w:val="20"/>
                <w:color w:val="auto"/>
              </w:rPr>
            </w:pPr>
            <w:r>
              <w:rPr>
                <w:rFonts w:ascii="Arial" w:cs="Arial" w:eastAsia="Arial" w:hAnsi="Arial"/>
                <w:sz w:val="18"/>
                <w:szCs w:val="18"/>
                <w:b w:val="1"/>
                <w:bCs w:val="1"/>
                <w:color w:val="auto"/>
              </w:rPr>
              <w:t>Three months ended</w:t>
            </w:r>
          </w:p>
        </w:tc>
        <w:tc>
          <w:tcPr>
            <w:tcW w:w="2560" w:type="dxa"/>
            <w:vAlign w:val="bottom"/>
            <w:tcBorders>
              <w:top w:val="single" w:sz="8" w:color="auto"/>
            </w:tcBorders>
            <w:gridSpan w:val="2"/>
          </w:tcPr>
          <w:p>
            <w:pPr>
              <w:jc w:val="right"/>
              <w:ind w:right="330"/>
              <w:spacing w:after="0" w:line="194" w:lineRule="exact"/>
              <w:rPr>
                <w:sz w:val="20"/>
                <w:szCs w:val="20"/>
                <w:color w:val="auto"/>
              </w:rPr>
            </w:pPr>
            <w:r>
              <w:rPr>
                <w:rFonts w:ascii="Arial" w:cs="Arial" w:eastAsia="Arial" w:hAnsi="Arial"/>
                <w:sz w:val="18"/>
                <w:szCs w:val="18"/>
                <w:b w:val="1"/>
                <w:bCs w:val="1"/>
                <w:color w:val="auto"/>
              </w:rPr>
              <w:t>Nine months ended</w:t>
            </w:r>
          </w:p>
        </w:tc>
      </w:tr>
      <w:tr>
        <w:trPr>
          <w:trHeight w:val="203"/>
        </w:trPr>
        <w:tc>
          <w:tcPr>
            <w:tcW w:w="4720" w:type="dxa"/>
            <w:vAlign w:val="bottom"/>
          </w:tcPr>
          <w:p>
            <w:pPr>
              <w:spacing w:after="0"/>
              <w:rPr>
                <w:sz w:val="17"/>
                <w:szCs w:val="17"/>
                <w:color w:val="auto"/>
              </w:rPr>
            </w:pPr>
          </w:p>
        </w:tc>
        <w:tc>
          <w:tcPr>
            <w:tcW w:w="4140" w:type="dxa"/>
            <w:vAlign w:val="bottom"/>
            <w:gridSpan w:val="2"/>
          </w:tcPr>
          <w:p>
            <w:pPr>
              <w:jc w:val="right"/>
              <w:ind w:right="770"/>
              <w:spacing w:after="0" w:line="202" w:lineRule="exact"/>
              <w:rPr>
                <w:sz w:val="20"/>
                <w:szCs w:val="20"/>
                <w:color w:val="auto"/>
              </w:rPr>
            </w:pPr>
            <w:r>
              <w:rPr>
                <w:rFonts w:ascii="Arial" w:cs="Arial" w:eastAsia="Arial" w:hAnsi="Arial"/>
                <w:sz w:val="18"/>
                <w:szCs w:val="18"/>
                <w:b w:val="1"/>
                <w:bCs w:val="1"/>
                <w:color w:val="auto"/>
              </w:rPr>
              <w:t>September 30,</w:t>
            </w:r>
          </w:p>
        </w:tc>
        <w:tc>
          <w:tcPr>
            <w:tcW w:w="2560" w:type="dxa"/>
            <w:vAlign w:val="bottom"/>
            <w:gridSpan w:val="2"/>
          </w:tcPr>
          <w:p>
            <w:pPr>
              <w:jc w:val="right"/>
              <w:ind w:right="530"/>
              <w:spacing w:after="0" w:line="202" w:lineRule="exact"/>
              <w:rPr>
                <w:sz w:val="20"/>
                <w:szCs w:val="20"/>
                <w:color w:val="auto"/>
              </w:rPr>
            </w:pPr>
            <w:r>
              <w:rPr>
                <w:rFonts w:ascii="Arial" w:cs="Arial" w:eastAsia="Arial" w:hAnsi="Arial"/>
                <w:sz w:val="18"/>
                <w:szCs w:val="18"/>
                <w:b w:val="1"/>
                <w:bCs w:val="1"/>
                <w:color w:val="auto"/>
              </w:rPr>
              <w:t>September 30,</w:t>
            </w:r>
          </w:p>
        </w:tc>
      </w:tr>
      <w:tr>
        <w:trPr>
          <w:trHeight w:val="225"/>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27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r>
      <w:tr>
        <w:trPr>
          <w:trHeight w:val="173"/>
        </w:trPr>
        <w:tc>
          <w:tcPr>
            <w:tcW w:w="472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2780" w:type="dxa"/>
            <w:vAlign w:val="bottom"/>
          </w:tcPr>
          <w:p>
            <w:pPr>
              <w:jc w:val="right"/>
              <w:ind w:right="370"/>
              <w:spacing w:after="0" w:line="173" w:lineRule="exact"/>
              <w:rPr>
                <w:sz w:val="20"/>
                <w:szCs w:val="20"/>
                <w:color w:val="auto"/>
              </w:rPr>
            </w:pPr>
            <w:r>
              <w:rPr>
                <w:rFonts w:ascii="Arial" w:cs="Arial" w:eastAsia="Arial" w:hAnsi="Arial"/>
                <w:sz w:val="18"/>
                <w:szCs w:val="18"/>
                <w:b w:val="1"/>
                <w:bCs w:val="1"/>
                <w:color w:val="auto"/>
              </w:rPr>
              <w:t>$74,721</w:t>
            </w:r>
          </w:p>
        </w:tc>
        <w:tc>
          <w:tcPr>
            <w:tcW w:w="1360" w:type="dxa"/>
            <w:vAlign w:val="bottom"/>
          </w:tcPr>
          <w:p>
            <w:pPr>
              <w:jc w:val="right"/>
              <w:ind w:right="330"/>
              <w:spacing w:after="0" w:line="173" w:lineRule="exact"/>
              <w:rPr>
                <w:sz w:val="20"/>
                <w:szCs w:val="20"/>
                <w:color w:val="auto"/>
              </w:rPr>
            </w:pPr>
            <w:r>
              <w:rPr>
                <w:rFonts w:ascii="Arial" w:cs="Arial" w:eastAsia="Arial" w:hAnsi="Arial"/>
                <w:sz w:val="18"/>
                <w:szCs w:val="18"/>
                <w:color w:val="auto"/>
              </w:rPr>
              <w:t>$66,117</w:t>
            </w:r>
          </w:p>
        </w:tc>
        <w:tc>
          <w:tcPr>
            <w:tcW w:w="1400" w:type="dxa"/>
            <w:vAlign w:val="bottom"/>
          </w:tcPr>
          <w:p>
            <w:pPr>
              <w:jc w:val="right"/>
              <w:ind w:right="310"/>
              <w:spacing w:after="0" w:line="173" w:lineRule="exact"/>
              <w:rPr>
                <w:sz w:val="20"/>
                <w:szCs w:val="20"/>
                <w:color w:val="auto"/>
              </w:rPr>
            </w:pPr>
            <w:r>
              <w:rPr>
                <w:rFonts w:ascii="Arial" w:cs="Arial" w:eastAsia="Arial" w:hAnsi="Arial"/>
                <w:sz w:val="18"/>
                <w:szCs w:val="18"/>
                <w:b w:val="1"/>
                <w:bCs w:val="1"/>
                <w:color w:val="auto"/>
              </w:rPr>
              <w:t>$218,084</w:t>
            </w:r>
          </w:p>
        </w:tc>
        <w:tc>
          <w:tcPr>
            <w:tcW w:w="1160" w:type="dxa"/>
            <w:vAlign w:val="bottom"/>
          </w:tcPr>
          <w:p>
            <w:pPr>
              <w:jc w:val="right"/>
              <w:ind w:right="70"/>
              <w:spacing w:after="0" w:line="173" w:lineRule="exact"/>
              <w:rPr>
                <w:sz w:val="20"/>
                <w:szCs w:val="20"/>
                <w:color w:val="auto"/>
              </w:rPr>
            </w:pPr>
            <w:r>
              <w:rPr>
                <w:rFonts w:ascii="Arial" w:cs="Arial" w:eastAsia="Arial" w:hAnsi="Arial"/>
                <w:sz w:val="18"/>
                <w:szCs w:val="18"/>
                <w:color w:val="auto"/>
              </w:rPr>
              <w:t>$213,326</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278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1,438</w:t>
            </w:r>
          </w:p>
        </w:tc>
        <w:tc>
          <w:tcPr>
            <w:tcW w:w="13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2,855</w:t>
            </w:r>
          </w:p>
        </w:tc>
        <w:tc>
          <w:tcPr>
            <w:tcW w:w="140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(9,891)</w:t>
            </w:r>
          </w:p>
        </w:tc>
        <w:tc>
          <w:tcPr>
            <w:tcW w:w="11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6,506</w:t>
            </w:r>
          </w:p>
        </w:tc>
      </w:tr>
      <w:tr>
        <w:trPr>
          <w:trHeight w:val="225"/>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2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(415)</w:t>
            </w: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(353)</w:t>
            </w:r>
          </w:p>
        </w:tc>
        <w:tc>
          <w:tcPr>
            <w:tcW w:w="14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(1,173)</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(1,061)</w:t>
            </w:r>
          </w:p>
        </w:tc>
      </w:tr>
      <w:tr>
        <w:trPr>
          <w:trHeight w:val="196"/>
        </w:trPr>
        <w:tc>
          <w:tcPr>
            <w:tcW w:w="47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78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$75,744</w:t>
            </w:r>
          </w:p>
        </w:tc>
        <w:tc>
          <w:tcPr>
            <w:tcW w:w="136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$68,619</w:t>
            </w:r>
          </w:p>
        </w:tc>
        <w:tc>
          <w:tcPr>
            <w:tcW w:w="14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$207,020</w:t>
            </w:r>
          </w:p>
        </w:tc>
        <w:tc>
          <w:tcPr>
            <w:tcW w:w="11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$218,771</w:t>
            </w:r>
          </w:p>
        </w:tc>
      </w:tr>
      <w:tr>
        <w:trPr>
          <w:trHeight w:val="196"/>
        </w:trPr>
        <w:tc>
          <w:tcPr>
            <w:tcW w:w="47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 of Net sales</w:t>
            </w:r>
          </w:p>
        </w:tc>
        <w:tc>
          <w:tcPr>
            <w:tcW w:w="27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42.4%</w:t>
            </w:r>
          </w:p>
        </w:tc>
        <w:tc>
          <w:tcPr>
            <w:tcW w:w="1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38.2%</w:t>
            </w:r>
          </w:p>
        </w:tc>
        <w:tc>
          <w:tcPr>
            <w:tcW w:w="14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38.9%</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39.5%</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gross profit, compared to the same period in 2014, was principally due to the net effect of the following:</w:t>
      </w:r>
    </w:p>
    <w:p>
      <w:pPr>
        <w:spacing w:after="0" w:line="198" w:lineRule="exact"/>
        <w:rPr>
          <w:sz w:val="20"/>
          <w:szCs w:val="20"/>
          <w:color w:val="auto"/>
        </w:rPr>
      </w:pPr>
    </w:p>
    <w:p>
      <w:pPr>
        <w:ind w:left="1300" w:right="8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MC gross profit was $74.7 million, or 48.4% of net sales, compared to $66.1 million, or 41.9% of net sales, in Q3 2014. The increase in MC gross profit was attributable to very good capacity utilization and strong sales volume. Even though changes in currency translation rates had a significant effect on MC net sales, it had only a minor negative effect on gross profit.</w:t>
      </w:r>
    </w:p>
    <w:p>
      <w:pPr>
        <w:spacing w:after="0" w:line="94" w:lineRule="exact"/>
        <w:rPr>
          <w:rFonts w:ascii="Arial" w:cs="Arial" w:eastAsia="Arial" w:hAnsi="Arial"/>
          <w:sz w:val="18"/>
          <w:szCs w:val="18"/>
          <w:color w:val="auto"/>
        </w:rPr>
      </w:pPr>
    </w:p>
    <w:p>
      <w:pPr>
        <w:ind w:left="1300" w:right="240" w:hanging="320"/>
        <w:spacing w:after="0" w:line="246"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AEC gross profit was $1.4 million in Q3 2015, compared to $2.9 million in Q3 2014, as gross profit in the LEAP program was offset by continued weak profitability in legacy programs.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gross profit, compared to the same period in 2014, was principally due to the net effect of the following:</w:t>
      </w:r>
    </w:p>
    <w:p>
      <w:pPr>
        <w:spacing w:after="0" w:line="198"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$4.8 million increase in MC, principally due to better capacity utilization and cost reduction initiatives.</w:t>
      </w:r>
    </w:p>
    <w:p>
      <w:pPr>
        <w:spacing w:after="0" w:line="117" w:lineRule="exact"/>
        <w:rPr>
          <w:rFonts w:ascii="Arial" w:cs="Arial" w:eastAsia="Arial" w:hAnsi="Arial"/>
          <w:sz w:val="18"/>
          <w:szCs w:val="18"/>
          <w:color w:val="auto"/>
        </w:rPr>
      </w:pPr>
    </w:p>
    <w:p>
      <w:pPr>
        <w:ind w:left="1300" w:right="340" w:hanging="320"/>
        <w:spacing w:after="0" w:line="246"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in AEC gross profit principally due to a charge of $14.0 million for a revision in the contract profitability of its BR 725 program which is a long term manufacturing contract in the Boerne, Texas facility.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STG&amp;R by business segment: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20" w:type="dxa"/>
            <w:vAlign w:val="bottom"/>
            <w:tcBorders>
              <w:top w:val="single" w:sz="8" w:color="auto"/>
            </w:tcBorders>
          </w:tcPr>
          <w:p>
            <w:pPr>
              <w:spacing w:after="0"/>
              <w:rPr>
                <w:sz w:val="16"/>
                <w:szCs w:val="16"/>
                <w:color w:val="auto"/>
              </w:rPr>
            </w:pPr>
          </w:p>
        </w:tc>
        <w:tc>
          <w:tcPr>
            <w:tcW w:w="4140" w:type="dxa"/>
            <w:vAlign w:val="bottom"/>
            <w:tcBorders>
              <w:top w:val="single" w:sz="8" w:color="auto"/>
            </w:tcBorders>
            <w:gridSpan w:val="2"/>
          </w:tcPr>
          <w:p>
            <w:pPr>
              <w:jc w:val="right"/>
              <w:ind w:right="530"/>
              <w:spacing w:after="0" w:line="194" w:lineRule="exact"/>
              <w:rPr>
                <w:sz w:val="20"/>
                <w:szCs w:val="20"/>
                <w:color w:val="auto"/>
              </w:rPr>
            </w:pPr>
            <w:r>
              <w:rPr>
                <w:rFonts w:ascii="Arial" w:cs="Arial" w:eastAsia="Arial" w:hAnsi="Arial"/>
                <w:sz w:val="18"/>
                <w:szCs w:val="18"/>
                <w:b w:val="1"/>
                <w:bCs w:val="1"/>
                <w:color w:val="auto"/>
              </w:rPr>
              <w:t>Three months ended</w:t>
            </w:r>
          </w:p>
        </w:tc>
        <w:tc>
          <w:tcPr>
            <w:tcW w:w="2560" w:type="dxa"/>
            <w:vAlign w:val="bottom"/>
            <w:tcBorders>
              <w:top w:val="single" w:sz="8" w:color="auto"/>
            </w:tcBorders>
            <w:gridSpan w:val="2"/>
          </w:tcPr>
          <w:p>
            <w:pPr>
              <w:jc w:val="right"/>
              <w:ind w:right="330"/>
              <w:spacing w:after="0" w:line="194" w:lineRule="exact"/>
              <w:rPr>
                <w:sz w:val="20"/>
                <w:szCs w:val="20"/>
                <w:color w:val="auto"/>
              </w:rPr>
            </w:pPr>
            <w:r>
              <w:rPr>
                <w:rFonts w:ascii="Arial" w:cs="Arial" w:eastAsia="Arial" w:hAnsi="Arial"/>
                <w:sz w:val="18"/>
                <w:szCs w:val="18"/>
                <w:b w:val="1"/>
                <w:bCs w:val="1"/>
                <w:color w:val="auto"/>
              </w:rPr>
              <w:t>Nine months ended</w:t>
            </w:r>
          </w:p>
        </w:tc>
      </w:tr>
      <w:tr>
        <w:trPr>
          <w:trHeight w:val="203"/>
        </w:trPr>
        <w:tc>
          <w:tcPr>
            <w:tcW w:w="4720" w:type="dxa"/>
            <w:vAlign w:val="bottom"/>
          </w:tcPr>
          <w:p>
            <w:pPr>
              <w:spacing w:after="0"/>
              <w:rPr>
                <w:sz w:val="17"/>
                <w:szCs w:val="17"/>
                <w:color w:val="auto"/>
              </w:rPr>
            </w:pPr>
          </w:p>
        </w:tc>
        <w:tc>
          <w:tcPr>
            <w:tcW w:w="4140" w:type="dxa"/>
            <w:vAlign w:val="bottom"/>
            <w:gridSpan w:val="2"/>
          </w:tcPr>
          <w:p>
            <w:pPr>
              <w:jc w:val="right"/>
              <w:ind w:right="770"/>
              <w:spacing w:after="0" w:line="202" w:lineRule="exact"/>
              <w:rPr>
                <w:sz w:val="20"/>
                <w:szCs w:val="20"/>
                <w:color w:val="auto"/>
              </w:rPr>
            </w:pPr>
            <w:r>
              <w:rPr>
                <w:rFonts w:ascii="Arial" w:cs="Arial" w:eastAsia="Arial" w:hAnsi="Arial"/>
                <w:sz w:val="18"/>
                <w:szCs w:val="18"/>
                <w:b w:val="1"/>
                <w:bCs w:val="1"/>
                <w:color w:val="auto"/>
              </w:rPr>
              <w:t>September 30,</w:t>
            </w:r>
          </w:p>
        </w:tc>
        <w:tc>
          <w:tcPr>
            <w:tcW w:w="2560" w:type="dxa"/>
            <w:vAlign w:val="bottom"/>
            <w:gridSpan w:val="2"/>
          </w:tcPr>
          <w:p>
            <w:pPr>
              <w:jc w:val="right"/>
              <w:ind w:right="530"/>
              <w:spacing w:after="0" w:line="202" w:lineRule="exact"/>
              <w:rPr>
                <w:sz w:val="20"/>
                <w:szCs w:val="20"/>
                <w:color w:val="auto"/>
              </w:rPr>
            </w:pPr>
            <w:r>
              <w:rPr>
                <w:rFonts w:ascii="Arial" w:cs="Arial" w:eastAsia="Arial" w:hAnsi="Arial"/>
                <w:sz w:val="18"/>
                <w:szCs w:val="18"/>
                <w:b w:val="1"/>
                <w:bCs w:val="1"/>
                <w:color w:val="auto"/>
              </w:rPr>
              <w:t>September 30,</w:t>
            </w:r>
          </w:p>
        </w:tc>
      </w:tr>
      <w:tr>
        <w:trPr>
          <w:trHeight w:val="225"/>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27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r>
      <w:tr>
        <w:trPr>
          <w:trHeight w:val="173"/>
        </w:trPr>
        <w:tc>
          <w:tcPr>
            <w:tcW w:w="472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2780" w:type="dxa"/>
            <w:vAlign w:val="bottom"/>
          </w:tcPr>
          <w:p>
            <w:pPr>
              <w:jc w:val="right"/>
              <w:ind w:right="370"/>
              <w:spacing w:after="0" w:line="173" w:lineRule="exact"/>
              <w:rPr>
                <w:sz w:val="20"/>
                <w:szCs w:val="20"/>
                <w:color w:val="auto"/>
              </w:rPr>
            </w:pPr>
            <w:r>
              <w:rPr>
                <w:rFonts w:ascii="Arial" w:cs="Arial" w:eastAsia="Arial" w:hAnsi="Arial"/>
                <w:sz w:val="18"/>
                <w:szCs w:val="18"/>
                <w:b w:val="1"/>
                <w:bCs w:val="1"/>
                <w:color w:val="auto"/>
              </w:rPr>
              <w:t>$29,047</w:t>
            </w:r>
          </w:p>
        </w:tc>
        <w:tc>
          <w:tcPr>
            <w:tcW w:w="1360" w:type="dxa"/>
            <w:vAlign w:val="bottom"/>
          </w:tcPr>
          <w:p>
            <w:pPr>
              <w:jc w:val="right"/>
              <w:ind w:right="330"/>
              <w:spacing w:after="0" w:line="173" w:lineRule="exact"/>
              <w:rPr>
                <w:sz w:val="20"/>
                <w:szCs w:val="20"/>
                <w:color w:val="auto"/>
              </w:rPr>
            </w:pPr>
            <w:r>
              <w:rPr>
                <w:rFonts w:ascii="Arial" w:cs="Arial" w:eastAsia="Arial" w:hAnsi="Arial"/>
                <w:sz w:val="18"/>
                <w:szCs w:val="18"/>
                <w:color w:val="auto"/>
              </w:rPr>
              <w:t>$31,843</w:t>
            </w:r>
          </w:p>
        </w:tc>
        <w:tc>
          <w:tcPr>
            <w:tcW w:w="1400" w:type="dxa"/>
            <w:vAlign w:val="bottom"/>
          </w:tcPr>
          <w:p>
            <w:pPr>
              <w:jc w:val="right"/>
              <w:ind w:right="310"/>
              <w:spacing w:after="0" w:line="173" w:lineRule="exact"/>
              <w:rPr>
                <w:sz w:val="20"/>
                <w:szCs w:val="20"/>
                <w:color w:val="auto"/>
              </w:rPr>
            </w:pPr>
            <w:r>
              <w:rPr>
                <w:rFonts w:ascii="Arial" w:cs="Arial" w:eastAsia="Arial" w:hAnsi="Arial"/>
                <w:sz w:val="18"/>
                <w:szCs w:val="18"/>
                <w:b w:val="1"/>
                <w:bCs w:val="1"/>
                <w:color w:val="auto"/>
              </w:rPr>
              <w:t>$93,186</w:t>
            </w:r>
          </w:p>
        </w:tc>
        <w:tc>
          <w:tcPr>
            <w:tcW w:w="1160" w:type="dxa"/>
            <w:vAlign w:val="bottom"/>
          </w:tcPr>
          <w:p>
            <w:pPr>
              <w:jc w:val="right"/>
              <w:ind w:right="70"/>
              <w:spacing w:after="0" w:line="173" w:lineRule="exact"/>
              <w:rPr>
                <w:sz w:val="20"/>
                <w:szCs w:val="20"/>
                <w:color w:val="auto"/>
              </w:rPr>
            </w:pPr>
            <w:r>
              <w:rPr>
                <w:rFonts w:ascii="Arial" w:cs="Arial" w:eastAsia="Arial" w:hAnsi="Arial"/>
                <w:sz w:val="18"/>
                <w:szCs w:val="18"/>
                <w:color w:val="auto"/>
              </w:rPr>
              <w:t>$106,870</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278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5,630</w:t>
            </w:r>
          </w:p>
        </w:tc>
        <w:tc>
          <w:tcPr>
            <w:tcW w:w="13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5,668</w:t>
            </w:r>
          </w:p>
        </w:tc>
        <w:tc>
          <w:tcPr>
            <w:tcW w:w="140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16,744</w:t>
            </w:r>
          </w:p>
        </w:tc>
        <w:tc>
          <w:tcPr>
            <w:tcW w:w="11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15,361</w:t>
            </w:r>
          </w:p>
        </w:tc>
      </w:tr>
      <w:tr>
        <w:trPr>
          <w:trHeight w:val="225"/>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2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11,507</w:t>
            </w: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11,031</w:t>
            </w:r>
          </w:p>
        </w:tc>
        <w:tc>
          <w:tcPr>
            <w:tcW w:w="14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34,131</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33,746</w:t>
            </w:r>
          </w:p>
        </w:tc>
      </w:tr>
      <w:tr>
        <w:trPr>
          <w:trHeight w:val="196"/>
        </w:trPr>
        <w:tc>
          <w:tcPr>
            <w:tcW w:w="47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78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$46,184</w:t>
            </w:r>
          </w:p>
        </w:tc>
        <w:tc>
          <w:tcPr>
            <w:tcW w:w="136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$48,542</w:t>
            </w:r>
          </w:p>
        </w:tc>
        <w:tc>
          <w:tcPr>
            <w:tcW w:w="14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$144,061</w:t>
            </w:r>
          </w:p>
        </w:tc>
        <w:tc>
          <w:tcPr>
            <w:tcW w:w="11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$155,977</w:t>
            </w:r>
          </w:p>
        </w:tc>
      </w:tr>
      <w:tr>
        <w:trPr>
          <w:trHeight w:val="196"/>
        </w:trPr>
        <w:tc>
          <w:tcPr>
            <w:tcW w:w="47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 of Net sales</w:t>
            </w:r>
          </w:p>
        </w:tc>
        <w:tc>
          <w:tcPr>
            <w:tcW w:w="27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25.8%</w:t>
            </w:r>
          </w:p>
        </w:tc>
        <w:tc>
          <w:tcPr>
            <w:tcW w:w="1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27.0%</w:t>
            </w:r>
          </w:p>
        </w:tc>
        <w:tc>
          <w:tcPr>
            <w:tcW w:w="14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27.1%</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28.2%</w:t>
            </w: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STG&amp;R expenses decreased $2.4 million, compared to the same period in 2014, principally due to the net effect of the following:</w:t>
      </w:r>
    </w:p>
    <w:p>
      <w:pPr>
        <w:spacing w:after="0" w:line="198"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decline in STG&amp;R results principally from the effects of changes in currency translation rates.</w:t>
      </w:r>
    </w:p>
    <w:p>
      <w:pPr>
        <w:spacing w:after="0" w:line="117" w:lineRule="exact"/>
        <w:rPr>
          <w:rFonts w:ascii="Arial" w:cs="Arial" w:eastAsia="Arial" w:hAnsi="Arial"/>
          <w:sz w:val="18"/>
          <w:szCs w:val="18"/>
          <w:color w:val="auto"/>
        </w:rPr>
      </w:pPr>
    </w:p>
    <w:p>
      <w:pPr>
        <w:ind w:left="1300" w:right="500" w:hanging="320"/>
        <w:spacing w:after="0" w:line="246"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third-quarter gains of $2.0 million in 2015 and $2.2 million in 2014.</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STG&amp;R expenses decreased $11.9 million, compared to the same period in 2014, principally due to the net effect of the following:</w:t>
      </w:r>
    </w:p>
    <w:p>
      <w:pPr>
        <w:spacing w:after="0" w:line="198" w:lineRule="exact"/>
        <w:rPr>
          <w:sz w:val="20"/>
          <w:szCs w:val="20"/>
          <w:color w:val="auto"/>
        </w:rPr>
      </w:pPr>
    </w:p>
    <w:p>
      <w:pPr>
        <w:ind w:left="1300" w:right="60" w:hanging="320"/>
        <w:spacing w:after="0" w:line="246"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gains of $4.5 million during the first nine months of 2015 and gains of $1.6 million in the comparable period of 2014.</w:t>
      </w:r>
    </w:p>
    <w:p>
      <w:pPr>
        <w:spacing w:after="0" w:line="88"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AEC STG&amp;R increased $1.4 million, principally due to increased research activity.</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remainder of the decrease was principally due to the effects of changes in currency translation rates.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Research and Development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expenses associated with internally funded research and development by business segment: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60" w:type="dxa"/>
            <w:vAlign w:val="bottom"/>
            <w:tcBorders>
              <w:top w:val="single" w:sz="8" w:color="auto"/>
            </w:tcBorders>
          </w:tcPr>
          <w:p>
            <w:pPr>
              <w:spacing w:after="0"/>
              <w:rPr>
                <w:sz w:val="16"/>
                <w:szCs w:val="16"/>
                <w:color w:val="auto"/>
              </w:rPr>
            </w:pPr>
          </w:p>
        </w:tc>
        <w:tc>
          <w:tcPr>
            <w:tcW w:w="4400" w:type="dxa"/>
            <w:vAlign w:val="bottom"/>
            <w:tcBorders>
              <w:top w:val="single" w:sz="8" w:color="auto"/>
            </w:tcBorders>
            <w:gridSpan w:val="2"/>
          </w:tcPr>
          <w:p>
            <w:pPr>
              <w:jc w:val="right"/>
              <w:ind w:right="490"/>
              <w:spacing w:after="0" w:line="194" w:lineRule="exact"/>
              <w:rPr>
                <w:sz w:val="20"/>
                <w:szCs w:val="20"/>
                <w:color w:val="auto"/>
              </w:rPr>
            </w:pPr>
            <w:r>
              <w:rPr>
                <w:rFonts w:ascii="Arial" w:cs="Arial" w:eastAsia="Arial" w:hAnsi="Arial"/>
                <w:sz w:val="18"/>
                <w:szCs w:val="18"/>
                <w:b w:val="1"/>
                <w:bCs w:val="1"/>
                <w:color w:val="auto"/>
              </w:rPr>
              <w:t>Three months ended</w:t>
            </w:r>
          </w:p>
        </w:tc>
        <w:tc>
          <w:tcPr>
            <w:tcW w:w="2460" w:type="dxa"/>
            <w:vAlign w:val="bottom"/>
            <w:tcBorders>
              <w:top w:val="single" w:sz="8" w:color="auto"/>
            </w:tcBorders>
            <w:gridSpan w:val="2"/>
          </w:tcPr>
          <w:p>
            <w:pPr>
              <w:jc w:val="right"/>
              <w:ind w:right="290"/>
              <w:spacing w:after="0" w:line="194" w:lineRule="exact"/>
              <w:rPr>
                <w:sz w:val="20"/>
                <w:szCs w:val="20"/>
                <w:color w:val="auto"/>
              </w:rPr>
            </w:pPr>
            <w:r>
              <w:rPr>
                <w:rFonts w:ascii="Arial" w:cs="Arial" w:eastAsia="Arial" w:hAnsi="Arial"/>
                <w:sz w:val="18"/>
                <w:szCs w:val="18"/>
                <w:b w:val="1"/>
                <w:bCs w:val="1"/>
                <w:color w:val="auto"/>
              </w:rPr>
              <w:t>Nine months ended</w:t>
            </w:r>
          </w:p>
        </w:tc>
      </w:tr>
      <w:tr>
        <w:trPr>
          <w:trHeight w:val="203"/>
        </w:trPr>
        <w:tc>
          <w:tcPr>
            <w:tcW w:w="4560" w:type="dxa"/>
            <w:vAlign w:val="bottom"/>
          </w:tcPr>
          <w:p>
            <w:pPr>
              <w:spacing w:after="0"/>
              <w:rPr>
                <w:sz w:val="17"/>
                <w:szCs w:val="17"/>
                <w:color w:val="auto"/>
              </w:rPr>
            </w:pPr>
          </w:p>
        </w:tc>
        <w:tc>
          <w:tcPr>
            <w:tcW w:w="4400" w:type="dxa"/>
            <w:vAlign w:val="bottom"/>
            <w:gridSpan w:val="2"/>
          </w:tcPr>
          <w:p>
            <w:pPr>
              <w:jc w:val="right"/>
              <w:ind w:right="750"/>
              <w:spacing w:after="0" w:line="202" w:lineRule="exact"/>
              <w:rPr>
                <w:sz w:val="20"/>
                <w:szCs w:val="20"/>
                <w:color w:val="auto"/>
              </w:rPr>
            </w:pPr>
            <w:r>
              <w:rPr>
                <w:rFonts w:ascii="Arial" w:cs="Arial" w:eastAsia="Arial" w:hAnsi="Arial"/>
                <w:sz w:val="18"/>
                <w:szCs w:val="18"/>
                <w:b w:val="1"/>
                <w:bCs w:val="1"/>
                <w:color w:val="auto"/>
              </w:rPr>
              <w:t>September 30,</w:t>
            </w:r>
          </w:p>
        </w:tc>
        <w:tc>
          <w:tcPr>
            <w:tcW w:w="2460" w:type="dxa"/>
            <w:vAlign w:val="bottom"/>
            <w:gridSpan w:val="2"/>
          </w:tcPr>
          <w:p>
            <w:pPr>
              <w:jc w:val="right"/>
              <w:ind w:right="470"/>
              <w:spacing w:after="0" w:line="202" w:lineRule="exact"/>
              <w:rPr>
                <w:sz w:val="20"/>
                <w:szCs w:val="20"/>
                <w:color w:val="auto"/>
              </w:rPr>
            </w:pPr>
            <w:r>
              <w:rPr>
                <w:rFonts w:ascii="Arial" w:cs="Arial" w:eastAsia="Arial" w:hAnsi="Arial"/>
                <w:sz w:val="18"/>
                <w:szCs w:val="18"/>
                <w:b w:val="1"/>
                <w:bCs w:val="1"/>
                <w:color w:val="auto"/>
              </w:rPr>
              <w:t>September 30,</w:t>
            </w:r>
          </w:p>
        </w:tc>
      </w:tr>
      <w:tr>
        <w:trPr>
          <w:trHeight w:val="225"/>
        </w:trPr>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2014</w:t>
            </w:r>
          </w:p>
        </w:tc>
      </w:tr>
      <w:tr>
        <w:trPr>
          <w:trHeight w:val="173"/>
        </w:trPr>
        <w:tc>
          <w:tcPr>
            <w:tcW w:w="456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3060" w:type="dxa"/>
            <w:vAlign w:val="bottom"/>
          </w:tcPr>
          <w:p>
            <w:pPr>
              <w:jc w:val="right"/>
              <w:ind w:right="310"/>
              <w:spacing w:after="0" w:line="173" w:lineRule="exact"/>
              <w:rPr>
                <w:sz w:val="20"/>
                <w:szCs w:val="20"/>
                <w:color w:val="auto"/>
              </w:rPr>
            </w:pPr>
            <w:r>
              <w:rPr>
                <w:rFonts w:ascii="Arial" w:cs="Arial" w:eastAsia="Arial" w:hAnsi="Arial"/>
                <w:sz w:val="18"/>
                <w:szCs w:val="18"/>
                <w:b w:val="1"/>
                <w:bCs w:val="1"/>
                <w:color w:val="auto"/>
              </w:rPr>
              <w:t>$4,775</w:t>
            </w:r>
          </w:p>
        </w:tc>
        <w:tc>
          <w:tcPr>
            <w:tcW w:w="1340" w:type="dxa"/>
            <w:vAlign w:val="bottom"/>
          </w:tcPr>
          <w:p>
            <w:pPr>
              <w:jc w:val="right"/>
              <w:ind w:right="250"/>
              <w:spacing w:after="0" w:line="173" w:lineRule="exact"/>
              <w:rPr>
                <w:sz w:val="20"/>
                <w:szCs w:val="20"/>
                <w:color w:val="auto"/>
              </w:rPr>
            </w:pPr>
            <w:r>
              <w:rPr>
                <w:rFonts w:ascii="Arial" w:cs="Arial" w:eastAsia="Arial" w:hAnsi="Arial"/>
                <w:sz w:val="18"/>
                <w:szCs w:val="18"/>
                <w:color w:val="auto"/>
              </w:rPr>
              <w:t>$4,510</w:t>
            </w:r>
          </w:p>
        </w:tc>
        <w:tc>
          <w:tcPr>
            <w:tcW w:w="1360" w:type="dxa"/>
            <w:vAlign w:val="bottom"/>
          </w:tcPr>
          <w:p>
            <w:pPr>
              <w:jc w:val="right"/>
              <w:ind w:right="270"/>
              <w:spacing w:after="0" w:line="173" w:lineRule="exact"/>
              <w:rPr>
                <w:sz w:val="20"/>
                <w:szCs w:val="20"/>
                <w:color w:val="auto"/>
              </w:rPr>
            </w:pPr>
            <w:r>
              <w:rPr>
                <w:rFonts w:ascii="Arial" w:cs="Arial" w:eastAsia="Arial" w:hAnsi="Arial"/>
                <w:sz w:val="18"/>
                <w:szCs w:val="18"/>
                <w:b w:val="1"/>
                <w:bCs w:val="1"/>
                <w:color w:val="auto"/>
              </w:rPr>
              <w:t>$14,350</w:t>
            </w:r>
          </w:p>
        </w:tc>
        <w:tc>
          <w:tcPr>
            <w:tcW w:w="11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$14,532</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306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2,769</w:t>
            </w:r>
          </w:p>
        </w:tc>
        <w:tc>
          <w:tcPr>
            <w:tcW w:w="13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3,593</w:t>
            </w:r>
          </w:p>
        </w:tc>
        <w:tc>
          <w:tcPr>
            <w:tcW w:w="136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8,547</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8,179</w:t>
            </w:r>
          </w:p>
        </w:tc>
      </w:tr>
      <w:tr>
        <w:trPr>
          <w:trHeight w:val="225"/>
        </w:trPr>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3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190</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159</w:t>
            </w: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674</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550</w:t>
            </w:r>
          </w:p>
        </w:tc>
      </w:tr>
      <w:tr>
        <w:trPr>
          <w:trHeight w:val="196"/>
        </w:trPr>
        <w:tc>
          <w:tcPr>
            <w:tcW w:w="4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306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$7,734</w:t>
            </w:r>
          </w:p>
        </w:tc>
        <w:tc>
          <w:tcPr>
            <w:tcW w:w="13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$8,262</w:t>
            </w:r>
          </w:p>
        </w:tc>
        <w:tc>
          <w:tcPr>
            <w:tcW w:w="13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$23,571</w:t>
            </w:r>
          </w:p>
        </w:tc>
        <w:tc>
          <w:tcPr>
            <w:tcW w:w="11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$23,261</w:t>
            </w: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w:t>
      </w:r>
    </w:p>
    <w:p>
      <w:pPr>
        <w:spacing w:after="0" w:line="220" w:lineRule="exact"/>
        <w:rPr>
          <w:sz w:val="20"/>
          <w:szCs w:val="20"/>
          <w:color w:val="auto"/>
        </w:rPr>
      </w:pPr>
    </w:p>
    <w:p>
      <w:pPr>
        <w:ind w:right="380" w:firstLine="648"/>
        <w:spacing w:after="0" w:line="246" w:lineRule="auto"/>
        <w:rPr>
          <w:sz w:val="20"/>
          <w:szCs w:val="20"/>
          <w:color w:val="auto"/>
        </w:rPr>
      </w:pPr>
      <w:r>
        <w:rPr>
          <w:rFonts w:ascii="Arial" w:cs="Arial" w:eastAsia="Arial" w:hAnsi="Arial"/>
          <w:sz w:val="18"/>
          <w:szCs w:val="18"/>
          <w:color w:val="auto"/>
        </w:rPr>
        <w:t>In addition to the items discussed above affecting gross profit and STG&amp;R, operating income was affected by restructuring costs of $13.9 million in the first nine months of 2015 and $4.1 million in the comparable period of 2014.</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restructuring expense by business segment: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60" w:type="dxa"/>
            <w:vAlign w:val="bottom"/>
            <w:tcBorders>
              <w:top w:val="single" w:sz="8" w:color="auto"/>
            </w:tcBorders>
          </w:tcPr>
          <w:p>
            <w:pPr>
              <w:spacing w:after="0"/>
              <w:rPr>
                <w:sz w:val="16"/>
                <w:szCs w:val="16"/>
                <w:color w:val="auto"/>
              </w:rPr>
            </w:pPr>
          </w:p>
        </w:tc>
        <w:tc>
          <w:tcPr>
            <w:tcW w:w="4440" w:type="dxa"/>
            <w:vAlign w:val="bottom"/>
            <w:tcBorders>
              <w:top w:val="single" w:sz="8" w:color="auto"/>
            </w:tcBorders>
            <w:gridSpan w:val="2"/>
          </w:tcPr>
          <w:p>
            <w:pPr>
              <w:jc w:val="right"/>
              <w:ind w:right="530"/>
              <w:spacing w:after="0" w:line="194" w:lineRule="exact"/>
              <w:rPr>
                <w:sz w:val="20"/>
                <w:szCs w:val="20"/>
                <w:color w:val="auto"/>
              </w:rPr>
            </w:pPr>
            <w:r>
              <w:rPr>
                <w:rFonts w:ascii="Arial" w:cs="Arial" w:eastAsia="Arial" w:hAnsi="Arial"/>
                <w:sz w:val="18"/>
                <w:szCs w:val="18"/>
                <w:b w:val="1"/>
                <w:bCs w:val="1"/>
                <w:color w:val="auto"/>
              </w:rPr>
              <w:t>Three months ended</w:t>
            </w:r>
          </w:p>
        </w:tc>
        <w:tc>
          <w:tcPr>
            <w:tcW w:w="2420" w:type="dxa"/>
            <w:vAlign w:val="bottom"/>
            <w:tcBorders>
              <w:top w:val="single" w:sz="8" w:color="auto"/>
            </w:tcBorders>
            <w:gridSpan w:val="2"/>
          </w:tcPr>
          <w:p>
            <w:pPr>
              <w:jc w:val="right"/>
              <w:ind w:right="290"/>
              <w:spacing w:after="0" w:line="194" w:lineRule="exact"/>
              <w:rPr>
                <w:sz w:val="20"/>
                <w:szCs w:val="20"/>
                <w:color w:val="auto"/>
              </w:rPr>
            </w:pPr>
            <w:r>
              <w:rPr>
                <w:rFonts w:ascii="Arial" w:cs="Arial" w:eastAsia="Arial" w:hAnsi="Arial"/>
                <w:sz w:val="18"/>
                <w:szCs w:val="18"/>
                <w:b w:val="1"/>
                <w:bCs w:val="1"/>
                <w:color w:val="auto"/>
              </w:rPr>
              <w:t>Nine months ended</w:t>
            </w:r>
          </w:p>
        </w:tc>
      </w:tr>
      <w:tr>
        <w:trPr>
          <w:trHeight w:val="203"/>
        </w:trPr>
        <w:tc>
          <w:tcPr>
            <w:tcW w:w="4560" w:type="dxa"/>
            <w:vAlign w:val="bottom"/>
          </w:tcPr>
          <w:p>
            <w:pPr>
              <w:spacing w:after="0"/>
              <w:rPr>
                <w:sz w:val="17"/>
                <w:szCs w:val="17"/>
                <w:color w:val="auto"/>
              </w:rPr>
            </w:pPr>
          </w:p>
        </w:tc>
        <w:tc>
          <w:tcPr>
            <w:tcW w:w="4440" w:type="dxa"/>
            <w:vAlign w:val="bottom"/>
            <w:gridSpan w:val="2"/>
          </w:tcPr>
          <w:p>
            <w:pPr>
              <w:jc w:val="right"/>
              <w:ind w:right="790"/>
              <w:spacing w:after="0" w:line="202" w:lineRule="exact"/>
              <w:rPr>
                <w:sz w:val="20"/>
                <w:szCs w:val="20"/>
                <w:color w:val="auto"/>
              </w:rPr>
            </w:pPr>
            <w:r>
              <w:rPr>
                <w:rFonts w:ascii="Arial" w:cs="Arial" w:eastAsia="Arial" w:hAnsi="Arial"/>
                <w:sz w:val="18"/>
                <w:szCs w:val="18"/>
                <w:b w:val="1"/>
                <w:bCs w:val="1"/>
                <w:color w:val="auto"/>
              </w:rPr>
              <w:t>September 30,</w:t>
            </w:r>
          </w:p>
        </w:tc>
        <w:tc>
          <w:tcPr>
            <w:tcW w:w="2420" w:type="dxa"/>
            <w:vAlign w:val="bottom"/>
            <w:gridSpan w:val="2"/>
          </w:tcPr>
          <w:p>
            <w:pPr>
              <w:jc w:val="right"/>
              <w:ind w:right="470"/>
              <w:spacing w:after="0" w:line="202" w:lineRule="exact"/>
              <w:rPr>
                <w:sz w:val="20"/>
                <w:szCs w:val="20"/>
                <w:color w:val="auto"/>
              </w:rPr>
            </w:pPr>
            <w:r>
              <w:rPr>
                <w:rFonts w:ascii="Arial" w:cs="Arial" w:eastAsia="Arial" w:hAnsi="Arial"/>
                <w:sz w:val="18"/>
                <w:szCs w:val="18"/>
                <w:b w:val="1"/>
                <w:bCs w:val="1"/>
                <w:color w:val="auto"/>
              </w:rPr>
              <w:t>September 30,</w:t>
            </w:r>
          </w:p>
        </w:tc>
      </w:tr>
      <w:tr>
        <w:trPr>
          <w:trHeight w:val="225"/>
        </w:trPr>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2014</w:t>
            </w:r>
          </w:p>
        </w:tc>
      </w:tr>
      <w:tr>
        <w:trPr>
          <w:trHeight w:val="173"/>
        </w:trPr>
        <w:tc>
          <w:tcPr>
            <w:tcW w:w="456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3060" w:type="dxa"/>
            <w:vAlign w:val="bottom"/>
          </w:tcPr>
          <w:p>
            <w:pPr>
              <w:jc w:val="right"/>
              <w:ind w:right="310"/>
              <w:spacing w:after="0" w:line="173" w:lineRule="exact"/>
              <w:rPr>
                <w:sz w:val="20"/>
                <w:szCs w:val="20"/>
                <w:color w:val="auto"/>
              </w:rPr>
            </w:pPr>
            <w:r>
              <w:rPr>
                <w:rFonts w:ascii="Arial" w:cs="Arial" w:eastAsia="Arial" w:hAnsi="Arial"/>
                <w:sz w:val="18"/>
                <w:szCs w:val="18"/>
                <w:b w:val="1"/>
                <w:bCs w:val="1"/>
                <w:color w:val="auto"/>
              </w:rPr>
              <w:t>$3,717</w:t>
            </w:r>
          </w:p>
        </w:tc>
        <w:tc>
          <w:tcPr>
            <w:tcW w:w="1380" w:type="dxa"/>
            <w:vAlign w:val="bottom"/>
          </w:tcPr>
          <w:p>
            <w:pPr>
              <w:jc w:val="right"/>
              <w:ind w:right="290"/>
              <w:spacing w:after="0" w:line="173" w:lineRule="exact"/>
              <w:rPr>
                <w:sz w:val="20"/>
                <w:szCs w:val="20"/>
                <w:color w:val="auto"/>
              </w:rPr>
            </w:pPr>
            <w:r>
              <w:rPr>
                <w:rFonts w:ascii="Arial" w:cs="Arial" w:eastAsia="Arial" w:hAnsi="Arial"/>
                <w:sz w:val="18"/>
                <w:szCs w:val="18"/>
                <w:color w:val="auto"/>
              </w:rPr>
              <w:t>$968</w:t>
            </w:r>
          </w:p>
        </w:tc>
        <w:tc>
          <w:tcPr>
            <w:tcW w:w="1340" w:type="dxa"/>
            <w:vAlign w:val="bottom"/>
          </w:tcPr>
          <w:p>
            <w:pPr>
              <w:jc w:val="right"/>
              <w:ind w:right="290"/>
              <w:spacing w:after="0" w:line="173" w:lineRule="exact"/>
              <w:rPr>
                <w:sz w:val="20"/>
                <w:szCs w:val="20"/>
                <w:color w:val="auto"/>
              </w:rPr>
            </w:pPr>
            <w:r>
              <w:rPr>
                <w:rFonts w:ascii="Arial" w:cs="Arial" w:eastAsia="Arial" w:hAnsi="Arial"/>
                <w:sz w:val="18"/>
                <w:szCs w:val="18"/>
                <w:b w:val="1"/>
                <w:bCs w:val="1"/>
                <w:color w:val="auto"/>
              </w:rPr>
              <w:t>$13,929</w:t>
            </w:r>
          </w:p>
        </w:tc>
        <w:tc>
          <w:tcPr>
            <w:tcW w:w="1080" w:type="dxa"/>
            <w:vAlign w:val="bottom"/>
          </w:tcPr>
          <w:p>
            <w:pPr>
              <w:jc w:val="right"/>
              <w:ind w:right="10"/>
              <w:spacing w:after="0" w:line="173" w:lineRule="exact"/>
              <w:rPr>
                <w:sz w:val="20"/>
                <w:szCs w:val="20"/>
                <w:color w:val="auto"/>
              </w:rPr>
            </w:pPr>
            <w:r>
              <w:rPr>
                <w:rFonts w:ascii="Arial" w:cs="Arial" w:eastAsia="Arial" w:hAnsi="Arial"/>
                <w:sz w:val="18"/>
                <w:szCs w:val="18"/>
                <w:color w:val="auto"/>
              </w:rPr>
              <w:t>$3,127</w:t>
            </w:r>
          </w:p>
        </w:tc>
      </w:tr>
      <w:tr>
        <w:trPr>
          <w:trHeight w:val="225"/>
        </w:trPr>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Albany Engineered Composites</w:t>
            </w:r>
          </w:p>
        </w:tc>
        <w:tc>
          <w:tcPr>
            <w:tcW w:w="3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(49)</w:t>
            </w: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931</w:t>
            </w:r>
          </w:p>
        </w:tc>
      </w:tr>
      <w:tr>
        <w:trPr>
          <w:trHeight w:val="196"/>
        </w:trPr>
        <w:tc>
          <w:tcPr>
            <w:tcW w:w="4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306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$3,717</w:t>
            </w:r>
          </w:p>
        </w:tc>
        <w:tc>
          <w:tcPr>
            <w:tcW w:w="13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$919</w:t>
            </w:r>
          </w:p>
        </w:tc>
        <w:tc>
          <w:tcPr>
            <w:tcW w:w="13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$13,929</w:t>
            </w: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$4,058</w:t>
            </w:r>
          </w:p>
        </w:tc>
      </w:tr>
    </w:tbl>
    <w:p>
      <w:pPr>
        <w:spacing w:after="0" w:line="200" w:lineRule="exact"/>
        <w:rPr>
          <w:sz w:val="20"/>
          <w:szCs w:val="20"/>
          <w:color w:val="auto"/>
        </w:rPr>
      </w:pPr>
    </w:p>
    <w:p>
      <w:pPr>
        <w:spacing w:after="0" w:line="204"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During the first quarter of 2015, the Company announced a plan to discontinue manufacturing operations at its press fabric manufacturing facility in Göppingen, Germany. The restructuring program was driven by the Company’s need to balance manufacturing capacity with demand. In April 2015, we reached agreement on the restructuring plan with the Works Council. Approximately 50 employees were terminated under this plan, and the estimated severance costs were recorded in the first quarter. In the third quarter of 2015, we recorded a charge of $3.2 million related to the write down of the land and building to the estimated fair market value. Cost savings associated with this action will reduce Cost of goods sold in future periods. We expect the annual cost savings associated with this restructuring, expected to be fully realized by the end of 2015, to be approximately $4 million to $5 million.</w:t>
      </w:r>
    </w:p>
    <w:p>
      <w:pPr>
        <w:spacing w:after="0" w:line="365" w:lineRule="exact"/>
        <w:rPr>
          <w:sz w:val="20"/>
          <w:szCs w:val="20"/>
          <w:color w:val="auto"/>
        </w:rPr>
      </w:pPr>
    </w:p>
    <w:p>
      <w:pPr>
        <w:ind w:right="1000" w:firstLine="648"/>
        <w:spacing w:after="0" w:line="246" w:lineRule="auto"/>
        <w:rPr>
          <w:sz w:val="20"/>
          <w:szCs w:val="20"/>
          <w:color w:val="auto"/>
        </w:rPr>
      </w:pPr>
      <w:r>
        <w:rPr>
          <w:rFonts w:ascii="Arial" w:cs="Arial" w:eastAsia="Arial" w:hAnsi="Arial"/>
          <w:sz w:val="18"/>
          <w:szCs w:val="18"/>
          <w:color w:val="auto"/>
        </w:rPr>
        <w:t>For more information on our restructuring charges, see Note 5 to the Consolidated Financial Statements in Item 1,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Operating Income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operating income by business segment: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20" w:type="dxa"/>
            <w:vAlign w:val="bottom"/>
            <w:tcBorders>
              <w:top w:val="single" w:sz="8" w:color="auto"/>
            </w:tcBorders>
          </w:tcPr>
          <w:p>
            <w:pPr>
              <w:spacing w:after="0"/>
              <w:rPr>
                <w:sz w:val="16"/>
                <w:szCs w:val="16"/>
                <w:color w:val="auto"/>
              </w:rPr>
            </w:pPr>
          </w:p>
        </w:tc>
        <w:tc>
          <w:tcPr>
            <w:tcW w:w="3320" w:type="dxa"/>
            <w:vAlign w:val="bottom"/>
            <w:tcBorders>
              <w:top w:val="single" w:sz="8" w:color="auto"/>
            </w:tcBorders>
            <w:gridSpan w:val="2"/>
          </w:tcPr>
          <w:p>
            <w:pPr>
              <w:ind w:left="1000"/>
              <w:spacing w:after="0" w:line="194" w:lineRule="exact"/>
              <w:rPr>
                <w:sz w:val="20"/>
                <w:szCs w:val="20"/>
                <w:color w:val="auto"/>
              </w:rPr>
            </w:pPr>
            <w:r>
              <w:rPr>
                <w:rFonts w:ascii="Arial" w:cs="Arial" w:eastAsia="Arial" w:hAnsi="Arial"/>
                <w:sz w:val="18"/>
                <w:szCs w:val="18"/>
                <w:b w:val="1"/>
                <w:bCs w:val="1"/>
                <w:color w:val="auto"/>
              </w:rPr>
              <w:t>Three months ended</w:t>
            </w:r>
          </w:p>
        </w:tc>
        <w:tc>
          <w:tcPr>
            <w:tcW w:w="2480" w:type="dxa"/>
            <w:vAlign w:val="bottom"/>
            <w:tcBorders>
              <w:top w:val="single" w:sz="8" w:color="auto"/>
            </w:tcBorders>
            <w:gridSpan w:val="2"/>
          </w:tcPr>
          <w:p>
            <w:pPr>
              <w:jc w:val="center"/>
              <w:ind w:left="30"/>
              <w:spacing w:after="0" w:line="194" w:lineRule="exact"/>
              <w:rPr>
                <w:sz w:val="20"/>
                <w:szCs w:val="20"/>
                <w:color w:val="auto"/>
              </w:rPr>
            </w:pPr>
            <w:r>
              <w:rPr>
                <w:rFonts w:ascii="Arial" w:cs="Arial" w:eastAsia="Arial" w:hAnsi="Arial"/>
                <w:sz w:val="18"/>
                <w:szCs w:val="18"/>
                <w:b w:val="1"/>
                <w:bCs w:val="1"/>
                <w:color w:val="auto"/>
              </w:rPr>
              <w:t>Nine months ended</w:t>
            </w:r>
          </w:p>
        </w:tc>
      </w:tr>
      <w:tr>
        <w:trPr>
          <w:trHeight w:val="203"/>
        </w:trPr>
        <w:tc>
          <w:tcPr>
            <w:tcW w:w="5620" w:type="dxa"/>
            <w:vAlign w:val="bottom"/>
          </w:tcPr>
          <w:p>
            <w:pPr>
              <w:spacing w:after="0"/>
              <w:rPr>
                <w:sz w:val="17"/>
                <w:szCs w:val="17"/>
                <w:color w:val="auto"/>
              </w:rPr>
            </w:pPr>
          </w:p>
        </w:tc>
        <w:tc>
          <w:tcPr>
            <w:tcW w:w="3320" w:type="dxa"/>
            <w:vAlign w:val="bottom"/>
            <w:gridSpan w:val="2"/>
          </w:tcPr>
          <w:p>
            <w:pPr>
              <w:jc w:val="right"/>
              <w:ind w:right="730"/>
              <w:spacing w:after="0" w:line="202" w:lineRule="exact"/>
              <w:rPr>
                <w:sz w:val="20"/>
                <w:szCs w:val="20"/>
                <w:color w:val="auto"/>
              </w:rPr>
            </w:pPr>
            <w:r>
              <w:rPr>
                <w:rFonts w:ascii="Arial" w:cs="Arial" w:eastAsia="Arial" w:hAnsi="Arial"/>
                <w:sz w:val="18"/>
                <w:szCs w:val="18"/>
                <w:b w:val="1"/>
                <w:bCs w:val="1"/>
                <w:color w:val="auto"/>
              </w:rPr>
              <w:t>September 30,</w:t>
            </w:r>
          </w:p>
        </w:tc>
        <w:tc>
          <w:tcPr>
            <w:tcW w:w="2480" w:type="dxa"/>
            <w:vAlign w:val="bottom"/>
            <w:gridSpan w:val="2"/>
          </w:tcPr>
          <w:p>
            <w:pPr>
              <w:jc w:val="center"/>
              <w:ind w:left="30"/>
              <w:spacing w:after="0" w:line="202" w:lineRule="exact"/>
              <w:rPr>
                <w:sz w:val="20"/>
                <w:szCs w:val="20"/>
                <w:color w:val="auto"/>
              </w:rPr>
            </w:pPr>
            <w:r>
              <w:rPr>
                <w:rFonts w:ascii="Arial" w:cs="Arial" w:eastAsia="Arial" w:hAnsi="Arial"/>
                <w:sz w:val="18"/>
                <w:szCs w:val="18"/>
                <w:b w:val="1"/>
                <w:bCs w:val="1"/>
                <w:color w:val="auto"/>
              </w:rPr>
              <w:t>September 30,</w:t>
            </w:r>
          </w:p>
        </w:tc>
      </w:tr>
      <w:tr>
        <w:trPr>
          <w:trHeight w:val="225"/>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000" w:type="dxa"/>
            <w:vAlign w:val="bottom"/>
            <w:tcBorders>
              <w:bottom w:val="single" w:sz="8" w:color="auto"/>
            </w:tcBorders>
          </w:tcPr>
          <w:p>
            <w:pPr>
              <w:ind w:left="1000"/>
              <w:spacing w:after="0"/>
              <w:rPr>
                <w:sz w:val="20"/>
                <w:szCs w:val="20"/>
                <w:color w:val="auto"/>
              </w:rPr>
            </w:pPr>
            <w:r>
              <w:rPr>
                <w:rFonts w:ascii="Arial" w:cs="Arial" w:eastAsia="Arial" w:hAnsi="Arial"/>
                <w:sz w:val="18"/>
                <w:szCs w:val="18"/>
                <w:b w:val="1"/>
                <w:bCs w:val="1"/>
                <w:color w:val="auto"/>
              </w:rPr>
              <w:t>2015</w:t>
            </w: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2014</w:t>
            </w:r>
          </w:p>
        </w:tc>
      </w:tr>
      <w:tr>
        <w:trPr>
          <w:trHeight w:val="173"/>
        </w:trPr>
        <w:tc>
          <w:tcPr>
            <w:tcW w:w="562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2000" w:type="dxa"/>
            <w:vAlign w:val="bottom"/>
          </w:tcPr>
          <w:p>
            <w:pPr>
              <w:jc w:val="right"/>
              <w:ind w:right="310"/>
              <w:spacing w:after="0" w:line="173" w:lineRule="exact"/>
              <w:rPr>
                <w:sz w:val="20"/>
                <w:szCs w:val="20"/>
                <w:color w:val="auto"/>
              </w:rPr>
            </w:pPr>
            <w:r>
              <w:rPr>
                <w:rFonts w:ascii="Arial" w:cs="Arial" w:eastAsia="Arial" w:hAnsi="Arial"/>
                <w:sz w:val="18"/>
                <w:szCs w:val="18"/>
                <w:b w:val="1"/>
                <w:bCs w:val="1"/>
                <w:color w:val="auto"/>
              </w:rPr>
              <w:t>$41,956</w:t>
            </w:r>
          </w:p>
        </w:tc>
        <w:tc>
          <w:tcPr>
            <w:tcW w:w="1320" w:type="dxa"/>
            <w:vAlign w:val="bottom"/>
          </w:tcPr>
          <w:p>
            <w:pPr>
              <w:jc w:val="right"/>
              <w:ind w:right="230"/>
              <w:spacing w:after="0" w:line="173" w:lineRule="exact"/>
              <w:rPr>
                <w:sz w:val="20"/>
                <w:szCs w:val="20"/>
                <w:color w:val="auto"/>
              </w:rPr>
            </w:pPr>
            <w:r>
              <w:rPr>
                <w:rFonts w:ascii="Arial" w:cs="Arial" w:eastAsia="Arial" w:hAnsi="Arial"/>
                <w:sz w:val="18"/>
                <w:szCs w:val="18"/>
                <w:color w:val="auto"/>
              </w:rPr>
              <w:t>$33,308</w:t>
            </w:r>
          </w:p>
        </w:tc>
        <w:tc>
          <w:tcPr>
            <w:tcW w:w="1360" w:type="dxa"/>
            <w:vAlign w:val="bottom"/>
          </w:tcPr>
          <w:p>
            <w:pPr>
              <w:jc w:val="right"/>
              <w:ind w:right="250"/>
              <w:spacing w:after="0" w:line="173" w:lineRule="exact"/>
              <w:rPr>
                <w:sz w:val="20"/>
                <w:szCs w:val="20"/>
                <w:color w:val="auto"/>
              </w:rPr>
            </w:pPr>
            <w:r>
              <w:rPr>
                <w:rFonts w:ascii="Arial" w:cs="Arial" w:eastAsia="Arial" w:hAnsi="Arial"/>
                <w:sz w:val="18"/>
                <w:szCs w:val="18"/>
                <w:b w:val="1"/>
                <w:bCs w:val="1"/>
                <w:color w:val="auto"/>
              </w:rPr>
              <w:t>$110,969</w:t>
            </w:r>
          </w:p>
        </w:tc>
        <w:tc>
          <w:tcPr>
            <w:tcW w:w="112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$103,329</w:t>
            </w: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200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(4,191)</w:t>
            </w:r>
          </w:p>
        </w:tc>
        <w:tc>
          <w:tcPr>
            <w:tcW w:w="13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(2,765)</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(26,635)</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(9,785)</w:t>
            </w:r>
          </w:p>
        </w:tc>
      </w:tr>
      <w:tr>
        <w:trPr>
          <w:trHeight w:val="225"/>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2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(11,922)</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(11,385)</w:t>
            </w: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(35,304)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(34,808)</w:t>
            </w:r>
          </w:p>
        </w:tc>
      </w:tr>
      <w:tr>
        <w:trPr>
          <w:trHeight w:val="196"/>
        </w:trPr>
        <w:tc>
          <w:tcPr>
            <w:tcW w:w="56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0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$25,843</w:t>
            </w:r>
          </w:p>
        </w:tc>
        <w:tc>
          <w:tcPr>
            <w:tcW w:w="13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$19,158</w:t>
            </w:r>
          </w:p>
        </w:tc>
        <w:tc>
          <w:tcPr>
            <w:tcW w:w="13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$49,030</w:t>
            </w: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$58,736</w:t>
            </w:r>
          </w:p>
        </w:tc>
      </w:tr>
      <w:tr>
        <w:trPr>
          <w:trHeight w:val="588"/>
        </w:trPr>
        <w:tc>
          <w:tcPr>
            <w:tcW w:w="5620" w:type="dxa"/>
            <w:vAlign w:val="bottom"/>
          </w:tcPr>
          <w:p>
            <w:pPr>
              <w:spacing w:after="0"/>
              <w:rPr>
                <w:sz w:val="20"/>
                <w:szCs w:val="20"/>
                <w:color w:val="auto"/>
              </w:rPr>
            </w:pPr>
            <w:r>
              <w:rPr>
                <w:rFonts w:ascii="Arial" w:cs="Arial" w:eastAsia="Arial" w:hAnsi="Arial"/>
                <w:sz w:val="18"/>
                <w:szCs w:val="18"/>
                <w:b w:val="1"/>
                <w:bCs w:val="1"/>
                <w:color w:val="auto"/>
              </w:rPr>
              <w:t>Other Earnings Items</w:t>
            </w:r>
          </w:p>
        </w:tc>
        <w:tc>
          <w:tcPr>
            <w:tcW w:w="2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9"/>
        </w:trPr>
        <w:tc>
          <w:tcPr>
            <w:tcW w:w="56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2"/>
          </w:tcPr>
          <w:p>
            <w:pPr>
              <w:spacing w:after="0"/>
              <w:rPr>
                <w:sz w:val="16"/>
                <w:szCs w:val="16"/>
                <w:color w:val="auto"/>
              </w:rPr>
            </w:pPr>
          </w:p>
        </w:tc>
        <w:tc>
          <w:tcPr>
            <w:tcW w:w="2480" w:type="dxa"/>
            <w:vAlign w:val="bottom"/>
            <w:tcBorders>
              <w:bottom w:val="single" w:sz="8" w:color="auto"/>
            </w:tcBorders>
            <w:gridSpan w:val="2"/>
          </w:tcPr>
          <w:p>
            <w:pPr>
              <w:spacing w:after="0"/>
              <w:rPr>
                <w:sz w:val="16"/>
                <w:szCs w:val="16"/>
                <w:color w:val="auto"/>
              </w:rPr>
            </w:pPr>
          </w:p>
        </w:tc>
      </w:tr>
      <w:tr>
        <w:trPr>
          <w:trHeight w:val="173"/>
        </w:trPr>
        <w:tc>
          <w:tcPr>
            <w:tcW w:w="5620" w:type="dxa"/>
            <w:vAlign w:val="bottom"/>
          </w:tcPr>
          <w:p>
            <w:pPr>
              <w:spacing w:after="0"/>
              <w:rPr>
                <w:sz w:val="15"/>
                <w:szCs w:val="15"/>
                <w:color w:val="auto"/>
              </w:rPr>
            </w:pPr>
          </w:p>
        </w:tc>
        <w:tc>
          <w:tcPr>
            <w:tcW w:w="3320" w:type="dxa"/>
            <w:vAlign w:val="bottom"/>
            <w:gridSpan w:val="2"/>
          </w:tcPr>
          <w:p>
            <w:pPr>
              <w:ind w:left="980"/>
              <w:spacing w:after="0" w:line="173" w:lineRule="exact"/>
              <w:rPr>
                <w:sz w:val="20"/>
                <w:szCs w:val="20"/>
                <w:color w:val="auto"/>
              </w:rPr>
            </w:pPr>
            <w:r>
              <w:rPr>
                <w:rFonts w:ascii="Arial" w:cs="Arial" w:eastAsia="Arial" w:hAnsi="Arial"/>
                <w:sz w:val="18"/>
                <w:szCs w:val="18"/>
                <w:b w:val="1"/>
                <w:bCs w:val="1"/>
                <w:color w:val="auto"/>
              </w:rPr>
              <w:t>Three months ended</w:t>
            </w:r>
          </w:p>
        </w:tc>
        <w:tc>
          <w:tcPr>
            <w:tcW w:w="2480" w:type="dxa"/>
            <w:vAlign w:val="bottom"/>
            <w:gridSpan w:val="2"/>
          </w:tcPr>
          <w:p>
            <w:pPr>
              <w:jc w:val="center"/>
              <w:spacing w:after="0" w:line="173" w:lineRule="exact"/>
              <w:rPr>
                <w:sz w:val="20"/>
                <w:szCs w:val="20"/>
                <w:color w:val="auto"/>
              </w:rPr>
            </w:pPr>
            <w:r>
              <w:rPr>
                <w:rFonts w:ascii="Arial" w:cs="Arial" w:eastAsia="Arial" w:hAnsi="Arial"/>
                <w:sz w:val="18"/>
                <w:szCs w:val="18"/>
                <w:b w:val="1"/>
                <w:bCs w:val="1"/>
                <w:color w:val="auto"/>
                <w:w w:val="99"/>
              </w:rPr>
              <w:t>Nine months ended</w:t>
            </w:r>
          </w:p>
        </w:tc>
      </w:tr>
      <w:tr>
        <w:trPr>
          <w:trHeight w:val="203"/>
        </w:trPr>
        <w:tc>
          <w:tcPr>
            <w:tcW w:w="5620" w:type="dxa"/>
            <w:vAlign w:val="bottom"/>
          </w:tcPr>
          <w:p>
            <w:pPr>
              <w:spacing w:after="0"/>
              <w:rPr>
                <w:sz w:val="17"/>
                <w:szCs w:val="17"/>
                <w:color w:val="auto"/>
              </w:rPr>
            </w:pPr>
          </w:p>
        </w:tc>
        <w:tc>
          <w:tcPr>
            <w:tcW w:w="3320" w:type="dxa"/>
            <w:vAlign w:val="bottom"/>
            <w:gridSpan w:val="2"/>
          </w:tcPr>
          <w:p>
            <w:pPr>
              <w:jc w:val="right"/>
              <w:ind w:right="730"/>
              <w:spacing w:after="0" w:line="202" w:lineRule="exact"/>
              <w:rPr>
                <w:sz w:val="20"/>
                <w:szCs w:val="20"/>
                <w:color w:val="auto"/>
              </w:rPr>
            </w:pPr>
            <w:r>
              <w:rPr>
                <w:rFonts w:ascii="Arial" w:cs="Arial" w:eastAsia="Arial" w:hAnsi="Arial"/>
                <w:sz w:val="18"/>
                <w:szCs w:val="18"/>
                <w:b w:val="1"/>
                <w:bCs w:val="1"/>
                <w:color w:val="auto"/>
              </w:rPr>
              <w:t>September 30,</w:t>
            </w:r>
          </w:p>
        </w:tc>
        <w:tc>
          <w:tcPr>
            <w:tcW w:w="2480" w:type="dxa"/>
            <w:vAlign w:val="bottom"/>
            <w:gridSpan w:val="2"/>
          </w:tcPr>
          <w:p>
            <w:pPr>
              <w:jc w:val="center"/>
              <w:ind w:left="30"/>
              <w:spacing w:after="0" w:line="202" w:lineRule="exact"/>
              <w:rPr>
                <w:sz w:val="20"/>
                <w:szCs w:val="20"/>
                <w:color w:val="auto"/>
              </w:rPr>
            </w:pPr>
            <w:r>
              <w:rPr>
                <w:rFonts w:ascii="Arial" w:cs="Arial" w:eastAsia="Arial" w:hAnsi="Arial"/>
                <w:sz w:val="18"/>
                <w:szCs w:val="18"/>
                <w:b w:val="1"/>
                <w:bCs w:val="1"/>
                <w:color w:val="auto"/>
              </w:rPr>
              <w:t>September 30,</w:t>
            </w:r>
          </w:p>
        </w:tc>
      </w:tr>
      <w:tr>
        <w:trPr>
          <w:trHeight w:val="225"/>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000" w:type="dxa"/>
            <w:vAlign w:val="bottom"/>
            <w:tcBorders>
              <w:bottom w:val="single" w:sz="8" w:color="auto"/>
            </w:tcBorders>
          </w:tcPr>
          <w:p>
            <w:pPr>
              <w:ind w:left="1000"/>
              <w:spacing w:after="0"/>
              <w:rPr>
                <w:sz w:val="20"/>
                <w:szCs w:val="20"/>
                <w:color w:val="auto"/>
              </w:rPr>
            </w:pPr>
            <w:r>
              <w:rPr>
                <w:rFonts w:ascii="Arial" w:cs="Arial" w:eastAsia="Arial" w:hAnsi="Arial"/>
                <w:sz w:val="18"/>
                <w:szCs w:val="18"/>
                <w:b w:val="1"/>
                <w:bCs w:val="1"/>
                <w:color w:val="auto"/>
              </w:rPr>
              <w:t>2015</w:t>
            </w: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2014</w:t>
            </w:r>
          </w:p>
        </w:tc>
      </w:tr>
      <w:tr>
        <w:trPr>
          <w:trHeight w:val="173"/>
        </w:trPr>
        <w:tc>
          <w:tcPr>
            <w:tcW w:w="5620" w:type="dxa"/>
            <w:vAlign w:val="bottom"/>
          </w:tcPr>
          <w:p>
            <w:pPr>
              <w:spacing w:after="0" w:line="173" w:lineRule="exact"/>
              <w:rPr>
                <w:sz w:val="20"/>
                <w:szCs w:val="20"/>
                <w:color w:val="auto"/>
              </w:rPr>
            </w:pPr>
            <w:r>
              <w:rPr>
                <w:rFonts w:ascii="Arial" w:cs="Arial" w:eastAsia="Arial" w:hAnsi="Arial"/>
                <w:sz w:val="18"/>
                <w:szCs w:val="18"/>
                <w:color w:val="auto"/>
              </w:rPr>
              <w:t>Interest expense, net</w:t>
            </w:r>
          </w:p>
        </w:tc>
        <w:tc>
          <w:tcPr>
            <w:tcW w:w="2000" w:type="dxa"/>
            <w:vAlign w:val="bottom"/>
          </w:tcPr>
          <w:p>
            <w:pPr>
              <w:jc w:val="right"/>
              <w:ind w:right="310"/>
              <w:spacing w:after="0" w:line="173" w:lineRule="exact"/>
              <w:rPr>
                <w:sz w:val="20"/>
                <w:szCs w:val="20"/>
                <w:color w:val="auto"/>
              </w:rPr>
            </w:pPr>
            <w:r>
              <w:rPr>
                <w:rFonts w:ascii="Arial" w:cs="Arial" w:eastAsia="Arial" w:hAnsi="Arial"/>
                <w:sz w:val="18"/>
                <w:szCs w:val="18"/>
                <w:b w:val="1"/>
                <w:bCs w:val="1"/>
                <w:color w:val="auto"/>
              </w:rPr>
              <w:t>$2,671</w:t>
            </w:r>
          </w:p>
        </w:tc>
        <w:tc>
          <w:tcPr>
            <w:tcW w:w="1320" w:type="dxa"/>
            <w:vAlign w:val="bottom"/>
          </w:tcPr>
          <w:p>
            <w:pPr>
              <w:jc w:val="right"/>
              <w:ind w:right="230"/>
              <w:spacing w:after="0" w:line="173" w:lineRule="exact"/>
              <w:rPr>
                <w:sz w:val="20"/>
                <w:szCs w:val="20"/>
                <w:color w:val="auto"/>
              </w:rPr>
            </w:pPr>
            <w:r>
              <w:rPr>
                <w:rFonts w:ascii="Arial" w:cs="Arial" w:eastAsia="Arial" w:hAnsi="Arial"/>
                <w:sz w:val="18"/>
                <w:szCs w:val="18"/>
                <w:color w:val="auto"/>
              </w:rPr>
              <w:t>$2,486</w:t>
            </w:r>
          </w:p>
        </w:tc>
        <w:tc>
          <w:tcPr>
            <w:tcW w:w="1360" w:type="dxa"/>
            <w:vAlign w:val="bottom"/>
          </w:tcPr>
          <w:p>
            <w:pPr>
              <w:jc w:val="right"/>
              <w:ind w:right="250"/>
              <w:spacing w:after="0" w:line="173" w:lineRule="exact"/>
              <w:rPr>
                <w:sz w:val="20"/>
                <w:szCs w:val="20"/>
                <w:color w:val="auto"/>
              </w:rPr>
            </w:pPr>
            <w:r>
              <w:rPr>
                <w:rFonts w:ascii="Arial" w:cs="Arial" w:eastAsia="Arial" w:hAnsi="Arial"/>
                <w:sz w:val="18"/>
                <w:szCs w:val="18"/>
                <w:b w:val="1"/>
                <w:bCs w:val="1"/>
                <w:color w:val="auto"/>
              </w:rPr>
              <w:t>$8,049</w:t>
            </w:r>
          </w:p>
        </w:tc>
        <w:tc>
          <w:tcPr>
            <w:tcW w:w="1120" w:type="dxa"/>
            <w:vAlign w:val="bottom"/>
          </w:tcPr>
          <w:p>
            <w:pPr>
              <w:jc w:val="right"/>
              <w:ind w:right="10"/>
              <w:spacing w:after="0" w:line="173" w:lineRule="exact"/>
              <w:rPr>
                <w:sz w:val="20"/>
                <w:szCs w:val="20"/>
                <w:color w:val="auto"/>
              </w:rPr>
            </w:pPr>
            <w:r>
              <w:rPr>
                <w:rFonts w:ascii="Arial" w:cs="Arial" w:eastAsia="Arial" w:hAnsi="Arial"/>
                <w:sz w:val="18"/>
                <w:szCs w:val="18"/>
                <w:color w:val="auto"/>
              </w:rPr>
              <w:t>$8,121</w:t>
            </w: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Other expense/(income), net</w:t>
            </w:r>
          </w:p>
        </w:tc>
        <w:tc>
          <w:tcPr>
            <w:tcW w:w="200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1,249</w:t>
            </w:r>
          </w:p>
        </w:tc>
        <w:tc>
          <w:tcPr>
            <w:tcW w:w="13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(1,864)</w:t>
            </w:r>
          </w:p>
        </w:tc>
        <w:tc>
          <w:tcPr>
            <w:tcW w:w="136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784</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(4,464)</w:t>
            </w: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200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12,243</w:t>
            </w:r>
          </w:p>
        </w:tc>
        <w:tc>
          <w:tcPr>
            <w:tcW w:w="13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6,762</w:t>
            </w:r>
          </w:p>
        </w:tc>
        <w:tc>
          <w:tcPr>
            <w:tcW w:w="136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20,398</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21,435</w:t>
            </w:r>
          </w:p>
        </w:tc>
      </w:tr>
      <w:tr>
        <w:trPr>
          <w:trHeight w:val="225"/>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income/(loss) attributable to the noncontrolling interest</w:t>
            </w:r>
          </w:p>
        </w:tc>
        <w:tc>
          <w:tcPr>
            <w:tcW w:w="2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22</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(38)</w:t>
            </w: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100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20" w:lineRule="exact"/>
        <w:rPr>
          <w:sz w:val="20"/>
          <w:szCs w:val="20"/>
          <w:color w:val="auto"/>
        </w:rPr>
      </w:pPr>
    </w:p>
    <w:p>
      <w:pPr>
        <w:ind w:right="180" w:firstLine="648"/>
        <w:spacing w:after="0"/>
        <w:rPr>
          <w:sz w:val="20"/>
          <w:szCs w:val="20"/>
          <w:color w:val="auto"/>
        </w:rPr>
      </w:pPr>
      <w:r>
        <w:rPr>
          <w:rFonts w:ascii="Arial" w:cs="Arial" w:eastAsia="Arial" w:hAnsi="Arial"/>
          <w:sz w:val="18"/>
          <w:szCs w:val="18"/>
          <w:color w:val="auto"/>
        </w:rPr>
        <w:t>For the first nine months of 2015, Interest expense, net, decreased $0.1 million compared to the same period of 2014. For more information on borrowings and interest rates, see Note 13 to the Consolidated Financial Statements in Item 1, which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Expense/(Income), net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Other expense/(income), net included the following: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20" w:lineRule="exact"/>
        <w:rPr>
          <w:sz w:val="20"/>
          <w:szCs w:val="20"/>
          <w:color w:val="auto"/>
        </w:rPr>
      </w:pPr>
    </w:p>
    <w:p>
      <w:pPr>
        <w:ind w:left="660" w:right="140" w:hanging="373"/>
        <w:spacing w:after="0" w:line="24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currency revaluations of intercompany balances resulted in losses of $1.0 million during the third quarter of 2015 and gains of $1.9 million in the comparable period of 2014.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220" w:lineRule="exact"/>
        <w:rPr>
          <w:sz w:val="20"/>
          <w:szCs w:val="20"/>
          <w:color w:val="auto"/>
        </w:rPr>
      </w:pPr>
    </w:p>
    <w:p>
      <w:pPr>
        <w:ind w:left="660" w:right="460" w:hanging="373"/>
        <w:spacing w:after="0" w:line="24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currency revaluations of intercompany balances resulted in losses of $0.4 million during the first nine months of 2015 and gains of $3.8 million in the comparable period of 2014.</w:t>
      </w:r>
    </w:p>
    <w:p>
      <w:pPr>
        <w:spacing w:after="0" w:line="88" w:lineRule="exact"/>
        <w:rPr>
          <w:rFonts w:ascii="Arial" w:cs="Arial" w:eastAsia="Arial" w:hAnsi="Arial"/>
          <w:sz w:val="18"/>
          <w:szCs w:val="18"/>
          <w:color w:val="auto"/>
        </w:rPr>
      </w:pPr>
    </w:p>
    <w:p>
      <w:pPr>
        <w:ind w:left="660" w:hanging="37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 of the Company’s total equity investment in an unaffiliated company resulted in a gain of $0.9 million in 2015.</w:t>
      </w:r>
    </w:p>
    <w:p>
      <w:pPr>
        <w:spacing w:after="0" w:line="117" w:lineRule="exact"/>
        <w:rPr>
          <w:rFonts w:ascii="Arial" w:cs="Arial" w:eastAsia="Arial" w:hAnsi="Arial"/>
          <w:sz w:val="18"/>
          <w:szCs w:val="18"/>
          <w:color w:val="auto"/>
        </w:rPr>
      </w:pPr>
    </w:p>
    <w:p>
      <w:pPr>
        <w:ind w:left="660" w:hanging="37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first nine months of 2014, we recorded an insurance recovery gain of $1.1 million.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Income Tax</w:t>
      </w:r>
    </w:p>
    <w:p>
      <w:pPr>
        <w:spacing w:after="0" w:line="220" w:lineRule="exact"/>
        <w:rPr>
          <w:sz w:val="20"/>
          <w:szCs w:val="20"/>
          <w:color w:val="auto"/>
        </w:rPr>
      </w:pPr>
    </w:p>
    <w:p>
      <w:pPr>
        <w:jc w:val="both"/>
        <w:ind w:right="180" w:firstLine="648"/>
        <w:spacing w:after="0"/>
        <w:rPr>
          <w:sz w:val="20"/>
          <w:szCs w:val="20"/>
          <w:color w:val="auto"/>
        </w:rPr>
      </w:pPr>
      <w:r>
        <w:rPr>
          <w:rFonts w:ascii="Arial" w:cs="Arial" w:eastAsia="Arial" w:hAnsi="Arial"/>
          <w:sz w:val="18"/>
          <w:szCs w:val="18"/>
          <w:color w:val="auto"/>
        </w:rPr>
        <w:t>The Company has operations which constitute a taxable presence in 19 countries outside of the United States. All of these countries except one had income tax rates that were lower than the United States federal tax rate of 35% during the periods reported. The jurisdictional location of earnings is a significant component of our effective tax rate each year and therefore on our overall income tax expense.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2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Company’s effective tax rates for the third quarter of 2015 and 2014 were 55.8% and 36.5%, respectively. The tax rate is affected by recurring items, such as the income tax rate in the U.S. and in non-U.S. jurisdictions and the mix of income earned in those jurisdictions. The tax rate is also affected by U.S. tax costs on foreign earnings that have been or will be repatriated to the U.S., and by discrete items that may occur in any given year but are not consistent from year to year.</w:t>
      </w:r>
    </w:p>
    <w:p>
      <w:pPr>
        <w:spacing w:after="0" w:line="161"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Significant items that impacted the tax rates in the third quarter of 2015 included the following (percentages reflect the effect of each item as a percentage of Income before income taxes):</w:t>
      </w:r>
    </w:p>
    <w:p>
      <w:pPr>
        <w:spacing w:after="0" w:line="170"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38.0%.</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$4.5 million (20.6%) discrete income tax expense related to provisions for and settlements of income tax audits.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$1.0 million (4.4%) net tax expense due to changes in/establishment of uncertain tax positions.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$1.0 million (-4.6%) net tax benefit related to a change in the estimated tax rate for the year.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$0.6 million (-2.6%) net tax benefit related to adjustments to prior year tax liabilities.</w:t>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items that impacted the third quarter of 2014 tax rate included the following:</w:t>
      </w:r>
    </w:p>
    <w:p>
      <w:pPr>
        <w:spacing w:after="0" w:line="171"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34.9%.</w:t>
      </w:r>
    </w:p>
    <w:p>
      <w:pPr>
        <w:spacing w:after="0" w:line="9" w:lineRule="exact"/>
        <w:rPr>
          <w:rFonts w:ascii="Arial" w:cs="Arial" w:eastAsia="Arial" w:hAnsi="Arial"/>
          <w:sz w:val="18"/>
          <w:szCs w:val="18"/>
          <w:color w:val="auto"/>
        </w:rPr>
      </w:pPr>
    </w:p>
    <w:p>
      <w:pPr>
        <w:ind w:left="980" w:right="20" w:hanging="324"/>
        <w:spacing w:after="0" w:line="23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response to a recent unfavorable outcome in the tax court pertaining to another taxpayer with similar facts to the Company, a tax charge of $7.1 million (38.3%) primarily related to this action was recognized for uncertain tax positions taken in prior years.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net tax benefit was recognized in the amount of $6.8 million (-36.5%) primarily due to the lapse of a tax statute.</w:t>
      </w:r>
    </w:p>
    <w:p>
      <w:pPr>
        <w:spacing w:after="0" w:line="9" w:lineRule="exact"/>
        <w:rPr>
          <w:rFonts w:ascii="Arial" w:cs="Arial" w:eastAsia="Arial" w:hAnsi="Arial"/>
          <w:sz w:val="18"/>
          <w:szCs w:val="18"/>
          <w:color w:val="auto"/>
        </w:rPr>
      </w:pPr>
    </w:p>
    <w:p>
      <w:pPr>
        <w:ind w:left="980" w:right="240" w:hanging="324"/>
        <w:spacing w:after="0" w:line="246"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$0.2 million (1.1%) net expense related to adjustments to prior year estimated tax liabilities and $0.2 million (-1.3%) tax benefit for the effect of a change in the estimated tax rate for the year.</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Nine month comparison</w:t>
      </w:r>
    </w:p>
    <w:p>
      <w:pPr>
        <w:spacing w:after="0" w:line="200" w:lineRule="exact"/>
        <w:rPr>
          <w:sz w:val="20"/>
          <w:szCs w:val="20"/>
          <w:color w:val="auto"/>
        </w:rPr>
      </w:pP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effective tax rate for the first nine-month periods of 2015 and 2014 were 50.7% and 38.9%, respectively.</w:t>
      </w:r>
    </w:p>
    <w:p>
      <w:pPr>
        <w:spacing w:after="0" w:line="171"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Significant items that impacted the 2015 tax rate included the following (percentages reflect the effect of each item as a percentage of income excluding the building insurance gain and before income taxes):</w:t>
      </w:r>
    </w:p>
    <w:p>
      <w:pPr>
        <w:spacing w:after="0" w:line="156"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38.0%.</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$4.5 million (11.2%) discrete income tax expense related to provisions for and settlements of income tax audits.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32" w:name="page33"/>
    <w:bookmarkEnd w:id="32"/>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$1.2 million (2.9%) net tax expense due to changes in/establishment of uncertain tax positions.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$0.5 million (-1.4%) net tax benefit related to other discrete items.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items that impacted the 2014 tax rate included the following:</w:t>
      </w:r>
    </w:p>
    <w:p>
      <w:pPr>
        <w:spacing w:after="0" w:line="171"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34.9%.</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net charge of $1.3 million (2.4%) for the resolution of and provision for income tax controversies.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$0.5 million (0.8%) net charge for adjustments to estimated prior year tax liabilities.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adjustment of $0.4 million (0.8%) for a change to the beginning of year valuation allowance.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MC is our primary business segment and accounted for 88 percent of our consolidated revenues during the first nine months of 2015.</w:t>
      </w:r>
    </w:p>
    <w:p>
      <w:pPr>
        <w:spacing w:after="0"/>
        <w:rPr>
          <w:sz w:val="20"/>
          <w:szCs w:val="20"/>
          <w:color w:val="auto"/>
        </w:rPr>
      </w:pPr>
      <w:r>
        <w:rPr>
          <w:rFonts w:ascii="Arial" w:cs="Arial" w:eastAsia="Arial" w:hAnsi="Arial"/>
          <w:sz w:val="18"/>
          <w:szCs w:val="18"/>
          <w:color w:val="auto"/>
        </w:rPr>
        <w:t>Machine Clothing products are purchased primarily by manufacturers of paper and paperboard.</w:t>
      </w:r>
    </w:p>
    <w:p>
      <w:pPr>
        <w:spacing w:after="0" w:line="198"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According to RISI, Inc., global production of paper and paperboard is expected to grow at an annual rate of approximately 2% over the next five years, driven primarily by secular demand increases in Asia and South America, with stabilization in the mature markets of Europe and North America.</w:t>
      </w:r>
    </w:p>
    <w:p>
      <w:pPr>
        <w:spacing w:after="0" w:line="189"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Shifting demand for paper, across different paper grades as well as across geographical regions, continues to drive the elimination of papermaking capacity in areas with significant established capacity, primarily in the mature markets of Europe and North America. At the same time, the newest, most efficient machines are being installed in areas of growing demand, including Asia and South America generally, as well as tissue and towel paper grades in all regions. Recent technological advances in paper machine clothing, while contributing to the papermaking efficiency of customers, have lengthened the useful life of many of our products and had an adverse impact on overall paper machine clothing demand.</w:t>
      </w:r>
    </w:p>
    <w:p>
      <w:pPr>
        <w:spacing w:after="0" w:line="192"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spacing w:after="0" w:line="188" w:lineRule="exact"/>
        <w:rPr>
          <w:sz w:val="20"/>
          <w:szCs w:val="20"/>
          <w:color w:val="auto"/>
        </w:rPr>
      </w:pPr>
    </w:p>
    <w:p>
      <w:pPr>
        <w:ind w:right="280" w:firstLine="648"/>
        <w:spacing w:after="0" w:line="246" w:lineRule="auto"/>
        <w:rPr>
          <w:sz w:val="20"/>
          <w:szCs w:val="20"/>
          <w:color w:val="auto"/>
        </w:rPr>
      </w:pPr>
      <w:r>
        <w:rPr>
          <w:rFonts w:ascii="Arial" w:cs="Arial" w:eastAsia="Arial" w:hAnsi="Arial"/>
          <w:sz w:val="18"/>
          <w:szCs w:val="18"/>
          <w:color w:val="auto"/>
        </w:rPr>
        <w:t>We have incurred significant restructuring charges in recent periods as we reduced Machine Clothing manufacturing capacity in the United States, Germany, France, Canada, and Sweden.</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140" w:right="29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Review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60" w:type="dxa"/>
            <w:vAlign w:val="bottom"/>
            <w:tcBorders>
              <w:top w:val="single" w:sz="8" w:color="auto"/>
            </w:tcBorders>
          </w:tcPr>
          <w:p>
            <w:pPr>
              <w:spacing w:after="0"/>
              <w:rPr>
                <w:sz w:val="16"/>
                <w:szCs w:val="16"/>
                <w:color w:val="auto"/>
              </w:rPr>
            </w:pPr>
          </w:p>
        </w:tc>
        <w:tc>
          <w:tcPr>
            <w:tcW w:w="4200" w:type="dxa"/>
            <w:vAlign w:val="bottom"/>
            <w:tcBorders>
              <w:top w:val="single" w:sz="8" w:color="auto"/>
            </w:tcBorders>
            <w:gridSpan w:val="2"/>
          </w:tcPr>
          <w:p>
            <w:pPr>
              <w:jc w:val="right"/>
              <w:ind w:right="530"/>
              <w:spacing w:after="0" w:line="194" w:lineRule="exact"/>
              <w:rPr>
                <w:sz w:val="20"/>
                <w:szCs w:val="20"/>
                <w:color w:val="auto"/>
              </w:rPr>
            </w:pPr>
            <w:r>
              <w:rPr>
                <w:rFonts w:ascii="Arial" w:cs="Arial" w:eastAsia="Arial" w:hAnsi="Arial"/>
                <w:sz w:val="18"/>
                <w:szCs w:val="18"/>
                <w:b w:val="1"/>
                <w:bCs w:val="1"/>
                <w:color w:val="auto"/>
              </w:rPr>
              <w:t>Three months ended</w:t>
            </w:r>
          </w:p>
        </w:tc>
        <w:tc>
          <w:tcPr>
            <w:tcW w:w="2560" w:type="dxa"/>
            <w:vAlign w:val="bottom"/>
            <w:tcBorders>
              <w:top w:val="single" w:sz="8" w:color="auto"/>
            </w:tcBorders>
            <w:gridSpan w:val="2"/>
          </w:tcPr>
          <w:p>
            <w:pPr>
              <w:jc w:val="right"/>
              <w:ind w:right="330"/>
              <w:spacing w:after="0" w:line="194" w:lineRule="exact"/>
              <w:rPr>
                <w:sz w:val="20"/>
                <w:szCs w:val="20"/>
                <w:color w:val="auto"/>
              </w:rPr>
            </w:pPr>
            <w:r>
              <w:rPr>
                <w:rFonts w:ascii="Arial" w:cs="Arial" w:eastAsia="Arial" w:hAnsi="Arial"/>
                <w:sz w:val="18"/>
                <w:szCs w:val="18"/>
                <w:b w:val="1"/>
                <w:bCs w:val="1"/>
                <w:color w:val="auto"/>
              </w:rPr>
              <w:t>Nine months ended</w:t>
            </w:r>
          </w:p>
        </w:tc>
      </w:tr>
      <w:tr>
        <w:trPr>
          <w:trHeight w:val="203"/>
        </w:trPr>
        <w:tc>
          <w:tcPr>
            <w:tcW w:w="4660" w:type="dxa"/>
            <w:vAlign w:val="bottom"/>
          </w:tcPr>
          <w:p>
            <w:pPr>
              <w:spacing w:after="0"/>
              <w:rPr>
                <w:sz w:val="17"/>
                <w:szCs w:val="17"/>
                <w:color w:val="auto"/>
              </w:rPr>
            </w:pPr>
          </w:p>
        </w:tc>
        <w:tc>
          <w:tcPr>
            <w:tcW w:w="4200" w:type="dxa"/>
            <w:vAlign w:val="bottom"/>
            <w:gridSpan w:val="2"/>
          </w:tcPr>
          <w:p>
            <w:pPr>
              <w:jc w:val="right"/>
              <w:ind w:right="770"/>
              <w:spacing w:after="0" w:line="202" w:lineRule="exact"/>
              <w:rPr>
                <w:sz w:val="20"/>
                <w:szCs w:val="20"/>
                <w:color w:val="auto"/>
              </w:rPr>
            </w:pPr>
            <w:r>
              <w:rPr>
                <w:rFonts w:ascii="Arial" w:cs="Arial" w:eastAsia="Arial" w:hAnsi="Arial"/>
                <w:sz w:val="18"/>
                <w:szCs w:val="18"/>
                <w:b w:val="1"/>
                <w:bCs w:val="1"/>
                <w:color w:val="auto"/>
              </w:rPr>
              <w:t>September 30,</w:t>
            </w:r>
          </w:p>
        </w:tc>
        <w:tc>
          <w:tcPr>
            <w:tcW w:w="2560" w:type="dxa"/>
            <w:vAlign w:val="bottom"/>
            <w:gridSpan w:val="2"/>
          </w:tcPr>
          <w:p>
            <w:pPr>
              <w:jc w:val="right"/>
              <w:ind w:right="530"/>
              <w:spacing w:after="0" w:line="202" w:lineRule="exact"/>
              <w:rPr>
                <w:sz w:val="20"/>
                <w:szCs w:val="20"/>
                <w:color w:val="auto"/>
              </w:rPr>
            </w:pPr>
            <w:r>
              <w:rPr>
                <w:rFonts w:ascii="Arial" w:cs="Arial" w:eastAsia="Arial" w:hAnsi="Arial"/>
                <w:sz w:val="18"/>
                <w:szCs w:val="18"/>
                <w:b w:val="1"/>
                <w:bCs w:val="1"/>
                <w:color w:val="auto"/>
              </w:rPr>
              <w:t>September 30,</w:t>
            </w:r>
          </w:p>
        </w:tc>
      </w:tr>
      <w:tr>
        <w:trPr>
          <w:trHeight w:val="225"/>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28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r>
      <w:tr>
        <w:trPr>
          <w:trHeight w:val="173"/>
        </w:trPr>
        <w:tc>
          <w:tcPr>
            <w:tcW w:w="4660" w:type="dxa"/>
            <w:vAlign w:val="bottom"/>
          </w:tcPr>
          <w:p>
            <w:pPr>
              <w:spacing w:after="0" w:line="173" w:lineRule="exact"/>
              <w:rPr>
                <w:sz w:val="20"/>
                <w:szCs w:val="20"/>
                <w:color w:val="auto"/>
              </w:rPr>
            </w:pPr>
            <w:r>
              <w:rPr>
                <w:rFonts w:ascii="Arial" w:cs="Arial" w:eastAsia="Arial" w:hAnsi="Arial"/>
                <w:sz w:val="18"/>
                <w:szCs w:val="18"/>
                <w:color w:val="auto"/>
              </w:rPr>
              <w:t>Net sales</w:t>
            </w:r>
          </w:p>
        </w:tc>
        <w:tc>
          <w:tcPr>
            <w:tcW w:w="2800" w:type="dxa"/>
            <w:vAlign w:val="bottom"/>
          </w:tcPr>
          <w:p>
            <w:pPr>
              <w:jc w:val="right"/>
              <w:ind w:right="330"/>
              <w:spacing w:after="0" w:line="173" w:lineRule="exact"/>
              <w:rPr>
                <w:sz w:val="20"/>
                <w:szCs w:val="20"/>
                <w:color w:val="auto"/>
              </w:rPr>
            </w:pPr>
            <w:r>
              <w:rPr>
                <w:rFonts w:ascii="Arial" w:cs="Arial" w:eastAsia="Arial" w:hAnsi="Arial"/>
                <w:sz w:val="18"/>
                <w:szCs w:val="18"/>
                <w:b w:val="1"/>
                <w:bCs w:val="1"/>
                <w:color w:val="auto"/>
              </w:rPr>
              <w:t>$154,522</w:t>
            </w:r>
          </w:p>
        </w:tc>
        <w:tc>
          <w:tcPr>
            <w:tcW w:w="1400" w:type="dxa"/>
            <w:vAlign w:val="bottom"/>
          </w:tcPr>
          <w:p>
            <w:pPr>
              <w:jc w:val="right"/>
              <w:ind w:right="330"/>
              <w:spacing w:after="0" w:line="173" w:lineRule="exact"/>
              <w:rPr>
                <w:sz w:val="20"/>
                <w:szCs w:val="20"/>
                <w:color w:val="auto"/>
              </w:rPr>
            </w:pPr>
            <w:r>
              <w:rPr>
                <w:rFonts w:ascii="Arial" w:cs="Arial" w:eastAsia="Arial" w:hAnsi="Arial"/>
                <w:sz w:val="18"/>
                <w:szCs w:val="18"/>
                <w:color w:val="auto"/>
              </w:rPr>
              <w:t>$157,891</w:t>
            </w:r>
          </w:p>
        </w:tc>
        <w:tc>
          <w:tcPr>
            <w:tcW w:w="1400" w:type="dxa"/>
            <w:vAlign w:val="bottom"/>
          </w:tcPr>
          <w:p>
            <w:pPr>
              <w:jc w:val="right"/>
              <w:ind w:right="310"/>
              <w:spacing w:after="0" w:line="173" w:lineRule="exact"/>
              <w:rPr>
                <w:sz w:val="20"/>
                <w:szCs w:val="20"/>
                <w:color w:val="auto"/>
              </w:rPr>
            </w:pPr>
            <w:r>
              <w:rPr>
                <w:rFonts w:ascii="Arial" w:cs="Arial" w:eastAsia="Arial" w:hAnsi="Arial"/>
                <w:sz w:val="18"/>
                <w:szCs w:val="18"/>
                <w:b w:val="1"/>
                <w:bCs w:val="1"/>
                <w:color w:val="auto"/>
              </w:rPr>
              <w:t>$463,577</w:t>
            </w:r>
          </w:p>
        </w:tc>
        <w:tc>
          <w:tcPr>
            <w:tcW w:w="1160" w:type="dxa"/>
            <w:vAlign w:val="bottom"/>
          </w:tcPr>
          <w:p>
            <w:pPr>
              <w:jc w:val="right"/>
              <w:ind w:right="70"/>
              <w:spacing w:after="0" w:line="173" w:lineRule="exact"/>
              <w:rPr>
                <w:sz w:val="20"/>
                <w:szCs w:val="20"/>
                <w:color w:val="auto"/>
              </w:rPr>
            </w:pPr>
            <w:r>
              <w:rPr>
                <w:rFonts w:ascii="Arial" w:cs="Arial" w:eastAsia="Arial" w:hAnsi="Arial"/>
                <w:sz w:val="18"/>
                <w:szCs w:val="18"/>
                <w:color w:val="auto"/>
              </w:rPr>
              <w:t>$494,788</w:t>
            </w: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280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74,721</w:t>
            </w:r>
          </w:p>
        </w:tc>
        <w:tc>
          <w:tcPr>
            <w:tcW w:w="14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66,117</w:t>
            </w:r>
          </w:p>
        </w:tc>
        <w:tc>
          <w:tcPr>
            <w:tcW w:w="140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218,084</w:t>
            </w:r>
          </w:p>
        </w:tc>
        <w:tc>
          <w:tcPr>
            <w:tcW w:w="11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213,326</w:t>
            </w: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 of net sales</w:t>
            </w:r>
          </w:p>
        </w:tc>
        <w:tc>
          <w:tcPr>
            <w:tcW w:w="280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48.4%</w:t>
            </w:r>
          </w:p>
        </w:tc>
        <w:tc>
          <w:tcPr>
            <w:tcW w:w="14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41.9%</w:t>
            </w:r>
          </w:p>
        </w:tc>
        <w:tc>
          <w:tcPr>
            <w:tcW w:w="140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47.0%</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43.1%</w:t>
            </w:r>
          </w:p>
        </w:tc>
      </w:tr>
      <w:tr>
        <w:trPr>
          <w:trHeight w:val="225"/>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income</w:t>
            </w:r>
          </w:p>
        </w:tc>
        <w:tc>
          <w:tcPr>
            <w:tcW w:w="2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41,956</w:t>
            </w: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33,308</w:t>
            </w:r>
          </w:p>
        </w:tc>
        <w:tc>
          <w:tcPr>
            <w:tcW w:w="14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110,969</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103,329</w:t>
            </w: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8" w:lineRule="exact"/>
        <w:rPr>
          <w:sz w:val="20"/>
          <w:szCs w:val="20"/>
          <w:color w:val="auto"/>
        </w:rPr>
      </w:pPr>
    </w:p>
    <w:p>
      <w:pPr>
        <w:ind w:left="980" w:hanging="36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2015 sales by $9.4 million.</w:t>
      </w:r>
    </w:p>
    <w:p>
      <w:pPr>
        <w:spacing w:after="0" w:line="9" w:lineRule="exact"/>
        <w:rPr>
          <w:rFonts w:ascii="Arial" w:cs="Arial" w:eastAsia="Arial" w:hAnsi="Arial"/>
          <w:sz w:val="18"/>
          <w:szCs w:val="18"/>
          <w:color w:val="auto"/>
        </w:rPr>
      </w:pPr>
    </w:p>
    <w:p>
      <w:pPr>
        <w:ind w:left="980" w:right="100" w:hanging="369"/>
        <w:spacing w:after="0" w:line="239"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sales increased 3.8% compared to the same period in 2014. Sales in the publication grades declined in every region of the world, but the decline was more than offset by good performance across all of our growth grades and regions. Asia and South America grew modestly, despite economic weakness in those regions; North America rebounded back to normal levels, despite much lower publication grade sales; and Europe was stable.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18"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sales during the first nine months of 2015 by $30.7 million.</w:t>
      </w:r>
    </w:p>
    <w:p>
      <w:pPr>
        <w:spacing w:after="0" w:line="9" w:lineRule="exact"/>
        <w:rPr>
          <w:rFonts w:ascii="Arial" w:cs="Arial" w:eastAsia="Arial" w:hAnsi="Arial"/>
          <w:sz w:val="18"/>
          <w:szCs w:val="18"/>
          <w:color w:val="auto"/>
        </w:rPr>
      </w:pPr>
    </w:p>
    <w:p>
      <w:pPr>
        <w:ind w:left="980" w:right="32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sales decreased 0.1% compared to the same period in 2014. Regionally, declines in North America were offset by higher sales in Asia. Globally, declines in publication grades were offset by higher sales in packaging and pulp grades.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 comparison</w:t>
      </w:r>
    </w:p>
    <w:p>
      <w:pPr>
        <w:spacing w:after="0" w:line="220" w:lineRule="exact"/>
        <w:rPr>
          <w:sz w:val="20"/>
          <w:szCs w:val="20"/>
          <w:color w:val="auto"/>
        </w:rPr>
      </w:pPr>
    </w:p>
    <w:p>
      <w:pPr>
        <w:ind w:left="980" w:right="180" w:hanging="324"/>
        <w:spacing w:after="0" w:line="234"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increase in third quarter MC gross profit was attributable to very good capacity utilization and strong sales volume. Even though changes in currency translation rates had a significant effect on MC net sales, it had only a minor negative effect on gross profit.</w:t>
      </w:r>
    </w:p>
    <w:p>
      <w:pPr>
        <w:spacing w:after="0" w:line="2" w:lineRule="exact"/>
        <w:rPr>
          <w:rFonts w:ascii="Arial" w:cs="Arial" w:eastAsia="Arial" w:hAnsi="Arial"/>
          <w:sz w:val="18"/>
          <w:szCs w:val="18"/>
          <w:color w:val="auto"/>
        </w:rPr>
      </w:pPr>
    </w:p>
    <w:p>
      <w:pPr>
        <w:ind w:left="980" w:right="14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Gross profit margins increased from 43.1 percent to 47.0 percent in the first nine months of 2015 as compared to the same period in 2014, principally due to restructuring and currency translation effects. Changes in currency translation rates had a significant effect on MC net sales but had only a minor negative effect on gross profit.</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operating income was principally due to the net effect of the following: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20" w:lineRule="exact"/>
        <w:rPr>
          <w:sz w:val="20"/>
          <w:szCs w:val="20"/>
          <w:color w:val="auto"/>
        </w:rPr>
      </w:pPr>
    </w:p>
    <w:p>
      <w:pPr>
        <w:ind w:left="5620" w:right="3900" w:hanging="4964"/>
        <w:spacing w:after="0" w:line="512" w:lineRule="auto"/>
        <w:tabs>
          <w:tab w:leader="none" w:pos="977"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Gross profit increased $8.6 million principally due to the reasons described above.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34" w:name="page35"/>
    <w:bookmarkEnd w:id="34"/>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Restructuring charges of $3.7 million in the third quarter of 2015, compared to $1.0 million in 2014.</w:t>
      </w:r>
    </w:p>
    <w:p>
      <w:pPr>
        <w:spacing w:after="0" w:line="8" w:lineRule="exact"/>
        <w:rPr>
          <w:rFonts w:ascii="Arial" w:cs="Arial" w:eastAsia="Arial" w:hAnsi="Arial"/>
          <w:sz w:val="18"/>
          <w:szCs w:val="18"/>
          <w:color w:val="auto"/>
        </w:rPr>
      </w:pPr>
    </w:p>
    <w:p>
      <w:pPr>
        <w:ind w:left="980" w:right="100" w:hanging="324"/>
        <w:spacing w:after="0" w:line="234"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third quarter gains of $2.0 million in 2015 and $2.2 million in 2014.</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Lower STG&amp;R expenses principally resulting from the effects of changes in currency translation rates.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220"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Gross profit increased $4.8 million principally due to better capacity utilization and cost reduction initiatives.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Restructuring charges of $13.9 million for the first nine months of 2015, compared to $3.1 million in 2014.</w:t>
      </w:r>
    </w:p>
    <w:p>
      <w:pPr>
        <w:spacing w:after="0" w:line="9" w:lineRule="exact"/>
        <w:rPr>
          <w:rFonts w:ascii="Arial" w:cs="Arial" w:eastAsia="Arial" w:hAnsi="Arial"/>
          <w:sz w:val="18"/>
          <w:szCs w:val="18"/>
          <w:color w:val="auto"/>
        </w:rPr>
      </w:pPr>
    </w:p>
    <w:p>
      <w:pPr>
        <w:ind w:left="980" w:right="440" w:hanging="324"/>
        <w:spacing w:after="0" w:line="23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gains of $4.5 million for the first nine months of 2015 as compared to $1.8 million of gains in 2014.</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remainder of the decrease in STG&amp;R expenses was principally due to the effect of changes in currency translation rates.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Albany Engineered Composites Segment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158" w:lineRule="exact"/>
        <w:rPr>
          <w:sz w:val="20"/>
          <w:szCs w:val="20"/>
          <w:color w:val="auto"/>
        </w:rPr>
      </w:pPr>
    </w:p>
    <w:p>
      <w:pPr>
        <w:ind w:right="180" w:firstLine="648"/>
        <w:spacing w:after="0" w:line="239" w:lineRule="auto"/>
        <w:rPr>
          <w:sz w:val="20"/>
          <w:szCs w:val="20"/>
          <w:color w:val="auto"/>
        </w:rPr>
      </w:pPr>
      <w:r>
        <w:rPr>
          <w:rFonts w:ascii="Arial" w:cs="Arial" w:eastAsia="Arial" w:hAnsi="Arial"/>
          <w:sz w:val="18"/>
          <w:szCs w:val="18"/>
          <w:color w:val="auto"/>
        </w:rPr>
        <w:t>AEC, including ASC, provides highly engineered advanced composite structures based on proprietary technology to customers primarily in the aerospace and defense industries. AEC’s largest program relates to CFM International’s LEAP engine, which is scheduled to enter into service in 2016. AEC, through ASC, is the exclusive supplier of advanced composite fan blades and cases for this program under a long-term supply contract. In 2014, approximately 20 percent of this segment’s sales were related to U.S. government contracts or programs.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20" w:type="dxa"/>
            <w:vAlign w:val="bottom"/>
            <w:tcBorders>
              <w:top w:val="single" w:sz="8" w:color="auto"/>
            </w:tcBorders>
          </w:tcPr>
          <w:p>
            <w:pPr>
              <w:spacing w:after="0"/>
              <w:rPr>
                <w:sz w:val="16"/>
                <w:szCs w:val="16"/>
                <w:color w:val="auto"/>
              </w:rPr>
            </w:pPr>
          </w:p>
        </w:tc>
        <w:tc>
          <w:tcPr>
            <w:tcW w:w="4180" w:type="dxa"/>
            <w:vAlign w:val="bottom"/>
            <w:tcBorders>
              <w:top w:val="single" w:sz="8" w:color="auto"/>
            </w:tcBorders>
            <w:gridSpan w:val="2"/>
          </w:tcPr>
          <w:p>
            <w:pPr>
              <w:jc w:val="right"/>
              <w:ind w:right="570"/>
              <w:spacing w:after="0" w:line="194" w:lineRule="exact"/>
              <w:rPr>
                <w:sz w:val="20"/>
                <w:szCs w:val="20"/>
                <w:color w:val="auto"/>
              </w:rPr>
            </w:pPr>
            <w:r>
              <w:rPr>
                <w:rFonts w:ascii="Arial" w:cs="Arial" w:eastAsia="Arial" w:hAnsi="Arial"/>
                <w:sz w:val="18"/>
                <w:szCs w:val="18"/>
                <w:b w:val="1"/>
                <w:bCs w:val="1"/>
                <w:color w:val="auto"/>
              </w:rPr>
              <w:t>Three months ended</w:t>
            </w:r>
          </w:p>
        </w:tc>
        <w:tc>
          <w:tcPr>
            <w:tcW w:w="2520" w:type="dxa"/>
            <w:vAlign w:val="bottom"/>
            <w:tcBorders>
              <w:top w:val="single" w:sz="8" w:color="auto"/>
            </w:tcBorders>
            <w:gridSpan w:val="2"/>
          </w:tcPr>
          <w:p>
            <w:pPr>
              <w:jc w:val="right"/>
              <w:ind w:right="330"/>
              <w:spacing w:after="0" w:line="194" w:lineRule="exact"/>
              <w:rPr>
                <w:sz w:val="20"/>
                <w:szCs w:val="20"/>
                <w:color w:val="auto"/>
              </w:rPr>
            </w:pPr>
            <w:r>
              <w:rPr>
                <w:rFonts w:ascii="Arial" w:cs="Arial" w:eastAsia="Arial" w:hAnsi="Arial"/>
                <w:sz w:val="18"/>
                <w:szCs w:val="18"/>
                <w:b w:val="1"/>
                <w:bCs w:val="1"/>
                <w:color w:val="auto"/>
              </w:rPr>
              <w:t>Nine months ended</w:t>
            </w:r>
          </w:p>
        </w:tc>
      </w:tr>
      <w:tr>
        <w:trPr>
          <w:trHeight w:val="203"/>
        </w:trPr>
        <w:tc>
          <w:tcPr>
            <w:tcW w:w="4720" w:type="dxa"/>
            <w:vAlign w:val="bottom"/>
          </w:tcPr>
          <w:p>
            <w:pPr>
              <w:spacing w:after="0"/>
              <w:rPr>
                <w:sz w:val="17"/>
                <w:szCs w:val="17"/>
                <w:color w:val="auto"/>
              </w:rPr>
            </w:pPr>
          </w:p>
        </w:tc>
        <w:tc>
          <w:tcPr>
            <w:tcW w:w="4180" w:type="dxa"/>
            <w:vAlign w:val="bottom"/>
            <w:gridSpan w:val="2"/>
          </w:tcPr>
          <w:p>
            <w:pPr>
              <w:jc w:val="right"/>
              <w:ind w:right="810"/>
              <w:spacing w:after="0" w:line="202" w:lineRule="exact"/>
              <w:rPr>
                <w:sz w:val="20"/>
                <w:szCs w:val="20"/>
                <w:color w:val="auto"/>
              </w:rPr>
            </w:pPr>
            <w:r>
              <w:rPr>
                <w:rFonts w:ascii="Arial" w:cs="Arial" w:eastAsia="Arial" w:hAnsi="Arial"/>
                <w:sz w:val="18"/>
                <w:szCs w:val="18"/>
                <w:b w:val="1"/>
                <w:bCs w:val="1"/>
                <w:color w:val="auto"/>
              </w:rPr>
              <w:t>September 30,</w:t>
            </w:r>
          </w:p>
        </w:tc>
        <w:tc>
          <w:tcPr>
            <w:tcW w:w="2520" w:type="dxa"/>
            <w:vAlign w:val="bottom"/>
            <w:gridSpan w:val="2"/>
          </w:tcPr>
          <w:p>
            <w:pPr>
              <w:jc w:val="right"/>
              <w:ind w:right="530"/>
              <w:spacing w:after="0" w:line="202" w:lineRule="exact"/>
              <w:rPr>
                <w:sz w:val="20"/>
                <w:szCs w:val="20"/>
                <w:color w:val="auto"/>
              </w:rPr>
            </w:pPr>
            <w:r>
              <w:rPr>
                <w:rFonts w:ascii="Arial" w:cs="Arial" w:eastAsia="Arial" w:hAnsi="Arial"/>
                <w:sz w:val="18"/>
                <w:szCs w:val="18"/>
                <w:b w:val="1"/>
                <w:bCs w:val="1"/>
                <w:color w:val="auto"/>
              </w:rPr>
              <w:t>September 30,</w:t>
            </w:r>
          </w:p>
        </w:tc>
      </w:tr>
      <w:tr>
        <w:trPr>
          <w:trHeight w:val="225"/>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27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r>
      <w:tr>
        <w:trPr>
          <w:trHeight w:val="173"/>
        </w:trPr>
        <w:tc>
          <w:tcPr>
            <w:tcW w:w="4720" w:type="dxa"/>
            <w:vAlign w:val="bottom"/>
          </w:tcPr>
          <w:p>
            <w:pPr>
              <w:spacing w:after="0" w:line="173" w:lineRule="exact"/>
              <w:rPr>
                <w:sz w:val="20"/>
                <w:szCs w:val="20"/>
                <w:color w:val="auto"/>
              </w:rPr>
            </w:pPr>
            <w:r>
              <w:rPr>
                <w:rFonts w:ascii="Arial" w:cs="Arial" w:eastAsia="Arial" w:hAnsi="Arial"/>
                <w:sz w:val="18"/>
                <w:szCs w:val="18"/>
                <w:color w:val="auto"/>
              </w:rPr>
              <w:t>Net sales</w:t>
            </w:r>
          </w:p>
        </w:tc>
        <w:tc>
          <w:tcPr>
            <w:tcW w:w="2780" w:type="dxa"/>
            <w:vAlign w:val="bottom"/>
          </w:tcPr>
          <w:p>
            <w:pPr>
              <w:jc w:val="right"/>
              <w:ind w:right="370"/>
              <w:spacing w:after="0" w:line="173" w:lineRule="exact"/>
              <w:rPr>
                <w:sz w:val="20"/>
                <w:szCs w:val="20"/>
                <w:color w:val="auto"/>
              </w:rPr>
            </w:pPr>
            <w:r>
              <w:rPr>
                <w:rFonts w:ascii="Arial" w:cs="Arial" w:eastAsia="Arial" w:hAnsi="Arial"/>
                <w:sz w:val="18"/>
                <w:szCs w:val="18"/>
                <w:b w:val="1"/>
                <w:bCs w:val="1"/>
                <w:color w:val="auto"/>
              </w:rPr>
              <w:t>$24,267</w:t>
            </w:r>
          </w:p>
        </w:tc>
        <w:tc>
          <w:tcPr>
            <w:tcW w:w="1400" w:type="dxa"/>
            <w:vAlign w:val="bottom"/>
          </w:tcPr>
          <w:p>
            <w:pPr>
              <w:jc w:val="right"/>
              <w:ind w:right="370"/>
              <w:spacing w:after="0" w:line="173" w:lineRule="exact"/>
              <w:rPr>
                <w:sz w:val="20"/>
                <w:szCs w:val="20"/>
                <w:color w:val="auto"/>
              </w:rPr>
            </w:pPr>
            <w:r>
              <w:rPr>
                <w:rFonts w:ascii="Arial" w:cs="Arial" w:eastAsia="Arial" w:hAnsi="Arial"/>
                <w:sz w:val="18"/>
                <w:szCs w:val="18"/>
                <w:color w:val="auto"/>
              </w:rPr>
              <w:t>$21,970</w:t>
            </w:r>
          </w:p>
        </w:tc>
        <w:tc>
          <w:tcPr>
            <w:tcW w:w="1420" w:type="dxa"/>
            <w:vAlign w:val="bottom"/>
          </w:tcPr>
          <w:p>
            <w:pPr>
              <w:jc w:val="right"/>
              <w:ind w:right="370"/>
              <w:spacing w:after="0" w:line="173" w:lineRule="exact"/>
              <w:rPr>
                <w:sz w:val="20"/>
                <w:szCs w:val="20"/>
                <w:color w:val="auto"/>
              </w:rPr>
            </w:pPr>
            <w:r>
              <w:rPr>
                <w:rFonts w:ascii="Arial" w:cs="Arial" w:eastAsia="Arial" w:hAnsi="Arial"/>
                <w:sz w:val="18"/>
                <w:szCs w:val="18"/>
                <w:b w:val="1"/>
                <w:bCs w:val="1"/>
                <w:color w:val="auto"/>
              </w:rPr>
              <w:t>$68,825</w:t>
            </w:r>
          </w:p>
        </w:tc>
        <w:tc>
          <w:tcPr>
            <w:tcW w:w="1100" w:type="dxa"/>
            <w:vAlign w:val="bottom"/>
          </w:tcPr>
          <w:p>
            <w:pPr>
              <w:jc w:val="right"/>
              <w:ind w:right="70"/>
              <w:spacing w:after="0" w:line="173" w:lineRule="exact"/>
              <w:rPr>
                <w:sz w:val="20"/>
                <w:szCs w:val="20"/>
                <w:color w:val="auto"/>
              </w:rPr>
            </w:pPr>
            <w:r>
              <w:rPr>
                <w:rFonts w:ascii="Arial" w:cs="Arial" w:eastAsia="Arial" w:hAnsi="Arial"/>
                <w:sz w:val="18"/>
                <w:szCs w:val="18"/>
                <w:color w:val="auto"/>
              </w:rPr>
              <w:t>$58,898</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Gross profit/(loss)</w:t>
            </w:r>
          </w:p>
        </w:tc>
        <w:tc>
          <w:tcPr>
            <w:tcW w:w="278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1,438</w:t>
            </w:r>
          </w:p>
        </w:tc>
        <w:tc>
          <w:tcPr>
            <w:tcW w:w="140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2,855</w:t>
            </w:r>
          </w:p>
        </w:tc>
        <w:tc>
          <w:tcPr>
            <w:tcW w:w="142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(9,891)</w:t>
            </w:r>
          </w:p>
        </w:tc>
        <w:tc>
          <w:tcPr>
            <w:tcW w:w="11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6,506</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 of net sales</w:t>
            </w:r>
          </w:p>
        </w:tc>
        <w:tc>
          <w:tcPr>
            <w:tcW w:w="278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5.9%</w:t>
            </w:r>
          </w:p>
        </w:tc>
        <w:tc>
          <w:tcPr>
            <w:tcW w:w="14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13.0%</w:t>
            </w:r>
          </w:p>
        </w:tc>
        <w:tc>
          <w:tcPr>
            <w:tcW w:w="142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-14.4%</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11.0%</w:t>
            </w:r>
          </w:p>
        </w:tc>
      </w:tr>
      <w:tr>
        <w:trPr>
          <w:trHeight w:val="225"/>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loss</w:t>
            </w:r>
          </w:p>
        </w:tc>
        <w:tc>
          <w:tcPr>
            <w:tcW w:w="2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(4,191)</w:t>
            </w:r>
          </w:p>
        </w:tc>
        <w:tc>
          <w:tcPr>
            <w:tcW w:w="14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(2,765)</w:t>
            </w:r>
          </w:p>
        </w:tc>
        <w:tc>
          <w:tcPr>
            <w:tcW w:w="14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(26,635)</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(9,785)</w:t>
            </w: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 comparisons</w:t>
      </w:r>
    </w:p>
    <w:p>
      <w:pPr>
        <w:spacing w:after="0" w:line="220"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2015 AEC sales increased due to growth in the LEAP program.</w:t>
      </w:r>
    </w:p>
    <w:p>
      <w:pPr>
        <w:spacing w:after="0" w:line="9" w:lineRule="exact"/>
        <w:rPr>
          <w:rFonts w:ascii="Arial" w:cs="Arial" w:eastAsia="Arial" w:hAnsi="Arial"/>
          <w:sz w:val="18"/>
          <w:szCs w:val="18"/>
          <w:color w:val="auto"/>
        </w:rPr>
      </w:pPr>
    </w:p>
    <w:p>
      <w:pPr>
        <w:ind w:left="980" w:right="320" w:hanging="324"/>
        <w:spacing w:after="0" w:line="246"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Approximately half of AEC sales were related to LEAP production activities, which were affected in Q1 2014 by a temporary lag due to start-up and inventory effects.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 comparisons</w:t>
      </w:r>
    </w:p>
    <w:p>
      <w:pPr>
        <w:spacing w:after="0" w:line="180" w:lineRule="exact"/>
        <w:rPr>
          <w:sz w:val="20"/>
          <w:szCs w:val="20"/>
          <w:color w:val="auto"/>
        </w:rPr>
      </w:pPr>
    </w:p>
    <w:p>
      <w:pPr>
        <w:ind w:left="980" w:right="140" w:hanging="324"/>
        <w:spacing w:after="0" w:line="246"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Q3 2015, Gross profit was $1.4 million, compared to $2.9 million in Q3 2014, as gross profit in the LEAP program was offset by continued weak profitability in legacy programs.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5" w:name="page36"/>
    <w:bookmarkEnd w:id="35"/>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Year to date gross profit declined in 2015 principally due to the $14.0 million charge for the BR 725 contract.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contracts</w:t>
      </w:r>
    </w:p>
    <w:p>
      <w:pPr>
        <w:spacing w:after="0" w:line="193"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AEC has contracts with certain customers, including its contract for the LEAP program, where revenue is determined by cost, plus a defined profit margin. Revenue earned under these arrangements accounted for approximately 49.4 percent and 44.1 percent of total revenue for the first nine months of 2015 and 2014, respectively.</w:t>
      </w:r>
    </w:p>
    <w:p>
      <w:pPr>
        <w:spacing w:after="0" w:line="189"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In addition, AEC has long-term fixed price contracts. In accounting for those contracts, we estimate the profit margin expected at the completion of the contract and recognize a pro-rata share of that profit during the course of the contract using a cost-to-cost or units of delivery approach. Changes in estimated contract profitability will affect revenue and gross profit when the change occurs, which could have a significant favorable or unfavorable effect on revenue and gross profit in any reporting period. As noted above, we recorded a charge of $14.0 million in the second quarter of 2015 for revisions to estimated costs of our BR 725 contract. Excluding that charge, changes in contract estimates increased gross profit $0.3 million in the first nine months of 2015, but reduced gross profit by $0.6 million in the same period of 2014.</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provides a summary of long-term fixed price contracts that were in process at the end of each period.</w:t>
      </w:r>
    </w:p>
    <w:p>
      <w:pPr>
        <w:spacing w:after="0" w:line="200" w:lineRule="exact"/>
        <w:rPr>
          <w:sz w:val="20"/>
          <w:szCs w:val="20"/>
          <w:color w:val="auto"/>
        </w:rPr>
      </w:pPr>
    </w:p>
    <w:p>
      <w:pPr>
        <w:spacing w:after="0" w:line="330"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6500" w:type="dxa"/>
            <w:vAlign w:val="bottom"/>
            <w:tcBorders>
              <w:top w:val="single" w:sz="8" w:color="auto"/>
              <w:left w:val="single" w:sz="8" w:color="auto"/>
            </w:tcBorders>
          </w:tcPr>
          <w:p>
            <w:pPr>
              <w:spacing w:after="0"/>
              <w:rPr>
                <w:sz w:val="16"/>
                <w:szCs w:val="16"/>
                <w:color w:val="auto"/>
              </w:rPr>
            </w:pPr>
          </w:p>
        </w:tc>
        <w:tc>
          <w:tcPr>
            <w:tcW w:w="4920" w:type="dxa"/>
            <w:vAlign w:val="bottom"/>
            <w:tcBorders>
              <w:top w:val="single" w:sz="8" w:color="auto"/>
              <w:right w:val="single" w:sz="8" w:color="auto"/>
            </w:tcBorders>
            <w:gridSpan w:val="2"/>
          </w:tcPr>
          <w:p>
            <w:pPr>
              <w:jc w:val="right"/>
              <w:ind w:right="130"/>
              <w:spacing w:after="0" w:line="194" w:lineRule="exact"/>
              <w:rPr>
                <w:sz w:val="20"/>
                <w:szCs w:val="20"/>
                <w:color w:val="auto"/>
              </w:rPr>
            </w:pPr>
            <w:r>
              <w:rPr>
                <w:rFonts w:ascii="Arial" w:cs="Arial" w:eastAsia="Arial" w:hAnsi="Arial"/>
                <w:sz w:val="18"/>
                <w:szCs w:val="18"/>
                <w:b w:val="1"/>
                <w:bCs w:val="1"/>
                <w:color w:val="auto"/>
              </w:rPr>
              <w:t>Nine months ended</w:t>
            </w:r>
          </w:p>
        </w:tc>
      </w:tr>
      <w:tr>
        <w:trPr>
          <w:trHeight w:val="203"/>
        </w:trPr>
        <w:tc>
          <w:tcPr>
            <w:tcW w:w="6500" w:type="dxa"/>
            <w:vAlign w:val="bottom"/>
            <w:tcBorders>
              <w:left w:val="single" w:sz="8" w:color="auto"/>
            </w:tcBorders>
          </w:tcPr>
          <w:p>
            <w:pPr>
              <w:spacing w:after="0"/>
              <w:rPr>
                <w:sz w:val="17"/>
                <w:szCs w:val="17"/>
                <w:color w:val="auto"/>
              </w:rPr>
            </w:pPr>
          </w:p>
        </w:tc>
        <w:tc>
          <w:tcPr>
            <w:tcW w:w="4920" w:type="dxa"/>
            <w:vAlign w:val="bottom"/>
            <w:tcBorders>
              <w:right w:val="single" w:sz="8" w:color="auto"/>
            </w:tcBorders>
            <w:gridSpan w:val="2"/>
          </w:tcPr>
          <w:p>
            <w:pPr>
              <w:jc w:val="right"/>
              <w:ind w:right="330"/>
              <w:spacing w:after="0" w:line="202" w:lineRule="exact"/>
              <w:rPr>
                <w:sz w:val="20"/>
                <w:szCs w:val="20"/>
                <w:color w:val="auto"/>
              </w:rPr>
            </w:pPr>
            <w:r>
              <w:rPr>
                <w:rFonts w:ascii="Arial" w:cs="Arial" w:eastAsia="Arial" w:hAnsi="Arial"/>
                <w:sz w:val="18"/>
                <w:szCs w:val="18"/>
                <w:b w:val="1"/>
                <w:bCs w:val="1"/>
                <w:color w:val="auto"/>
              </w:rPr>
              <w:t>September 30,</w:t>
            </w:r>
          </w:p>
        </w:tc>
      </w:tr>
      <w:tr>
        <w:trPr>
          <w:trHeight w:val="225"/>
        </w:trPr>
        <w:tc>
          <w:tcPr>
            <w:tcW w:w="6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(in thousands)</w:t>
            </w:r>
          </w:p>
        </w:tc>
        <w:tc>
          <w:tcPr>
            <w:tcW w:w="4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88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2014</w:t>
            </w:r>
          </w:p>
        </w:tc>
      </w:tr>
      <w:tr>
        <w:trPr>
          <w:trHeight w:val="173"/>
        </w:trPr>
        <w:tc>
          <w:tcPr>
            <w:tcW w:w="6500" w:type="dxa"/>
            <w:vAlign w:val="bottom"/>
            <w:tcBorders>
              <w:left w:val="single" w:sz="8" w:color="auto"/>
            </w:tcBorders>
          </w:tcPr>
          <w:p>
            <w:pPr>
              <w:ind w:left="20"/>
              <w:spacing w:after="0" w:line="173" w:lineRule="exact"/>
              <w:rPr>
                <w:sz w:val="20"/>
                <w:szCs w:val="20"/>
                <w:color w:val="auto"/>
              </w:rPr>
            </w:pPr>
            <w:r>
              <w:rPr>
                <w:rFonts w:ascii="Arial" w:cs="Arial" w:eastAsia="Arial" w:hAnsi="Arial"/>
                <w:sz w:val="18"/>
                <w:szCs w:val="18"/>
                <w:color w:val="auto"/>
              </w:rPr>
              <w:t>Revenue earned during period</w:t>
            </w:r>
          </w:p>
        </w:tc>
        <w:tc>
          <w:tcPr>
            <w:tcW w:w="4040" w:type="dxa"/>
            <w:vAlign w:val="bottom"/>
          </w:tcPr>
          <w:p>
            <w:pPr>
              <w:jc w:val="right"/>
              <w:ind w:right="50"/>
              <w:spacing w:after="0" w:line="173" w:lineRule="exact"/>
              <w:rPr>
                <w:sz w:val="20"/>
                <w:szCs w:val="20"/>
                <w:color w:val="auto"/>
              </w:rPr>
            </w:pPr>
            <w:r>
              <w:rPr>
                <w:rFonts w:ascii="Arial" w:cs="Arial" w:eastAsia="Arial" w:hAnsi="Arial"/>
                <w:sz w:val="18"/>
                <w:szCs w:val="18"/>
                <w:b w:val="1"/>
                <w:bCs w:val="1"/>
                <w:color w:val="auto"/>
              </w:rPr>
              <w:t>$12,443</w:t>
            </w:r>
          </w:p>
        </w:tc>
        <w:tc>
          <w:tcPr>
            <w:tcW w:w="880" w:type="dxa"/>
            <w:vAlign w:val="bottom"/>
            <w:tcBorders>
              <w:right w:val="single" w:sz="8" w:color="auto"/>
            </w:tcBorders>
          </w:tcPr>
          <w:p>
            <w:pPr>
              <w:jc w:val="right"/>
              <w:spacing w:after="0" w:line="173" w:lineRule="exact"/>
              <w:rPr>
                <w:sz w:val="20"/>
                <w:szCs w:val="20"/>
                <w:color w:val="auto"/>
              </w:rPr>
            </w:pPr>
            <w:r>
              <w:rPr>
                <w:rFonts w:ascii="Arial" w:cs="Arial" w:eastAsia="Arial" w:hAnsi="Arial"/>
                <w:sz w:val="18"/>
                <w:szCs w:val="18"/>
                <w:color w:val="auto"/>
              </w:rPr>
              <w:t>$11,329</w:t>
            </w:r>
          </w:p>
        </w:tc>
      </w:tr>
      <w:tr>
        <w:trPr>
          <w:trHeight w:val="203"/>
        </w:trPr>
        <w:tc>
          <w:tcPr>
            <w:tcW w:w="650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Total value of contracts in process</w:t>
            </w:r>
          </w:p>
        </w:tc>
        <w:tc>
          <w:tcPr>
            <w:tcW w:w="40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29,745</w:t>
            </w:r>
          </w:p>
        </w:tc>
        <w:tc>
          <w:tcPr>
            <w:tcW w:w="88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21,475</w:t>
            </w:r>
          </w:p>
        </w:tc>
      </w:tr>
      <w:tr>
        <w:trPr>
          <w:trHeight w:val="203"/>
        </w:trPr>
        <w:tc>
          <w:tcPr>
            <w:tcW w:w="650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Revenue recognized to date</w:t>
            </w:r>
          </w:p>
        </w:tc>
        <w:tc>
          <w:tcPr>
            <w:tcW w:w="40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26,401</w:t>
            </w:r>
          </w:p>
        </w:tc>
        <w:tc>
          <w:tcPr>
            <w:tcW w:w="88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12,017</w:t>
            </w:r>
          </w:p>
        </w:tc>
      </w:tr>
      <w:tr>
        <w:trPr>
          <w:trHeight w:val="225"/>
        </w:trPr>
        <w:tc>
          <w:tcPr>
            <w:tcW w:w="6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Revenue to be recognized in future periods</w:t>
            </w:r>
          </w:p>
        </w:tc>
        <w:tc>
          <w:tcPr>
            <w:tcW w:w="4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3,344</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9,458</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Loss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 comparison</w:t>
      </w:r>
    </w:p>
    <w:p>
      <w:pPr>
        <w:spacing w:after="0" w:line="220"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third quarter operating loss was higher in 2015 principally due to the lower gross profit, as described above.</w:t>
      </w:r>
    </w:p>
    <w:p>
      <w:pPr>
        <w:spacing w:after="0" w:line="9" w:lineRule="exact"/>
        <w:rPr>
          <w:rFonts w:ascii="Arial" w:cs="Arial" w:eastAsia="Arial" w:hAnsi="Arial"/>
          <w:sz w:val="18"/>
          <w:szCs w:val="18"/>
          <w:color w:val="auto"/>
        </w:rPr>
      </w:pPr>
    </w:p>
    <w:p>
      <w:pPr>
        <w:ind w:left="980" w:right="820" w:hanging="324"/>
        <w:spacing w:after="0" w:line="252"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year to date operating loss increased in 2015 due to the $14.0 million BR 725 charge and lower profitability in legacy programs</w:t>
      </w:r>
      <w:r>
        <w:rPr>
          <w:rFonts w:ascii="Arial" w:cs="Arial" w:eastAsia="Arial" w:hAnsi="Arial"/>
          <w:sz w:val="19"/>
          <w:szCs w:val="19"/>
          <w:color w:val="auto"/>
        </w:rPr>
        <w: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200" w:type="dxa"/>
            <w:vAlign w:val="bottom"/>
            <w:tcBorders>
              <w:top w:val="single" w:sz="8" w:color="auto"/>
            </w:tcBorders>
          </w:tcPr>
          <w:p>
            <w:pPr>
              <w:spacing w:after="0"/>
              <w:rPr>
                <w:sz w:val="15"/>
                <w:szCs w:val="15"/>
                <w:color w:val="auto"/>
              </w:rPr>
            </w:pPr>
          </w:p>
        </w:tc>
        <w:tc>
          <w:tcPr>
            <w:tcW w:w="4200" w:type="dxa"/>
            <w:vAlign w:val="bottom"/>
            <w:tcBorders>
              <w:top w:val="single" w:sz="8" w:color="auto"/>
            </w:tcBorders>
            <w:gridSpan w:val="2"/>
          </w:tcPr>
          <w:p>
            <w:pPr>
              <w:jc w:val="right"/>
              <w:ind w:right="270"/>
              <w:spacing w:after="0" w:line="173" w:lineRule="exact"/>
              <w:rPr>
                <w:sz w:val="20"/>
                <w:szCs w:val="20"/>
                <w:color w:val="auto"/>
              </w:rPr>
            </w:pPr>
            <w:r>
              <w:rPr>
                <w:rFonts w:ascii="Arial" w:cs="Arial" w:eastAsia="Arial" w:hAnsi="Arial"/>
                <w:sz w:val="18"/>
                <w:szCs w:val="18"/>
                <w:b w:val="1"/>
                <w:bCs w:val="1"/>
                <w:color w:val="auto"/>
              </w:rPr>
              <w:t>Nine months ended</w:t>
            </w:r>
          </w:p>
        </w:tc>
      </w:tr>
      <w:tr>
        <w:trPr>
          <w:trHeight w:val="203"/>
        </w:trPr>
        <w:tc>
          <w:tcPr>
            <w:tcW w:w="2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4200" w:type="dxa"/>
            <w:vAlign w:val="bottom"/>
            <w:gridSpan w:val="2"/>
          </w:tcPr>
          <w:p>
            <w:pPr>
              <w:jc w:val="right"/>
              <w:ind w:right="490"/>
              <w:spacing w:after="0" w:line="202" w:lineRule="exact"/>
              <w:rPr>
                <w:sz w:val="20"/>
                <w:szCs w:val="20"/>
                <w:color w:val="auto"/>
              </w:rPr>
            </w:pPr>
            <w:r>
              <w:rPr>
                <w:rFonts w:ascii="Arial" w:cs="Arial" w:eastAsia="Arial" w:hAnsi="Arial"/>
                <w:sz w:val="18"/>
                <w:szCs w:val="18"/>
                <w:b w:val="1"/>
                <w:bCs w:val="1"/>
                <w:color w:val="auto"/>
              </w:rPr>
              <w:t>September 30,</w:t>
            </w:r>
          </w:p>
        </w:tc>
      </w:tr>
      <w:tr>
        <w:trPr>
          <w:trHeight w:val="225"/>
        </w:trPr>
        <w:tc>
          <w:tcPr>
            <w:tcW w:w="7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3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2014</w:t>
            </w:r>
          </w:p>
        </w:tc>
      </w:tr>
      <w:tr>
        <w:trPr>
          <w:trHeight w:val="173"/>
        </w:trPr>
        <w:tc>
          <w:tcPr>
            <w:tcW w:w="7220" w:type="dxa"/>
            <w:vAlign w:val="bottom"/>
            <w:gridSpan w:val="2"/>
          </w:tcPr>
          <w:p>
            <w:pPr>
              <w:spacing w:after="0" w:line="173" w:lineRule="exact"/>
              <w:rPr>
                <w:sz w:val="20"/>
                <w:szCs w:val="20"/>
                <w:color w:val="auto"/>
              </w:rPr>
            </w:pPr>
            <w:r>
              <w:rPr>
                <w:rFonts w:ascii="Arial" w:cs="Arial" w:eastAsia="Arial" w:hAnsi="Arial"/>
                <w:sz w:val="18"/>
                <w:szCs w:val="18"/>
                <w:color w:val="auto"/>
              </w:rPr>
              <w:t>Net income</w:t>
            </w:r>
          </w:p>
        </w:tc>
        <w:tc>
          <w:tcPr>
            <w:tcW w:w="3080" w:type="dxa"/>
            <w:vAlign w:val="bottom"/>
          </w:tcPr>
          <w:p>
            <w:pPr>
              <w:jc w:val="right"/>
              <w:ind w:right="250"/>
              <w:spacing w:after="0" w:line="173" w:lineRule="exact"/>
              <w:rPr>
                <w:sz w:val="20"/>
                <w:szCs w:val="20"/>
                <w:color w:val="auto"/>
              </w:rPr>
            </w:pPr>
            <w:r>
              <w:rPr>
                <w:rFonts w:ascii="Arial" w:cs="Arial" w:eastAsia="Arial" w:hAnsi="Arial"/>
                <w:sz w:val="18"/>
                <w:szCs w:val="18"/>
                <w:b w:val="1"/>
                <w:bCs w:val="1"/>
                <w:color w:val="auto"/>
              </w:rPr>
              <w:t>$19,799</w:t>
            </w:r>
          </w:p>
        </w:tc>
        <w:tc>
          <w:tcPr>
            <w:tcW w:w="1120" w:type="dxa"/>
            <w:vAlign w:val="bottom"/>
          </w:tcPr>
          <w:p>
            <w:pPr>
              <w:jc w:val="right"/>
              <w:ind w:right="10"/>
              <w:spacing w:after="0" w:line="173" w:lineRule="exact"/>
              <w:rPr>
                <w:sz w:val="20"/>
                <w:szCs w:val="20"/>
                <w:color w:val="auto"/>
              </w:rPr>
            </w:pPr>
            <w:r>
              <w:rPr>
                <w:rFonts w:ascii="Arial" w:cs="Arial" w:eastAsia="Arial" w:hAnsi="Arial"/>
                <w:sz w:val="18"/>
                <w:szCs w:val="18"/>
                <w:color w:val="auto"/>
              </w:rPr>
              <w:t>$33,644</w:t>
            </w:r>
          </w:p>
        </w:tc>
      </w:tr>
      <w:tr>
        <w:trPr>
          <w:trHeight w:val="203"/>
        </w:trPr>
        <w:tc>
          <w:tcPr>
            <w:tcW w:w="20" w:type="dxa"/>
            <w:vAlign w:val="bottom"/>
          </w:tcPr>
          <w:p>
            <w:pPr>
              <w:spacing w:after="0"/>
              <w:rPr>
                <w:sz w:val="17"/>
                <w:szCs w:val="17"/>
                <w:color w:val="auto"/>
              </w:rPr>
            </w:pPr>
          </w:p>
        </w:tc>
        <w:tc>
          <w:tcPr>
            <w:tcW w:w="7200" w:type="dxa"/>
            <w:vAlign w:val="bottom"/>
          </w:tcPr>
          <w:p>
            <w:pPr>
              <w:ind w:left="120"/>
              <w:spacing w:after="0" w:line="202" w:lineRule="exact"/>
              <w:rPr>
                <w:sz w:val="20"/>
                <w:szCs w:val="20"/>
                <w:color w:val="auto"/>
              </w:rPr>
            </w:pPr>
            <w:r>
              <w:rPr>
                <w:rFonts w:ascii="Arial" w:cs="Arial" w:eastAsia="Arial" w:hAnsi="Arial"/>
                <w:sz w:val="18"/>
                <w:szCs w:val="18"/>
                <w:color w:val="auto"/>
              </w:rPr>
              <w:t>Depreciation and amortization</w:t>
            </w:r>
          </w:p>
        </w:tc>
        <w:tc>
          <w:tcPr>
            <w:tcW w:w="308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45,281</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47,741</w:t>
            </w:r>
          </w:p>
        </w:tc>
      </w:tr>
      <w:tr>
        <w:trPr>
          <w:trHeight w:val="203"/>
        </w:trPr>
        <w:tc>
          <w:tcPr>
            <w:tcW w:w="20" w:type="dxa"/>
            <w:vAlign w:val="bottom"/>
          </w:tcPr>
          <w:p>
            <w:pPr>
              <w:spacing w:after="0"/>
              <w:rPr>
                <w:sz w:val="17"/>
                <w:szCs w:val="17"/>
                <w:color w:val="auto"/>
              </w:rPr>
            </w:pPr>
          </w:p>
        </w:tc>
        <w:tc>
          <w:tcPr>
            <w:tcW w:w="7200" w:type="dxa"/>
            <w:vAlign w:val="bottom"/>
          </w:tcPr>
          <w:p>
            <w:pPr>
              <w:ind w:left="120"/>
              <w:spacing w:after="0" w:line="202" w:lineRule="exact"/>
              <w:rPr>
                <w:sz w:val="20"/>
                <w:szCs w:val="20"/>
                <w:color w:val="auto"/>
              </w:rPr>
            </w:pPr>
            <w:r>
              <w:rPr>
                <w:rFonts w:ascii="Arial" w:cs="Arial" w:eastAsia="Arial" w:hAnsi="Arial"/>
                <w:sz w:val="18"/>
                <w:szCs w:val="18"/>
                <w:color w:val="auto"/>
              </w:rPr>
              <w:t>Changes in working capital</w:t>
            </w:r>
          </w:p>
        </w:tc>
        <w:tc>
          <w:tcPr>
            <w:tcW w:w="308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(9,882)</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(18,804)</w:t>
            </w:r>
          </w:p>
        </w:tc>
      </w:tr>
      <w:tr>
        <w:trPr>
          <w:trHeight w:val="203"/>
        </w:trPr>
        <w:tc>
          <w:tcPr>
            <w:tcW w:w="20" w:type="dxa"/>
            <w:vAlign w:val="bottom"/>
          </w:tcPr>
          <w:p>
            <w:pPr>
              <w:spacing w:after="0"/>
              <w:rPr>
                <w:sz w:val="17"/>
                <w:szCs w:val="17"/>
                <w:color w:val="auto"/>
              </w:rPr>
            </w:pPr>
          </w:p>
        </w:tc>
        <w:tc>
          <w:tcPr>
            <w:tcW w:w="7200" w:type="dxa"/>
            <w:vAlign w:val="bottom"/>
          </w:tcPr>
          <w:p>
            <w:pPr>
              <w:ind w:left="120"/>
              <w:spacing w:after="0" w:line="202" w:lineRule="exact"/>
              <w:rPr>
                <w:sz w:val="20"/>
                <w:szCs w:val="20"/>
                <w:color w:val="auto"/>
              </w:rPr>
            </w:pPr>
            <w:r>
              <w:rPr>
                <w:rFonts w:ascii="Arial" w:cs="Arial" w:eastAsia="Arial" w:hAnsi="Arial"/>
                <w:sz w:val="18"/>
                <w:szCs w:val="18"/>
                <w:color w:val="auto"/>
              </w:rPr>
              <w:t>Fair value adjustment on available-for-sale assets</w:t>
            </w:r>
          </w:p>
        </w:tc>
        <w:tc>
          <w:tcPr>
            <w:tcW w:w="308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3,225</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7200" w:type="dxa"/>
            <w:vAlign w:val="bottom"/>
          </w:tcPr>
          <w:p>
            <w:pPr>
              <w:ind w:left="120"/>
              <w:spacing w:after="0" w:line="202" w:lineRule="exact"/>
              <w:rPr>
                <w:sz w:val="20"/>
                <w:szCs w:val="20"/>
                <w:color w:val="auto"/>
              </w:rPr>
            </w:pPr>
            <w:r>
              <w:rPr>
                <w:rFonts w:ascii="Arial" w:cs="Arial" w:eastAsia="Arial" w:hAnsi="Arial"/>
                <w:sz w:val="18"/>
                <w:szCs w:val="18"/>
                <w:color w:val="auto"/>
              </w:rPr>
              <w:t>Gain on disposition of assets</w:t>
            </w:r>
          </w:p>
        </w:tc>
        <w:tc>
          <w:tcPr>
            <w:tcW w:w="308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(1,056)</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(961)</w:t>
            </w:r>
          </w:p>
        </w:tc>
      </w:tr>
      <w:tr>
        <w:trPr>
          <w:trHeight w:val="203"/>
        </w:trPr>
        <w:tc>
          <w:tcPr>
            <w:tcW w:w="20" w:type="dxa"/>
            <w:vAlign w:val="bottom"/>
          </w:tcPr>
          <w:p>
            <w:pPr>
              <w:spacing w:after="0"/>
              <w:rPr>
                <w:sz w:val="17"/>
                <w:szCs w:val="17"/>
                <w:color w:val="auto"/>
              </w:rPr>
            </w:pPr>
          </w:p>
        </w:tc>
        <w:tc>
          <w:tcPr>
            <w:tcW w:w="7200" w:type="dxa"/>
            <w:vAlign w:val="bottom"/>
          </w:tcPr>
          <w:p>
            <w:pPr>
              <w:ind w:left="120"/>
              <w:spacing w:after="0" w:line="202" w:lineRule="exact"/>
              <w:rPr>
                <w:sz w:val="20"/>
                <w:szCs w:val="20"/>
                <w:color w:val="auto"/>
              </w:rPr>
            </w:pPr>
            <w:r>
              <w:rPr>
                <w:rFonts w:ascii="Arial" w:cs="Arial" w:eastAsia="Arial" w:hAnsi="Arial"/>
                <w:sz w:val="18"/>
                <w:szCs w:val="18"/>
                <w:color w:val="auto"/>
              </w:rPr>
              <w:t>Changes in long-term liabilities, deferred taxes and other credits</w:t>
            </w:r>
          </w:p>
        </w:tc>
        <w:tc>
          <w:tcPr>
            <w:tcW w:w="308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937</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95</w:t>
            </w:r>
          </w:p>
        </w:tc>
      </w:tr>
      <w:tr>
        <w:trPr>
          <w:trHeight w:val="225"/>
        </w:trPr>
        <w:tc>
          <w:tcPr>
            <w:tcW w:w="20" w:type="dxa"/>
            <w:vAlign w:val="bottom"/>
          </w:tcPr>
          <w:p>
            <w:pPr>
              <w:spacing w:after="0"/>
              <w:rPr>
                <w:sz w:val="19"/>
                <w:szCs w:val="19"/>
                <w:color w:val="auto"/>
              </w:rPr>
            </w:pPr>
          </w:p>
        </w:tc>
        <w:tc>
          <w:tcPr>
            <w:tcW w:w="7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Other operating items</w:t>
            </w:r>
          </w:p>
        </w:tc>
        <w:tc>
          <w:tcPr>
            <w:tcW w:w="3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941</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2,285</w:t>
            </w:r>
          </w:p>
        </w:tc>
      </w:tr>
      <w:tr>
        <w:trPr>
          <w:trHeight w:val="173"/>
        </w:trPr>
        <w:tc>
          <w:tcPr>
            <w:tcW w:w="20" w:type="dxa"/>
            <w:vAlign w:val="bottom"/>
          </w:tcPr>
          <w:p>
            <w:pPr>
              <w:spacing w:after="0"/>
              <w:rPr>
                <w:sz w:val="15"/>
                <w:szCs w:val="15"/>
                <w:color w:val="auto"/>
              </w:rPr>
            </w:pPr>
          </w:p>
        </w:tc>
        <w:tc>
          <w:tcPr>
            <w:tcW w:w="7200" w:type="dxa"/>
            <w:vAlign w:val="bottom"/>
          </w:tcPr>
          <w:p>
            <w:pPr>
              <w:spacing w:after="0" w:line="173" w:lineRule="exact"/>
              <w:rPr>
                <w:sz w:val="20"/>
                <w:szCs w:val="20"/>
                <w:color w:val="auto"/>
              </w:rPr>
            </w:pPr>
            <w:r>
              <w:rPr>
                <w:rFonts w:ascii="Arial" w:cs="Arial" w:eastAsia="Arial" w:hAnsi="Arial"/>
                <w:sz w:val="18"/>
                <w:szCs w:val="18"/>
                <w:color w:val="auto"/>
              </w:rPr>
              <w:t>Net cash provided by operating activities</w:t>
            </w:r>
          </w:p>
        </w:tc>
        <w:tc>
          <w:tcPr>
            <w:tcW w:w="3080" w:type="dxa"/>
            <w:vAlign w:val="bottom"/>
          </w:tcPr>
          <w:p>
            <w:pPr>
              <w:jc w:val="right"/>
              <w:ind w:right="250"/>
              <w:spacing w:after="0" w:line="173" w:lineRule="exact"/>
              <w:rPr>
                <w:sz w:val="20"/>
                <w:szCs w:val="20"/>
                <w:color w:val="auto"/>
              </w:rPr>
            </w:pPr>
            <w:r>
              <w:rPr>
                <w:rFonts w:ascii="Arial" w:cs="Arial" w:eastAsia="Arial" w:hAnsi="Arial"/>
                <w:sz w:val="18"/>
                <w:szCs w:val="18"/>
                <w:b w:val="1"/>
                <w:bCs w:val="1"/>
                <w:color w:val="auto"/>
              </w:rPr>
              <w:t>59,245</w:t>
            </w:r>
          </w:p>
        </w:tc>
        <w:tc>
          <w:tcPr>
            <w:tcW w:w="1120" w:type="dxa"/>
            <w:vAlign w:val="bottom"/>
          </w:tcPr>
          <w:p>
            <w:pPr>
              <w:jc w:val="right"/>
              <w:ind w:right="10"/>
              <w:spacing w:after="0" w:line="173" w:lineRule="exact"/>
              <w:rPr>
                <w:sz w:val="20"/>
                <w:szCs w:val="20"/>
                <w:color w:val="auto"/>
              </w:rPr>
            </w:pPr>
            <w:r>
              <w:rPr>
                <w:rFonts w:ascii="Arial" w:cs="Arial" w:eastAsia="Arial" w:hAnsi="Arial"/>
                <w:sz w:val="18"/>
                <w:szCs w:val="18"/>
                <w:color w:val="auto"/>
              </w:rPr>
              <w:t>64,000</w:t>
            </w:r>
          </w:p>
        </w:tc>
      </w:tr>
      <w:tr>
        <w:trPr>
          <w:trHeight w:val="203"/>
        </w:trPr>
        <w:tc>
          <w:tcPr>
            <w:tcW w:w="7220" w:type="dxa"/>
            <w:vAlign w:val="bottom"/>
            <w:gridSpan w:val="2"/>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308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(37,481)</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(45,649)</w:t>
            </w:r>
          </w:p>
        </w:tc>
      </w:tr>
      <w:tr>
        <w:trPr>
          <w:trHeight w:val="203"/>
        </w:trPr>
        <w:tc>
          <w:tcPr>
            <w:tcW w:w="7220" w:type="dxa"/>
            <w:vAlign w:val="bottom"/>
            <w:gridSpan w:val="2"/>
          </w:tcPr>
          <w:p>
            <w:pPr>
              <w:spacing w:after="0" w:line="202" w:lineRule="exact"/>
              <w:rPr>
                <w:sz w:val="20"/>
                <w:szCs w:val="20"/>
                <w:color w:val="auto"/>
              </w:rPr>
            </w:pPr>
            <w:r>
              <w:rPr>
                <w:rFonts w:ascii="Arial" w:cs="Arial" w:eastAsia="Arial" w:hAnsi="Arial"/>
                <w:sz w:val="18"/>
                <w:szCs w:val="18"/>
                <w:color w:val="auto"/>
              </w:rPr>
              <w:t>Net cash used in financing activities</w:t>
            </w:r>
          </w:p>
        </w:tc>
        <w:tc>
          <w:tcPr>
            <w:tcW w:w="308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(17,197)</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(34,696)</w:t>
            </w:r>
          </w:p>
        </w:tc>
      </w:tr>
      <w:tr>
        <w:trPr>
          <w:trHeight w:val="225"/>
        </w:trPr>
        <w:tc>
          <w:tcPr>
            <w:tcW w:w="7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Effect of exchange rate changes on cash flows</w:t>
            </w:r>
          </w:p>
        </w:tc>
        <w:tc>
          <w:tcPr>
            <w:tcW w:w="3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(12,589)</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(10,860)</w:t>
            </w:r>
          </w:p>
        </w:tc>
      </w:tr>
      <w:tr>
        <w:trPr>
          <w:trHeight w:val="173"/>
        </w:trPr>
        <w:tc>
          <w:tcPr>
            <w:tcW w:w="7220" w:type="dxa"/>
            <w:vAlign w:val="bottom"/>
            <w:gridSpan w:val="2"/>
          </w:tcPr>
          <w:p>
            <w:pPr>
              <w:spacing w:after="0" w:line="173" w:lineRule="exact"/>
              <w:rPr>
                <w:sz w:val="20"/>
                <w:szCs w:val="20"/>
                <w:color w:val="auto"/>
              </w:rPr>
            </w:pPr>
            <w:r>
              <w:rPr>
                <w:rFonts w:ascii="Arial" w:cs="Arial" w:eastAsia="Arial" w:hAnsi="Arial"/>
                <w:sz w:val="18"/>
                <w:szCs w:val="18"/>
                <w:color w:val="auto"/>
              </w:rPr>
              <w:t>Decrease in cash and cash equivalents</w:t>
            </w:r>
          </w:p>
        </w:tc>
        <w:tc>
          <w:tcPr>
            <w:tcW w:w="3080" w:type="dxa"/>
            <w:vAlign w:val="bottom"/>
          </w:tcPr>
          <w:p>
            <w:pPr>
              <w:jc w:val="right"/>
              <w:ind w:right="190"/>
              <w:spacing w:after="0" w:line="173" w:lineRule="exact"/>
              <w:rPr>
                <w:sz w:val="20"/>
                <w:szCs w:val="20"/>
                <w:color w:val="auto"/>
              </w:rPr>
            </w:pPr>
            <w:r>
              <w:rPr>
                <w:rFonts w:ascii="Arial" w:cs="Arial" w:eastAsia="Arial" w:hAnsi="Arial"/>
                <w:sz w:val="18"/>
                <w:szCs w:val="18"/>
                <w:b w:val="1"/>
                <w:bCs w:val="1"/>
                <w:color w:val="auto"/>
              </w:rPr>
              <w:t>(8,022)</w:t>
            </w:r>
          </w:p>
        </w:tc>
        <w:tc>
          <w:tcPr>
            <w:tcW w:w="1120" w:type="dxa"/>
            <w:vAlign w:val="bottom"/>
          </w:tcPr>
          <w:p>
            <w:pPr>
              <w:jc w:val="right"/>
              <w:spacing w:after="0" w:line="173" w:lineRule="exact"/>
              <w:rPr>
                <w:sz w:val="20"/>
                <w:szCs w:val="20"/>
                <w:color w:val="auto"/>
              </w:rPr>
            </w:pPr>
            <w:r>
              <w:rPr>
                <w:rFonts w:ascii="Arial" w:cs="Arial" w:eastAsia="Arial" w:hAnsi="Arial"/>
                <w:sz w:val="18"/>
                <w:szCs w:val="18"/>
                <w:color w:val="auto"/>
              </w:rPr>
              <w:t>(27,205)</w:t>
            </w:r>
          </w:p>
        </w:tc>
      </w:tr>
      <w:tr>
        <w:trPr>
          <w:trHeight w:val="225"/>
        </w:trPr>
        <w:tc>
          <w:tcPr>
            <w:tcW w:w="7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3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179,802</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222,666</w:t>
            </w:r>
          </w:p>
        </w:tc>
      </w:tr>
      <w:tr>
        <w:trPr>
          <w:trHeight w:val="196"/>
        </w:trPr>
        <w:tc>
          <w:tcPr>
            <w:tcW w:w="72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Cash and cash equivalents at end of period</w:t>
            </w:r>
          </w:p>
        </w:tc>
        <w:tc>
          <w:tcPr>
            <w:tcW w:w="30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$171,780</w:t>
            </w: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$195,461</w:t>
            </w: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20"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Cash provided by operating activities was $59.2 million for the first nine months of 2015, compared to $64.0 million in the same period of 2014. Changes in working capital for the first nine months of 2015 resulted in a use of cash totaling $9.9 million compared to $18.8 million in 2014. Changes in Accounts receivable resulted in a use of cash of $4.4 million in 2015, compared to providing cash of $ 9.9 million. That reduced cash flow in 2015 was principally due to the timing of sales and collections. Other, net cash flows provided $6.3 million of cash in 2015 compared to a use of cash of $6.5 million in 2014, reflecting the build-up of costs on the BR 725 program in 2014, followed by the write off in 2015. Changes in Accrued liabilities resulted in an improvement of cash of $0.9 million in 2015 compared to use of cash of $8.3 million in 2014 principally due to high restructuring payments in 2014. Cash paid for income taxes was $15.5 million and $14.4 million for the first nine months of 2015 and 2014, respectively.</w:t>
      </w:r>
    </w:p>
    <w:p>
      <w:pPr>
        <w:spacing w:after="0" w:line="195"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At September 30, 2015, we had $ 171.8 million of cash and cash equivalents, of which $148.8 million was held by subsidiaries outside of the United States. As disclosed in Note 7 contained in Item 1, “Notes to Consolidated Financial Statements”, we determined that all but $59.4 million of this amount (which represents the amount of prior year earnings to be repatriated to the United States at some point in the future) is intended to be utilized by these non-U.S. operations for an indefinite period of time. Our current plans do not anticipate that we will need additional funds generated from foreign operations to fund our domestic operations or satisfy debt obligations in the United States. In the event that such funds were to be needed to fund operations in the U.S., and if associated accruals for U.S. tax have not already been provided, we would be required to accrue and pay additional U.S. taxes to repatriate these funds.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20"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Capital spending for equipment and software was $ 40.3 million for the first nine months of 2015, including $9.0 million for the lease buyout of the building in Rochester, New Hampshire, which houses the Company’s headquarters and AEC’s research and development center.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Financing Activities</w:t>
      </w:r>
    </w:p>
    <w:p>
      <w:pPr>
        <w:spacing w:after="0" w:line="220"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Dividends have been declared each quarter since the fourth quarter of 2001. Decisions with respect to whether a dividend will be paid, and the amount of the dividend, are made by the Board of Directors each quarter. To the extent the Board declares cash dividends in the future, we expect to pay such dividends out of operating cash flows. Future cash dividends will also depend on debt covenants and on the Board’s assessment of our ability to generate sufficient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0" w:lineRule="exact"/>
        <w:rPr>
          <w:sz w:val="20"/>
          <w:szCs w:val="20"/>
          <w:color w:val="auto"/>
        </w:rPr>
      </w:pPr>
    </w:p>
    <w:p>
      <w:pPr>
        <w:ind w:right="220" w:firstLine="648"/>
        <w:spacing w:after="0" w:line="238" w:lineRule="auto"/>
        <w:rPr>
          <w:sz w:val="20"/>
          <w:szCs w:val="20"/>
          <w:color w:val="auto"/>
        </w:rPr>
      </w:pPr>
      <w:r>
        <w:rPr>
          <w:rFonts w:ascii="Arial" w:cs="Arial" w:eastAsia="Arial" w:hAnsi="Arial"/>
          <w:sz w:val="18"/>
          <w:szCs w:val="18"/>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not to be significant. Substantially all of our cash balance at September 30, 2015 was held by non-U.S. subsidiaries. Based on cash on hand and credit facilities, we anticipate that the Company has sufficient capital resources to operate for the foreseeable future. We were in compliance with all debt covenants as of September 30, 2015.</w:t>
      </w:r>
    </w:p>
    <w:p>
      <w:pPr>
        <w:spacing w:after="0" w:line="162"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On June 18, 2015, we entered into a $400 million, unsecured Five-Year Revolving Credit Facility Agreement (“Credit Agreement”), under which $170 million of borrowings were outstanding as of September 30, 2015. The Credit Agreement replaces the previous $330 million five-year credit agreement made in 2013. The applicable interest rate for borrowings under the Credit Agreement is, as it was under the former agreement, LIBOR plus a spread, based on our leverage ratio at the time of borrowing. At the time of the last borrowing on September 16, 2015, the spread was 1.375%. The spread is based on a pricing grid, which ranges from 1.25% to 1.75%, based on our leverage ratio.</w:t>
      </w:r>
    </w:p>
    <w:p>
      <w:pPr>
        <w:spacing w:after="0" w:line="203"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On July 16, 2010, May 20, 2013 and July 16, 2015 we entered into hedging transactions that had the effect of fixing the interest rate on $100 million to $120 million of borrowings drawn under the Credit Agreement at the rate during the period.</w:t>
      </w:r>
    </w:p>
    <w:p>
      <w:pPr>
        <w:spacing w:after="0" w:line="197" w:lineRule="exact"/>
        <w:rPr>
          <w:sz w:val="20"/>
          <w:szCs w:val="20"/>
          <w:color w:val="auto"/>
        </w:rPr>
      </w:pPr>
    </w:p>
    <w:p>
      <w:pPr>
        <w:jc w:val="both"/>
        <w:ind w:right="300" w:firstLine="648"/>
        <w:spacing w:after="0"/>
        <w:rPr>
          <w:sz w:val="20"/>
          <w:szCs w:val="20"/>
          <w:color w:val="auto"/>
        </w:rPr>
      </w:pPr>
      <w:r>
        <w:rPr>
          <w:rFonts w:ascii="Arial" w:cs="Arial" w:eastAsia="Arial" w:hAnsi="Arial"/>
          <w:sz w:val="18"/>
          <w:szCs w:val="18"/>
          <w:color w:val="auto"/>
        </w:rPr>
        <w:t>As of September 30, 2015, our leverage ratio was 1.29 to 1.00 and our interest coverage ratio was 13.00 to 1.00. We may purchase our Common Stock or pay dividends to the extent our leverage ratio remains at or below 3.50 to 1.00, and may make acquisitions with cash provided our leverage ratio would not exceed 3.50 to 1.00 after giving pro forma effect to the acquisition.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more information, see Note 13 to the Consolidated Financial Statements in Item 1, which is incorporated herein by reference.</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0" w:lineRule="exact"/>
        <w:rPr>
          <w:sz w:val="20"/>
          <w:szCs w:val="20"/>
          <w:color w:val="auto"/>
        </w:rPr>
      </w:pPr>
    </w:p>
    <w:p>
      <w:pPr>
        <w:ind w:right="760" w:firstLine="648"/>
        <w:spacing w:after="0" w:line="246" w:lineRule="auto"/>
        <w:rPr>
          <w:sz w:val="20"/>
          <w:szCs w:val="20"/>
          <w:color w:val="auto"/>
        </w:rPr>
      </w:pPr>
      <w:r>
        <w:rPr>
          <w:rFonts w:ascii="Arial" w:cs="Arial" w:eastAsia="Arial" w:hAnsi="Arial"/>
          <w:sz w:val="18"/>
          <w:szCs w:val="18"/>
          <w:color w:val="auto"/>
        </w:rPr>
        <w:t>As of September 30, 2015, we have no off-balance sheet arrangements required to be disclosed pursuant to Item 303(a)(4) of Regulation S-K.</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0" w:lineRule="exact"/>
        <w:rPr>
          <w:sz w:val="20"/>
          <w:szCs w:val="20"/>
          <w:color w:val="auto"/>
        </w:rPr>
      </w:pPr>
    </w:p>
    <w:p>
      <w:pPr>
        <w:ind w:right="540" w:firstLine="648"/>
        <w:spacing w:after="0" w:line="246" w:lineRule="auto"/>
        <w:rPr>
          <w:sz w:val="20"/>
          <w:szCs w:val="20"/>
          <w:color w:val="auto"/>
        </w:rPr>
      </w:pPr>
      <w:r>
        <w:rPr>
          <w:rFonts w:ascii="Arial" w:cs="Arial" w:eastAsia="Arial" w:hAnsi="Arial"/>
          <w:sz w:val="18"/>
          <w:szCs w:val="18"/>
          <w:color w:val="auto"/>
        </w:rPr>
        <w:t>The information set forth under Note 17 contained in Item 1, “Notes to Consolidated Financial Statements”, which is incorporated herein by reference.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Non-GAAP Measures</w:t>
      </w:r>
    </w:p>
    <w:p>
      <w:pPr>
        <w:spacing w:after="0" w:line="22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This Form 10-Q contains certain items, such as earnings before interest, taxes, depreciation and amortization (EBITDA), Adjusted EBITDA, sales excluding currency effects, income tax rate excluding adjustments, net debt, net income attributable to the Company, excluding adjustments (on an absolute and per-share basis), and certain income and expense items on a per- share basis that could be considered non-GAAP financial measures. Such items are provided because management believes that, when presented together with the GAAP items to which they relate, they provide additional useful information to investors regarding the Company’s operational performance. Presenting increases or decreases in sales, after currency effects are excluded, can give management and investors insight into underlying sales trends. An understanding of the impact in a particular period of specific restructuring costs, or other gains and losses, on operating income or EBITDA can give management and investors additional insight into period performance, especially when compared to periods in which such items had a greater or lesser effect, or no effect. All non-GAAP financial measures in this report relate to the Company’s continuing operations.</w:t>
      </w:r>
    </w:p>
    <w:p>
      <w:pPr>
        <w:spacing w:after="0" w:line="194"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The effect of changes in currency translation rates is calculated by converting amounts reported in local currencies into U.S. dollars at the exchange rate of a prior period. That amount is then compared to the U.S. dollar amount reported in the current period. The Company calculates Income tax adjustments by adding discrete tax items to the effect of a change in tax rate for the reporting period. The Company calculates its income tax rate, exclusive of income tax adjustments, by removing income tax adjustments from total income tax expense, then dividing that result by income before income taxes. The Company calculates EBITDA by removing the following from Net income: Interest expense net, Income tax expense, and Depreciation and amortization. Adjusted EBITDA is calculated by: adding to EBITDA costs associated with restructuring; adding (or subtracting) revaluation losses (or gains); subtracting (or adding) gains (or losses) from the sale of investments and insurance recoveries; and subtracting Income attributable to the noncontrolling interest in Albany Safran Composites, LLC (ASC). The Company believes that EBITDA and Adjusted EBITDA provide useful information to investors because they provide an indication of the strength and performance of the Company's ongoing business operations, including its ability to fund discretionary spending such as capital expenditures and strategic investments, as well as its ability to incur and service debt. While depreciation and amortization are operating costs under GAAP, they are non-cash expenses equal to current period allocation of costs associated with capital and other long-lived investments made in prior periods. While restructuring expenses, foreign currency revaluation losses or gains, and gains and losses from investments have an impact on the Company's net income, removing them from EBITDA can provide, in the opinion of the Company, a better measure of operating performance. EBITDA is also a calculation commonly used by investors and analysts to evaluate and compare the periodic and future operating performance and value of companies. EBITDA, as defined by the Company, may not be similar to EBITDA measures of other companies. Such EBITDA measures may not be considered measurements under GAAP, and should be considered in addition to, but not as substitutes for, the information contained in the Company’s Consolidated Statements of Income.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39" w:name="page40"/>
    <w:bookmarkEnd w:id="39"/>
    <w:p>
      <w:pPr>
        <w:ind w:left="660"/>
        <w:spacing w:after="0"/>
        <w:rPr>
          <w:sz w:val="20"/>
          <w:szCs w:val="20"/>
          <w:color w:val="auto"/>
        </w:rPr>
      </w:pPr>
      <w:r>
        <w:rPr>
          <w:rFonts w:ascii="Arial" w:cs="Arial" w:eastAsia="Arial" w:hAnsi="Arial"/>
          <w:sz w:val="18"/>
          <w:szCs w:val="18"/>
          <w:color w:val="auto"/>
        </w:rPr>
        <w:t>The following tables show the calculation of EBITDA and Adjusted EBITDA: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3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Three months ended September 30, 2015</w:t>
            </w:r>
          </w:p>
        </w:tc>
        <w:tc>
          <w:tcPr>
            <w:tcW w:w="22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vMerge w:val="restart"/>
          </w:tcPr>
          <w:p>
            <w:pPr>
              <w:ind w:left="240"/>
              <w:spacing w:after="0"/>
              <w:rPr>
                <w:sz w:val="20"/>
                <w:szCs w:val="20"/>
                <w:color w:val="auto"/>
              </w:rPr>
            </w:pPr>
            <w:r>
              <w:rPr>
                <w:rFonts w:ascii="Arial" w:cs="Arial" w:eastAsia="Arial" w:hAnsi="Arial"/>
                <w:sz w:val="18"/>
                <w:szCs w:val="18"/>
                <w:b w:val="1"/>
                <w:bCs w:val="1"/>
                <w:color w:val="auto"/>
              </w:rPr>
              <w:t>Corporate</w:t>
            </w:r>
          </w:p>
        </w:tc>
        <w:tc>
          <w:tcPr>
            <w:tcW w:w="1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228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Machine</w:t>
            </w:r>
          </w:p>
        </w:tc>
        <w:tc>
          <w:tcPr>
            <w:tcW w:w="1300" w:type="dxa"/>
            <w:vAlign w:val="bottom"/>
          </w:tcPr>
          <w:p>
            <w:pPr>
              <w:spacing w:after="0"/>
              <w:rPr>
                <w:sz w:val="17"/>
                <w:szCs w:val="17"/>
                <w:color w:val="auto"/>
              </w:rPr>
            </w:pPr>
          </w:p>
        </w:tc>
        <w:tc>
          <w:tcPr>
            <w:tcW w:w="1360" w:type="dxa"/>
            <w:vAlign w:val="bottom"/>
          </w:tcPr>
          <w:p>
            <w:pPr>
              <w:ind w:left="260"/>
              <w:spacing w:after="0" w:line="202" w:lineRule="exact"/>
              <w:rPr>
                <w:sz w:val="20"/>
                <w:szCs w:val="20"/>
                <w:color w:val="auto"/>
              </w:rPr>
            </w:pPr>
            <w:r>
              <w:rPr>
                <w:rFonts w:ascii="Arial" w:cs="Arial" w:eastAsia="Arial" w:hAnsi="Arial"/>
                <w:sz w:val="18"/>
                <w:szCs w:val="18"/>
                <w:b w:val="1"/>
                <w:bCs w:val="1"/>
                <w:color w:val="auto"/>
              </w:rPr>
              <w:t>expenses</w:t>
            </w:r>
          </w:p>
        </w:tc>
        <w:tc>
          <w:tcPr>
            <w:tcW w:w="1160" w:type="dxa"/>
            <w:vAlign w:val="bottom"/>
          </w:tcPr>
          <w:p>
            <w:pPr>
              <w:jc w:val="center"/>
              <w:ind w:left="50"/>
              <w:spacing w:after="0" w:line="202" w:lineRule="exact"/>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Clothing</w:t>
            </w: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AEC</w:t>
            </w:r>
          </w:p>
        </w:tc>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and other</w:t>
            </w:r>
          </w:p>
        </w:tc>
        <w:tc>
          <w:tcPr>
            <w:tcW w:w="116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Company</w:t>
            </w:r>
          </w:p>
        </w:tc>
        <w:tc>
          <w:tcPr>
            <w:tcW w:w="0" w:type="dxa"/>
            <w:vAlign w:val="bottom"/>
          </w:tcPr>
          <w:p>
            <w:pPr>
              <w:spacing w:after="0"/>
              <w:rPr>
                <w:sz w:val="1"/>
                <w:szCs w:val="1"/>
                <w:color w:val="auto"/>
              </w:rPr>
            </w:pPr>
          </w:p>
        </w:tc>
      </w:tr>
      <w:tr>
        <w:trPr>
          <w:trHeight w:val="173"/>
        </w:trPr>
        <w:tc>
          <w:tcPr>
            <w:tcW w:w="5320" w:type="dxa"/>
            <w:vAlign w:val="bottom"/>
            <w:gridSpan w:val="2"/>
          </w:tcPr>
          <w:p>
            <w:pPr>
              <w:spacing w:after="0" w:line="173" w:lineRule="exact"/>
              <w:rPr>
                <w:sz w:val="20"/>
                <w:szCs w:val="20"/>
                <w:color w:val="auto"/>
              </w:rPr>
            </w:pPr>
            <w:r>
              <w:rPr>
                <w:rFonts w:ascii="Arial" w:cs="Arial" w:eastAsia="Arial" w:hAnsi="Arial"/>
                <w:sz w:val="18"/>
                <w:szCs w:val="18"/>
                <w:color w:val="auto"/>
              </w:rPr>
              <w:t>Net income</w:t>
            </w:r>
          </w:p>
        </w:tc>
        <w:tc>
          <w:tcPr>
            <w:tcW w:w="2280" w:type="dxa"/>
            <w:vAlign w:val="bottom"/>
          </w:tcPr>
          <w:p>
            <w:pPr>
              <w:jc w:val="right"/>
              <w:ind w:right="290"/>
              <w:spacing w:after="0" w:line="173" w:lineRule="exact"/>
              <w:rPr>
                <w:sz w:val="20"/>
                <w:szCs w:val="20"/>
                <w:color w:val="auto"/>
              </w:rPr>
            </w:pPr>
            <w:r>
              <w:rPr>
                <w:rFonts w:ascii="Arial" w:cs="Arial" w:eastAsia="Arial" w:hAnsi="Arial"/>
                <w:sz w:val="18"/>
                <w:szCs w:val="18"/>
                <w:color w:val="auto"/>
              </w:rPr>
              <w:t>$41,956</w:t>
            </w:r>
          </w:p>
        </w:tc>
        <w:tc>
          <w:tcPr>
            <w:tcW w:w="1300" w:type="dxa"/>
            <w:vAlign w:val="bottom"/>
          </w:tcPr>
          <w:p>
            <w:pPr>
              <w:jc w:val="right"/>
              <w:ind w:right="130"/>
              <w:spacing w:after="0" w:line="173" w:lineRule="exact"/>
              <w:rPr>
                <w:sz w:val="20"/>
                <w:szCs w:val="20"/>
                <w:color w:val="auto"/>
              </w:rPr>
            </w:pPr>
            <w:r>
              <w:rPr>
                <w:rFonts w:ascii="Arial" w:cs="Arial" w:eastAsia="Arial" w:hAnsi="Arial"/>
                <w:sz w:val="18"/>
                <w:szCs w:val="18"/>
                <w:color w:val="auto"/>
              </w:rPr>
              <w:t>($4,191)</w:t>
            </w:r>
          </w:p>
        </w:tc>
        <w:tc>
          <w:tcPr>
            <w:tcW w:w="1360" w:type="dxa"/>
            <w:vAlign w:val="bottom"/>
          </w:tcPr>
          <w:p>
            <w:pPr>
              <w:jc w:val="right"/>
              <w:ind w:right="150"/>
              <w:spacing w:after="0" w:line="173" w:lineRule="exact"/>
              <w:rPr>
                <w:sz w:val="20"/>
                <w:szCs w:val="20"/>
                <w:color w:val="auto"/>
              </w:rPr>
            </w:pPr>
            <w:r>
              <w:rPr>
                <w:rFonts w:ascii="Arial" w:cs="Arial" w:eastAsia="Arial" w:hAnsi="Arial"/>
                <w:sz w:val="18"/>
                <w:szCs w:val="18"/>
                <w:color w:val="auto"/>
              </w:rPr>
              <w:t>($28,085)</w:t>
            </w:r>
          </w:p>
        </w:tc>
        <w:tc>
          <w:tcPr>
            <w:tcW w:w="1160" w:type="dxa"/>
            <w:vAlign w:val="bottom"/>
          </w:tcPr>
          <w:p>
            <w:pPr>
              <w:jc w:val="right"/>
              <w:ind w:right="10"/>
              <w:spacing w:after="0" w:line="173" w:lineRule="exact"/>
              <w:rPr>
                <w:sz w:val="20"/>
                <w:szCs w:val="20"/>
                <w:color w:val="auto"/>
              </w:rPr>
            </w:pPr>
            <w:r>
              <w:rPr>
                <w:rFonts w:ascii="Arial" w:cs="Arial" w:eastAsia="Arial" w:hAnsi="Arial"/>
                <w:sz w:val="18"/>
                <w:szCs w:val="18"/>
                <w:b w:val="1"/>
                <w:bCs w:val="1"/>
                <w:color w:val="auto"/>
              </w:rPr>
              <w:t>$9,680</w:t>
            </w: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2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2,671</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2,671</w:t>
            </w: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Income tax benefit</w:t>
            </w:r>
          </w:p>
        </w:tc>
        <w:tc>
          <w:tcPr>
            <w:tcW w:w="2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12,243</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12,243</w:t>
            </w:r>
          </w:p>
        </w:tc>
        <w:tc>
          <w:tcPr>
            <w:tcW w:w="0" w:type="dxa"/>
            <w:vAlign w:val="bottom"/>
          </w:tcPr>
          <w:p>
            <w:pPr>
              <w:spacing w:after="0"/>
              <w:rPr>
                <w:sz w:val="1"/>
                <w:szCs w:val="1"/>
                <w:color w:val="auto"/>
              </w:rPr>
            </w:pPr>
          </w:p>
        </w:tc>
      </w:tr>
      <w:tr>
        <w:trPr>
          <w:trHeight w:val="225"/>
        </w:trPr>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2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9,660</w:t>
            </w: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2,981</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2,102</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14,743</w:t>
            </w:r>
          </w:p>
        </w:tc>
        <w:tc>
          <w:tcPr>
            <w:tcW w:w="0" w:type="dxa"/>
            <w:vAlign w:val="bottom"/>
          </w:tcPr>
          <w:p>
            <w:pPr>
              <w:spacing w:after="0"/>
              <w:rPr>
                <w:sz w:val="1"/>
                <w:szCs w:val="1"/>
                <w:color w:val="auto"/>
              </w:rPr>
            </w:pPr>
          </w:p>
        </w:tc>
      </w:tr>
      <w:tr>
        <w:trPr>
          <w:trHeight w:val="173"/>
        </w:trPr>
        <w:tc>
          <w:tcPr>
            <w:tcW w:w="5320" w:type="dxa"/>
            <w:vAlign w:val="bottom"/>
            <w:gridSpan w:val="2"/>
          </w:tcPr>
          <w:p>
            <w:pPr>
              <w:spacing w:after="0" w:line="173" w:lineRule="exact"/>
              <w:rPr>
                <w:sz w:val="20"/>
                <w:szCs w:val="20"/>
                <w:color w:val="auto"/>
              </w:rPr>
            </w:pPr>
            <w:r>
              <w:rPr>
                <w:rFonts w:ascii="Arial" w:cs="Arial" w:eastAsia="Arial" w:hAnsi="Arial"/>
                <w:sz w:val="18"/>
                <w:szCs w:val="18"/>
                <w:color w:val="auto"/>
              </w:rPr>
              <w:t>EBITDA</w:t>
            </w:r>
          </w:p>
        </w:tc>
        <w:tc>
          <w:tcPr>
            <w:tcW w:w="2280" w:type="dxa"/>
            <w:vAlign w:val="bottom"/>
          </w:tcPr>
          <w:p>
            <w:pPr>
              <w:jc w:val="right"/>
              <w:ind w:right="290"/>
              <w:spacing w:after="0" w:line="173" w:lineRule="exact"/>
              <w:rPr>
                <w:sz w:val="20"/>
                <w:szCs w:val="20"/>
                <w:color w:val="auto"/>
              </w:rPr>
            </w:pPr>
            <w:r>
              <w:rPr>
                <w:rFonts w:ascii="Arial" w:cs="Arial" w:eastAsia="Arial" w:hAnsi="Arial"/>
                <w:sz w:val="18"/>
                <w:szCs w:val="18"/>
                <w:color w:val="auto"/>
              </w:rPr>
              <w:t>51,616</w:t>
            </w:r>
          </w:p>
        </w:tc>
        <w:tc>
          <w:tcPr>
            <w:tcW w:w="1300" w:type="dxa"/>
            <w:vAlign w:val="bottom"/>
          </w:tcPr>
          <w:p>
            <w:pPr>
              <w:jc w:val="right"/>
              <w:ind w:right="130"/>
              <w:spacing w:after="0" w:line="173" w:lineRule="exact"/>
              <w:rPr>
                <w:sz w:val="20"/>
                <w:szCs w:val="20"/>
                <w:color w:val="auto"/>
              </w:rPr>
            </w:pPr>
            <w:r>
              <w:rPr>
                <w:rFonts w:ascii="Arial" w:cs="Arial" w:eastAsia="Arial" w:hAnsi="Arial"/>
                <w:sz w:val="18"/>
                <w:szCs w:val="18"/>
                <w:color w:val="auto"/>
              </w:rPr>
              <w:t>(1,210)</w:t>
            </w:r>
          </w:p>
        </w:tc>
        <w:tc>
          <w:tcPr>
            <w:tcW w:w="1360" w:type="dxa"/>
            <w:vAlign w:val="bottom"/>
          </w:tcPr>
          <w:p>
            <w:pPr>
              <w:jc w:val="right"/>
              <w:ind w:right="150"/>
              <w:spacing w:after="0" w:line="173" w:lineRule="exact"/>
              <w:rPr>
                <w:sz w:val="20"/>
                <w:szCs w:val="20"/>
                <w:color w:val="auto"/>
              </w:rPr>
            </w:pPr>
            <w:r>
              <w:rPr>
                <w:rFonts w:ascii="Arial" w:cs="Arial" w:eastAsia="Arial" w:hAnsi="Arial"/>
                <w:sz w:val="18"/>
                <w:szCs w:val="18"/>
                <w:color w:val="auto"/>
              </w:rPr>
              <w:t>(11,069)</w:t>
            </w:r>
          </w:p>
        </w:tc>
        <w:tc>
          <w:tcPr>
            <w:tcW w:w="1160" w:type="dxa"/>
            <w:vAlign w:val="bottom"/>
          </w:tcPr>
          <w:p>
            <w:pPr>
              <w:jc w:val="right"/>
              <w:ind w:right="10"/>
              <w:spacing w:after="0" w:line="173" w:lineRule="exact"/>
              <w:rPr>
                <w:sz w:val="20"/>
                <w:szCs w:val="20"/>
                <w:color w:val="auto"/>
              </w:rPr>
            </w:pPr>
            <w:r>
              <w:rPr>
                <w:rFonts w:ascii="Arial" w:cs="Arial" w:eastAsia="Arial" w:hAnsi="Arial"/>
                <w:sz w:val="18"/>
                <w:szCs w:val="18"/>
                <w:b w:val="1"/>
                <w:bCs w:val="1"/>
                <w:color w:val="auto"/>
              </w:rPr>
              <w:t>39,337</w:t>
            </w: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expenses, net</w:t>
            </w:r>
          </w:p>
        </w:tc>
        <w:tc>
          <w:tcPr>
            <w:tcW w:w="22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3,717</w:t>
            </w:r>
          </w:p>
        </w:tc>
        <w:tc>
          <w:tcPr>
            <w:tcW w:w="13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3,717</w:t>
            </w: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22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(2,005)</w:t>
            </w:r>
          </w:p>
        </w:tc>
        <w:tc>
          <w:tcPr>
            <w:tcW w:w="1300" w:type="dxa"/>
            <w:vAlign w:val="bottom"/>
          </w:tcPr>
          <w:p>
            <w:pPr>
              <w:spacing w:after="0"/>
              <w:rPr>
                <w:sz w:val="17"/>
                <w:szCs w:val="17"/>
                <w:color w:val="auto"/>
              </w:rPr>
            </w:pP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957</w:t>
            </w:r>
          </w:p>
        </w:tc>
        <w:tc>
          <w:tcPr>
            <w:tcW w:w="11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(1,048)</w:t>
            </w:r>
          </w:p>
        </w:tc>
        <w:tc>
          <w:tcPr>
            <w:tcW w:w="0" w:type="dxa"/>
            <w:vAlign w:val="bottom"/>
          </w:tcPr>
          <w:p>
            <w:pPr>
              <w:spacing w:after="0"/>
              <w:rPr>
                <w:sz w:val="1"/>
                <w:szCs w:val="1"/>
                <w:color w:val="auto"/>
              </w:rPr>
            </w:pPr>
          </w:p>
        </w:tc>
      </w:tr>
      <w:tr>
        <w:trPr>
          <w:trHeight w:val="225"/>
        </w:trPr>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Pretax income attributable to the noncontrolling interest in ASC</w:t>
            </w:r>
          </w:p>
        </w:tc>
        <w:tc>
          <w:tcPr>
            <w:tcW w:w="2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w:t>
            </w:r>
          </w:p>
        </w:tc>
        <w:tc>
          <w:tcPr>
            <w:tcW w:w="1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196"/>
        </w:trPr>
        <w:tc>
          <w:tcPr>
            <w:tcW w:w="53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Adjusted EBITDA</w:t>
            </w:r>
          </w:p>
        </w:tc>
        <w:tc>
          <w:tcPr>
            <w:tcW w:w="22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$53,328</w:t>
            </w:r>
          </w:p>
        </w:tc>
        <w:tc>
          <w:tcPr>
            <w:tcW w:w="13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($1,235)</w:t>
            </w:r>
          </w:p>
        </w:tc>
        <w:tc>
          <w:tcPr>
            <w:tcW w:w="13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($10,112)</w:t>
            </w: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$41,981</w:t>
            </w:r>
          </w:p>
        </w:tc>
        <w:tc>
          <w:tcPr>
            <w:tcW w:w="0" w:type="dxa"/>
            <w:vAlign w:val="bottom"/>
          </w:tcPr>
          <w:p>
            <w:pPr>
              <w:spacing w:after="0"/>
              <w:rPr>
                <w:sz w:val="1"/>
                <w:szCs w:val="1"/>
                <w:color w:val="auto"/>
              </w:rPr>
            </w:pPr>
          </w:p>
        </w:tc>
      </w:tr>
      <w:tr>
        <w:trPr>
          <w:trHeight w:val="399"/>
        </w:trPr>
        <w:tc>
          <w:tcPr>
            <w:tcW w:w="20" w:type="dxa"/>
            <w:vAlign w:val="bottom"/>
            <w:vMerge w:val="restart"/>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b w:val="1"/>
                <w:bCs w:val="1"/>
                <w:color w:val="auto"/>
              </w:rPr>
              <w:t>Three months ended September 30, 2014</w:t>
            </w:r>
          </w:p>
        </w:tc>
        <w:tc>
          <w:tcPr>
            <w:tcW w:w="2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6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Corporate</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228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Machine</w:t>
            </w:r>
          </w:p>
        </w:tc>
        <w:tc>
          <w:tcPr>
            <w:tcW w:w="1300" w:type="dxa"/>
            <w:vAlign w:val="bottom"/>
          </w:tcPr>
          <w:p>
            <w:pPr>
              <w:spacing w:after="0"/>
              <w:rPr>
                <w:sz w:val="17"/>
                <w:szCs w:val="17"/>
                <w:color w:val="auto"/>
              </w:rPr>
            </w:pPr>
          </w:p>
        </w:tc>
        <w:tc>
          <w:tcPr>
            <w:tcW w:w="1360" w:type="dxa"/>
            <w:vAlign w:val="bottom"/>
          </w:tcPr>
          <w:p>
            <w:pPr>
              <w:ind w:left="260"/>
              <w:spacing w:after="0" w:line="202" w:lineRule="exact"/>
              <w:rPr>
                <w:sz w:val="20"/>
                <w:szCs w:val="20"/>
                <w:color w:val="auto"/>
              </w:rPr>
            </w:pPr>
            <w:r>
              <w:rPr>
                <w:rFonts w:ascii="Arial" w:cs="Arial" w:eastAsia="Arial" w:hAnsi="Arial"/>
                <w:sz w:val="18"/>
                <w:szCs w:val="18"/>
                <w:b w:val="1"/>
                <w:bCs w:val="1"/>
                <w:color w:val="auto"/>
              </w:rPr>
              <w:t>expenses</w:t>
            </w:r>
          </w:p>
        </w:tc>
        <w:tc>
          <w:tcPr>
            <w:tcW w:w="1160" w:type="dxa"/>
            <w:vAlign w:val="bottom"/>
          </w:tcPr>
          <w:p>
            <w:pPr>
              <w:jc w:val="center"/>
              <w:ind w:left="50"/>
              <w:spacing w:after="0" w:line="202" w:lineRule="exact"/>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Clothing</w:t>
            </w: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AEC</w:t>
            </w:r>
          </w:p>
        </w:tc>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and other</w:t>
            </w:r>
          </w:p>
        </w:tc>
        <w:tc>
          <w:tcPr>
            <w:tcW w:w="116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Company</w:t>
            </w:r>
          </w:p>
        </w:tc>
        <w:tc>
          <w:tcPr>
            <w:tcW w:w="0" w:type="dxa"/>
            <w:vAlign w:val="bottom"/>
          </w:tcPr>
          <w:p>
            <w:pPr>
              <w:spacing w:after="0"/>
              <w:rPr>
                <w:sz w:val="1"/>
                <w:szCs w:val="1"/>
                <w:color w:val="auto"/>
              </w:rPr>
            </w:pPr>
          </w:p>
        </w:tc>
      </w:tr>
      <w:tr>
        <w:trPr>
          <w:trHeight w:val="195"/>
        </w:trPr>
        <w:tc>
          <w:tcPr>
            <w:tcW w:w="5320" w:type="dxa"/>
            <w:vAlign w:val="bottom"/>
            <w:gridSpan w:val="2"/>
          </w:tcPr>
          <w:p>
            <w:pPr>
              <w:spacing w:after="0" w:line="195" w:lineRule="exact"/>
              <w:rPr>
                <w:sz w:val="20"/>
                <w:szCs w:val="20"/>
                <w:color w:val="auto"/>
              </w:rPr>
            </w:pPr>
            <w:r>
              <w:rPr>
                <w:rFonts w:ascii="Arial" w:cs="Arial" w:eastAsia="Arial" w:hAnsi="Arial"/>
                <w:sz w:val="18"/>
                <w:szCs w:val="18"/>
                <w:color w:val="auto"/>
              </w:rPr>
              <w:t>Net income</w:t>
            </w:r>
          </w:p>
        </w:tc>
        <w:tc>
          <w:tcPr>
            <w:tcW w:w="228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$33,308</w:t>
            </w:r>
          </w:p>
        </w:tc>
        <w:tc>
          <w:tcPr>
            <w:tcW w:w="130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($2,765)</w:t>
            </w:r>
          </w:p>
        </w:tc>
        <w:tc>
          <w:tcPr>
            <w:tcW w:w="136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($18,769)</w:t>
            </w:r>
          </w:p>
        </w:tc>
        <w:tc>
          <w:tcPr>
            <w:tcW w:w="11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$11,774</w:t>
            </w: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22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2,486</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2,486</w:t>
            </w: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22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6,762</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6,762</w:t>
            </w:r>
          </w:p>
        </w:tc>
        <w:tc>
          <w:tcPr>
            <w:tcW w:w="0" w:type="dxa"/>
            <w:vAlign w:val="bottom"/>
          </w:tcPr>
          <w:p>
            <w:pPr>
              <w:spacing w:after="0"/>
              <w:rPr>
                <w:sz w:val="1"/>
                <w:szCs w:val="1"/>
                <w:color w:val="auto"/>
              </w:rPr>
            </w:pPr>
          </w:p>
        </w:tc>
      </w:tr>
      <w:tr>
        <w:trPr>
          <w:trHeight w:val="203"/>
        </w:trPr>
        <w:tc>
          <w:tcPr>
            <w:tcW w:w="532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Depreciation and amortization</w:t>
            </w:r>
          </w:p>
        </w:tc>
        <w:tc>
          <w:tcPr>
            <w:tcW w:w="228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11,060</w:t>
            </w:r>
          </w:p>
        </w:tc>
        <w:tc>
          <w:tcPr>
            <w:tcW w:w="13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2,607</w:t>
            </w:r>
          </w:p>
        </w:tc>
        <w:tc>
          <w:tcPr>
            <w:tcW w:w="136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2,069</w:t>
            </w:r>
          </w:p>
        </w:tc>
        <w:tc>
          <w:tcPr>
            <w:tcW w:w="11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15,736</w:t>
            </w:r>
          </w:p>
        </w:tc>
        <w:tc>
          <w:tcPr>
            <w:tcW w:w="0" w:type="dxa"/>
            <w:vAlign w:val="bottom"/>
          </w:tcPr>
          <w:p>
            <w:pPr>
              <w:spacing w:after="0"/>
              <w:rPr>
                <w:sz w:val="1"/>
                <w:szCs w:val="1"/>
                <w:color w:val="auto"/>
              </w:rPr>
            </w:pPr>
          </w:p>
        </w:tc>
      </w:tr>
      <w:tr>
        <w:trPr>
          <w:trHeight w:val="195"/>
        </w:trPr>
        <w:tc>
          <w:tcPr>
            <w:tcW w:w="5320" w:type="dxa"/>
            <w:vAlign w:val="bottom"/>
            <w:gridSpan w:val="2"/>
          </w:tcPr>
          <w:p>
            <w:pPr>
              <w:spacing w:after="0" w:line="195" w:lineRule="exact"/>
              <w:rPr>
                <w:sz w:val="20"/>
                <w:szCs w:val="20"/>
                <w:color w:val="auto"/>
              </w:rPr>
            </w:pPr>
            <w:r>
              <w:rPr>
                <w:rFonts w:ascii="Arial" w:cs="Arial" w:eastAsia="Arial" w:hAnsi="Arial"/>
                <w:sz w:val="18"/>
                <w:szCs w:val="18"/>
                <w:color w:val="auto"/>
              </w:rPr>
              <w:t>EBITDA</w:t>
            </w:r>
          </w:p>
        </w:tc>
        <w:tc>
          <w:tcPr>
            <w:tcW w:w="228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44,368</w:t>
            </w:r>
          </w:p>
        </w:tc>
        <w:tc>
          <w:tcPr>
            <w:tcW w:w="130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(158)</w:t>
            </w:r>
          </w:p>
        </w:tc>
        <w:tc>
          <w:tcPr>
            <w:tcW w:w="136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(7,452)</w:t>
            </w:r>
          </w:p>
        </w:tc>
        <w:tc>
          <w:tcPr>
            <w:tcW w:w="11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36,758</w:t>
            </w: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expenses, net</w:t>
            </w:r>
          </w:p>
        </w:tc>
        <w:tc>
          <w:tcPr>
            <w:tcW w:w="22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968</w:t>
            </w:r>
          </w:p>
        </w:tc>
        <w:tc>
          <w:tcPr>
            <w:tcW w:w="1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(49)</w:t>
            </w: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22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(2,308)</w:t>
            </w:r>
          </w:p>
        </w:tc>
        <w:tc>
          <w:tcPr>
            <w:tcW w:w="13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135</w:t>
            </w:r>
          </w:p>
        </w:tc>
        <w:tc>
          <w:tcPr>
            <w:tcW w:w="13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(1,915)</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(4,088)</w:t>
            </w: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Gain on insurance recovery</w:t>
            </w:r>
          </w:p>
        </w:tc>
        <w:tc>
          <w:tcPr>
            <w:tcW w:w="2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(165)</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3"/>
        </w:trPr>
        <w:tc>
          <w:tcPr>
            <w:tcW w:w="532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Pretax income attributable to the noncontrolling interest in ASC</w:t>
            </w:r>
          </w:p>
        </w:tc>
        <w:tc>
          <w:tcPr>
            <w:tcW w:w="228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77</w:t>
            </w:r>
          </w:p>
        </w:tc>
        <w:tc>
          <w:tcPr>
            <w:tcW w:w="136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53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Adjusted EBITDA</w:t>
            </w:r>
          </w:p>
        </w:tc>
        <w:tc>
          <w:tcPr>
            <w:tcW w:w="22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$43,028</w:t>
            </w:r>
          </w:p>
        </w:tc>
        <w:tc>
          <w:tcPr>
            <w:tcW w:w="13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$5</w:t>
            </w:r>
          </w:p>
        </w:tc>
        <w:tc>
          <w:tcPr>
            <w:tcW w:w="13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($9,532)</w:t>
            </w: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$33,501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3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b w:val="1"/>
                <w:bCs w:val="1"/>
                <w:color w:val="auto"/>
              </w:rPr>
              <w:t>Nine months ended September 30, 2015</w:t>
            </w:r>
          </w:p>
        </w:tc>
        <w:tc>
          <w:tcPr>
            <w:tcW w:w="2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6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Corporate</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228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Machine</w:t>
            </w:r>
          </w:p>
        </w:tc>
        <w:tc>
          <w:tcPr>
            <w:tcW w:w="1300" w:type="dxa"/>
            <w:vAlign w:val="bottom"/>
          </w:tcPr>
          <w:p>
            <w:pPr>
              <w:spacing w:after="0"/>
              <w:rPr>
                <w:sz w:val="17"/>
                <w:szCs w:val="17"/>
                <w:color w:val="auto"/>
              </w:rPr>
            </w:pPr>
          </w:p>
        </w:tc>
        <w:tc>
          <w:tcPr>
            <w:tcW w:w="1360" w:type="dxa"/>
            <w:vAlign w:val="bottom"/>
          </w:tcPr>
          <w:p>
            <w:pPr>
              <w:ind w:left="260"/>
              <w:spacing w:after="0" w:line="202" w:lineRule="exact"/>
              <w:rPr>
                <w:sz w:val="20"/>
                <w:szCs w:val="20"/>
                <w:color w:val="auto"/>
              </w:rPr>
            </w:pPr>
            <w:r>
              <w:rPr>
                <w:rFonts w:ascii="Arial" w:cs="Arial" w:eastAsia="Arial" w:hAnsi="Arial"/>
                <w:sz w:val="18"/>
                <w:szCs w:val="18"/>
                <w:b w:val="1"/>
                <w:bCs w:val="1"/>
                <w:color w:val="auto"/>
              </w:rPr>
              <w:t>expenses</w:t>
            </w:r>
          </w:p>
        </w:tc>
        <w:tc>
          <w:tcPr>
            <w:tcW w:w="1160" w:type="dxa"/>
            <w:vAlign w:val="bottom"/>
          </w:tcPr>
          <w:p>
            <w:pPr>
              <w:jc w:val="center"/>
              <w:ind w:left="50"/>
              <w:spacing w:after="0" w:line="202" w:lineRule="exact"/>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Clothing</w:t>
            </w: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AEC</w:t>
            </w:r>
          </w:p>
        </w:tc>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and other</w:t>
            </w:r>
          </w:p>
        </w:tc>
        <w:tc>
          <w:tcPr>
            <w:tcW w:w="116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Company</w:t>
            </w:r>
          </w:p>
        </w:tc>
        <w:tc>
          <w:tcPr>
            <w:tcW w:w="0" w:type="dxa"/>
            <w:vAlign w:val="bottom"/>
          </w:tcPr>
          <w:p>
            <w:pPr>
              <w:spacing w:after="0"/>
              <w:rPr>
                <w:sz w:val="1"/>
                <w:szCs w:val="1"/>
                <w:color w:val="auto"/>
              </w:rPr>
            </w:pPr>
          </w:p>
        </w:tc>
      </w:tr>
      <w:tr>
        <w:trPr>
          <w:trHeight w:val="173"/>
        </w:trPr>
        <w:tc>
          <w:tcPr>
            <w:tcW w:w="5320" w:type="dxa"/>
            <w:vAlign w:val="bottom"/>
            <w:gridSpan w:val="2"/>
          </w:tcPr>
          <w:p>
            <w:pPr>
              <w:spacing w:after="0" w:line="173" w:lineRule="exact"/>
              <w:rPr>
                <w:sz w:val="20"/>
                <w:szCs w:val="20"/>
                <w:color w:val="auto"/>
              </w:rPr>
            </w:pPr>
            <w:r>
              <w:rPr>
                <w:rFonts w:ascii="Arial" w:cs="Arial" w:eastAsia="Arial" w:hAnsi="Arial"/>
                <w:sz w:val="18"/>
                <w:szCs w:val="18"/>
                <w:color w:val="auto"/>
              </w:rPr>
              <w:t>Net income</w:t>
            </w:r>
          </w:p>
        </w:tc>
        <w:tc>
          <w:tcPr>
            <w:tcW w:w="2280" w:type="dxa"/>
            <w:vAlign w:val="bottom"/>
          </w:tcPr>
          <w:p>
            <w:pPr>
              <w:jc w:val="right"/>
              <w:ind w:right="290"/>
              <w:spacing w:after="0" w:line="173" w:lineRule="exact"/>
              <w:rPr>
                <w:sz w:val="20"/>
                <w:szCs w:val="20"/>
                <w:color w:val="auto"/>
              </w:rPr>
            </w:pPr>
            <w:r>
              <w:rPr>
                <w:rFonts w:ascii="Arial" w:cs="Arial" w:eastAsia="Arial" w:hAnsi="Arial"/>
                <w:sz w:val="18"/>
                <w:szCs w:val="18"/>
                <w:color w:val="auto"/>
              </w:rPr>
              <w:t>$110,969</w:t>
            </w:r>
          </w:p>
        </w:tc>
        <w:tc>
          <w:tcPr>
            <w:tcW w:w="1300" w:type="dxa"/>
            <w:vAlign w:val="bottom"/>
          </w:tcPr>
          <w:p>
            <w:pPr>
              <w:jc w:val="right"/>
              <w:ind w:right="130"/>
              <w:spacing w:after="0" w:line="173" w:lineRule="exact"/>
              <w:rPr>
                <w:sz w:val="20"/>
                <w:szCs w:val="20"/>
                <w:color w:val="auto"/>
              </w:rPr>
            </w:pPr>
            <w:r>
              <w:rPr>
                <w:rFonts w:ascii="Arial" w:cs="Arial" w:eastAsia="Arial" w:hAnsi="Arial"/>
                <w:sz w:val="18"/>
                <w:szCs w:val="18"/>
                <w:color w:val="auto"/>
              </w:rPr>
              <w:t>($26,635)</w:t>
            </w:r>
          </w:p>
        </w:tc>
        <w:tc>
          <w:tcPr>
            <w:tcW w:w="1360" w:type="dxa"/>
            <w:vAlign w:val="bottom"/>
          </w:tcPr>
          <w:p>
            <w:pPr>
              <w:jc w:val="right"/>
              <w:ind w:right="150"/>
              <w:spacing w:after="0" w:line="173" w:lineRule="exact"/>
              <w:rPr>
                <w:sz w:val="20"/>
                <w:szCs w:val="20"/>
                <w:color w:val="auto"/>
              </w:rPr>
            </w:pPr>
            <w:r>
              <w:rPr>
                <w:rFonts w:ascii="Arial" w:cs="Arial" w:eastAsia="Arial" w:hAnsi="Arial"/>
                <w:sz w:val="18"/>
                <w:szCs w:val="18"/>
                <w:color w:val="auto"/>
              </w:rPr>
              <w:t>($64,535)</w:t>
            </w:r>
          </w:p>
        </w:tc>
        <w:tc>
          <w:tcPr>
            <w:tcW w:w="1160" w:type="dxa"/>
            <w:vAlign w:val="bottom"/>
          </w:tcPr>
          <w:p>
            <w:pPr>
              <w:jc w:val="right"/>
              <w:ind w:right="10"/>
              <w:spacing w:after="0" w:line="173" w:lineRule="exact"/>
              <w:rPr>
                <w:sz w:val="20"/>
                <w:szCs w:val="20"/>
                <w:color w:val="auto"/>
              </w:rPr>
            </w:pPr>
            <w:r>
              <w:rPr>
                <w:rFonts w:ascii="Arial" w:cs="Arial" w:eastAsia="Arial" w:hAnsi="Arial"/>
                <w:sz w:val="18"/>
                <w:szCs w:val="18"/>
                <w:b w:val="1"/>
                <w:bCs w:val="1"/>
                <w:color w:val="auto"/>
              </w:rPr>
              <w:t>$19,799</w:t>
            </w: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2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8,049</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8,049</w:t>
            </w: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2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20,398</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20,398</w:t>
            </w:r>
          </w:p>
        </w:tc>
        <w:tc>
          <w:tcPr>
            <w:tcW w:w="0" w:type="dxa"/>
            <w:vAlign w:val="bottom"/>
          </w:tcPr>
          <w:p>
            <w:pPr>
              <w:spacing w:after="0"/>
              <w:rPr>
                <w:sz w:val="1"/>
                <w:szCs w:val="1"/>
                <w:color w:val="auto"/>
              </w:rPr>
            </w:pPr>
          </w:p>
        </w:tc>
      </w:tr>
      <w:tr>
        <w:trPr>
          <w:trHeight w:val="225"/>
        </w:trPr>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2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30,077</w:t>
            </w: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8,845</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6,359</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45,281</w:t>
            </w:r>
          </w:p>
        </w:tc>
        <w:tc>
          <w:tcPr>
            <w:tcW w:w="0" w:type="dxa"/>
            <w:vAlign w:val="bottom"/>
          </w:tcPr>
          <w:p>
            <w:pPr>
              <w:spacing w:after="0"/>
              <w:rPr>
                <w:sz w:val="1"/>
                <w:szCs w:val="1"/>
                <w:color w:val="auto"/>
              </w:rPr>
            </w:pPr>
          </w:p>
        </w:tc>
      </w:tr>
      <w:tr>
        <w:trPr>
          <w:trHeight w:val="173"/>
        </w:trPr>
        <w:tc>
          <w:tcPr>
            <w:tcW w:w="5320" w:type="dxa"/>
            <w:vAlign w:val="bottom"/>
            <w:gridSpan w:val="2"/>
          </w:tcPr>
          <w:p>
            <w:pPr>
              <w:spacing w:after="0" w:line="173" w:lineRule="exact"/>
              <w:rPr>
                <w:sz w:val="20"/>
                <w:szCs w:val="20"/>
                <w:color w:val="auto"/>
              </w:rPr>
            </w:pPr>
            <w:r>
              <w:rPr>
                <w:rFonts w:ascii="Arial" w:cs="Arial" w:eastAsia="Arial" w:hAnsi="Arial"/>
                <w:sz w:val="18"/>
                <w:szCs w:val="18"/>
                <w:color w:val="auto"/>
              </w:rPr>
              <w:t>EBITDA</w:t>
            </w:r>
          </w:p>
        </w:tc>
        <w:tc>
          <w:tcPr>
            <w:tcW w:w="2280" w:type="dxa"/>
            <w:vAlign w:val="bottom"/>
          </w:tcPr>
          <w:p>
            <w:pPr>
              <w:jc w:val="right"/>
              <w:ind w:right="290"/>
              <w:spacing w:after="0" w:line="173" w:lineRule="exact"/>
              <w:rPr>
                <w:sz w:val="20"/>
                <w:szCs w:val="20"/>
                <w:color w:val="auto"/>
              </w:rPr>
            </w:pPr>
            <w:r>
              <w:rPr>
                <w:rFonts w:ascii="Arial" w:cs="Arial" w:eastAsia="Arial" w:hAnsi="Arial"/>
                <w:sz w:val="18"/>
                <w:szCs w:val="18"/>
                <w:color w:val="auto"/>
              </w:rPr>
              <w:t>141,046</w:t>
            </w:r>
          </w:p>
        </w:tc>
        <w:tc>
          <w:tcPr>
            <w:tcW w:w="1300" w:type="dxa"/>
            <w:vAlign w:val="bottom"/>
          </w:tcPr>
          <w:p>
            <w:pPr>
              <w:jc w:val="right"/>
              <w:ind w:right="130"/>
              <w:spacing w:after="0" w:line="173" w:lineRule="exact"/>
              <w:rPr>
                <w:sz w:val="20"/>
                <w:szCs w:val="20"/>
                <w:color w:val="auto"/>
              </w:rPr>
            </w:pPr>
            <w:r>
              <w:rPr>
                <w:rFonts w:ascii="Arial" w:cs="Arial" w:eastAsia="Arial" w:hAnsi="Arial"/>
                <w:sz w:val="18"/>
                <w:szCs w:val="18"/>
                <w:color w:val="auto"/>
              </w:rPr>
              <w:t>(17,790)</w:t>
            </w:r>
          </w:p>
        </w:tc>
        <w:tc>
          <w:tcPr>
            <w:tcW w:w="1360" w:type="dxa"/>
            <w:vAlign w:val="bottom"/>
          </w:tcPr>
          <w:p>
            <w:pPr>
              <w:jc w:val="right"/>
              <w:ind w:right="150"/>
              <w:spacing w:after="0" w:line="173" w:lineRule="exact"/>
              <w:rPr>
                <w:sz w:val="20"/>
                <w:szCs w:val="20"/>
                <w:color w:val="auto"/>
              </w:rPr>
            </w:pPr>
            <w:r>
              <w:rPr>
                <w:rFonts w:ascii="Arial" w:cs="Arial" w:eastAsia="Arial" w:hAnsi="Arial"/>
                <w:sz w:val="18"/>
                <w:szCs w:val="18"/>
                <w:color w:val="auto"/>
              </w:rPr>
              <w:t>(29,729)</w:t>
            </w:r>
          </w:p>
        </w:tc>
        <w:tc>
          <w:tcPr>
            <w:tcW w:w="1160" w:type="dxa"/>
            <w:vAlign w:val="bottom"/>
          </w:tcPr>
          <w:p>
            <w:pPr>
              <w:jc w:val="right"/>
              <w:ind w:right="10"/>
              <w:spacing w:after="0" w:line="173" w:lineRule="exact"/>
              <w:rPr>
                <w:sz w:val="20"/>
                <w:szCs w:val="20"/>
                <w:color w:val="auto"/>
              </w:rPr>
            </w:pPr>
            <w:r>
              <w:rPr>
                <w:rFonts w:ascii="Arial" w:cs="Arial" w:eastAsia="Arial" w:hAnsi="Arial"/>
                <w:sz w:val="18"/>
                <w:szCs w:val="18"/>
                <w:b w:val="1"/>
                <w:bCs w:val="1"/>
                <w:color w:val="auto"/>
              </w:rPr>
              <w:t>93,527</w:t>
            </w: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expenses, net</w:t>
            </w:r>
          </w:p>
        </w:tc>
        <w:tc>
          <w:tcPr>
            <w:tcW w:w="22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13,929</w:t>
            </w: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13,929</w:t>
            </w: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22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(4,534)</w:t>
            </w:r>
          </w:p>
        </w:tc>
        <w:tc>
          <w:tcPr>
            <w:tcW w:w="1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(17)</w:t>
            </w: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406</w:t>
            </w:r>
          </w:p>
        </w:tc>
        <w:tc>
          <w:tcPr>
            <w:tcW w:w="11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(4,145)</w:t>
            </w: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Gain on sale of investment</w:t>
            </w:r>
          </w:p>
        </w:tc>
        <w:tc>
          <w:tcPr>
            <w:tcW w:w="2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(872)</w:t>
            </w:r>
          </w:p>
        </w:tc>
        <w:tc>
          <w:tcPr>
            <w:tcW w:w="11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(872)</w:t>
            </w:r>
          </w:p>
        </w:tc>
        <w:tc>
          <w:tcPr>
            <w:tcW w:w="0" w:type="dxa"/>
            <w:vAlign w:val="bottom"/>
          </w:tcPr>
          <w:p>
            <w:pPr>
              <w:spacing w:after="0"/>
              <w:rPr>
                <w:sz w:val="1"/>
                <w:szCs w:val="1"/>
                <w:color w:val="auto"/>
              </w:rPr>
            </w:pPr>
          </w:p>
        </w:tc>
      </w:tr>
      <w:tr>
        <w:trPr>
          <w:trHeight w:val="225"/>
        </w:trPr>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Pretax income attributable to the noncontrolling interest in ASC</w:t>
            </w:r>
          </w:p>
        </w:tc>
        <w:tc>
          <w:tcPr>
            <w:tcW w:w="2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(115)</w:t>
            </w:r>
          </w:p>
        </w:tc>
        <w:tc>
          <w:tcPr>
            <w:tcW w:w="1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r>
        <w:trPr>
          <w:trHeight w:val="196"/>
        </w:trPr>
        <w:tc>
          <w:tcPr>
            <w:tcW w:w="5320" w:type="dxa"/>
            <w:vAlign w:val="bottom"/>
            <w:gridSpan w:val="2"/>
          </w:tcPr>
          <w:p>
            <w:pPr>
              <w:spacing w:after="0" w:line="196" w:lineRule="exact"/>
              <w:rPr>
                <w:sz w:val="20"/>
                <w:szCs w:val="20"/>
                <w:color w:val="auto"/>
              </w:rPr>
            </w:pPr>
            <w:r>
              <w:rPr>
                <w:rFonts w:ascii="Arial" w:cs="Arial" w:eastAsia="Arial" w:hAnsi="Arial"/>
                <w:sz w:val="18"/>
                <w:szCs w:val="18"/>
                <w:color w:val="auto"/>
              </w:rPr>
              <w:t>Adjusted EBITDA</w:t>
            </w:r>
          </w:p>
        </w:tc>
        <w:tc>
          <w:tcPr>
            <w:tcW w:w="228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$150,441</w:t>
            </w:r>
          </w:p>
        </w:tc>
        <w:tc>
          <w:tcPr>
            <w:tcW w:w="13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($17,922)</w:t>
            </w:r>
          </w:p>
        </w:tc>
        <w:tc>
          <w:tcPr>
            <w:tcW w:w="136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($30,195)</w:t>
            </w:r>
          </w:p>
        </w:tc>
        <w:tc>
          <w:tcPr>
            <w:tcW w:w="116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$102,324</w:t>
            </w: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5300" w:type="dxa"/>
            <w:vAlign w:val="bottom"/>
            <w:tcBorders>
              <w:top w:val="single" w:sz="8" w:color="auto"/>
            </w:tcBorders>
          </w:tcPr>
          <w:p>
            <w:pPr>
              <w:spacing w:after="0"/>
              <w:rPr>
                <w:sz w:val="24"/>
                <w:szCs w:val="24"/>
                <w:color w:val="auto"/>
              </w:rPr>
            </w:pPr>
          </w:p>
        </w:tc>
        <w:tc>
          <w:tcPr>
            <w:tcW w:w="2280" w:type="dxa"/>
            <w:vAlign w:val="bottom"/>
            <w:tcBorders>
              <w:top w:val="single" w:sz="8" w:color="auto"/>
            </w:tcBorders>
          </w:tcPr>
          <w:p>
            <w:pPr>
              <w:jc w:val="right"/>
              <w:ind w:right="1710"/>
              <w:spacing w:after="0"/>
              <w:rPr>
                <w:sz w:val="20"/>
                <w:szCs w:val="20"/>
                <w:color w:val="auto"/>
              </w:rPr>
            </w:pPr>
            <w:r>
              <w:rPr>
                <w:rFonts w:ascii="Arial" w:cs="Arial" w:eastAsia="Arial" w:hAnsi="Arial"/>
                <w:sz w:val="18"/>
                <w:szCs w:val="18"/>
                <w:color w:val="auto"/>
              </w:rPr>
              <w:t>40</w:t>
            </w:r>
          </w:p>
        </w:tc>
        <w:tc>
          <w:tcPr>
            <w:tcW w:w="13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7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Nine months ended September 30, 2014</w:t>
            </w:r>
          </w:p>
        </w:tc>
        <w:tc>
          <w:tcPr>
            <w:tcW w:w="19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rPr>
              <w:t>Corporate</w:t>
            </w:r>
          </w:p>
        </w:tc>
        <w:tc>
          <w:tcPr>
            <w:tcW w:w="1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57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740" w:type="dxa"/>
            <w:vAlign w:val="bottom"/>
          </w:tcPr>
          <w:p>
            <w:pPr>
              <w:spacing w:after="0"/>
              <w:rPr>
                <w:sz w:val="17"/>
                <w:szCs w:val="17"/>
                <w:color w:val="auto"/>
              </w:rPr>
            </w:pPr>
          </w:p>
        </w:tc>
        <w:tc>
          <w:tcPr>
            <w:tcW w:w="190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Machine</w:t>
            </w:r>
          </w:p>
        </w:tc>
        <w:tc>
          <w:tcPr>
            <w:tcW w:w="1260" w:type="dxa"/>
            <w:vAlign w:val="bottom"/>
          </w:tcPr>
          <w:p>
            <w:pPr>
              <w:spacing w:after="0"/>
              <w:rPr>
                <w:sz w:val="17"/>
                <w:szCs w:val="17"/>
                <w:color w:val="auto"/>
              </w:rPr>
            </w:pP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expenses</w:t>
            </w:r>
          </w:p>
        </w:tc>
        <w:tc>
          <w:tcPr>
            <w:tcW w:w="116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5"/>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Clothing</w:t>
            </w: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AEC</w:t>
            </w: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and other</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195"/>
        </w:trPr>
        <w:tc>
          <w:tcPr>
            <w:tcW w:w="5740" w:type="dxa"/>
            <w:vAlign w:val="bottom"/>
          </w:tcPr>
          <w:p>
            <w:pPr>
              <w:spacing w:after="0" w:line="195" w:lineRule="exact"/>
              <w:rPr>
                <w:sz w:val="20"/>
                <w:szCs w:val="20"/>
                <w:color w:val="auto"/>
              </w:rPr>
            </w:pPr>
            <w:r>
              <w:rPr>
                <w:rFonts w:ascii="Arial" w:cs="Arial" w:eastAsia="Arial" w:hAnsi="Arial"/>
                <w:sz w:val="18"/>
                <w:szCs w:val="18"/>
                <w:color w:val="auto"/>
              </w:rPr>
              <w:t>Net income</w:t>
            </w:r>
          </w:p>
        </w:tc>
        <w:tc>
          <w:tcPr>
            <w:tcW w:w="1900" w:type="dxa"/>
            <w:vAlign w:val="bottom"/>
          </w:tcPr>
          <w:p>
            <w:pPr>
              <w:jc w:val="right"/>
              <w:ind w:right="330"/>
              <w:spacing w:after="0" w:line="195" w:lineRule="exact"/>
              <w:rPr>
                <w:sz w:val="20"/>
                <w:szCs w:val="20"/>
                <w:color w:val="auto"/>
              </w:rPr>
            </w:pPr>
            <w:r>
              <w:rPr>
                <w:rFonts w:ascii="Arial" w:cs="Arial" w:eastAsia="Arial" w:hAnsi="Arial"/>
                <w:sz w:val="18"/>
                <w:szCs w:val="18"/>
                <w:color w:val="auto"/>
              </w:rPr>
              <w:t>$103,329</w:t>
            </w:r>
          </w:p>
        </w:tc>
        <w:tc>
          <w:tcPr>
            <w:tcW w:w="126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($9,785)</w:t>
            </w:r>
          </w:p>
        </w:tc>
        <w:tc>
          <w:tcPr>
            <w:tcW w:w="136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($59,900)</w:t>
            </w:r>
          </w:p>
        </w:tc>
        <w:tc>
          <w:tcPr>
            <w:tcW w:w="11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$33,644</w:t>
            </w:r>
          </w:p>
        </w:tc>
        <w:tc>
          <w:tcPr>
            <w:tcW w:w="0" w:type="dxa"/>
            <w:vAlign w:val="bottom"/>
          </w:tcPr>
          <w:p>
            <w:pPr>
              <w:spacing w:after="0"/>
              <w:rPr>
                <w:sz w:val="1"/>
                <w:szCs w:val="1"/>
                <w:color w:val="auto"/>
              </w:rPr>
            </w:pP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19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8,121</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8,121</w:t>
            </w:r>
          </w:p>
        </w:tc>
        <w:tc>
          <w:tcPr>
            <w:tcW w:w="0" w:type="dxa"/>
            <w:vAlign w:val="bottom"/>
          </w:tcPr>
          <w:p>
            <w:pPr>
              <w:spacing w:after="0"/>
              <w:rPr>
                <w:sz w:val="1"/>
                <w:szCs w:val="1"/>
                <w:color w:val="auto"/>
              </w:rPr>
            </w:pP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19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21,435</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21,435</w:t>
            </w:r>
          </w:p>
        </w:tc>
        <w:tc>
          <w:tcPr>
            <w:tcW w:w="0" w:type="dxa"/>
            <w:vAlign w:val="bottom"/>
          </w:tcPr>
          <w:p>
            <w:pPr>
              <w:spacing w:after="0"/>
              <w:rPr>
                <w:sz w:val="1"/>
                <w:szCs w:val="1"/>
                <w:color w:val="auto"/>
              </w:rPr>
            </w:pPr>
          </w:p>
        </w:tc>
      </w:tr>
      <w:tr>
        <w:trPr>
          <w:trHeight w:val="203"/>
        </w:trPr>
        <w:tc>
          <w:tcPr>
            <w:tcW w:w="57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Depreciation and amortization</w:t>
            </w:r>
          </w:p>
        </w:tc>
        <w:tc>
          <w:tcPr>
            <w:tcW w:w="190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34,069</w:t>
            </w:r>
          </w:p>
        </w:tc>
        <w:tc>
          <w:tcPr>
            <w:tcW w:w="12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7,382</w:t>
            </w:r>
          </w:p>
        </w:tc>
        <w:tc>
          <w:tcPr>
            <w:tcW w:w="136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6,290</w:t>
            </w:r>
          </w:p>
        </w:tc>
        <w:tc>
          <w:tcPr>
            <w:tcW w:w="11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47,741</w:t>
            </w:r>
          </w:p>
        </w:tc>
        <w:tc>
          <w:tcPr>
            <w:tcW w:w="0" w:type="dxa"/>
            <w:vAlign w:val="bottom"/>
          </w:tcPr>
          <w:p>
            <w:pPr>
              <w:spacing w:after="0"/>
              <w:rPr>
                <w:sz w:val="1"/>
                <w:szCs w:val="1"/>
                <w:color w:val="auto"/>
              </w:rPr>
            </w:pPr>
          </w:p>
        </w:tc>
      </w:tr>
      <w:tr>
        <w:trPr>
          <w:trHeight w:val="195"/>
        </w:trPr>
        <w:tc>
          <w:tcPr>
            <w:tcW w:w="5740" w:type="dxa"/>
            <w:vAlign w:val="bottom"/>
          </w:tcPr>
          <w:p>
            <w:pPr>
              <w:spacing w:after="0" w:line="195" w:lineRule="exact"/>
              <w:rPr>
                <w:sz w:val="20"/>
                <w:szCs w:val="20"/>
                <w:color w:val="auto"/>
              </w:rPr>
            </w:pPr>
            <w:r>
              <w:rPr>
                <w:rFonts w:ascii="Arial" w:cs="Arial" w:eastAsia="Arial" w:hAnsi="Arial"/>
                <w:sz w:val="18"/>
                <w:szCs w:val="18"/>
                <w:color w:val="auto"/>
              </w:rPr>
              <w:t>EBITDA</w:t>
            </w:r>
          </w:p>
        </w:tc>
        <w:tc>
          <w:tcPr>
            <w:tcW w:w="1900" w:type="dxa"/>
            <w:vAlign w:val="bottom"/>
          </w:tcPr>
          <w:p>
            <w:pPr>
              <w:jc w:val="right"/>
              <w:ind w:right="330"/>
              <w:spacing w:after="0" w:line="195" w:lineRule="exact"/>
              <w:rPr>
                <w:sz w:val="20"/>
                <w:szCs w:val="20"/>
                <w:color w:val="auto"/>
              </w:rPr>
            </w:pPr>
            <w:r>
              <w:rPr>
                <w:rFonts w:ascii="Arial" w:cs="Arial" w:eastAsia="Arial" w:hAnsi="Arial"/>
                <w:sz w:val="18"/>
                <w:szCs w:val="18"/>
                <w:color w:val="auto"/>
              </w:rPr>
              <w:t>137,398</w:t>
            </w:r>
          </w:p>
        </w:tc>
        <w:tc>
          <w:tcPr>
            <w:tcW w:w="126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(2,403)</w:t>
            </w:r>
          </w:p>
        </w:tc>
        <w:tc>
          <w:tcPr>
            <w:tcW w:w="136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(24,054)</w:t>
            </w:r>
          </w:p>
        </w:tc>
        <w:tc>
          <w:tcPr>
            <w:tcW w:w="11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110,941</w:t>
            </w:r>
          </w:p>
        </w:tc>
        <w:tc>
          <w:tcPr>
            <w:tcW w:w="0" w:type="dxa"/>
            <w:vAlign w:val="bottom"/>
          </w:tcPr>
          <w:p>
            <w:pPr>
              <w:spacing w:after="0"/>
              <w:rPr>
                <w:sz w:val="1"/>
                <w:szCs w:val="1"/>
                <w:color w:val="auto"/>
              </w:rPr>
            </w:pP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Restructuring expenses, net</w:t>
            </w:r>
          </w:p>
        </w:tc>
        <w:tc>
          <w:tcPr>
            <w:tcW w:w="19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3,127</w:t>
            </w:r>
          </w:p>
        </w:tc>
        <w:tc>
          <w:tcPr>
            <w:tcW w:w="12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931</w:t>
            </w: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4,058</w:t>
            </w:r>
          </w:p>
        </w:tc>
        <w:tc>
          <w:tcPr>
            <w:tcW w:w="0" w:type="dxa"/>
            <w:vAlign w:val="bottom"/>
          </w:tcPr>
          <w:p>
            <w:pPr>
              <w:spacing w:after="0"/>
              <w:rPr>
                <w:sz w:val="1"/>
                <w:szCs w:val="1"/>
                <w:color w:val="auto"/>
              </w:rPr>
            </w:pP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19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(1,806)</w:t>
            </w:r>
          </w:p>
        </w:tc>
        <w:tc>
          <w:tcPr>
            <w:tcW w:w="12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234</w:t>
            </w:r>
          </w:p>
        </w:tc>
        <w:tc>
          <w:tcPr>
            <w:tcW w:w="13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(3,815)</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(5,387)</w:t>
            </w:r>
          </w:p>
        </w:tc>
        <w:tc>
          <w:tcPr>
            <w:tcW w:w="0" w:type="dxa"/>
            <w:vAlign w:val="bottom"/>
          </w:tcPr>
          <w:p>
            <w:pPr>
              <w:spacing w:after="0"/>
              <w:rPr>
                <w:sz w:val="1"/>
                <w:szCs w:val="1"/>
                <w:color w:val="auto"/>
              </w:rPr>
            </w:pP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Gain on insurance recovery</w:t>
            </w:r>
          </w:p>
        </w:tc>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(1,126)</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03"/>
        </w:trPr>
        <w:tc>
          <w:tcPr>
            <w:tcW w:w="57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Pretax income attributable to the noncontrolling interest in ASC</w:t>
            </w:r>
          </w:p>
        </w:tc>
        <w:tc>
          <w:tcPr>
            <w:tcW w:w="190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63</w:t>
            </w:r>
          </w:p>
        </w:tc>
        <w:tc>
          <w:tcPr>
            <w:tcW w:w="136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Adjusted EBITDA</w:t>
            </w:r>
          </w:p>
        </w:tc>
        <w:tc>
          <w:tcPr>
            <w:tcW w:w="190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$138,719</w:t>
            </w:r>
          </w:p>
        </w:tc>
        <w:tc>
          <w:tcPr>
            <w:tcW w:w="12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($1,175)</w:t>
            </w:r>
          </w:p>
        </w:tc>
        <w:tc>
          <w:tcPr>
            <w:tcW w:w="13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($28,995)</w:t>
            </w: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$108,549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The Company discloses certain income and expense items on a per-share basis. The Company believes that such disclosures provide important insight into the underlying quarterly earnings and are financial performance metrics commonly used by investors. The Company calculates the quarterly per-share amount for items included in continuing operations by using the estimated effective annual tax rate and the weighted average number of shares outstanding for each period. The year-to-date earnings per-share effects are determined by adding the amounts calculated at each reporting period.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the earnings per share effect of certain income and expense items: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2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b w:val="1"/>
                <w:bCs w:val="1"/>
                <w:color w:val="auto"/>
              </w:rPr>
              <w:t>Three months ended September 30, 2015</w:t>
            </w:r>
          </w:p>
        </w:tc>
        <w:tc>
          <w:tcPr>
            <w:tcW w:w="2560" w:type="dxa"/>
            <w:vAlign w:val="bottom"/>
            <w:tcBorders>
              <w:top w:val="single" w:sz="8" w:color="auto"/>
            </w:tcBorders>
          </w:tcPr>
          <w:p>
            <w:pPr>
              <w:jc w:val="right"/>
              <w:ind w:right="370"/>
              <w:spacing w:after="0" w:line="194" w:lineRule="exact"/>
              <w:rPr>
                <w:sz w:val="20"/>
                <w:szCs w:val="20"/>
                <w:color w:val="auto"/>
              </w:rPr>
            </w:pPr>
            <w:r>
              <w:rPr>
                <w:rFonts w:ascii="Arial" w:cs="Arial" w:eastAsia="Arial" w:hAnsi="Arial"/>
                <w:sz w:val="18"/>
                <w:szCs w:val="18"/>
                <w:b w:val="1"/>
                <w:bCs w:val="1"/>
                <w:color w:val="auto"/>
              </w:rPr>
              <w:t>Pre tax</w:t>
            </w:r>
          </w:p>
        </w:tc>
        <w:tc>
          <w:tcPr>
            <w:tcW w:w="1320" w:type="dxa"/>
            <w:vAlign w:val="bottom"/>
            <w:tcBorders>
              <w:top w:val="single" w:sz="8" w:color="auto"/>
            </w:tcBorders>
          </w:tcPr>
          <w:p>
            <w:pPr>
              <w:jc w:val="right"/>
              <w:ind w:right="450"/>
              <w:spacing w:after="0" w:line="194" w:lineRule="exact"/>
              <w:rPr>
                <w:sz w:val="20"/>
                <w:szCs w:val="20"/>
                <w:color w:val="auto"/>
              </w:rPr>
            </w:pPr>
            <w:r>
              <w:rPr>
                <w:rFonts w:ascii="Arial" w:cs="Arial" w:eastAsia="Arial" w:hAnsi="Arial"/>
                <w:sz w:val="18"/>
                <w:szCs w:val="18"/>
                <w:b w:val="1"/>
                <w:bCs w:val="1"/>
                <w:color w:val="auto"/>
              </w:rPr>
              <w:t>Tax</w:t>
            </w:r>
          </w:p>
        </w:tc>
        <w:tc>
          <w:tcPr>
            <w:tcW w:w="1320" w:type="dxa"/>
            <w:vAlign w:val="bottom"/>
            <w:tcBorders>
              <w:top w:val="single" w:sz="8" w:color="auto"/>
            </w:tcBorders>
          </w:tcPr>
          <w:p>
            <w:pPr>
              <w:jc w:val="right"/>
              <w:ind w:right="210"/>
              <w:spacing w:after="0" w:line="194" w:lineRule="exact"/>
              <w:rPr>
                <w:sz w:val="20"/>
                <w:szCs w:val="20"/>
                <w:color w:val="auto"/>
              </w:rPr>
            </w:pPr>
            <w:r>
              <w:rPr>
                <w:rFonts w:ascii="Arial" w:cs="Arial" w:eastAsia="Arial" w:hAnsi="Arial"/>
                <w:sz w:val="18"/>
                <w:szCs w:val="18"/>
                <w:b w:val="1"/>
                <w:bCs w:val="1"/>
                <w:color w:val="auto"/>
              </w:rPr>
              <w:t>After tax</w:t>
            </w:r>
          </w:p>
        </w:tc>
        <w:tc>
          <w:tcPr>
            <w:tcW w:w="12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Per Share</w:t>
            </w:r>
          </w:p>
        </w:tc>
      </w:tr>
      <w:tr>
        <w:trPr>
          <w:trHeight w:val="225"/>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2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Amounts</w:t>
            </w: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Effect</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Effect</w:t>
            </w: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Effect</w:t>
            </w:r>
          </w:p>
        </w:tc>
      </w:tr>
      <w:tr>
        <w:trPr>
          <w:trHeight w:val="195"/>
        </w:trPr>
        <w:tc>
          <w:tcPr>
            <w:tcW w:w="5020" w:type="dxa"/>
            <w:vAlign w:val="bottom"/>
          </w:tcPr>
          <w:p>
            <w:pPr>
              <w:spacing w:after="0" w:line="195" w:lineRule="exact"/>
              <w:rPr>
                <w:sz w:val="20"/>
                <w:szCs w:val="20"/>
                <w:color w:val="auto"/>
              </w:rPr>
            </w:pPr>
            <w:r>
              <w:rPr>
                <w:rFonts w:ascii="Arial" w:cs="Arial" w:eastAsia="Arial" w:hAnsi="Arial"/>
                <w:sz w:val="18"/>
                <w:szCs w:val="18"/>
                <w:color w:val="auto"/>
              </w:rPr>
              <w:t>Restructuring expenses, net</w:t>
            </w:r>
          </w:p>
        </w:tc>
        <w:tc>
          <w:tcPr>
            <w:tcW w:w="256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$3,717</w:t>
            </w:r>
          </w:p>
        </w:tc>
        <w:tc>
          <w:tcPr>
            <w:tcW w:w="132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$1,412</w:t>
            </w:r>
          </w:p>
        </w:tc>
        <w:tc>
          <w:tcPr>
            <w:tcW w:w="132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$2,305</w:t>
            </w:r>
          </w:p>
        </w:tc>
        <w:tc>
          <w:tcPr>
            <w:tcW w:w="12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$0.07</w:t>
            </w: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25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1,048</w:t>
            </w:r>
          </w:p>
        </w:tc>
        <w:tc>
          <w:tcPr>
            <w:tcW w:w="13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398</w:t>
            </w:r>
          </w:p>
        </w:tc>
        <w:tc>
          <w:tcPr>
            <w:tcW w:w="13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650</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0.02</w:t>
            </w: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Net discrete income tax charge</w:t>
            </w:r>
          </w:p>
        </w:tc>
        <w:tc>
          <w:tcPr>
            <w:tcW w:w="25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4,914</w:t>
            </w:r>
          </w:p>
        </w:tc>
        <w:tc>
          <w:tcPr>
            <w:tcW w:w="13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4,914</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0.15</w:t>
            </w:r>
          </w:p>
        </w:tc>
      </w:tr>
      <w:tr>
        <w:trPr>
          <w:trHeight w:val="203"/>
        </w:trPr>
        <w:tc>
          <w:tcPr>
            <w:tcW w:w="50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Favorable effect of change in income tax rate</w:t>
            </w:r>
          </w:p>
        </w:tc>
        <w:tc>
          <w:tcPr>
            <w:tcW w:w="256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1,002</w:t>
            </w:r>
          </w:p>
        </w:tc>
        <w:tc>
          <w:tcPr>
            <w:tcW w:w="132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1,002</w:t>
            </w:r>
          </w:p>
        </w:tc>
        <w:tc>
          <w:tcPr>
            <w:tcW w:w="1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0.03</w:t>
            </w:r>
          </w:p>
        </w:tc>
      </w:tr>
    </w:tbl>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0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b w:val="1"/>
                <w:bCs w:val="1"/>
                <w:color w:val="auto"/>
              </w:rPr>
              <w:t>Three months ended September 30, 2014</w:t>
            </w:r>
          </w:p>
        </w:tc>
        <w:tc>
          <w:tcPr>
            <w:tcW w:w="2880" w:type="dxa"/>
            <w:vAlign w:val="bottom"/>
            <w:tcBorders>
              <w:top w:val="single" w:sz="8" w:color="auto"/>
            </w:tcBorders>
          </w:tcPr>
          <w:p>
            <w:pPr>
              <w:jc w:val="right"/>
              <w:ind w:right="370"/>
              <w:spacing w:after="0" w:line="194" w:lineRule="exact"/>
              <w:rPr>
                <w:sz w:val="20"/>
                <w:szCs w:val="20"/>
                <w:color w:val="auto"/>
              </w:rPr>
            </w:pPr>
            <w:r>
              <w:rPr>
                <w:rFonts w:ascii="Arial" w:cs="Arial" w:eastAsia="Arial" w:hAnsi="Arial"/>
                <w:sz w:val="18"/>
                <w:szCs w:val="18"/>
                <w:b w:val="1"/>
                <w:bCs w:val="1"/>
                <w:color w:val="auto"/>
              </w:rPr>
              <w:t>Pre tax</w:t>
            </w:r>
          </w:p>
        </w:tc>
        <w:tc>
          <w:tcPr>
            <w:tcW w:w="1320" w:type="dxa"/>
            <w:vAlign w:val="bottom"/>
            <w:tcBorders>
              <w:top w:val="single" w:sz="8" w:color="auto"/>
            </w:tcBorders>
          </w:tcPr>
          <w:p>
            <w:pPr>
              <w:jc w:val="right"/>
              <w:ind w:right="450"/>
              <w:spacing w:after="0" w:line="194" w:lineRule="exact"/>
              <w:rPr>
                <w:sz w:val="20"/>
                <w:szCs w:val="20"/>
                <w:color w:val="auto"/>
              </w:rPr>
            </w:pPr>
            <w:r>
              <w:rPr>
                <w:rFonts w:ascii="Arial" w:cs="Arial" w:eastAsia="Arial" w:hAnsi="Arial"/>
                <w:sz w:val="18"/>
                <w:szCs w:val="18"/>
                <w:b w:val="1"/>
                <w:bCs w:val="1"/>
                <w:color w:val="auto"/>
              </w:rPr>
              <w:t>Tax</w:t>
            </w:r>
          </w:p>
        </w:tc>
        <w:tc>
          <w:tcPr>
            <w:tcW w:w="1320" w:type="dxa"/>
            <w:vAlign w:val="bottom"/>
            <w:tcBorders>
              <w:top w:val="single" w:sz="8" w:color="auto"/>
            </w:tcBorders>
          </w:tcPr>
          <w:p>
            <w:pPr>
              <w:jc w:val="right"/>
              <w:ind w:right="210"/>
              <w:spacing w:after="0" w:line="194" w:lineRule="exact"/>
              <w:rPr>
                <w:sz w:val="20"/>
                <w:szCs w:val="20"/>
                <w:color w:val="auto"/>
              </w:rPr>
            </w:pPr>
            <w:r>
              <w:rPr>
                <w:rFonts w:ascii="Arial" w:cs="Arial" w:eastAsia="Arial" w:hAnsi="Arial"/>
                <w:sz w:val="18"/>
                <w:szCs w:val="18"/>
                <w:b w:val="1"/>
                <w:bCs w:val="1"/>
                <w:color w:val="auto"/>
              </w:rPr>
              <w:t>After tax</w:t>
            </w:r>
          </w:p>
        </w:tc>
        <w:tc>
          <w:tcPr>
            <w:tcW w:w="12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Per Share</w:t>
            </w:r>
          </w:p>
        </w:tc>
      </w:tr>
      <w:tr>
        <w:trPr>
          <w:trHeight w:val="225"/>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2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Amounts</w:t>
            </w: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Effect</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Effect</w:t>
            </w: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Effect</w:t>
            </w:r>
          </w:p>
        </w:tc>
      </w:tr>
      <w:tr>
        <w:trPr>
          <w:trHeight w:val="195"/>
        </w:trPr>
        <w:tc>
          <w:tcPr>
            <w:tcW w:w="4700" w:type="dxa"/>
            <w:vAlign w:val="bottom"/>
          </w:tcPr>
          <w:p>
            <w:pPr>
              <w:spacing w:after="0" w:line="195" w:lineRule="exact"/>
              <w:rPr>
                <w:sz w:val="20"/>
                <w:szCs w:val="20"/>
                <w:color w:val="auto"/>
              </w:rPr>
            </w:pPr>
            <w:r>
              <w:rPr>
                <w:rFonts w:ascii="Arial" w:cs="Arial" w:eastAsia="Arial" w:hAnsi="Arial"/>
                <w:sz w:val="18"/>
                <w:szCs w:val="18"/>
                <w:color w:val="auto"/>
              </w:rPr>
              <w:t>Restructuring expenses, net</w:t>
            </w:r>
          </w:p>
        </w:tc>
        <w:tc>
          <w:tcPr>
            <w:tcW w:w="288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$919</w:t>
            </w:r>
          </w:p>
        </w:tc>
        <w:tc>
          <w:tcPr>
            <w:tcW w:w="132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$321</w:t>
            </w:r>
          </w:p>
        </w:tc>
        <w:tc>
          <w:tcPr>
            <w:tcW w:w="132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$598</w:t>
            </w:r>
          </w:p>
        </w:tc>
        <w:tc>
          <w:tcPr>
            <w:tcW w:w="12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$0.02</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28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4,088</w:t>
            </w:r>
          </w:p>
        </w:tc>
        <w:tc>
          <w:tcPr>
            <w:tcW w:w="13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1,427</w:t>
            </w:r>
          </w:p>
        </w:tc>
        <w:tc>
          <w:tcPr>
            <w:tcW w:w="13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2,661</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0.08</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Gain on insurance recovery</w:t>
            </w:r>
          </w:p>
        </w:tc>
        <w:tc>
          <w:tcPr>
            <w:tcW w:w="28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165</w:t>
            </w:r>
          </w:p>
        </w:tc>
        <w:tc>
          <w:tcPr>
            <w:tcW w:w="13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165</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0.01</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Net discrete income tax charge</w:t>
            </w:r>
          </w:p>
        </w:tc>
        <w:tc>
          <w:tcPr>
            <w:tcW w:w="28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536</w:t>
            </w:r>
          </w:p>
        </w:tc>
        <w:tc>
          <w:tcPr>
            <w:tcW w:w="13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536</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0.02</w:t>
            </w:r>
          </w:p>
        </w:tc>
      </w:tr>
      <w:tr>
        <w:trPr>
          <w:trHeight w:val="203"/>
        </w:trPr>
        <w:tc>
          <w:tcPr>
            <w:tcW w:w="47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Unfavorable effect of change in income tax rate</w:t>
            </w:r>
          </w:p>
        </w:tc>
        <w:tc>
          <w:tcPr>
            <w:tcW w:w="288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243</w:t>
            </w:r>
          </w:p>
        </w:tc>
        <w:tc>
          <w:tcPr>
            <w:tcW w:w="132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243</w:t>
            </w:r>
          </w:p>
        </w:tc>
        <w:tc>
          <w:tcPr>
            <w:tcW w:w="1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0.01</w:t>
            </w:r>
          </w:p>
        </w:tc>
      </w:tr>
      <w:tr>
        <w:trPr>
          <w:trHeight w:val="628"/>
        </w:trPr>
        <w:tc>
          <w:tcPr>
            <w:tcW w:w="4700" w:type="dxa"/>
            <w:vAlign w:val="bottom"/>
          </w:tcPr>
          <w:p>
            <w:pPr>
              <w:spacing w:after="0"/>
              <w:rPr>
                <w:sz w:val="24"/>
                <w:szCs w:val="24"/>
                <w:color w:val="auto"/>
              </w:rPr>
            </w:pPr>
          </w:p>
        </w:tc>
        <w:tc>
          <w:tcPr>
            <w:tcW w:w="2880" w:type="dxa"/>
            <w:vAlign w:val="bottom"/>
          </w:tcPr>
          <w:p>
            <w:pPr>
              <w:jc w:val="right"/>
              <w:ind w:right="1690"/>
              <w:spacing w:after="0"/>
              <w:rPr>
                <w:sz w:val="20"/>
                <w:szCs w:val="20"/>
                <w:color w:val="auto"/>
              </w:rPr>
            </w:pPr>
            <w:r>
              <w:rPr>
                <w:rFonts w:ascii="Arial" w:cs="Arial" w:eastAsia="Arial" w:hAnsi="Arial"/>
                <w:sz w:val="18"/>
                <w:szCs w:val="18"/>
                <w:color w:val="auto"/>
              </w:rPr>
              <w:t>41</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42"/>
        </w:trPr>
        <w:tc>
          <w:tcPr>
            <w:tcW w:w="4700" w:type="dxa"/>
            <w:vAlign w:val="bottom"/>
            <w:tcBorders>
              <w:bottom w:val="single" w:sz="8" w:color="auto"/>
            </w:tcBorders>
          </w:tcPr>
          <w:p>
            <w:pPr>
              <w:spacing w:after="0"/>
              <w:rPr>
                <w:sz w:val="12"/>
                <w:szCs w:val="12"/>
                <w:color w:val="auto"/>
              </w:rPr>
            </w:pPr>
          </w:p>
        </w:tc>
        <w:tc>
          <w:tcPr>
            <w:tcW w:w="28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538" w:right="2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0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b w:val="1"/>
                <w:bCs w:val="1"/>
                <w:color w:val="auto"/>
              </w:rPr>
              <w:t>Nine months ended September 30, 2015</w:t>
            </w:r>
          </w:p>
        </w:tc>
        <w:tc>
          <w:tcPr>
            <w:tcW w:w="2280" w:type="dxa"/>
            <w:vAlign w:val="bottom"/>
            <w:tcBorders>
              <w:top w:val="single" w:sz="8" w:color="auto"/>
            </w:tcBorders>
          </w:tcPr>
          <w:p>
            <w:pPr>
              <w:jc w:val="right"/>
              <w:ind w:right="370"/>
              <w:spacing w:after="0" w:line="194" w:lineRule="exact"/>
              <w:rPr>
                <w:sz w:val="20"/>
                <w:szCs w:val="20"/>
                <w:color w:val="auto"/>
              </w:rPr>
            </w:pPr>
            <w:r>
              <w:rPr>
                <w:rFonts w:ascii="Arial" w:cs="Arial" w:eastAsia="Arial" w:hAnsi="Arial"/>
                <w:sz w:val="18"/>
                <w:szCs w:val="18"/>
                <w:b w:val="1"/>
                <w:bCs w:val="1"/>
                <w:color w:val="auto"/>
              </w:rPr>
              <w:t>Pre tax</w:t>
            </w:r>
          </w:p>
        </w:tc>
        <w:tc>
          <w:tcPr>
            <w:tcW w:w="1320" w:type="dxa"/>
            <w:vAlign w:val="bottom"/>
            <w:tcBorders>
              <w:top w:val="single" w:sz="8" w:color="auto"/>
            </w:tcBorders>
          </w:tcPr>
          <w:p>
            <w:pPr>
              <w:jc w:val="right"/>
              <w:ind w:right="450"/>
              <w:spacing w:after="0" w:line="194" w:lineRule="exact"/>
              <w:rPr>
                <w:sz w:val="20"/>
                <w:szCs w:val="20"/>
                <w:color w:val="auto"/>
              </w:rPr>
            </w:pPr>
            <w:r>
              <w:rPr>
                <w:rFonts w:ascii="Arial" w:cs="Arial" w:eastAsia="Arial" w:hAnsi="Arial"/>
                <w:sz w:val="18"/>
                <w:szCs w:val="18"/>
                <w:b w:val="1"/>
                <w:bCs w:val="1"/>
                <w:color w:val="auto"/>
              </w:rPr>
              <w:t>Tax</w:t>
            </w:r>
          </w:p>
        </w:tc>
        <w:tc>
          <w:tcPr>
            <w:tcW w:w="1320" w:type="dxa"/>
            <w:vAlign w:val="bottom"/>
            <w:tcBorders>
              <w:top w:val="single" w:sz="8" w:color="auto"/>
            </w:tcBorders>
          </w:tcPr>
          <w:p>
            <w:pPr>
              <w:jc w:val="right"/>
              <w:ind w:right="210"/>
              <w:spacing w:after="0" w:line="194" w:lineRule="exact"/>
              <w:rPr>
                <w:sz w:val="20"/>
                <w:szCs w:val="20"/>
                <w:color w:val="auto"/>
              </w:rPr>
            </w:pPr>
            <w:r>
              <w:rPr>
                <w:rFonts w:ascii="Arial" w:cs="Arial" w:eastAsia="Arial" w:hAnsi="Arial"/>
                <w:sz w:val="18"/>
                <w:szCs w:val="18"/>
                <w:b w:val="1"/>
                <w:bCs w:val="1"/>
                <w:color w:val="auto"/>
              </w:rPr>
              <w:t>After tax</w:t>
            </w:r>
          </w:p>
        </w:tc>
        <w:tc>
          <w:tcPr>
            <w:tcW w:w="12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Per Share</w:t>
            </w:r>
          </w:p>
        </w:tc>
      </w:tr>
      <w:tr>
        <w:trPr>
          <w:trHeight w:val="225"/>
        </w:trPr>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2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Amounts</w:t>
            </w: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Effect</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Effect</w:t>
            </w: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Effect</w:t>
            </w:r>
          </w:p>
        </w:tc>
      </w:tr>
      <w:tr>
        <w:trPr>
          <w:trHeight w:val="195"/>
        </w:trPr>
        <w:tc>
          <w:tcPr>
            <w:tcW w:w="5300" w:type="dxa"/>
            <w:vAlign w:val="bottom"/>
          </w:tcPr>
          <w:p>
            <w:pPr>
              <w:spacing w:after="0" w:line="195" w:lineRule="exact"/>
              <w:rPr>
                <w:sz w:val="20"/>
                <w:szCs w:val="20"/>
                <w:color w:val="auto"/>
              </w:rPr>
            </w:pPr>
            <w:r>
              <w:rPr>
                <w:rFonts w:ascii="Arial" w:cs="Arial" w:eastAsia="Arial" w:hAnsi="Arial"/>
                <w:sz w:val="18"/>
                <w:szCs w:val="18"/>
                <w:color w:val="auto"/>
              </w:rPr>
              <w:t>Restructuring expenses, net</w:t>
            </w:r>
          </w:p>
        </w:tc>
        <w:tc>
          <w:tcPr>
            <w:tcW w:w="228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$13,929</w:t>
            </w:r>
          </w:p>
        </w:tc>
        <w:tc>
          <w:tcPr>
            <w:tcW w:w="132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$5,280</w:t>
            </w:r>
          </w:p>
        </w:tc>
        <w:tc>
          <w:tcPr>
            <w:tcW w:w="132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$8,649</w:t>
            </w:r>
          </w:p>
        </w:tc>
        <w:tc>
          <w:tcPr>
            <w:tcW w:w="12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$0.27</w:t>
            </w: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22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4,145</w:t>
            </w:r>
          </w:p>
        </w:tc>
        <w:tc>
          <w:tcPr>
            <w:tcW w:w="13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1,597</w:t>
            </w:r>
          </w:p>
        </w:tc>
        <w:tc>
          <w:tcPr>
            <w:tcW w:w="13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2,548</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0.08</w:t>
            </w: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Gain on sale of investment</w:t>
            </w:r>
          </w:p>
        </w:tc>
        <w:tc>
          <w:tcPr>
            <w:tcW w:w="22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872</w:t>
            </w:r>
          </w:p>
        </w:tc>
        <w:tc>
          <w:tcPr>
            <w:tcW w:w="13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331</w:t>
            </w:r>
          </w:p>
        </w:tc>
        <w:tc>
          <w:tcPr>
            <w:tcW w:w="13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541</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0.02</w:t>
            </w: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Net discrete income tax charge</w:t>
            </w:r>
          </w:p>
        </w:tc>
        <w:tc>
          <w:tcPr>
            <w:tcW w:w="22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5,113</w:t>
            </w:r>
          </w:p>
        </w:tc>
        <w:tc>
          <w:tcPr>
            <w:tcW w:w="13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5,113</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0.16</w:t>
            </w:r>
          </w:p>
        </w:tc>
      </w:tr>
      <w:tr>
        <w:trPr>
          <w:trHeight w:val="203"/>
        </w:trPr>
        <w:tc>
          <w:tcPr>
            <w:tcW w:w="53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Charge for revision in estimated contract profitability</w:t>
            </w:r>
          </w:p>
        </w:tc>
        <w:tc>
          <w:tcPr>
            <w:tcW w:w="228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14,000</w:t>
            </w:r>
          </w:p>
        </w:tc>
        <w:tc>
          <w:tcPr>
            <w:tcW w:w="132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5,180</w:t>
            </w:r>
          </w:p>
        </w:tc>
        <w:tc>
          <w:tcPr>
            <w:tcW w:w="132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8,820</w:t>
            </w:r>
          </w:p>
        </w:tc>
        <w:tc>
          <w:tcPr>
            <w:tcW w:w="1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0.28</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0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b w:val="1"/>
                <w:bCs w:val="1"/>
                <w:color w:val="auto"/>
              </w:rPr>
              <w:t>Nine months ended September 30, 2014</w:t>
            </w:r>
          </w:p>
        </w:tc>
        <w:tc>
          <w:tcPr>
            <w:tcW w:w="2580" w:type="dxa"/>
            <w:vAlign w:val="bottom"/>
            <w:tcBorders>
              <w:top w:val="single" w:sz="8" w:color="auto"/>
            </w:tcBorders>
          </w:tcPr>
          <w:p>
            <w:pPr>
              <w:jc w:val="right"/>
              <w:ind w:right="370"/>
              <w:spacing w:after="0" w:line="194" w:lineRule="exact"/>
              <w:rPr>
                <w:sz w:val="20"/>
                <w:szCs w:val="20"/>
                <w:color w:val="auto"/>
              </w:rPr>
            </w:pPr>
            <w:r>
              <w:rPr>
                <w:rFonts w:ascii="Arial" w:cs="Arial" w:eastAsia="Arial" w:hAnsi="Arial"/>
                <w:sz w:val="18"/>
                <w:szCs w:val="18"/>
                <w:b w:val="1"/>
                <w:bCs w:val="1"/>
                <w:color w:val="auto"/>
              </w:rPr>
              <w:t>Pre tax</w:t>
            </w:r>
          </w:p>
        </w:tc>
        <w:tc>
          <w:tcPr>
            <w:tcW w:w="1320" w:type="dxa"/>
            <w:vAlign w:val="bottom"/>
            <w:tcBorders>
              <w:top w:val="single" w:sz="8" w:color="auto"/>
            </w:tcBorders>
          </w:tcPr>
          <w:p>
            <w:pPr>
              <w:jc w:val="right"/>
              <w:ind w:right="450"/>
              <w:spacing w:after="0" w:line="194" w:lineRule="exact"/>
              <w:rPr>
                <w:sz w:val="20"/>
                <w:szCs w:val="20"/>
                <w:color w:val="auto"/>
              </w:rPr>
            </w:pPr>
            <w:r>
              <w:rPr>
                <w:rFonts w:ascii="Arial" w:cs="Arial" w:eastAsia="Arial" w:hAnsi="Arial"/>
                <w:sz w:val="18"/>
                <w:szCs w:val="18"/>
                <w:b w:val="1"/>
                <w:bCs w:val="1"/>
                <w:color w:val="auto"/>
              </w:rPr>
              <w:t>Tax</w:t>
            </w:r>
          </w:p>
        </w:tc>
        <w:tc>
          <w:tcPr>
            <w:tcW w:w="1320" w:type="dxa"/>
            <w:vAlign w:val="bottom"/>
            <w:tcBorders>
              <w:top w:val="single" w:sz="8" w:color="auto"/>
            </w:tcBorders>
          </w:tcPr>
          <w:p>
            <w:pPr>
              <w:jc w:val="right"/>
              <w:ind w:right="210"/>
              <w:spacing w:after="0" w:line="194" w:lineRule="exact"/>
              <w:rPr>
                <w:sz w:val="20"/>
                <w:szCs w:val="20"/>
                <w:color w:val="auto"/>
              </w:rPr>
            </w:pPr>
            <w:r>
              <w:rPr>
                <w:rFonts w:ascii="Arial" w:cs="Arial" w:eastAsia="Arial" w:hAnsi="Arial"/>
                <w:sz w:val="18"/>
                <w:szCs w:val="18"/>
                <w:b w:val="1"/>
                <w:bCs w:val="1"/>
                <w:color w:val="auto"/>
              </w:rPr>
              <w:t>After tax</w:t>
            </w:r>
          </w:p>
        </w:tc>
        <w:tc>
          <w:tcPr>
            <w:tcW w:w="12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Per Share</w:t>
            </w:r>
          </w:p>
        </w:tc>
      </w:tr>
      <w:tr>
        <w:trPr>
          <w:trHeight w:val="225"/>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2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Amounts</w:t>
            </w: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Effect</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Effect</w:t>
            </w: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Effect</w:t>
            </w:r>
          </w:p>
        </w:tc>
      </w:tr>
      <w:tr>
        <w:trPr>
          <w:trHeight w:val="195"/>
        </w:trPr>
        <w:tc>
          <w:tcPr>
            <w:tcW w:w="5000" w:type="dxa"/>
            <w:vAlign w:val="bottom"/>
          </w:tcPr>
          <w:p>
            <w:pPr>
              <w:spacing w:after="0" w:line="195" w:lineRule="exact"/>
              <w:rPr>
                <w:sz w:val="20"/>
                <w:szCs w:val="20"/>
                <w:color w:val="auto"/>
              </w:rPr>
            </w:pPr>
            <w:r>
              <w:rPr>
                <w:rFonts w:ascii="Arial" w:cs="Arial" w:eastAsia="Arial" w:hAnsi="Arial"/>
                <w:sz w:val="18"/>
                <w:szCs w:val="18"/>
                <w:color w:val="auto"/>
              </w:rPr>
              <w:t>Restructuring expenses, net</w:t>
            </w:r>
          </w:p>
        </w:tc>
        <w:tc>
          <w:tcPr>
            <w:tcW w:w="258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$4,058</w:t>
            </w:r>
          </w:p>
        </w:tc>
        <w:tc>
          <w:tcPr>
            <w:tcW w:w="132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$1,449</w:t>
            </w:r>
          </w:p>
        </w:tc>
        <w:tc>
          <w:tcPr>
            <w:tcW w:w="132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$2,609</w:t>
            </w:r>
          </w:p>
        </w:tc>
        <w:tc>
          <w:tcPr>
            <w:tcW w:w="12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$0.08</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25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5,387</w:t>
            </w:r>
          </w:p>
        </w:tc>
        <w:tc>
          <w:tcPr>
            <w:tcW w:w="13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1,896</w:t>
            </w:r>
          </w:p>
        </w:tc>
        <w:tc>
          <w:tcPr>
            <w:tcW w:w="13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3,491</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0.11</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Gain on insurance recovery</w:t>
            </w:r>
          </w:p>
        </w:tc>
        <w:tc>
          <w:tcPr>
            <w:tcW w:w="25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1,126</w:t>
            </w:r>
          </w:p>
        </w:tc>
        <w:tc>
          <w:tcPr>
            <w:tcW w:w="13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1,126</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0.04</w:t>
            </w:r>
          </w:p>
        </w:tc>
      </w:tr>
      <w:tr>
        <w:trPr>
          <w:trHeight w:val="203"/>
        </w:trPr>
        <w:tc>
          <w:tcPr>
            <w:tcW w:w="50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Net discrete income tax charge</w:t>
            </w:r>
          </w:p>
        </w:tc>
        <w:tc>
          <w:tcPr>
            <w:tcW w:w="258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2,209</w:t>
            </w:r>
          </w:p>
        </w:tc>
        <w:tc>
          <w:tcPr>
            <w:tcW w:w="132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2,209</w:t>
            </w:r>
          </w:p>
        </w:tc>
        <w:tc>
          <w:tcPr>
            <w:tcW w:w="1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0.07</w:t>
            </w: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the calculation of net income per share attributable to the Company, excluding adjustments: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0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2"/>
          </w:tcPr>
          <w:p>
            <w:pPr>
              <w:jc w:val="right"/>
              <w:ind w:right="550"/>
              <w:spacing w:after="0" w:line="194" w:lineRule="exact"/>
              <w:rPr>
                <w:sz w:val="20"/>
                <w:szCs w:val="20"/>
                <w:color w:val="auto"/>
              </w:rPr>
            </w:pPr>
            <w:r>
              <w:rPr>
                <w:rFonts w:ascii="Arial" w:cs="Arial" w:eastAsia="Arial" w:hAnsi="Arial"/>
                <w:sz w:val="18"/>
                <w:szCs w:val="18"/>
                <w:b w:val="1"/>
                <w:bCs w:val="1"/>
                <w:color w:val="auto"/>
              </w:rPr>
              <w:t>Three months ended</w:t>
            </w:r>
          </w:p>
        </w:tc>
        <w:tc>
          <w:tcPr>
            <w:tcW w:w="2400" w:type="dxa"/>
            <w:vAlign w:val="bottom"/>
            <w:tcBorders>
              <w:top w:val="single" w:sz="8" w:color="auto"/>
            </w:tcBorders>
            <w:gridSpan w:val="2"/>
          </w:tcPr>
          <w:p>
            <w:pPr>
              <w:jc w:val="right"/>
              <w:ind w:right="290"/>
              <w:spacing w:after="0" w:line="194" w:lineRule="exact"/>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03"/>
        </w:trPr>
        <w:tc>
          <w:tcPr>
            <w:tcW w:w="6100" w:type="dxa"/>
            <w:vAlign w:val="bottom"/>
          </w:tcPr>
          <w:p>
            <w:pPr>
              <w:spacing w:after="0"/>
              <w:rPr>
                <w:sz w:val="17"/>
                <w:szCs w:val="17"/>
                <w:color w:val="auto"/>
              </w:rPr>
            </w:pPr>
          </w:p>
        </w:tc>
        <w:tc>
          <w:tcPr>
            <w:tcW w:w="2920" w:type="dxa"/>
            <w:vAlign w:val="bottom"/>
            <w:gridSpan w:val="2"/>
          </w:tcPr>
          <w:p>
            <w:pPr>
              <w:jc w:val="right"/>
              <w:ind w:right="810"/>
              <w:spacing w:after="0" w:line="202" w:lineRule="exact"/>
              <w:rPr>
                <w:sz w:val="20"/>
                <w:szCs w:val="20"/>
                <w:color w:val="auto"/>
              </w:rPr>
            </w:pPr>
            <w:r>
              <w:rPr>
                <w:rFonts w:ascii="Arial" w:cs="Arial" w:eastAsia="Arial" w:hAnsi="Arial"/>
                <w:sz w:val="18"/>
                <w:szCs w:val="18"/>
                <w:b w:val="1"/>
                <w:bCs w:val="1"/>
                <w:color w:val="auto"/>
              </w:rPr>
              <w:t>September 30,</w:t>
            </w:r>
          </w:p>
        </w:tc>
        <w:tc>
          <w:tcPr>
            <w:tcW w:w="2400" w:type="dxa"/>
            <w:vAlign w:val="bottom"/>
            <w:gridSpan w:val="2"/>
          </w:tcPr>
          <w:p>
            <w:pPr>
              <w:jc w:val="right"/>
              <w:ind w:right="470"/>
              <w:spacing w:after="0" w:line="202"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 share amounts (Basic)</w:t>
            </w:r>
          </w:p>
        </w:tc>
        <w:tc>
          <w:tcPr>
            <w:tcW w:w="15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195"/>
        </w:trPr>
        <w:tc>
          <w:tcPr>
            <w:tcW w:w="6100" w:type="dxa"/>
            <w:vAlign w:val="bottom"/>
          </w:tcPr>
          <w:p>
            <w:pPr>
              <w:spacing w:after="0" w:line="195" w:lineRule="exact"/>
              <w:rPr>
                <w:sz w:val="20"/>
                <w:szCs w:val="20"/>
                <w:color w:val="auto"/>
              </w:rPr>
            </w:pPr>
            <w:r>
              <w:rPr>
                <w:rFonts w:ascii="Arial" w:cs="Arial" w:eastAsia="Arial" w:hAnsi="Arial"/>
                <w:sz w:val="18"/>
                <w:szCs w:val="18"/>
                <w:color w:val="auto"/>
              </w:rPr>
              <w:t>Net income attributable to the Company</w:t>
            </w:r>
          </w:p>
        </w:tc>
        <w:tc>
          <w:tcPr>
            <w:tcW w:w="1540" w:type="dxa"/>
            <w:vAlign w:val="bottom"/>
          </w:tcPr>
          <w:p>
            <w:pPr>
              <w:jc w:val="right"/>
              <w:ind w:right="330"/>
              <w:spacing w:after="0" w:line="195" w:lineRule="exact"/>
              <w:rPr>
                <w:sz w:val="20"/>
                <w:szCs w:val="20"/>
                <w:color w:val="auto"/>
              </w:rPr>
            </w:pPr>
            <w:r>
              <w:rPr>
                <w:rFonts w:ascii="Arial" w:cs="Arial" w:eastAsia="Arial" w:hAnsi="Arial"/>
                <w:sz w:val="18"/>
                <w:szCs w:val="18"/>
                <w:b w:val="1"/>
                <w:bCs w:val="1"/>
                <w:color w:val="auto"/>
              </w:rPr>
              <w:t>$0.30</w:t>
            </w:r>
          </w:p>
        </w:tc>
        <w:tc>
          <w:tcPr>
            <w:tcW w:w="1380" w:type="dxa"/>
            <w:vAlign w:val="bottom"/>
          </w:tcPr>
          <w:p>
            <w:pPr>
              <w:jc w:val="right"/>
              <w:ind w:right="310"/>
              <w:spacing w:after="0" w:line="195" w:lineRule="exact"/>
              <w:rPr>
                <w:sz w:val="20"/>
                <w:szCs w:val="20"/>
                <w:color w:val="auto"/>
              </w:rPr>
            </w:pPr>
            <w:r>
              <w:rPr>
                <w:rFonts w:ascii="Arial" w:cs="Arial" w:eastAsia="Arial" w:hAnsi="Arial"/>
                <w:sz w:val="18"/>
                <w:szCs w:val="18"/>
                <w:color w:val="auto"/>
              </w:rPr>
              <w:t>$0.37</w:t>
            </w:r>
          </w:p>
        </w:tc>
        <w:tc>
          <w:tcPr>
            <w:tcW w:w="1340" w:type="dxa"/>
            <w:vAlign w:val="bottom"/>
          </w:tcPr>
          <w:p>
            <w:pPr>
              <w:jc w:val="right"/>
              <w:ind w:right="310"/>
              <w:spacing w:after="0" w:line="195" w:lineRule="exact"/>
              <w:rPr>
                <w:sz w:val="20"/>
                <w:szCs w:val="20"/>
                <w:color w:val="auto"/>
              </w:rPr>
            </w:pPr>
            <w:r>
              <w:rPr>
                <w:rFonts w:ascii="Arial" w:cs="Arial" w:eastAsia="Arial" w:hAnsi="Arial"/>
                <w:sz w:val="18"/>
                <w:szCs w:val="18"/>
                <w:b w:val="1"/>
                <w:bCs w:val="1"/>
                <w:color w:val="auto"/>
              </w:rPr>
              <w:t>$0.62</w:t>
            </w:r>
          </w:p>
        </w:tc>
        <w:tc>
          <w:tcPr>
            <w:tcW w:w="10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Adjustments:</w:t>
            </w:r>
          </w:p>
        </w:tc>
        <w:tc>
          <w:tcPr>
            <w:tcW w:w="15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0.07</w:t>
            </w:r>
          </w:p>
        </w:tc>
        <w:tc>
          <w:tcPr>
            <w:tcW w:w="1380" w:type="dxa"/>
            <w:vAlign w:val="bottom"/>
          </w:tcPr>
          <w:p>
            <w:pPr>
              <w:spacing w:after="0"/>
              <w:rPr>
                <w:sz w:val="17"/>
                <w:szCs w:val="17"/>
                <w:color w:val="auto"/>
              </w:rPr>
            </w:pPr>
          </w:p>
        </w:tc>
        <w:tc>
          <w:tcPr>
            <w:tcW w:w="13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0.27</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100" w:type="dxa"/>
            <w:vAlign w:val="bottom"/>
          </w:tcPr>
          <w:p>
            <w:pPr>
              <w:spacing w:after="0" w:line="181" w:lineRule="exact"/>
              <w:rPr>
                <w:sz w:val="20"/>
                <w:szCs w:val="20"/>
                <w:color w:val="auto"/>
              </w:rPr>
            </w:pPr>
            <w:r>
              <w:rPr>
                <w:rFonts w:ascii="Arial" w:cs="Arial" w:eastAsia="Arial" w:hAnsi="Arial"/>
                <w:sz w:val="18"/>
                <w:szCs w:val="18"/>
                <w:color w:val="auto"/>
              </w:rPr>
              <w:t>Restructuring expenses, net</w:t>
            </w:r>
          </w:p>
        </w:tc>
        <w:tc>
          <w:tcPr>
            <w:tcW w:w="1540" w:type="dxa"/>
            <w:vAlign w:val="bottom"/>
            <w:vMerge w:val="continue"/>
          </w:tcPr>
          <w:p>
            <w:pPr>
              <w:spacing w:after="0"/>
              <w:rPr>
                <w:sz w:val="15"/>
                <w:szCs w:val="15"/>
                <w:color w:val="auto"/>
              </w:rPr>
            </w:pPr>
          </w:p>
        </w:tc>
        <w:tc>
          <w:tcPr>
            <w:tcW w:w="1380" w:type="dxa"/>
            <w:vAlign w:val="bottom"/>
          </w:tcPr>
          <w:p>
            <w:pPr>
              <w:jc w:val="right"/>
              <w:ind w:right="310"/>
              <w:spacing w:after="0" w:line="181" w:lineRule="exact"/>
              <w:rPr>
                <w:sz w:val="20"/>
                <w:szCs w:val="20"/>
                <w:color w:val="auto"/>
              </w:rPr>
            </w:pPr>
            <w:r>
              <w:rPr>
                <w:rFonts w:ascii="Arial" w:cs="Arial" w:eastAsia="Arial" w:hAnsi="Arial"/>
                <w:sz w:val="18"/>
                <w:szCs w:val="18"/>
                <w:color w:val="auto"/>
              </w:rPr>
              <w:t>0.02</w:t>
            </w:r>
          </w:p>
        </w:tc>
        <w:tc>
          <w:tcPr>
            <w:tcW w:w="1340" w:type="dxa"/>
            <w:vAlign w:val="bottom"/>
            <w:vMerge w:val="continue"/>
          </w:tcPr>
          <w:p>
            <w:pPr>
              <w:spacing w:after="0"/>
              <w:rPr>
                <w:sz w:val="15"/>
                <w:szCs w:val="15"/>
                <w:color w:val="auto"/>
              </w:rPr>
            </w:pPr>
          </w:p>
        </w:tc>
        <w:tc>
          <w:tcPr>
            <w:tcW w:w="10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Discrete tax charges/(benefits) and effect of change in income tax rate</w:t>
            </w:r>
          </w:p>
        </w:tc>
        <w:tc>
          <w:tcPr>
            <w:tcW w:w="154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0.12</w:t>
            </w:r>
          </w:p>
        </w:tc>
        <w:tc>
          <w:tcPr>
            <w:tcW w:w="13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0.01</w:t>
            </w:r>
          </w:p>
        </w:tc>
        <w:tc>
          <w:tcPr>
            <w:tcW w:w="134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0.16</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154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(0.02)</w:t>
            </w:r>
          </w:p>
        </w:tc>
        <w:tc>
          <w:tcPr>
            <w:tcW w:w="13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(0.08)</w:t>
            </w:r>
          </w:p>
        </w:tc>
        <w:tc>
          <w:tcPr>
            <w:tcW w:w="134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(0.08)</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25"/>
        </w:trPr>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Gain on sale of investment/insurance recovery</w:t>
            </w: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(0.01)</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(0.02)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96"/>
        </w:trPr>
        <w:tc>
          <w:tcPr>
            <w:tcW w:w="6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income/(loss) attributable to the Company, excluding adjustments</w:t>
            </w:r>
          </w:p>
        </w:tc>
        <w:tc>
          <w:tcPr>
            <w:tcW w:w="154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$0.47</w:t>
            </w:r>
          </w:p>
        </w:tc>
        <w:tc>
          <w:tcPr>
            <w:tcW w:w="138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$0.31</w:t>
            </w:r>
          </w:p>
        </w:tc>
        <w:tc>
          <w:tcPr>
            <w:tcW w:w="13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$0.95</w:t>
            </w:r>
          </w:p>
        </w:tc>
        <w:tc>
          <w:tcPr>
            <w:tcW w:w="10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the calculation of net debt: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4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tcPr>
          <w:p>
            <w:pPr>
              <w:jc w:val="right"/>
              <w:ind w:right="70"/>
              <w:spacing w:after="0" w:line="194" w:lineRule="exact"/>
              <w:rPr>
                <w:sz w:val="20"/>
                <w:szCs w:val="20"/>
                <w:color w:val="auto"/>
              </w:rPr>
            </w:pPr>
            <w:r>
              <w:rPr>
                <w:rFonts w:ascii="Arial" w:cs="Arial" w:eastAsia="Arial" w:hAnsi="Arial"/>
                <w:sz w:val="18"/>
                <w:szCs w:val="18"/>
                <w:b w:val="1"/>
                <w:bCs w:val="1"/>
                <w:color w:val="auto"/>
              </w:rPr>
              <w:t>September 30,</w:t>
            </w:r>
          </w:p>
        </w:tc>
        <w:tc>
          <w:tcPr>
            <w:tcW w:w="1520" w:type="dxa"/>
            <w:vAlign w:val="bottom"/>
            <w:tcBorders>
              <w:top w:val="single" w:sz="8" w:color="auto"/>
            </w:tcBorders>
          </w:tcPr>
          <w:p>
            <w:pPr>
              <w:jc w:val="right"/>
              <w:ind w:right="90"/>
              <w:spacing w:after="0" w:line="194" w:lineRule="exact"/>
              <w:rPr>
                <w:sz w:val="20"/>
                <w:szCs w:val="20"/>
                <w:color w:val="auto"/>
              </w:rPr>
            </w:pPr>
            <w:r>
              <w:rPr>
                <w:rFonts w:ascii="Arial" w:cs="Arial" w:eastAsia="Arial" w:hAnsi="Arial"/>
                <w:sz w:val="18"/>
                <w:szCs w:val="18"/>
                <w:b w:val="1"/>
                <w:bCs w:val="1"/>
                <w:color w:val="auto"/>
              </w:rPr>
              <w:t>December 31,</w:t>
            </w:r>
          </w:p>
        </w:tc>
        <w:tc>
          <w:tcPr>
            <w:tcW w:w="1520" w:type="dxa"/>
            <w:vAlign w:val="bottom"/>
            <w:tcBorders>
              <w:top w:val="single" w:sz="8" w:color="auto"/>
            </w:tcBorders>
          </w:tcPr>
          <w:p>
            <w:pPr>
              <w:jc w:val="right"/>
              <w:ind w:right="70"/>
              <w:spacing w:after="0" w:line="194" w:lineRule="exact"/>
              <w:rPr>
                <w:sz w:val="20"/>
                <w:szCs w:val="20"/>
                <w:color w:val="auto"/>
              </w:rPr>
            </w:pPr>
            <w:r>
              <w:rPr>
                <w:rFonts w:ascii="Arial" w:cs="Arial" w:eastAsia="Arial" w:hAnsi="Arial"/>
                <w:sz w:val="18"/>
                <w:szCs w:val="18"/>
                <w:b w:val="1"/>
                <w:bCs w:val="1"/>
                <w:color w:val="auto"/>
              </w:rPr>
              <w:t>December 31,</w:t>
            </w:r>
          </w:p>
        </w:tc>
        <w:tc>
          <w:tcPr>
            <w:tcW w:w="13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December 31,</w:t>
            </w:r>
          </w:p>
        </w:tc>
      </w:tr>
      <w:tr>
        <w:trPr>
          <w:trHeight w:val="225"/>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5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5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3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r>
      <w:tr>
        <w:trPr>
          <w:trHeight w:val="195"/>
        </w:trPr>
        <w:tc>
          <w:tcPr>
            <w:tcW w:w="4240" w:type="dxa"/>
            <w:vAlign w:val="bottom"/>
          </w:tcPr>
          <w:p>
            <w:pPr>
              <w:spacing w:after="0" w:line="195" w:lineRule="exact"/>
              <w:rPr>
                <w:sz w:val="20"/>
                <w:szCs w:val="20"/>
                <w:color w:val="auto"/>
              </w:rPr>
            </w:pPr>
            <w:r>
              <w:rPr>
                <w:rFonts w:ascii="Arial" w:cs="Arial" w:eastAsia="Arial" w:hAnsi="Arial"/>
                <w:sz w:val="18"/>
                <w:szCs w:val="18"/>
                <w:color w:val="auto"/>
              </w:rPr>
              <w:t>Notes and loans payable</w:t>
            </w:r>
          </w:p>
        </w:tc>
        <w:tc>
          <w:tcPr>
            <w:tcW w:w="276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$390</w:t>
            </w:r>
          </w:p>
        </w:tc>
        <w:tc>
          <w:tcPr>
            <w:tcW w:w="152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$661</w:t>
            </w:r>
          </w:p>
        </w:tc>
        <w:tc>
          <w:tcPr>
            <w:tcW w:w="152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$625</w:t>
            </w:r>
          </w:p>
        </w:tc>
        <w:tc>
          <w:tcPr>
            <w:tcW w:w="1380" w:type="dxa"/>
            <w:vAlign w:val="bottom"/>
          </w:tcPr>
          <w:p>
            <w:pPr>
              <w:jc w:val="right"/>
              <w:ind w:right="50"/>
              <w:spacing w:after="0" w:line="195" w:lineRule="exact"/>
              <w:rPr>
                <w:sz w:val="20"/>
                <w:szCs w:val="20"/>
                <w:color w:val="auto"/>
              </w:rPr>
            </w:pPr>
            <w:r>
              <w:rPr>
                <w:rFonts w:ascii="Arial" w:cs="Arial" w:eastAsia="Arial" w:hAnsi="Arial"/>
                <w:sz w:val="18"/>
                <w:szCs w:val="18"/>
                <w:color w:val="auto"/>
              </w:rPr>
              <w:t>$586</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Current maturities of long-term debt</w:t>
            </w:r>
          </w:p>
        </w:tc>
        <w:tc>
          <w:tcPr>
            <w:tcW w:w="27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50,016</w:t>
            </w:r>
          </w:p>
        </w:tc>
        <w:tc>
          <w:tcPr>
            <w:tcW w:w="15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50,015</w:t>
            </w:r>
          </w:p>
        </w:tc>
        <w:tc>
          <w:tcPr>
            <w:tcW w:w="15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3,764</w:t>
            </w:r>
          </w:p>
        </w:tc>
        <w:tc>
          <w:tcPr>
            <w:tcW w:w="13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83,276</w:t>
            </w:r>
          </w:p>
        </w:tc>
      </w:tr>
      <w:tr>
        <w:trPr>
          <w:trHeight w:val="203"/>
        </w:trPr>
        <w:tc>
          <w:tcPr>
            <w:tcW w:w="4240" w:type="dxa"/>
            <w:vAlign w:val="bottom"/>
          </w:tcPr>
          <w:p>
            <w:pPr>
              <w:spacing w:after="0" w:line="203" w:lineRule="exact"/>
              <w:rPr>
                <w:sz w:val="20"/>
                <w:szCs w:val="20"/>
                <w:color w:val="auto"/>
              </w:rPr>
            </w:pPr>
            <w:r>
              <w:rPr>
                <w:rFonts w:ascii="Arial" w:cs="Arial" w:eastAsia="Arial" w:hAnsi="Arial"/>
                <w:sz w:val="18"/>
                <w:szCs w:val="18"/>
                <w:color w:val="auto"/>
              </w:rPr>
              <w:t>Long-term debt</w:t>
            </w:r>
          </w:p>
        </w:tc>
        <w:tc>
          <w:tcPr>
            <w:tcW w:w="2760" w:type="dxa"/>
            <w:vAlign w:val="bottom"/>
          </w:tcPr>
          <w:p>
            <w:pPr>
              <w:jc w:val="right"/>
              <w:ind w:right="210"/>
              <w:spacing w:after="0" w:line="203" w:lineRule="exact"/>
              <w:rPr>
                <w:sz w:val="20"/>
                <w:szCs w:val="20"/>
                <w:color w:val="auto"/>
              </w:rPr>
            </w:pPr>
            <w:r>
              <w:rPr>
                <w:rFonts w:ascii="Arial" w:cs="Arial" w:eastAsia="Arial" w:hAnsi="Arial"/>
                <w:sz w:val="18"/>
                <w:szCs w:val="18"/>
                <w:color w:val="auto"/>
              </w:rPr>
              <w:t>220,084</w:t>
            </w:r>
          </w:p>
        </w:tc>
        <w:tc>
          <w:tcPr>
            <w:tcW w:w="1520" w:type="dxa"/>
            <w:vAlign w:val="bottom"/>
          </w:tcPr>
          <w:p>
            <w:pPr>
              <w:jc w:val="right"/>
              <w:ind w:right="190"/>
              <w:spacing w:after="0" w:line="203" w:lineRule="exact"/>
              <w:rPr>
                <w:sz w:val="20"/>
                <w:szCs w:val="20"/>
                <w:color w:val="auto"/>
              </w:rPr>
            </w:pPr>
            <w:r>
              <w:rPr>
                <w:rFonts w:ascii="Arial" w:cs="Arial" w:eastAsia="Arial" w:hAnsi="Arial"/>
                <w:sz w:val="18"/>
                <w:szCs w:val="18"/>
                <w:color w:val="auto"/>
              </w:rPr>
              <w:t>222,096</w:t>
            </w:r>
          </w:p>
        </w:tc>
        <w:tc>
          <w:tcPr>
            <w:tcW w:w="1520" w:type="dxa"/>
            <w:vAlign w:val="bottom"/>
          </w:tcPr>
          <w:p>
            <w:pPr>
              <w:jc w:val="right"/>
              <w:ind w:right="190"/>
              <w:spacing w:after="0" w:line="203" w:lineRule="exact"/>
              <w:rPr>
                <w:sz w:val="20"/>
                <w:szCs w:val="20"/>
                <w:color w:val="auto"/>
              </w:rPr>
            </w:pPr>
            <w:r>
              <w:rPr>
                <w:rFonts w:ascii="Arial" w:cs="Arial" w:eastAsia="Arial" w:hAnsi="Arial"/>
                <w:sz w:val="18"/>
                <w:szCs w:val="18"/>
                <w:color w:val="auto"/>
              </w:rPr>
              <w:t>300,111</w:t>
            </w:r>
          </w:p>
        </w:tc>
        <w:tc>
          <w:tcPr>
            <w:tcW w:w="1380" w:type="dxa"/>
            <w:vAlign w:val="bottom"/>
          </w:tcPr>
          <w:p>
            <w:pPr>
              <w:jc w:val="right"/>
              <w:ind w:right="50"/>
              <w:spacing w:after="0" w:line="203" w:lineRule="exact"/>
              <w:rPr>
                <w:sz w:val="20"/>
                <w:szCs w:val="20"/>
                <w:color w:val="auto"/>
              </w:rPr>
            </w:pPr>
            <w:r>
              <w:rPr>
                <w:rFonts w:ascii="Arial" w:cs="Arial" w:eastAsia="Arial" w:hAnsi="Arial"/>
                <w:sz w:val="18"/>
                <w:szCs w:val="18"/>
                <w:color w:val="auto"/>
              </w:rPr>
              <w:t>235,877</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Total debt</w:t>
            </w:r>
          </w:p>
        </w:tc>
        <w:tc>
          <w:tcPr>
            <w:tcW w:w="324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270,490</w:t>
            </w:r>
          </w:p>
        </w:tc>
        <w:tc>
          <w:tcPr>
            <w:tcW w:w="154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272,772</w:t>
            </w:r>
          </w:p>
        </w:tc>
        <w:tc>
          <w:tcPr>
            <w:tcW w:w="1460" w:type="dxa"/>
            <w:vAlign w:val="bottom"/>
            <w:tcBorders>
              <w:top w:val="single" w:sz="8" w:color="auto"/>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304,500</w:t>
            </w:r>
          </w:p>
        </w:tc>
        <w:tc>
          <w:tcPr>
            <w:tcW w:w="128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319,739</w:t>
            </w:r>
          </w:p>
        </w:tc>
      </w:tr>
      <w:tr>
        <w:trPr>
          <w:trHeight w:val="196"/>
        </w:trPr>
        <w:tc>
          <w:tcPr>
            <w:tcW w:w="39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Cash and cash equivalents</w:t>
            </w:r>
          </w:p>
        </w:tc>
        <w:tc>
          <w:tcPr>
            <w:tcW w:w="324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171,780</w:t>
            </w:r>
          </w:p>
        </w:tc>
        <w:tc>
          <w:tcPr>
            <w:tcW w:w="154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179,802</w:t>
            </w:r>
          </w:p>
        </w:tc>
        <w:tc>
          <w:tcPr>
            <w:tcW w:w="14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222,666</w:t>
            </w:r>
          </w:p>
        </w:tc>
        <w:tc>
          <w:tcPr>
            <w:tcW w:w="12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190,718</w:t>
            </w:r>
          </w:p>
        </w:tc>
      </w:tr>
      <w:tr>
        <w:trPr>
          <w:trHeight w:val="196"/>
        </w:trPr>
        <w:tc>
          <w:tcPr>
            <w:tcW w:w="39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debt</w:t>
            </w:r>
          </w:p>
        </w:tc>
        <w:tc>
          <w:tcPr>
            <w:tcW w:w="324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$98,710</w:t>
            </w:r>
          </w:p>
        </w:tc>
        <w:tc>
          <w:tcPr>
            <w:tcW w:w="154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$92,970</w:t>
            </w:r>
          </w:p>
        </w:tc>
        <w:tc>
          <w:tcPr>
            <w:tcW w:w="14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$81,834</w:t>
            </w:r>
          </w:p>
        </w:tc>
        <w:tc>
          <w:tcPr>
            <w:tcW w:w="12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$129,021</w:t>
            </w:r>
          </w:p>
        </w:tc>
      </w:tr>
      <w:tr>
        <w:trPr>
          <w:trHeight w:val="628"/>
        </w:trPr>
        <w:tc>
          <w:tcPr>
            <w:tcW w:w="3900" w:type="dxa"/>
            <w:vAlign w:val="bottom"/>
          </w:tcPr>
          <w:p>
            <w:pPr>
              <w:spacing w:after="0"/>
              <w:rPr>
                <w:sz w:val="24"/>
                <w:szCs w:val="24"/>
                <w:color w:val="auto"/>
              </w:rPr>
            </w:pPr>
          </w:p>
        </w:tc>
        <w:tc>
          <w:tcPr>
            <w:tcW w:w="3240" w:type="dxa"/>
            <w:vAlign w:val="bottom"/>
          </w:tcPr>
          <w:p>
            <w:pPr>
              <w:jc w:val="right"/>
              <w:ind w:right="1250"/>
              <w:spacing w:after="0"/>
              <w:rPr>
                <w:sz w:val="20"/>
                <w:szCs w:val="20"/>
                <w:color w:val="auto"/>
              </w:rPr>
            </w:pPr>
            <w:r>
              <w:rPr>
                <w:rFonts w:ascii="Arial" w:cs="Arial" w:eastAsia="Arial" w:hAnsi="Arial"/>
                <w:sz w:val="18"/>
                <w:szCs w:val="18"/>
                <w:color w:val="auto"/>
              </w:rPr>
              <w:t>42</w:t>
            </w:r>
          </w:p>
        </w:tc>
        <w:tc>
          <w:tcPr>
            <w:tcW w:w="1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42"/>
        </w:trPr>
        <w:tc>
          <w:tcPr>
            <w:tcW w:w="3900" w:type="dxa"/>
            <w:vAlign w:val="bottom"/>
            <w:tcBorders>
              <w:bottom w:val="single" w:sz="8" w:color="auto"/>
            </w:tcBorders>
          </w:tcPr>
          <w:p>
            <w:pPr>
              <w:spacing w:after="0"/>
              <w:rPr>
                <w:sz w:val="12"/>
                <w:szCs w:val="12"/>
                <w:color w:val="auto"/>
              </w:rPr>
            </w:pPr>
          </w:p>
        </w:tc>
        <w:tc>
          <w:tcPr>
            <w:tcW w:w="32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538" w:right="239" w:bottom="1440" w:gutter="0" w:footer="0" w:header="0"/>
        </w:sectPr>
      </w:pPr>
    </w:p>
    <w:bookmarkStart w:id="42" w:name="page43"/>
    <w:bookmarkEnd w:id="42"/>
    <w:p>
      <w:pPr>
        <w:ind w:left="652"/>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3" w:lineRule="exact"/>
        <w:rPr>
          <w:sz w:val="20"/>
          <w:szCs w:val="20"/>
          <w:color w:val="auto"/>
        </w:rPr>
      </w:pPr>
    </w:p>
    <w:p>
      <w:pPr>
        <w:ind w:left="652" w:right="180" w:firstLine="648"/>
        <w:spacing w:after="0" w:line="246" w:lineRule="auto"/>
        <w:rPr>
          <w:sz w:val="20"/>
          <w:szCs w:val="20"/>
          <w:color w:val="auto"/>
        </w:rPr>
      </w:pPr>
      <w:r>
        <w:rPr>
          <w:rFonts w:ascii="Arial" w:cs="Arial" w:eastAsia="Arial" w:hAnsi="Arial"/>
          <w:sz w:val="18"/>
          <w:szCs w:val="18"/>
          <w:color w:val="auto"/>
        </w:rPr>
        <w:t>For discussion of our exposure to market risk, refer to “Quantitative and Qualitative Disclosures About Market Risk”, which is included as an exhibit to this Form 10-Q.</w:t>
      </w:r>
    </w:p>
    <w:p>
      <w:pPr>
        <w:spacing w:after="0" w:line="175"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Item 4. Controls and Procedures</w:t>
      </w:r>
    </w:p>
    <w:p>
      <w:pPr>
        <w:spacing w:after="0" w:line="220" w:lineRule="exact"/>
        <w:rPr>
          <w:sz w:val="20"/>
          <w:szCs w:val="20"/>
          <w:color w:val="auto"/>
        </w:rPr>
      </w:pPr>
    </w:p>
    <w:p>
      <w:pPr>
        <w:ind w:left="652" w:hanging="652"/>
        <w:spacing w:after="0"/>
        <w:tabs>
          <w:tab w:leader="none" w:pos="652"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Disclosure controls and procedures.</w:t>
      </w:r>
    </w:p>
    <w:p>
      <w:pPr>
        <w:spacing w:after="0" w:line="104" w:lineRule="exact"/>
        <w:rPr>
          <w:sz w:val="20"/>
          <w:szCs w:val="20"/>
          <w:color w:val="auto"/>
        </w:rPr>
      </w:pPr>
    </w:p>
    <w:p>
      <w:pPr>
        <w:ind w:left="652" w:right="60" w:firstLine="648"/>
        <w:spacing w:after="0" w:line="236" w:lineRule="auto"/>
        <w:rPr>
          <w:sz w:val="20"/>
          <w:szCs w:val="20"/>
          <w:color w:val="auto"/>
        </w:rPr>
      </w:pPr>
      <w:r>
        <w:rPr>
          <w:rFonts w:ascii="Arial" w:cs="Arial" w:eastAsia="Arial" w:hAnsi="Arial"/>
          <w:sz w:val="18"/>
          <w:szCs w:val="18"/>
          <w:color w:val="auto"/>
        </w:rPr>
        <w:t>The principal executive officers and principal financial officer, based on their evaluation of disclosure controls and procedures (as defined in Exchange Act Rules 13a-15(e) and 15d-15(e)) as of the end of the period covered by this 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 and communicated to the Company’s management, including its principal executive officer and principal financial officer as appropriate, to allow timely decisions regarding required disclosure.</w:t>
      </w:r>
    </w:p>
    <w:p>
      <w:pPr>
        <w:spacing w:after="0" w:line="303" w:lineRule="exact"/>
        <w:rPr>
          <w:sz w:val="20"/>
          <w:szCs w:val="20"/>
          <w:color w:val="auto"/>
        </w:rPr>
      </w:pPr>
    </w:p>
    <w:p>
      <w:pPr>
        <w:ind w:left="652" w:hanging="652"/>
        <w:spacing w:after="0"/>
        <w:tabs>
          <w:tab w:leader="none" w:pos="6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104" w:lineRule="exact"/>
        <w:rPr>
          <w:sz w:val="20"/>
          <w:szCs w:val="20"/>
          <w:color w:val="auto"/>
        </w:rPr>
      </w:pPr>
    </w:p>
    <w:p>
      <w:pPr>
        <w:ind w:left="652" w:right="260" w:firstLine="648"/>
        <w:spacing w:after="0" w:line="275" w:lineRule="auto"/>
        <w:rPr>
          <w:sz w:val="20"/>
          <w:szCs w:val="20"/>
          <w:color w:val="auto"/>
        </w:rPr>
      </w:pPr>
      <w:r>
        <w:rPr>
          <w:rFonts w:ascii="Arial" w:cs="Arial" w:eastAsia="Arial" w:hAnsi="Arial"/>
          <w:sz w:val="17"/>
          <w:szCs w:val="17"/>
          <w:color w:val="auto"/>
        </w:rPr>
        <w:t>There were no changes in the Company’s internal control over financial reporting that occurred during the last fiscal quarter that have materially affected, or are reasonably likely to materially affect, the Company’s internal control over financial reporting.</w:t>
      </w:r>
    </w:p>
    <w:p>
      <w:pPr>
        <w:spacing w:after="0" w:line="97" w:lineRule="exact"/>
        <w:rPr>
          <w:sz w:val="20"/>
          <w:szCs w:val="20"/>
          <w:color w:val="auto"/>
        </w:rPr>
      </w:pPr>
    </w:p>
    <w:p>
      <w:pPr>
        <w:ind w:left="1612"/>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Item 1. LEGAL PROCEEDINGS</w:t>
      </w:r>
    </w:p>
    <w:p>
      <w:pPr>
        <w:spacing w:after="0" w:line="234" w:lineRule="exact"/>
        <w:rPr>
          <w:sz w:val="20"/>
          <w:szCs w:val="20"/>
          <w:color w:val="auto"/>
        </w:rPr>
      </w:pPr>
    </w:p>
    <w:p>
      <w:pPr>
        <w:ind w:left="652" w:right="140" w:firstLine="648"/>
        <w:spacing w:after="0" w:line="246" w:lineRule="auto"/>
        <w:rPr>
          <w:sz w:val="20"/>
          <w:szCs w:val="20"/>
          <w:color w:val="auto"/>
        </w:rPr>
      </w:pPr>
      <w:r>
        <w:rPr>
          <w:rFonts w:ascii="Arial" w:cs="Arial" w:eastAsia="Arial" w:hAnsi="Arial"/>
          <w:sz w:val="18"/>
          <w:szCs w:val="18"/>
          <w:color w:val="auto"/>
        </w:rPr>
        <w:t>The information set forth above under Note 15 in Item 1, “Notes to Consolidated Financial Statements” is incorporated herein by reference.</w:t>
      </w:r>
    </w:p>
    <w:p>
      <w:pPr>
        <w:spacing w:after="0" w:line="175"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Item 1A. Risk Factors</w:t>
      </w:r>
    </w:p>
    <w:p>
      <w:pPr>
        <w:spacing w:after="0" w:line="234" w:lineRule="exact"/>
        <w:rPr>
          <w:sz w:val="20"/>
          <w:szCs w:val="20"/>
          <w:color w:val="auto"/>
        </w:rPr>
      </w:pPr>
    </w:p>
    <w:p>
      <w:pPr>
        <w:ind w:left="652" w:right="80" w:firstLine="648"/>
        <w:spacing w:after="0" w:line="246" w:lineRule="auto"/>
        <w:rPr>
          <w:sz w:val="20"/>
          <w:szCs w:val="20"/>
          <w:color w:val="auto"/>
        </w:rPr>
      </w:pPr>
      <w:r>
        <w:rPr>
          <w:rFonts w:ascii="Arial" w:cs="Arial" w:eastAsia="Arial" w:hAnsi="Arial"/>
          <w:sz w:val="18"/>
          <w:szCs w:val="18"/>
          <w:color w:val="auto"/>
        </w:rPr>
        <w:t>There have been no material changes in risks since December 31, 2014. For discussion of risk factors, refer to Item 1A of our Annual Report on Form 10-K for the year ended December 31, 2014.</w:t>
      </w:r>
    </w:p>
    <w:p>
      <w:pPr>
        <w:spacing w:after="0" w:line="175"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4" w:lineRule="exact"/>
        <w:rPr>
          <w:sz w:val="20"/>
          <w:szCs w:val="20"/>
          <w:color w:val="auto"/>
        </w:rPr>
      </w:pPr>
    </w:p>
    <w:p>
      <w:pPr>
        <w:ind w:left="652" w:firstLine="648"/>
        <w:spacing w:after="0" w:line="246" w:lineRule="auto"/>
        <w:rPr>
          <w:sz w:val="20"/>
          <w:szCs w:val="20"/>
          <w:color w:val="auto"/>
        </w:rPr>
      </w:pPr>
      <w:r>
        <w:rPr>
          <w:rFonts w:ascii="Arial" w:cs="Arial" w:eastAsia="Arial" w:hAnsi="Arial"/>
          <w:sz w:val="18"/>
          <w:szCs w:val="18"/>
          <w:color w:val="auto"/>
        </w:rPr>
        <w:t>We made no share purchases during the third quarter of 2015. We remain authorized by the Board of Directors to purchase up to 2 million shares of our Class A Common Stock.</w:t>
      </w:r>
    </w:p>
    <w:p>
      <w:pPr>
        <w:spacing w:after="0" w:line="242"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4"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None.</w:t>
      </w:r>
    </w:p>
    <w:p>
      <w:pPr>
        <w:spacing w:after="0" w:line="257"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Item 4. Mine Safety Disclosures</w:t>
      </w:r>
    </w:p>
    <w:p>
      <w:pPr>
        <w:spacing w:after="0" w:line="234"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52"/>
          </w:cols>
          <w:pgMar w:left="248" w:top="118" w:right="29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b w:val="1"/>
          <w:bCs w:val="1"/>
          <w:color w:val="auto"/>
        </w:rPr>
        <w:t>Item 5. Other Information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80" w:type="dxa"/>
            <w:vAlign w:val="bottom"/>
          </w:tcPr>
          <w:p>
            <w:pPr>
              <w:spacing w:after="0"/>
              <w:rPr>
                <w:sz w:val="18"/>
                <w:szCs w:val="18"/>
                <w:color w:val="auto"/>
              </w:rPr>
            </w:pPr>
          </w:p>
        </w:tc>
        <w:tc>
          <w:tcPr>
            <w:tcW w:w="8260" w:type="dxa"/>
            <w:vAlign w:val="bottom"/>
          </w:tcPr>
          <w:p>
            <w:pPr>
              <w:ind w:left="220"/>
              <w:spacing w:after="0"/>
              <w:rPr>
                <w:sz w:val="20"/>
                <w:szCs w:val="20"/>
                <w:color w:val="auto"/>
              </w:rPr>
            </w:pPr>
            <w:r>
              <w:rPr>
                <w:rFonts w:ascii="Arial" w:cs="Arial" w:eastAsia="Arial" w:hAnsi="Arial"/>
                <w:sz w:val="18"/>
                <w:szCs w:val="18"/>
                <w:color w:val="auto"/>
              </w:rPr>
              <w:t>None.</w:t>
            </w:r>
          </w:p>
        </w:tc>
      </w:tr>
      <w:tr>
        <w:trPr>
          <w:trHeight w:val="419"/>
        </w:trPr>
        <w:tc>
          <w:tcPr>
            <w:tcW w:w="9340" w:type="dxa"/>
            <w:vAlign w:val="bottom"/>
            <w:gridSpan w:val="2"/>
          </w:tcPr>
          <w:p>
            <w:pPr>
              <w:ind w:left="660"/>
              <w:spacing w:after="0"/>
              <w:rPr>
                <w:sz w:val="20"/>
                <w:szCs w:val="20"/>
                <w:color w:val="auto"/>
              </w:rPr>
            </w:pPr>
            <w:r>
              <w:rPr>
                <w:rFonts w:ascii="Arial" w:cs="Arial" w:eastAsia="Arial" w:hAnsi="Arial"/>
                <w:sz w:val="18"/>
                <w:szCs w:val="18"/>
                <w:b w:val="1"/>
                <w:bCs w:val="1"/>
                <w:color w:val="auto"/>
              </w:rPr>
              <w:t>Item 6. Exhibits</w:t>
            </w:r>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Exhibit No.</w:t>
            </w:r>
          </w:p>
        </w:tc>
        <w:tc>
          <w:tcPr>
            <w:tcW w:w="8260" w:type="dxa"/>
            <w:vAlign w:val="bottom"/>
          </w:tcPr>
          <w:p>
            <w:pPr>
              <w:ind w:left="420"/>
              <w:spacing w:after="0"/>
              <w:rPr>
                <w:sz w:val="20"/>
                <w:szCs w:val="20"/>
                <w:color w:val="auto"/>
              </w:rPr>
            </w:pPr>
            <w:r>
              <w:rPr>
                <w:rFonts w:ascii="Arial" w:cs="Arial" w:eastAsia="Arial" w:hAnsi="Arial"/>
                <w:sz w:val="18"/>
                <w:szCs w:val="18"/>
                <w:color w:val="auto"/>
              </w:rPr>
              <w:t>Description</w:t>
            </w:r>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8260" w:type="dxa"/>
            <w:vAlign w:val="bottom"/>
          </w:tcPr>
          <w:p>
            <w:pPr>
              <w:ind w:left="180"/>
              <w:spacing w:after="0"/>
              <w:rPr>
                <w:sz w:val="20"/>
                <w:szCs w:val="20"/>
                <w:color w:val="auto"/>
              </w:rPr>
            </w:pPr>
            <w:r>
              <w:rPr>
                <w:rFonts w:ascii="Arial" w:cs="Arial" w:eastAsia="Arial" w:hAnsi="Arial"/>
                <w:sz w:val="18"/>
                <w:szCs w:val="18"/>
                <w:color w:val="auto"/>
                <w:w w:val="99"/>
              </w:rPr>
              <w:t>Certification of the Chief Executive Officer pursuant to Rule 13a-14(a)/15d-14(a) of the Exchange Act.</w:t>
            </w:r>
          </w:p>
        </w:tc>
      </w:tr>
      <w:tr>
        <w:trPr>
          <w:trHeight w:val="486"/>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8260" w:type="dxa"/>
            <w:vAlign w:val="bottom"/>
          </w:tcPr>
          <w:p>
            <w:pPr>
              <w:ind w:left="180"/>
              <w:spacing w:after="0"/>
              <w:rPr>
                <w:sz w:val="20"/>
                <w:szCs w:val="20"/>
                <w:color w:val="auto"/>
              </w:rPr>
            </w:pPr>
            <w:r>
              <w:rPr>
                <w:rFonts w:ascii="Arial" w:cs="Arial" w:eastAsia="Arial" w:hAnsi="Arial"/>
                <w:sz w:val="18"/>
                <w:szCs w:val="18"/>
                <w:color w:val="auto"/>
              </w:rPr>
              <w:t>Certification of the Chief Financial Officer pursuant to Rule 13a-14(a)/15d-14(a) of the Exchange Act.</w:t>
            </w:r>
          </w:p>
        </w:tc>
      </w:tr>
      <w:tr>
        <w:trPr>
          <w:trHeight w:val="472"/>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8260" w:type="dxa"/>
            <w:vAlign w:val="bottom"/>
          </w:tcPr>
          <w:p>
            <w:pPr>
              <w:ind w:left="180"/>
              <w:spacing w:after="0"/>
              <w:rPr>
                <w:sz w:val="20"/>
                <w:szCs w:val="20"/>
                <w:color w:val="auto"/>
              </w:rPr>
            </w:pPr>
            <w:r>
              <w:rPr>
                <w:rFonts w:ascii="Arial" w:cs="Arial" w:eastAsia="Arial" w:hAnsi="Arial"/>
                <w:sz w:val="18"/>
                <w:szCs w:val="18"/>
                <w:color w:val="auto"/>
              </w:rPr>
              <w:t>Certification pursuant to Section 906 of the Sarbanes-Oxley Act of 2002 (Subsections (a) and (b) of</w:t>
            </w:r>
          </w:p>
        </w:tc>
      </w:tr>
      <w:tr>
        <w:trPr>
          <w:trHeight w:val="217"/>
        </w:trPr>
        <w:tc>
          <w:tcPr>
            <w:tcW w:w="1080" w:type="dxa"/>
            <w:vAlign w:val="bottom"/>
          </w:tcPr>
          <w:p>
            <w:pPr>
              <w:spacing w:after="0"/>
              <w:rPr>
                <w:sz w:val="18"/>
                <w:szCs w:val="18"/>
                <w:color w:val="auto"/>
              </w:rPr>
            </w:pPr>
          </w:p>
        </w:tc>
        <w:tc>
          <w:tcPr>
            <w:tcW w:w="8260" w:type="dxa"/>
            <w:vAlign w:val="bottom"/>
          </w:tcPr>
          <w:p>
            <w:pPr>
              <w:ind w:left="180"/>
              <w:spacing w:after="0"/>
              <w:rPr>
                <w:sz w:val="20"/>
                <w:szCs w:val="20"/>
                <w:color w:val="auto"/>
              </w:rPr>
            </w:pPr>
            <w:r>
              <w:rPr>
                <w:rFonts w:ascii="Arial" w:cs="Arial" w:eastAsia="Arial" w:hAnsi="Arial"/>
                <w:sz w:val="18"/>
                <w:szCs w:val="18"/>
                <w:color w:val="auto"/>
              </w:rPr>
              <w:t>Section 1350, Chapter 63 of Title 18, United States Code).</w:t>
            </w:r>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99.1</w:t>
            </w:r>
          </w:p>
        </w:tc>
        <w:tc>
          <w:tcPr>
            <w:tcW w:w="8260" w:type="dxa"/>
            <w:vAlign w:val="bottom"/>
          </w:tcPr>
          <w:p>
            <w:pPr>
              <w:ind w:left="180"/>
              <w:spacing w:after="0"/>
              <w:rPr>
                <w:sz w:val="20"/>
                <w:szCs w:val="20"/>
                <w:color w:val="auto"/>
              </w:rPr>
            </w:pPr>
            <w:r>
              <w:rPr>
                <w:rFonts w:ascii="Arial" w:cs="Arial" w:eastAsia="Arial" w:hAnsi="Arial"/>
                <w:sz w:val="18"/>
                <w:szCs w:val="18"/>
                <w:color w:val="auto"/>
              </w:rPr>
              <w:t>Quantitative and qualitative disclosures about market risks as reported at September 30, 2015.</w:t>
            </w:r>
          </w:p>
        </w:tc>
      </w:tr>
    </w:tbl>
    <w:p>
      <w:pPr>
        <w:spacing w:after="0" w:line="269" w:lineRule="exact"/>
        <w:rPr>
          <w:sz w:val="20"/>
          <w:szCs w:val="20"/>
          <w:color w:val="auto"/>
        </w:rPr>
      </w:pPr>
    </w:p>
    <w:p>
      <w:pPr>
        <w:ind w:left="1260" w:right="1720" w:hanging="1252"/>
        <w:spacing w:after="0" w:line="246" w:lineRule="auto"/>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following financial information from the Registrant’s Quarterly Report on Form 10-Q for the quarter ended September 30, 2015, formatted in eXtensible Business Reporting Language (XBRL), filed herewith:</w:t>
      </w:r>
    </w:p>
    <w:p>
      <w:pPr>
        <w:spacing w:after="0" w:line="223" w:lineRule="exact"/>
        <w:rPr>
          <w:rFonts w:ascii="Arial" w:cs="Arial" w:eastAsia="Arial" w:hAnsi="Arial"/>
          <w:sz w:val="18"/>
          <w:szCs w:val="18"/>
          <w:color w:val="auto"/>
        </w:rPr>
      </w:pPr>
    </w:p>
    <w:p>
      <w:pPr>
        <w:ind w:left="1620" w:hanging="475"/>
        <w:spacing w:after="0"/>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Consolidated Statements of Income for the three and nine months ended September 30, 2015 and 2014.</w:t>
      </w:r>
    </w:p>
    <w:p>
      <w:pPr>
        <w:spacing w:after="0" w:line="373" w:lineRule="exact"/>
        <w:rPr>
          <w:rFonts w:ascii="Arial" w:cs="Arial" w:eastAsia="Arial" w:hAnsi="Arial"/>
          <w:sz w:val="18"/>
          <w:szCs w:val="18"/>
          <w:color w:val="auto"/>
        </w:rPr>
      </w:pPr>
    </w:p>
    <w:p>
      <w:pPr>
        <w:ind w:left="1620" w:right="40" w:hanging="515"/>
        <w:spacing w:after="0" w:line="246" w:lineRule="auto"/>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Consolidated Statements of Comprehensive Income/ (Loss) for the three and nine months ended September 30, 2015 and 2014.</w:t>
      </w:r>
    </w:p>
    <w:p>
      <w:pPr>
        <w:spacing w:after="0" w:line="372" w:lineRule="exact"/>
        <w:rPr>
          <w:rFonts w:ascii="Arial" w:cs="Arial" w:eastAsia="Arial" w:hAnsi="Arial"/>
          <w:sz w:val="18"/>
          <w:szCs w:val="18"/>
          <w:color w:val="auto"/>
        </w:rPr>
      </w:pPr>
    </w:p>
    <w:p>
      <w:pPr>
        <w:ind w:left="1620" w:hanging="555"/>
        <w:spacing w:after="0"/>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Consolidated Balance Sheets at September 30, 2015 and December 31, 2014.</w:t>
      </w:r>
    </w:p>
    <w:p>
      <w:pPr>
        <w:spacing w:after="0" w:line="387" w:lineRule="exact"/>
        <w:rPr>
          <w:rFonts w:ascii="Arial" w:cs="Arial" w:eastAsia="Arial" w:hAnsi="Arial"/>
          <w:sz w:val="18"/>
          <w:szCs w:val="18"/>
          <w:color w:val="auto"/>
        </w:rPr>
      </w:pPr>
    </w:p>
    <w:p>
      <w:pPr>
        <w:ind w:left="1620" w:hanging="565"/>
        <w:spacing w:after="0"/>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Consolidated Statements of Cash Flows for the three and nine months ended September 30, 2015 and 2014.</w:t>
      </w:r>
    </w:p>
    <w:p>
      <w:pPr>
        <w:spacing w:after="0" w:line="387" w:lineRule="exact"/>
        <w:rPr>
          <w:rFonts w:ascii="Arial" w:cs="Arial" w:eastAsia="Arial" w:hAnsi="Arial"/>
          <w:sz w:val="18"/>
          <w:szCs w:val="18"/>
          <w:color w:val="auto"/>
        </w:rPr>
      </w:pPr>
    </w:p>
    <w:p>
      <w:pPr>
        <w:ind w:left="1620" w:hanging="525"/>
        <w:spacing w:after="0"/>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03" w:lineRule="exact"/>
        <w:rPr>
          <w:rFonts w:ascii="Arial" w:cs="Arial" w:eastAsia="Arial" w:hAnsi="Arial"/>
          <w:sz w:val="18"/>
          <w:szCs w:val="18"/>
          <w:color w:val="auto"/>
        </w:rPr>
      </w:pPr>
    </w:p>
    <w:p>
      <w:pPr>
        <w:ind w:left="1620"/>
        <w:spacing w:after="0" w:line="275" w:lineRule="auto"/>
        <w:rPr>
          <w:rFonts w:ascii="Arial" w:cs="Arial" w:eastAsia="Arial" w:hAnsi="Arial"/>
          <w:sz w:val="18"/>
          <w:szCs w:val="18"/>
          <w:color w:val="auto"/>
        </w:rPr>
      </w:pPr>
      <w:r>
        <w:rPr>
          <w:rFonts w:ascii="Arial" w:cs="Arial" w:eastAsia="Arial" w:hAnsi="Arial"/>
          <w:sz w:val="17"/>
          <w:szCs w:val="17"/>
          <w:color w:val="auto"/>
        </w:rPr>
        <w:t>As provided in Rule 406T of Regulation S-T, this information shall not be deemed “filed” for purposes of Sections 11 and 12 of the Securities Act and Section 18 of the Securities Exchange Act or otherwise subject to liability under those sections.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44" w:name="page45"/>
    <w:bookmarkEnd w:id="44"/>
    <w:p>
      <w:pPr>
        <w:ind w:left="5780"/>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jc w:val="center"/>
        <w:ind w:left="3020"/>
        <w:spacing w:after="0"/>
        <w:rPr>
          <w:sz w:val="20"/>
          <w:szCs w:val="20"/>
          <w:color w:val="auto"/>
        </w:rPr>
      </w:pPr>
      <w:r>
        <w:rPr>
          <w:rFonts w:ascii="Arial" w:cs="Arial" w:eastAsia="Arial" w:hAnsi="Arial"/>
          <w:sz w:val="18"/>
          <w:szCs w:val="18"/>
          <w:u w:val="single" w:color="auto"/>
          <w:color w:val="auto"/>
        </w:rPr>
        <w:t>ALBANY INTERNATIONAL CORP</w:t>
      </w:r>
    </w:p>
    <w:p>
      <w:pPr>
        <w:jc w:val="center"/>
        <w:ind w:left="3020"/>
        <w:spacing w:after="0"/>
        <w:rPr>
          <w:sz w:val="20"/>
          <w:szCs w:val="20"/>
          <w:color w:val="auto"/>
        </w:rPr>
      </w:pPr>
      <w:r>
        <w:rPr>
          <w:rFonts w:ascii="Arial" w:cs="Arial" w:eastAsia="Arial" w:hAnsi="Arial"/>
          <w:sz w:val="18"/>
          <w:szCs w:val="18"/>
          <w:u w:val="single" w:color="auto"/>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2015</w:t>
      </w:r>
    </w:p>
    <w:p>
      <w:pPr>
        <w:spacing w:after="0" w:line="2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John B. Cozzolino</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John B. Cozzolino</w:t>
      </w:r>
    </w:p>
    <w:p>
      <w:pPr>
        <w:ind w:left="5620"/>
        <w:spacing w:after="0" w:line="234"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6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00"/>
          </w:cols>
          <w:pgMar w:left="240" w:top="535" w:right="65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EXHIBIT (31.1)</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jc w:val="center"/>
        <w:ind w:right="-19"/>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ind w:right="-19"/>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Joseph G. Morone, certify that:</w:t>
      </w:r>
    </w:p>
    <w:p>
      <w:pPr>
        <w:spacing w:after="0" w:line="185" w:lineRule="exact"/>
        <w:rPr>
          <w:sz w:val="20"/>
          <w:szCs w:val="20"/>
          <w:color w:val="auto"/>
        </w:rPr>
      </w:pPr>
    </w:p>
    <w:p>
      <w:pPr>
        <w:ind w:left="720" w:hanging="361"/>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71" w:lineRule="exact"/>
        <w:rPr>
          <w:rFonts w:ascii="Arial" w:cs="Arial" w:eastAsia="Arial" w:hAnsi="Arial"/>
          <w:sz w:val="18"/>
          <w:szCs w:val="18"/>
          <w:color w:val="auto"/>
        </w:rPr>
      </w:pPr>
    </w:p>
    <w:p>
      <w:pPr>
        <w:ind w:left="720" w:right="40" w:hanging="361"/>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720" w:right="220" w:hanging="361"/>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8"/>
          <w:szCs w:val="18"/>
          <w:color w:val="auto"/>
        </w:rPr>
      </w:pPr>
    </w:p>
    <w:p>
      <w:pPr>
        <w:ind w:left="720" w:right="20" w:hanging="361"/>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8"/>
          <w:szCs w:val="18"/>
          <w:color w:val="auto"/>
        </w:rPr>
      </w:pPr>
    </w:p>
    <w:p>
      <w:pPr>
        <w:jc w:val="both"/>
        <w:ind w:left="1080" w:right="40" w:hanging="356"/>
        <w:spacing w:after="0"/>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1080" w:right="380" w:hanging="356"/>
        <w:spacing w:after="0"/>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8"/>
          <w:szCs w:val="18"/>
          <w:color w:val="auto"/>
        </w:rPr>
      </w:pPr>
    </w:p>
    <w:p>
      <w:pPr>
        <w:jc w:val="both"/>
        <w:ind w:left="1080" w:right="320" w:hanging="356"/>
        <w:spacing w:after="0"/>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8"/>
          <w:szCs w:val="18"/>
          <w:color w:val="auto"/>
        </w:rPr>
      </w:pPr>
    </w:p>
    <w:p>
      <w:pPr>
        <w:ind w:left="1080" w:right="140" w:hanging="356"/>
        <w:spacing w:after="0"/>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720" w:right="240" w:hanging="361"/>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8"/>
          <w:szCs w:val="18"/>
          <w:color w:val="auto"/>
        </w:rPr>
      </w:pPr>
    </w:p>
    <w:p>
      <w:pPr>
        <w:ind w:left="1080" w:hanging="356"/>
        <w:spacing w:after="0" w:line="246" w:lineRule="auto"/>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8"/>
          <w:szCs w:val="18"/>
          <w:color w:val="auto"/>
        </w:rPr>
      </w:pPr>
    </w:p>
    <w:p>
      <w:pPr>
        <w:ind w:left="1080" w:right="240" w:hanging="356"/>
        <w:spacing w:after="0" w:line="246" w:lineRule="auto"/>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Date: October 28, 2015</w:t>
      </w:r>
    </w:p>
    <w:p>
      <w:pPr>
        <w:spacing w:after="0" w:line="16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Joseph G. Morone</w:t>
      </w:r>
    </w:p>
    <w:p>
      <w:pPr>
        <w:ind w:left="6280"/>
        <w:spacing w:after="0" w:line="234" w:lineRule="auto"/>
        <w:rPr>
          <w:sz w:val="20"/>
          <w:szCs w:val="20"/>
          <w:color w:val="auto"/>
        </w:rPr>
      </w:pPr>
      <w:r>
        <w:rPr>
          <w:rFonts w:ascii="Arial" w:cs="Arial" w:eastAsia="Arial" w:hAnsi="Arial"/>
          <w:sz w:val="18"/>
          <w:szCs w:val="18"/>
          <w:color w:val="auto"/>
        </w:rPr>
        <w:t>Joseph G. Morone</w:t>
      </w:r>
    </w:p>
    <w:p>
      <w:pPr>
        <w:jc w:val="right"/>
        <w:ind w:right="939"/>
        <w:spacing w:after="0" w:line="235"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598" w:right="1440"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EXHIBIT (31.2)</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jc w:val="center"/>
        <w:ind w:right="-19"/>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ind w:right="-19"/>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John B. Cozzolino, certify that:</w:t>
      </w:r>
    </w:p>
    <w:p>
      <w:pPr>
        <w:spacing w:after="0" w:line="185" w:lineRule="exact"/>
        <w:rPr>
          <w:sz w:val="20"/>
          <w:szCs w:val="20"/>
          <w:color w:val="auto"/>
        </w:rPr>
      </w:pPr>
    </w:p>
    <w:p>
      <w:pPr>
        <w:ind w:left="720" w:hanging="361"/>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71" w:lineRule="exact"/>
        <w:rPr>
          <w:rFonts w:ascii="Arial" w:cs="Arial" w:eastAsia="Arial" w:hAnsi="Arial"/>
          <w:sz w:val="18"/>
          <w:szCs w:val="18"/>
          <w:color w:val="auto"/>
        </w:rPr>
      </w:pPr>
    </w:p>
    <w:p>
      <w:pPr>
        <w:ind w:left="720" w:right="40" w:hanging="361"/>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720" w:right="220" w:hanging="361"/>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8"/>
          <w:szCs w:val="18"/>
          <w:color w:val="auto"/>
        </w:rPr>
      </w:pPr>
    </w:p>
    <w:p>
      <w:pPr>
        <w:ind w:left="720" w:right="20" w:hanging="361"/>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8"/>
          <w:szCs w:val="18"/>
          <w:color w:val="auto"/>
        </w:rPr>
      </w:pPr>
    </w:p>
    <w:p>
      <w:pPr>
        <w:jc w:val="both"/>
        <w:ind w:left="1080" w:right="40" w:hanging="356"/>
        <w:spacing w:after="0"/>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1080" w:right="380" w:hanging="356"/>
        <w:spacing w:after="0"/>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8"/>
          <w:szCs w:val="18"/>
          <w:color w:val="auto"/>
        </w:rPr>
      </w:pPr>
    </w:p>
    <w:p>
      <w:pPr>
        <w:jc w:val="both"/>
        <w:ind w:left="1080" w:right="320" w:hanging="356"/>
        <w:spacing w:after="0"/>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8"/>
          <w:szCs w:val="18"/>
          <w:color w:val="auto"/>
        </w:rPr>
      </w:pPr>
    </w:p>
    <w:p>
      <w:pPr>
        <w:ind w:left="1080" w:right="140" w:hanging="356"/>
        <w:spacing w:after="0"/>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720" w:right="240" w:hanging="361"/>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8"/>
          <w:szCs w:val="18"/>
          <w:color w:val="auto"/>
        </w:rPr>
      </w:pPr>
    </w:p>
    <w:p>
      <w:pPr>
        <w:ind w:left="1080" w:hanging="356"/>
        <w:spacing w:after="0" w:line="246"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8"/>
          <w:szCs w:val="18"/>
          <w:color w:val="auto"/>
        </w:rPr>
      </w:pPr>
    </w:p>
    <w:p>
      <w:pPr>
        <w:ind w:left="1080" w:right="240" w:hanging="356"/>
        <w:spacing w:after="0" w:line="246"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72466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Date: October 28, 2015</w:t>
      </w:r>
    </w:p>
    <w:p>
      <w:pPr>
        <w:spacing w:after="0" w:line="16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John B. Cozzolino</w:t>
      </w:r>
    </w:p>
    <w:p>
      <w:pPr>
        <w:ind w:left="6280"/>
        <w:spacing w:after="0" w:line="234" w:lineRule="auto"/>
        <w:rPr>
          <w:sz w:val="20"/>
          <w:szCs w:val="20"/>
          <w:color w:val="auto"/>
        </w:rPr>
      </w:pPr>
      <w:r>
        <w:rPr>
          <w:rFonts w:ascii="Arial" w:cs="Arial" w:eastAsia="Arial" w:hAnsi="Arial"/>
          <w:sz w:val="18"/>
          <w:szCs w:val="18"/>
          <w:color w:val="auto"/>
        </w:rPr>
        <w:t>John B. Cozzolino</w:t>
      </w:r>
    </w:p>
    <w:p>
      <w:pPr>
        <w:jc w:val="right"/>
        <w:ind w:right="999"/>
        <w:spacing w:after="0" w:line="235"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529590</wp:posOffset>
            </wp:positionV>
            <wp:extent cx="72466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598" w:right="1440" w:bottom="1440" w:gutter="0" w:footer="0" w:header="0"/>
        </w:sectPr>
      </w:pPr>
    </w:p>
    <w:bookmarkStart w:id="49" w:name="page50"/>
    <w:bookmarkEnd w:id="49"/>
    <w:p>
      <w:pPr>
        <w:jc w:val="center"/>
        <w:ind w:right="-119"/>
        <w:spacing w:after="0"/>
        <w:rPr>
          <w:sz w:val="20"/>
          <w:szCs w:val="20"/>
          <w:color w:val="auto"/>
        </w:rPr>
      </w:pPr>
      <w:r>
        <w:rPr>
          <w:rFonts w:ascii="Arial" w:cs="Arial" w:eastAsia="Arial" w:hAnsi="Arial"/>
          <w:sz w:val="18"/>
          <w:szCs w:val="18"/>
          <w:b w:val="1"/>
          <w:bCs w:val="1"/>
          <w:color w:val="auto"/>
        </w:rPr>
        <w:t>EXHIBIT (32.1)</w:t>
      </w:r>
    </w:p>
    <w:p>
      <w:pPr>
        <w:spacing w:after="0" w:line="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CERTIFICATION PURSUANT TO</w:t>
      </w:r>
    </w:p>
    <w:p>
      <w:pPr>
        <w:jc w:val="center"/>
        <w:ind w:right="-119"/>
        <w:spacing w:after="0" w:line="234" w:lineRule="auto"/>
        <w:rPr>
          <w:sz w:val="20"/>
          <w:szCs w:val="20"/>
          <w:color w:val="auto"/>
        </w:rPr>
      </w:pPr>
      <w:r>
        <w:rPr>
          <w:rFonts w:ascii="Arial" w:cs="Arial" w:eastAsia="Arial" w:hAnsi="Arial"/>
          <w:sz w:val="18"/>
          <w:szCs w:val="18"/>
          <w:b w:val="1"/>
          <w:bCs w:val="1"/>
          <w:color w:val="auto"/>
        </w:rPr>
        <w:t>18 U.S.C. SECTION 1350,</w:t>
      </w:r>
    </w:p>
    <w:p>
      <w:pPr>
        <w:jc w:val="center"/>
        <w:ind w:right="-119"/>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connection with the Quarterly Report of Albany International Corp. (the Company) on Form 10-Q for the period ending September 30, 2015, as filed with the Securities and Exchange Commission on the date hereof (the Report), Joseph G. Morone, President and Chief Executive Officer, and John B. Cozzolino, Chief Financial Officer and Treasurer of the Company, certify, pursuant to 18 U.S.C. § 1350, as adopted pursuant to § 906 of the Sarbanes-Oxley Act of 2002, that:</w:t>
      </w:r>
    </w:p>
    <w:p>
      <w:pPr>
        <w:spacing w:after="0" w:line="175"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171" w:lineRule="exact"/>
        <w:rPr>
          <w:rFonts w:ascii="Arial" w:cs="Arial" w:eastAsia="Arial" w:hAnsi="Arial"/>
          <w:sz w:val="18"/>
          <w:szCs w:val="18"/>
          <w:color w:val="auto"/>
        </w:rPr>
      </w:pPr>
    </w:p>
    <w:p>
      <w:pPr>
        <w:ind w:left="360" w:right="360" w:hanging="352"/>
        <w:spacing w:after="0" w:line="246" w:lineRule="auto"/>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28, 2015</w:t>
      </w:r>
    </w:p>
    <w:p>
      <w:pPr>
        <w:ind w:left="5720"/>
        <w:spacing w:after="0" w:line="234" w:lineRule="auto"/>
        <w:rPr>
          <w:sz w:val="20"/>
          <w:szCs w:val="20"/>
          <w:color w:val="auto"/>
        </w:rPr>
      </w:pPr>
      <w:r>
        <w:rPr>
          <w:rFonts w:ascii="Arial" w:cs="Arial" w:eastAsia="Arial" w:hAnsi="Arial"/>
          <w:sz w:val="18"/>
          <w:szCs w:val="18"/>
          <w:u w:val="single" w:color="auto"/>
          <w:color w:val="auto"/>
        </w:rPr>
        <w:t>/s/ Joseph G. Morone</w:t>
      </w:r>
    </w:p>
    <w:p>
      <w:pPr>
        <w:ind w:left="5720"/>
        <w:spacing w:after="0" w:line="235" w:lineRule="auto"/>
        <w:rPr>
          <w:sz w:val="20"/>
          <w:szCs w:val="20"/>
          <w:color w:val="auto"/>
        </w:rPr>
      </w:pPr>
      <w:r>
        <w:rPr>
          <w:rFonts w:ascii="Arial" w:cs="Arial" w:eastAsia="Arial" w:hAnsi="Arial"/>
          <w:sz w:val="18"/>
          <w:szCs w:val="18"/>
          <w:color w:val="auto"/>
        </w:rPr>
        <w:t>Joseph G. Morone</w:t>
      </w:r>
    </w:p>
    <w:p>
      <w:pPr>
        <w:ind w:left="5720"/>
        <w:spacing w:after="0" w:line="235"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9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John B. Cozzolino</w:t>
      </w:r>
    </w:p>
    <w:p>
      <w:pPr>
        <w:ind w:left="5720"/>
        <w:spacing w:after="0" w:line="234" w:lineRule="auto"/>
        <w:rPr>
          <w:sz w:val="20"/>
          <w:szCs w:val="20"/>
          <w:color w:val="auto"/>
        </w:rPr>
      </w:pPr>
      <w:r>
        <w:rPr>
          <w:rFonts w:ascii="Arial" w:cs="Arial" w:eastAsia="Arial" w:hAnsi="Arial"/>
          <w:sz w:val="18"/>
          <w:szCs w:val="18"/>
          <w:color w:val="auto"/>
        </w:rPr>
        <w:t>John B. Cozzolino</w:t>
      </w:r>
    </w:p>
    <w:p>
      <w:pPr>
        <w:ind w:left="5720"/>
        <w:spacing w:after="0" w:line="235"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sectPr>
      </w:pPr>
    </w:p>
    <w:bookmarkStart w:id="50" w:name="page51"/>
    <w:bookmarkEnd w:id="50"/>
    <w:p>
      <w:pPr>
        <w:jc w:val="center"/>
        <w:ind w:right="-79"/>
        <w:spacing w:after="0"/>
        <w:rPr>
          <w:sz w:val="20"/>
          <w:szCs w:val="20"/>
          <w:color w:val="auto"/>
        </w:rPr>
      </w:pPr>
      <w:r>
        <w:rPr>
          <w:rFonts w:ascii="Arial" w:cs="Arial" w:eastAsia="Arial" w:hAnsi="Arial"/>
          <w:sz w:val="18"/>
          <w:szCs w:val="18"/>
          <w:b w:val="1"/>
          <w:bCs w:val="1"/>
          <w:color w:val="auto"/>
        </w:rPr>
        <w:t>EXHIBIT (99.1)</w:t>
      </w:r>
    </w:p>
    <w:p>
      <w:pPr>
        <w:spacing w:after="0" w:line="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MARKET RISK SENSITIVITY – AS OF September 30, 2015</w:t>
      </w:r>
    </w:p>
    <w:p>
      <w:pPr>
        <w:spacing w:after="0" w:line="171" w:lineRule="exact"/>
        <w:rPr>
          <w:sz w:val="20"/>
          <w:szCs w:val="20"/>
          <w:color w:val="auto"/>
        </w:rPr>
      </w:pPr>
    </w:p>
    <w:p>
      <w:pPr>
        <w:ind w:right="300" w:firstLine="648"/>
        <w:spacing w:after="0" w:line="246" w:lineRule="auto"/>
        <w:rPr>
          <w:sz w:val="20"/>
          <w:szCs w:val="20"/>
          <w:color w:val="auto"/>
        </w:rPr>
      </w:pPr>
      <w:r>
        <w:rPr>
          <w:rFonts w:ascii="Arial" w:cs="Arial" w:eastAsia="Arial" w:hAnsi="Arial"/>
          <w:sz w:val="18"/>
          <w:szCs w:val="18"/>
          <w:color w:val="auto"/>
        </w:rPr>
        <w:t>We have market risk with respect to foreign currency exchange rates and interest rates. The market risk is the potential loss arising from adverse changes in these rates as discussed below.</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9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$483.7 million. The potential loss in fair value resulting from a hypothetical 10% adverse change in quoted foreign currency exchange rates amounts to $48.4 million. Furthermore, related to foreign currency transactions, we have exposure to various nonfunctional currency balances totaling $115.6 million. This amount includes, on an absolute basis, exposures to assets and liabilities held in currencies other than our local entity’s functional currency. On a net basis, we had $22.4 million of foreign currency liabilities as of September 30, 2015. As currency rates change, these nonfunctional currency balances are revalued, and the corresponding adjustment is recorded in the income statement. A hypothetical change of 10% in currency rates could result in an adjustment to the income statement of approximately $2.2 million. Actual results may differ.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September 30, 2015, we had the following variable 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109220</wp:posOffset>
            </wp:positionV>
            <wp:extent cx="50685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345"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(in thousands, except interest rates)</w:t>
      </w:r>
    </w:p>
    <w:p>
      <w:pPr>
        <w:spacing w:after="0" w:line="18" w:lineRule="exact"/>
        <w:rPr>
          <w:sz w:val="20"/>
          <w:szCs w:val="20"/>
          <w:color w:val="auto"/>
        </w:rPr>
      </w:pPr>
    </w:p>
    <w:tbl>
      <w:tblPr>
        <w:tblLayout w:type="fixed"/>
        <w:tblInd w:w="1720" w:type="dxa"/>
        <w:tblCellMar>
          <w:top w:w="0" w:type="dxa"/>
          <w:left w:w="0" w:type="dxa"/>
          <w:bottom w:w="0" w:type="dxa"/>
          <w:right w:w="0" w:type="dxa"/>
        </w:tblCellMar>
      </w:tblPr>
      <w:tr>
        <w:trPr>
          <w:trHeight w:val="195"/>
        </w:trPr>
        <w:tc>
          <w:tcPr>
            <w:tcW w:w="6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Short-term debt</w:t>
            </w:r>
          </w:p>
        </w:tc>
        <w:tc>
          <w:tcPr>
            <w:tcW w:w="1080" w:type="dxa"/>
            <w:vAlign w:val="bottom"/>
            <w:tcBorders>
              <w:top w:val="single" w:sz="8" w:color="auto"/>
            </w:tcBorders>
          </w:tcPr>
          <w:p>
            <w:pPr>
              <w:spacing w:after="0"/>
              <w:rPr>
                <w:sz w:val="16"/>
                <w:szCs w:val="16"/>
                <w:color w:val="auto"/>
              </w:rPr>
            </w:pPr>
          </w:p>
        </w:tc>
      </w:tr>
      <w:tr>
        <w:trPr>
          <w:trHeight w:val="181"/>
        </w:trPr>
        <w:tc>
          <w:tcPr>
            <w:tcW w:w="6900" w:type="dxa"/>
            <w:vAlign w:val="bottom"/>
          </w:tcPr>
          <w:p>
            <w:pPr>
              <w:spacing w:after="0" w:line="181" w:lineRule="exact"/>
              <w:rPr>
                <w:sz w:val="20"/>
                <w:szCs w:val="20"/>
                <w:color w:val="auto"/>
              </w:rPr>
            </w:pPr>
            <w:r>
              <w:rPr>
                <w:rFonts w:ascii="Arial" w:cs="Arial" w:eastAsia="Arial" w:hAnsi="Arial"/>
                <w:sz w:val="18"/>
                <w:szCs w:val="18"/>
                <w:color w:val="auto"/>
              </w:rPr>
              <w:t>Notes payable, end of period interest rate of 1.60%</w:t>
            </w:r>
          </w:p>
        </w:tc>
        <w:tc>
          <w:tcPr>
            <w:tcW w:w="1080" w:type="dxa"/>
            <w:vAlign w:val="bottom"/>
          </w:tcPr>
          <w:p>
            <w:pPr>
              <w:jc w:val="right"/>
              <w:spacing w:after="0" w:line="181" w:lineRule="exact"/>
              <w:rPr>
                <w:sz w:val="20"/>
                <w:szCs w:val="20"/>
                <w:color w:val="auto"/>
              </w:rPr>
            </w:pPr>
            <w:r>
              <w:rPr>
                <w:rFonts w:ascii="Arial" w:cs="Arial" w:eastAsia="Arial" w:hAnsi="Arial"/>
                <w:sz w:val="18"/>
                <w:szCs w:val="18"/>
                <w:color w:val="auto"/>
              </w:rPr>
              <w:t>$390</w:t>
            </w:r>
          </w:p>
        </w:tc>
      </w:tr>
      <w:tr>
        <w:trPr>
          <w:trHeight w:val="225"/>
        </w:trPr>
        <w:tc>
          <w:tcPr>
            <w:tcW w:w="690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1080" w:type="dxa"/>
            <w:vAlign w:val="bottom"/>
          </w:tcPr>
          <w:p>
            <w:pPr>
              <w:spacing w:after="0"/>
              <w:rPr>
                <w:sz w:val="19"/>
                <w:szCs w:val="19"/>
                <w:color w:val="auto"/>
              </w:rPr>
            </w:pP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Credit agreement with borrowings outstanding, net of fixed rate portion, at an end</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60,000</w:t>
            </w:r>
          </w:p>
        </w:tc>
      </w:tr>
      <w:tr>
        <w:trPr>
          <w:trHeight w:val="217"/>
        </w:trPr>
        <w:tc>
          <w:tcPr>
            <w:tcW w:w="6900" w:type="dxa"/>
            <w:vAlign w:val="bottom"/>
          </w:tcPr>
          <w:p>
            <w:pPr>
              <w:spacing w:after="0"/>
              <w:rPr>
                <w:sz w:val="20"/>
                <w:szCs w:val="20"/>
                <w:color w:val="auto"/>
              </w:rPr>
            </w:pPr>
            <w:r>
              <w:rPr>
                <w:rFonts w:ascii="Arial" w:cs="Arial" w:eastAsia="Arial" w:hAnsi="Arial"/>
                <w:sz w:val="18"/>
                <w:szCs w:val="18"/>
                <w:color w:val="auto"/>
              </w:rPr>
              <w:t>of period interest rate of 1.59% in 2015, due in 2020</w:t>
            </w:r>
          </w:p>
        </w:tc>
        <w:tc>
          <w:tcPr>
            <w:tcW w:w="1080" w:type="dxa"/>
            <w:vAlign w:val="bottom"/>
          </w:tcPr>
          <w:p>
            <w:pPr>
              <w:spacing w:after="0"/>
              <w:rPr>
                <w:sz w:val="18"/>
                <w:szCs w:val="18"/>
                <w:color w:val="auto"/>
              </w:rPr>
            </w:pPr>
          </w:p>
        </w:tc>
      </w:tr>
      <w:tr>
        <w:trPr>
          <w:trHeight w:val="189"/>
        </w:trPr>
        <w:tc>
          <w:tcPr>
            <w:tcW w:w="69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399"/>
        </w:trPr>
        <w:tc>
          <w:tcPr>
            <w:tcW w:w="6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$60,390</w:t>
            </w:r>
          </w:p>
        </w:tc>
      </w:tr>
    </w:tbl>
    <w:p>
      <w:pPr>
        <w:spacing w:after="0" w:line="391"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Assuming borrowings were outstanding for an entire year, an increase of one percentage point in weighted average interest rates would increase interest expense by $0.6 million. To manage interest rate risk, we may periodically enter into interest rate swap agreements to effectively fix the interest rates on variable debt to a specific rate for a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360"/>
      </w:cols>
      <w:pgMar w:left="240" w:top="11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lowerLetter"/>
      <w:start w:val="1"/>
    </w:lvl>
  </w:abstractNum>
  <w:abstractNum w:abstractNumId="3">
    <w:nsid w:val="7C83E458"/>
    <w:multiLevelType w:val="hybridMultilevel"/>
    <w:lvl w:ilvl="0">
      <w:lvlJc w:val="left"/>
      <w:lvlText w:val="(%1)"/>
      <w:numFmt w:val="lowerLetter"/>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lvl w:ilvl="1">
      <w:lvlJc w:val="left"/>
      <w:lvlText w:val="·"/>
      <w:numFmt w:val="bullet"/>
      <w:start w:val="1"/>
    </w:lvl>
  </w:abstractNum>
  <w:abstractNum w:abstractNumId="6">
    <w:nsid w:val="436C6125"/>
    <w:multiLevelType w:val="hybridMultilevel"/>
    <w:lvl w:ilvl="0">
      <w:lvlJc w:val="left"/>
      <w:lvlText w:val="·"/>
      <w:numFmt w:val="bullet"/>
      <w:start w:val="1"/>
    </w:lvl>
    <w:lvl w:ilvl="1">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1)"/>
      <w:numFmt w:val="lowerLetter"/>
      <w:start w:val="1"/>
    </w:lvl>
  </w:abstractNum>
  <w:abstractNum w:abstractNumId="29">
    <w:nsid w:val="6CEAF087"/>
    <w:multiLevelType w:val="hybridMultilevel"/>
    <w:lvl w:ilvl="0">
      <w:lvlJc w:val="left"/>
      <w:lvlText w:val="(%1)"/>
      <w:numFmt w:val="lowerLetter"/>
      <w:start w:val="2"/>
    </w:lvl>
  </w:abstractNum>
  <w:abstractNum w:abstractNumId="30">
    <w:nsid w:val="22221A70"/>
    <w:multiLevelType w:val="hybridMultilevel"/>
    <w:lvl w:ilvl="0">
      <w:lvlJc w:val="left"/>
      <w:lvlText w:val="%1"/>
      <w:numFmt w:val="decimal"/>
      <w:start w:val="101"/>
    </w:lvl>
    <w:lvl w:ilvl="1">
      <w:lvlJc w:val="left"/>
      <w:lvlText w:val="(%2)"/>
      <w:numFmt w:val="lowerRoman"/>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2019-12-29T15:56:20Z</dcterms:created>
  <dcterms:modified xsi:type="dcterms:W3CDTF">2019-12-29T15:56:20Z</dcterms:modified>
</cp:coreProperties>
</file>