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page">
              <wp:posOffset>144780</wp:posOffset>
            </wp:positionH>
            <wp:positionV relativeFrom="page">
              <wp:posOffset>256540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1100" w:right="1080" w:hanging="1078"/>
        <w:spacing w:after="0" w:line="263" w:lineRule="auto"/>
        <w:tabs>
          <w:tab w:leader="none" w:pos="11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0" w:lineRule="exact"/>
        <w:rPr>
          <w:sz w:val="24"/>
          <w:szCs w:val="24"/>
          <w:color w:val="auto"/>
        </w:rPr>
      </w:pPr>
    </w:p>
    <w:p>
      <w:pPr>
        <w:ind w:left="1100" w:right="1100" w:hanging="1078"/>
        <w:spacing w:after="0" w:line="261" w:lineRule="auto"/>
        <w:tabs>
          <w:tab w:leader="none" w:pos="11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1-10026</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ALBANY INTERNATIONAL CORP.</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00" w:lineRule="exact"/>
        <w:rPr>
          <w:sz w:val="24"/>
          <w:szCs w:val="24"/>
          <w:color w:val="auto"/>
        </w:rPr>
      </w:pPr>
    </w:p>
    <w:tbl>
      <w:tblPr>
        <w:tblLayout w:type="fixed"/>
        <w:tblInd w:w="720" w:type="dxa"/>
        <w:tblCellMar>
          <w:top w:w="0" w:type="dxa"/>
          <w:left w:w="0" w:type="dxa"/>
          <w:bottom w:w="0" w:type="dxa"/>
          <w:right w:w="0" w:type="dxa"/>
        </w:tblCellMar>
      </w:tblPr>
      <w:tr>
        <w:trPr>
          <w:trHeight w:val="239"/>
        </w:trPr>
        <w:tc>
          <w:tcPr>
            <w:tcW w:w="4640" w:type="dxa"/>
            <w:vAlign w:val="bottom"/>
          </w:tcPr>
          <w:p>
            <w:pPr>
              <w:jc w:val="center"/>
              <w:spacing w:after="0"/>
              <w:rPr>
                <w:sz w:val="20"/>
                <w:szCs w:val="20"/>
                <w:color w:val="auto"/>
              </w:rPr>
            </w:pPr>
            <w:r>
              <w:rPr>
                <w:rFonts w:ascii="Arial" w:cs="Arial" w:eastAsia="Arial" w:hAnsi="Arial"/>
                <w:sz w:val="18"/>
                <w:szCs w:val="18"/>
                <w:b w:val="1"/>
                <w:bCs w:val="1"/>
                <w:color w:val="auto"/>
              </w:rPr>
              <w:t>Delaware</w:t>
            </w:r>
          </w:p>
        </w:tc>
        <w:tc>
          <w:tcPr>
            <w:tcW w:w="5340" w:type="dxa"/>
            <w:vAlign w:val="bottom"/>
            <w:gridSpan w:val="2"/>
          </w:tcPr>
          <w:p>
            <w:pPr>
              <w:jc w:val="right"/>
              <w:ind w:right="1750"/>
              <w:spacing w:after="0"/>
              <w:rPr>
                <w:sz w:val="20"/>
                <w:szCs w:val="20"/>
                <w:color w:val="auto"/>
              </w:rPr>
            </w:pPr>
            <w:r>
              <w:rPr>
                <w:rFonts w:ascii="Arial" w:cs="Arial" w:eastAsia="Arial" w:hAnsi="Arial"/>
                <w:sz w:val="18"/>
                <w:szCs w:val="18"/>
                <w:b w:val="1"/>
                <w:bCs w:val="1"/>
                <w:color w:val="auto"/>
              </w:rPr>
              <w:t>14-0462060</w:t>
            </w:r>
          </w:p>
        </w:tc>
      </w:tr>
      <w:tr>
        <w:trPr>
          <w:trHeight w:val="276"/>
        </w:trPr>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(State or other Jurisdiction of Incorporation or</w:t>
            </w:r>
          </w:p>
        </w:tc>
        <w:tc>
          <w:tcPr>
            <w:tcW w:w="720" w:type="dxa"/>
            <w:vAlign w:val="bottom"/>
          </w:tcPr>
          <w:p>
            <w:pPr>
              <w:spacing w:after="0"/>
              <w:rPr>
                <w:sz w:val="24"/>
                <w:szCs w:val="24"/>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(I.R.S. Employer Identification No.)</w:t>
            </w:r>
          </w:p>
        </w:tc>
      </w:tr>
      <w:tr>
        <w:trPr>
          <w:trHeight w:val="217"/>
        </w:trPr>
        <w:tc>
          <w:tcPr>
            <w:tcW w:w="4640" w:type="dxa"/>
            <w:vAlign w:val="bottom"/>
          </w:tcPr>
          <w:p>
            <w:pPr>
              <w:jc w:val="center"/>
              <w:spacing w:after="0"/>
              <w:rPr>
                <w:sz w:val="20"/>
                <w:szCs w:val="20"/>
                <w:color w:val="auto"/>
              </w:rPr>
            </w:pPr>
            <w:r>
              <w:rPr>
                <w:rFonts w:ascii="Arial" w:cs="Arial" w:eastAsia="Arial" w:hAnsi="Arial"/>
                <w:sz w:val="18"/>
                <w:szCs w:val="18"/>
                <w:color w:val="auto"/>
                <w:w w:val="99"/>
              </w:rPr>
              <w:t>Organization)</w:t>
            </w:r>
          </w:p>
        </w:tc>
        <w:tc>
          <w:tcPr>
            <w:tcW w:w="720" w:type="dxa"/>
            <w:vAlign w:val="bottom"/>
          </w:tcPr>
          <w:p>
            <w:pPr>
              <w:spacing w:after="0"/>
              <w:rPr>
                <w:sz w:val="18"/>
                <w:szCs w:val="18"/>
                <w:color w:val="auto"/>
              </w:rPr>
            </w:pPr>
          </w:p>
        </w:tc>
        <w:tc>
          <w:tcPr>
            <w:tcW w:w="4620" w:type="dxa"/>
            <w:vAlign w:val="bottom"/>
          </w:tcPr>
          <w:p>
            <w:pPr>
              <w:spacing w:after="0"/>
              <w:rPr>
                <w:sz w:val="18"/>
                <w:szCs w:val="18"/>
                <w:color w:val="auto"/>
              </w:rPr>
            </w:pPr>
          </w:p>
        </w:tc>
      </w:tr>
      <w:tr>
        <w:trPr>
          <w:trHeight w:val="554"/>
        </w:trPr>
        <w:tc>
          <w:tcPr>
            <w:tcW w:w="4640" w:type="dxa"/>
            <w:vAlign w:val="bottom"/>
          </w:tcPr>
          <w:p>
            <w:pPr>
              <w:jc w:val="center"/>
              <w:spacing w:after="0"/>
              <w:rPr>
                <w:sz w:val="20"/>
                <w:szCs w:val="20"/>
                <w:color w:val="auto"/>
              </w:rPr>
            </w:pPr>
            <w:r>
              <w:rPr>
                <w:rFonts w:ascii="Arial" w:cs="Arial" w:eastAsia="Arial" w:hAnsi="Arial"/>
                <w:sz w:val="18"/>
                <w:szCs w:val="18"/>
                <w:b w:val="1"/>
                <w:bCs w:val="1"/>
                <w:color w:val="auto"/>
                <w:w w:val="99"/>
              </w:rPr>
              <w:t>216 Airport Drive, Rochester, New Hampshire</w:t>
            </w:r>
          </w:p>
        </w:tc>
        <w:tc>
          <w:tcPr>
            <w:tcW w:w="5340" w:type="dxa"/>
            <w:vAlign w:val="bottom"/>
            <w:gridSpan w:val="2"/>
          </w:tcPr>
          <w:p>
            <w:pPr>
              <w:jc w:val="right"/>
              <w:ind w:right="1970"/>
              <w:spacing w:after="0"/>
              <w:rPr>
                <w:sz w:val="20"/>
                <w:szCs w:val="20"/>
                <w:color w:val="auto"/>
              </w:rPr>
            </w:pPr>
            <w:r>
              <w:rPr>
                <w:rFonts w:ascii="Arial" w:cs="Arial" w:eastAsia="Arial" w:hAnsi="Arial"/>
                <w:sz w:val="18"/>
                <w:szCs w:val="18"/>
                <w:b w:val="1"/>
                <w:bCs w:val="1"/>
                <w:color w:val="auto"/>
              </w:rPr>
              <w:t>03867</w:t>
            </w:r>
          </w:p>
        </w:tc>
      </w:tr>
      <w:tr>
        <w:trPr>
          <w:trHeight w:val="291"/>
        </w:trPr>
        <w:tc>
          <w:tcPr>
            <w:tcW w:w="4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720" w:type="dxa"/>
            <w:vAlign w:val="bottom"/>
          </w:tcPr>
          <w:p>
            <w:pPr>
              <w:spacing w:after="0"/>
              <w:rPr>
                <w:sz w:val="24"/>
                <w:szCs w:val="24"/>
                <w:color w:val="auto"/>
              </w:rPr>
            </w:pPr>
          </w:p>
        </w:tc>
        <w:tc>
          <w:tcPr>
            <w:tcW w:w="4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(Zip Code)</w:t>
            </w:r>
          </w:p>
        </w:tc>
      </w:tr>
    </w:tbl>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603-330-5850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2286000</wp:posOffset>
            </wp:positionH>
            <wp:positionV relativeFrom="paragraph">
              <wp:posOffset>-5080</wp:posOffset>
            </wp:positionV>
            <wp:extent cx="2684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Securities registered pursuant to Section 12(b) of the Act:</w:t>
      </w:r>
    </w:p>
    <w:p>
      <w:pPr>
        <w:spacing w:after="0" w:line="139" w:lineRule="exact"/>
        <w:rPr>
          <w:sz w:val="24"/>
          <w:szCs w:val="24"/>
          <w:color w:val="auto"/>
        </w:rPr>
      </w:pPr>
    </w:p>
    <w:tbl>
      <w:tblPr>
        <w:tblLayout w:type="fixed"/>
        <w:tblInd w:w="10" w:type="dxa"/>
        <w:tblCellMar>
          <w:top w:w="0" w:type="dxa"/>
          <w:left w:w="0" w:type="dxa"/>
          <w:bottom w:w="0" w:type="dxa"/>
          <w:right w:w="0" w:type="dxa"/>
        </w:tblCellMar>
      </w:tblPr>
      <w:tr>
        <w:trPr>
          <w:trHeight w:val="29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9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77"/>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A Common Stock</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r>
        <w:trPr>
          <w:trHeight w:val="277"/>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Class B Common Stock</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7"/>
              </w:rPr>
              <w:t>AIN</w:t>
            </w:r>
          </w:p>
        </w:tc>
        <w:tc>
          <w:tcPr>
            <w:tcW w:w="4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The New York Stock Exchange (NYSE)</w:t>
            </w:r>
          </w:p>
        </w:tc>
      </w:tr>
    </w:tbl>
    <w:p>
      <w:pPr>
        <w:spacing w:after="0" w:line="283"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2"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6660" w:type="dxa"/>
            <w:vAlign w:val="bottom"/>
          </w:tcPr>
          <w:p>
            <w:pPr>
              <w:ind w:left="292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20" w:type="dxa"/>
            <w:vAlign w:val="bottom"/>
          </w:tcPr>
          <w:p>
            <w:pPr>
              <w:spacing w:after="0"/>
              <w:rPr>
                <w:sz w:val="18"/>
                <w:szCs w:val="18"/>
                <w:color w:val="auto"/>
              </w:rPr>
            </w:pPr>
          </w:p>
        </w:tc>
      </w:tr>
      <w:tr>
        <w:trPr>
          <w:trHeight w:val="216"/>
        </w:trPr>
        <w:tc>
          <w:tcPr>
            <w:tcW w:w="474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6660" w:type="dxa"/>
            <w:vAlign w:val="bottom"/>
          </w:tcPr>
          <w:p>
            <w:pPr>
              <w:ind w:left="292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20" w:type="dxa"/>
            <w:vAlign w:val="bottom"/>
          </w:tcPr>
          <w:p>
            <w:pPr>
              <w:spacing w:after="0"/>
              <w:rPr>
                <w:sz w:val="18"/>
                <w:szCs w:val="18"/>
                <w:color w:val="auto"/>
              </w:rPr>
            </w:pPr>
          </w:p>
        </w:tc>
      </w:tr>
      <w:tr>
        <w:trPr>
          <w:trHeight w:val="254"/>
        </w:trPr>
        <w:tc>
          <w:tcPr>
            <w:tcW w:w="4740" w:type="dxa"/>
            <w:vAlign w:val="bottom"/>
          </w:tcPr>
          <w:p>
            <w:pPr>
              <w:spacing w:after="0"/>
              <w:rPr>
                <w:sz w:val="22"/>
                <w:szCs w:val="22"/>
                <w:color w:val="auto"/>
              </w:rPr>
            </w:pPr>
          </w:p>
        </w:tc>
        <w:tc>
          <w:tcPr>
            <w:tcW w:w="6660" w:type="dxa"/>
            <w:vAlign w:val="bottom"/>
          </w:tcPr>
          <w:p>
            <w:pPr>
              <w:ind w:left="29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c>
          <w:tcPr>
            <w:tcW w:w="20" w:type="dxa"/>
            <w:vAlign w:val="bottom"/>
          </w:tcPr>
          <w:p>
            <w:pPr>
              <w:spacing w:after="0"/>
              <w:rPr>
                <w:sz w:val="22"/>
                <w:szCs w:val="22"/>
                <w:color w:val="auto"/>
              </w:rPr>
            </w:pPr>
          </w:p>
        </w:tc>
      </w:tr>
      <w:tr>
        <w:trPr>
          <w:trHeight w:val="231"/>
        </w:trPr>
        <w:tc>
          <w:tcPr>
            <w:tcW w:w="4740" w:type="dxa"/>
            <w:vAlign w:val="bottom"/>
            <w:tcBorders>
              <w:bottom w:val="single" w:sz="8" w:color="EEEEEE"/>
            </w:tcBorders>
          </w:tcPr>
          <w:p>
            <w:pPr>
              <w:spacing w:after="0"/>
              <w:rPr>
                <w:sz w:val="20"/>
                <w:szCs w:val="20"/>
                <w:color w:val="auto"/>
              </w:rPr>
            </w:pPr>
          </w:p>
        </w:tc>
        <w:tc>
          <w:tcPr>
            <w:tcW w:w="6660" w:type="dxa"/>
            <w:vAlign w:val="bottom"/>
            <w:tcBorders>
              <w:bottom w:val="single" w:sz="8" w:color="EEEEEE"/>
            </w:tcBorders>
          </w:tcPr>
          <w:p>
            <w:pPr>
              <w:spacing w:after="0"/>
              <w:rPr>
                <w:sz w:val="20"/>
                <w:szCs w:val="20"/>
                <w:color w:val="auto"/>
              </w:rPr>
            </w:pPr>
          </w:p>
        </w:tc>
        <w:tc>
          <w:tcPr>
            <w:tcW w:w="20" w:type="dxa"/>
            <w:vAlign w:val="bottom"/>
          </w:tcPr>
          <w:p>
            <w:pPr>
              <w:spacing w:after="0"/>
              <w:rPr>
                <w:sz w:val="20"/>
                <w:szCs w:val="20"/>
                <w:color w:val="auto"/>
              </w:rPr>
            </w:pPr>
          </w:p>
        </w:tc>
      </w:tr>
      <w:tr>
        <w:trPr>
          <w:trHeight w:val="156"/>
        </w:trPr>
        <w:tc>
          <w:tcPr>
            <w:tcW w:w="4740" w:type="dxa"/>
            <w:vAlign w:val="bottom"/>
            <w:tcBorders>
              <w:bottom w:val="single" w:sz="8" w:color="EEEEEE"/>
            </w:tcBorders>
          </w:tcPr>
          <w:p>
            <w:pPr>
              <w:spacing w:after="0"/>
              <w:rPr>
                <w:sz w:val="13"/>
                <w:szCs w:val="13"/>
                <w:color w:val="auto"/>
              </w:rPr>
            </w:pPr>
          </w:p>
        </w:tc>
        <w:tc>
          <w:tcPr>
            <w:tcW w:w="6660" w:type="dxa"/>
            <w:vAlign w:val="bottom"/>
            <w:tcBorders>
              <w:bottom w:val="single" w:sz="8" w:color="EEEEEE"/>
            </w:tcBorders>
          </w:tcPr>
          <w:p>
            <w:pPr>
              <w:spacing w:after="0"/>
              <w:rPr>
                <w:sz w:val="13"/>
                <w:szCs w:val="13"/>
                <w:color w:val="auto"/>
              </w:rPr>
            </w:pPr>
          </w:p>
        </w:tc>
        <w:tc>
          <w:tcPr>
            <w:tcW w:w="20" w:type="dxa"/>
            <w:vAlign w:val="bottom"/>
            <w:tcBorders>
              <w:bottom w:val="single" w:sz="8" w:color="EEEEEE"/>
            </w:tcBorders>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-140970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-55245</wp:posOffset>
            </wp:positionV>
            <wp:extent cx="727202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68580"/>
                    </a:xfrm>
                    <a:prstGeom prst="rect">
                      <a:avLst/>
                    </a:prstGeom>
                    <a:noFill/>
                  </pic:spPr>
                </pic:pic>
              </a:graphicData>
            </a:graphic>
          </wp:anchor>
        </w:drawing>
      </w:r>
    </w:p>
    <w:p>
      <w:pPr>
        <w:sectPr>
          <w:pgSz w:w="11900" w:h="16838" w:orient="portrait"/>
          <w:cols w:equalWidth="0" w:num="1">
            <w:col w:w="11420"/>
          </w:cols>
          <w:pgMar w:left="240" w:top="528" w:right="239" w:bottom="1440" w:gutter="0" w:footer="0" w:header="0"/>
        </w:sectPr>
      </w:pPr>
    </w:p>
    <w:bookmarkStart w:id="1" w:name="page2"/>
    <w:bookmarkEnd w:id="1"/>
    <w:p>
      <w:pPr>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0"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7"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registrant had 30.7 million shares of Class A Common Stock and 1.6 million shares of Class B Common Stock outstanding as of July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113030</wp:posOffset>
            </wp:positionV>
            <wp:extent cx="727202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2" w:name="page3"/>
    <w:bookmarkEnd w:id="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600" w:type="dxa"/>
            <w:vAlign w:val="bottom"/>
            <w:gridSpan w:val="7"/>
          </w:tcPr>
          <w:p>
            <w:pPr>
              <w:ind w:left="160"/>
              <w:spacing w:after="0"/>
              <w:rPr>
                <w:sz w:val="20"/>
                <w:szCs w:val="20"/>
                <w:color w:val="auto"/>
              </w:rPr>
            </w:pPr>
            <w:r>
              <w:rPr>
                <w:rFonts w:ascii="Arial" w:cs="Arial" w:eastAsia="Arial" w:hAnsi="Arial"/>
                <w:sz w:val="14"/>
                <w:szCs w:val="14"/>
                <w:b w:val="1"/>
                <w:bCs w:val="1"/>
                <w:color w:val="auto"/>
              </w:rPr>
              <w:t>Page</w:t>
            </w:r>
          </w:p>
        </w:tc>
      </w:tr>
      <w:tr>
        <w:trPr>
          <w:trHeight w:val="189"/>
        </w:trPr>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20" w:type="dxa"/>
            <w:vAlign w:val="bottom"/>
            <w:gridSpan w:val="8"/>
          </w:tcPr>
          <w:p>
            <w:pPr>
              <w:ind w:left="1620"/>
              <w:spacing w:after="0"/>
              <w:rPr>
                <w:sz w:val="20"/>
                <w:szCs w:val="20"/>
                <w:color w:val="auto"/>
              </w:rPr>
            </w:pPr>
            <w:r>
              <w:rPr>
                <w:rFonts w:ascii="Arial" w:cs="Arial" w:eastAsia="Arial" w:hAnsi="Arial"/>
                <w:sz w:val="14"/>
                <w:szCs w:val="14"/>
                <w:b w:val="1"/>
                <w:bCs w:val="1"/>
                <w:color w:val="auto"/>
              </w:rPr>
              <w:t>Number</w:t>
            </w:r>
          </w:p>
        </w:tc>
      </w:tr>
      <w:tr>
        <w:trPr>
          <w:trHeight w:val="412"/>
        </w:trPr>
        <w:tc>
          <w:tcPr>
            <w:tcW w:w="9200" w:type="dxa"/>
            <w:vAlign w:val="bottom"/>
            <w:tcBorders>
              <w:top w:val="single" w:sz="8" w:color="BFBFBF"/>
            </w:tcBorders>
            <w:gridSpan w:val="21"/>
            <w:shd w:val="clear" w:color="auto" w:fill="BFBFBF"/>
          </w:tcPr>
          <w:p>
            <w:pPr>
              <w:ind w:left="20"/>
              <w:spacing w:after="0"/>
              <w:rPr>
                <w:sz w:val="20"/>
                <w:szCs w:val="20"/>
                <w:color w:val="auto"/>
              </w:rPr>
            </w:pPr>
            <w:r>
              <w:rPr>
                <w:rFonts w:ascii="Arial" w:cs="Arial" w:eastAsia="Arial" w:hAnsi="Arial"/>
                <w:sz w:val="16"/>
                <w:szCs w:val="16"/>
                <w:b w:val="1"/>
                <w:bCs w:val="1"/>
                <w:color w:val="auto"/>
              </w:rPr>
              <w:t>PART I FINANCIAL INFORMATION</w:t>
            </w:r>
          </w:p>
        </w:tc>
        <w:tc>
          <w:tcPr>
            <w:tcW w:w="1620" w:type="dxa"/>
            <w:vAlign w:val="bottom"/>
            <w:tcBorders>
              <w:top w:val="single" w:sz="8" w:color="BFBFBF"/>
            </w:tcBorders>
            <w:shd w:val="clear" w:color="auto" w:fill="BFBFBF"/>
          </w:tcPr>
          <w:p>
            <w:pPr>
              <w:spacing w:after="0"/>
              <w:rPr>
                <w:sz w:val="24"/>
                <w:szCs w:val="24"/>
                <w:color w:val="auto"/>
              </w:rPr>
            </w:pPr>
          </w:p>
        </w:tc>
        <w:tc>
          <w:tcPr>
            <w:tcW w:w="180" w:type="dxa"/>
            <w:vAlign w:val="bottom"/>
            <w:tcBorders>
              <w:top w:val="single" w:sz="8" w:color="auto"/>
            </w:tcBorders>
            <w:shd w:val="clear" w:color="auto" w:fill="BFBFBF"/>
          </w:tcPr>
          <w:p>
            <w:pPr>
              <w:spacing w:after="0"/>
              <w:rPr>
                <w:sz w:val="24"/>
                <w:szCs w:val="24"/>
                <w:color w:val="auto"/>
              </w:rPr>
            </w:pPr>
          </w:p>
        </w:tc>
        <w:tc>
          <w:tcPr>
            <w:tcW w:w="80" w:type="dxa"/>
            <w:vAlign w:val="bottom"/>
            <w:tcBorders>
              <w:top w:val="single" w:sz="8" w:color="auto"/>
            </w:tcBorders>
            <w:shd w:val="clear" w:color="auto" w:fill="BFBFBF"/>
          </w:tcPr>
          <w:p>
            <w:pPr>
              <w:spacing w:after="0"/>
              <w:rPr>
                <w:sz w:val="24"/>
                <w:szCs w:val="24"/>
                <w:color w:val="auto"/>
              </w:rPr>
            </w:pPr>
          </w:p>
        </w:tc>
        <w:tc>
          <w:tcPr>
            <w:tcW w:w="80" w:type="dxa"/>
            <w:vAlign w:val="bottom"/>
            <w:tcBorders>
              <w:top w:val="single" w:sz="8" w:color="auto"/>
            </w:tcBorders>
            <w:shd w:val="clear" w:color="auto" w:fill="BFBFBF"/>
          </w:tcPr>
          <w:p>
            <w:pPr>
              <w:spacing w:after="0"/>
              <w:rPr>
                <w:sz w:val="24"/>
                <w:szCs w:val="24"/>
                <w:color w:val="auto"/>
              </w:rPr>
            </w:pPr>
          </w:p>
        </w:tc>
        <w:tc>
          <w:tcPr>
            <w:tcW w:w="20" w:type="dxa"/>
            <w:vAlign w:val="bottom"/>
            <w:tcBorders>
              <w:top w:val="single" w:sz="8" w:color="auto"/>
            </w:tcBorders>
            <w:shd w:val="clear" w:color="auto" w:fill="BFBFBF"/>
          </w:tcPr>
          <w:p>
            <w:pPr>
              <w:spacing w:after="0"/>
              <w:rPr>
                <w:sz w:val="24"/>
                <w:szCs w:val="24"/>
                <w:color w:val="auto"/>
              </w:rPr>
            </w:pPr>
          </w:p>
        </w:tc>
        <w:tc>
          <w:tcPr>
            <w:tcW w:w="180" w:type="dxa"/>
            <w:vAlign w:val="bottom"/>
            <w:tcBorders>
              <w:top w:val="single" w:sz="8" w:color="auto"/>
            </w:tcBorders>
            <w:shd w:val="clear" w:color="auto" w:fill="BFBFBF"/>
          </w:tcPr>
          <w:p>
            <w:pPr>
              <w:spacing w:after="0"/>
              <w:rPr>
                <w:sz w:val="24"/>
                <w:szCs w:val="24"/>
                <w:color w:val="auto"/>
              </w:rPr>
            </w:pPr>
          </w:p>
        </w:tc>
        <w:tc>
          <w:tcPr>
            <w:tcW w:w="40" w:type="dxa"/>
            <w:vAlign w:val="bottom"/>
            <w:tcBorders>
              <w:top w:val="single" w:sz="8" w:color="BFBFBF"/>
            </w:tcBorders>
            <w:shd w:val="clear" w:color="auto" w:fill="BFBFBF"/>
          </w:tcPr>
          <w:p>
            <w:pPr>
              <w:spacing w:after="0"/>
              <w:rPr>
                <w:sz w:val="24"/>
                <w:szCs w:val="24"/>
                <w:color w:val="auto"/>
              </w:rPr>
            </w:pPr>
          </w:p>
        </w:tc>
        <w:tc>
          <w:tcPr>
            <w:tcW w:w="20" w:type="dxa"/>
            <w:vAlign w:val="bottom"/>
            <w:tcBorders>
              <w:top w:val="single" w:sz="8" w:color="BFBFBF"/>
            </w:tcBorders>
            <w:shd w:val="clear" w:color="auto" w:fill="BFBFBF"/>
          </w:tcPr>
          <w:p>
            <w:pPr>
              <w:spacing w:after="0"/>
              <w:rPr>
                <w:sz w:val="24"/>
                <w:szCs w:val="24"/>
                <w:color w:val="auto"/>
              </w:rPr>
            </w:pPr>
          </w:p>
        </w:tc>
      </w:tr>
      <w:tr>
        <w:trPr>
          <w:trHeight w:val="176"/>
        </w:trPr>
        <w:tc>
          <w:tcPr>
            <w:tcW w:w="1100" w:type="dxa"/>
            <w:vAlign w:val="bottom"/>
            <w:gridSpan w:val="4"/>
          </w:tcPr>
          <w:p>
            <w:pPr>
              <w:ind w:left="300"/>
              <w:spacing w:after="0" w:line="176" w:lineRule="exact"/>
              <w:rPr>
                <w:rFonts w:ascii="Arial" w:cs="Arial" w:eastAsia="Arial" w:hAnsi="Arial"/>
                <w:sz w:val="16"/>
                <w:szCs w:val="16"/>
                <w:color w:val="0000EE"/>
              </w:rPr>
            </w:pPr>
            <w:hyperlink w:anchor="page4">
              <w:r>
                <w:rPr>
                  <w:rFonts w:ascii="Arial" w:cs="Arial" w:eastAsia="Arial" w:hAnsi="Arial"/>
                  <w:sz w:val="16"/>
                  <w:szCs w:val="16"/>
                  <w:color w:val="0000EE"/>
                </w:rPr>
                <w:t>Item 1.</w:t>
              </w:r>
            </w:hyperlink>
          </w:p>
        </w:tc>
        <w:tc>
          <w:tcPr>
            <w:tcW w:w="8100" w:type="dxa"/>
            <w:vAlign w:val="bottom"/>
            <w:gridSpan w:val="17"/>
          </w:tcPr>
          <w:p>
            <w:pPr>
              <w:spacing w:after="0" w:line="176"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1980" w:type="dxa"/>
            <w:vAlign w:val="bottom"/>
            <w:gridSpan w:val="5"/>
          </w:tcPr>
          <w:p>
            <w:pPr>
              <w:jc w:val="right"/>
              <w:ind w:right="20"/>
              <w:spacing w:after="0" w:line="176" w:lineRule="exact"/>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shd w:val="clear" w:color="auto" w:fill="BFBFBF"/>
          </w:tcPr>
          <w:p>
            <w:pPr>
              <w:spacing w:after="0"/>
              <w:rPr>
                <w:sz w:val="15"/>
                <w:szCs w:val="15"/>
                <w:color w:val="auto"/>
              </w:rPr>
            </w:pPr>
          </w:p>
        </w:tc>
        <w:tc>
          <w:tcPr>
            <w:tcW w:w="480" w:type="dxa"/>
            <w:vAlign w:val="bottom"/>
            <w:shd w:val="clear" w:color="auto" w:fill="BFBFBF"/>
          </w:tcPr>
          <w:p>
            <w:pPr>
              <w:spacing w:after="0"/>
              <w:rPr>
                <w:sz w:val="15"/>
                <w:szCs w:val="15"/>
                <w:color w:val="auto"/>
              </w:rPr>
            </w:pPr>
          </w:p>
        </w:tc>
        <w:tc>
          <w:tcPr>
            <w:tcW w:w="120" w:type="dxa"/>
            <w:vAlign w:val="bottom"/>
            <w:shd w:val="clear" w:color="auto" w:fill="BFBFBF"/>
          </w:tcPr>
          <w:p>
            <w:pPr>
              <w:spacing w:after="0"/>
              <w:rPr>
                <w:sz w:val="15"/>
                <w:szCs w:val="15"/>
                <w:color w:val="auto"/>
              </w:rPr>
            </w:pPr>
          </w:p>
        </w:tc>
        <w:tc>
          <w:tcPr>
            <w:tcW w:w="200" w:type="dxa"/>
            <w:vAlign w:val="bottom"/>
            <w:shd w:val="clear" w:color="auto" w:fill="BFBFBF"/>
          </w:tcPr>
          <w:p>
            <w:pPr>
              <w:spacing w:after="0"/>
              <w:rPr>
                <w:sz w:val="15"/>
                <w:szCs w:val="15"/>
                <w:color w:val="auto"/>
              </w:rPr>
            </w:pPr>
          </w:p>
        </w:tc>
        <w:tc>
          <w:tcPr>
            <w:tcW w:w="8100" w:type="dxa"/>
            <w:vAlign w:val="bottom"/>
            <w:gridSpan w:val="17"/>
            <w:shd w:val="clear" w:color="auto" w:fill="BFBFBF"/>
          </w:tcPr>
          <w:p>
            <w:pPr>
              <w:spacing w:after="0" w:line="176" w:lineRule="exact"/>
              <w:rPr>
                <w:rFonts w:ascii="Arial" w:cs="Arial" w:eastAsia="Arial" w:hAnsi="Arial"/>
                <w:sz w:val="16"/>
                <w:szCs w:val="16"/>
                <w:color w:val="0000EE"/>
              </w:rPr>
            </w:pPr>
            <w:hyperlink w:anchor="page4">
              <w:r>
                <w:rPr>
                  <w:rFonts w:ascii="Arial" w:cs="Arial" w:eastAsia="Arial" w:hAnsi="Arial"/>
                  <w:sz w:val="16"/>
                  <w:szCs w:val="16"/>
                  <w:color w:val="0000EE"/>
                </w:rPr>
                <w:t>Consolidated statements of income – three and six months ended June 30, 2019 and 2018</w:t>
              </w:r>
            </w:hyperlink>
          </w:p>
        </w:tc>
        <w:tc>
          <w:tcPr>
            <w:tcW w:w="1980" w:type="dxa"/>
            <w:vAlign w:val="bottom"/>
            <w:gridSpan w:val="5"/>
            <w:shd w:val="clear" w:color="auto" w:fill="BFBFBF"/>
          </w:tcPr>
          <w:p>
            <w:pPr>
              <w:jc w:val="right"/>
              <w:ind w:right="20"/>
              <w:spacing w:after="0" w:line="176" w:lineRule="exact"/>
              <w:rPr>
                <w:rFonts w:ascii="Arial" w:cs="Arial" w:eastAsia="Arial" w:hAnsi="Arial"/>
                <w:sz w:val="16"/>
                <w:szCs w:val="16"/>
                <w:color w:val="0000EE"/>
              </w:rPr>
            </w:pPr>
            <w:hyperlink w:anchor="page4">
              <w:r>
                <w:rPr>
                  <w:rFonts w:ascii="Arial" w:cs="Arial" w:eastAsia="Arial" w:hAnsi="Arial"/>
                  <w:sz w:val="16"/>
                  <w:szCs w:val="16"/>
                  <w:color w:val="0000EE"/>
                </w:rPr>
                <w:t>3</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0000EE"/>
            </w:tcBorders>
            <w:shd w:val="clear" w:color="auto" w:fill="BFBFBF"/>
          </w:tcPr>
          <w:p>
            <w:pPr>
              <w:spacing w:after="0" w:line="20" w:lineRule="exact"/>
              <w:rPr>
                <w:sz w:val="1"/>
                <w:szCs w:val="1"/>
                <w:color w:val="auto"/>
              </w:rPr>
            </w:pPr>
          </w:p>
        </w:tc>
        <w:tc>
          <w:tcPr>
            <w:tcW w:w="220" w:type="dxa"/>
            <w:vAlign w:val="bottom"/>
            <w:tcBorders>
              <w:top w:val="single" w:sz="8" w:color="0000EE"/>
            </w:tcBorders>
            <w:shd w:val="clear" w:color="auto" w:fill="BFBFBF"/>
          </w:tcPr>
          <w:p>
            <w:pPr>
              <w:spacing w:after="0" w:line="20" w:lineRule="exact"/>
              <w:rPr>
                <w:sz w:val="1"/>
                <w:szCs w:val="1"/>
                <w:color w:val="auto"/>
              </w:rPr>
            </w:pPr>
          </w:p>
        </w:tc>
        <w:tc>
          <w:tcPr>
            <w:tcW w:w="60" w:type="dxa"/>
            <w:vAlign w:val="bottom"/>
            <w:tcBorders>
              <w:top w:val="single" w:sz="8" w:color="0000EE"/>
            </w:tcBorders>
            <w:shd w:val="clear" w:color="auto" w:fill="BFBFBF"/>
          </w:tcPr>
          <w:p>
            <w:pPr>
              <w:spacing w:after="0" w:line="20" w:lineRule="exact"/>
              <w:rPr>
                <w:sz w:val="1"/>
                <w:szCs w:val="1"/>
                <w:color w:val="auto"/>
              </w:rPr>
            </w:pPr>
          </w:p>
        </w:tc>
        <w:tc>
          <w:tcPr>
            <w:tcW w:w="200" w:type="dxa"/>
            <w:vAlign w:val="bottom"/>
            <w:tcBorders>
              <w:top w:val="single" w:sz="8" w:color="0000EE"/>
            </w:tcBorders>
            <w:shd w:val="clear" w:color="auto" w:fill="BFBFBF"/>
          </w:tcPr>
          <w:p>
            <w:pPr>
              <w:spacing w:after="0" w:line="20" w:lineRule="exact"/>
              <w:rPr>
                <w:sz w:val="1"/>
                <w:szCs w:val="1"/>
                <w:color w:val="auto"/>
              </w:rPr>
            </w:pPr>
          </w:p>
        </w:tc>
        <w:tc>
          <w:tcPr>
            <w:tcW w:w="260" w:type="dxa"/>
            <w:vAlign w:val="bottom"/>
            <w:tcBorders>
              <w:top w:val="single" w:sz="8" w:color="0000EE"/>
            </w:tcBorders>
            <w:shd w:val="clear" w:color="auto" w:fill="BFBFBF"/>
          </w:tcPr>
          <w:p>
            <w:pPr>
              <w:spacing w:after="0" w:line="20" w:lineRule="exact"/>
              <w:rPr>
                <w:sz w:val="1"/>
                <w:szCs w:val="1"/>
                <w:color w:val="auto"/>
              </w:rPr>
            </w:pPr>
          </w:p>
        </w:tc>
        <w:tc>
          <w:tcPr>
            <w:tcW w:w="780" w:type="dxa"/>
            <w:vAlign w:val="bottom"/>
            <w:tcBorders>
              <w:top w:val="single" w:sz="8" w:color="0000EE"/>
            </w:tcBorders>
            <w:shd w:val="clear" w:color="auto" w:fill="BFBFBF"/>
          </w:tcPr>
          <w:p>
            <w:pPr>
              <w:spacing w:after="0" w:line="20" w:lineRule="exact"/>
              <w:rPr>
                <w:sz w:val="1"/>
                <w:szCs w:val="1"/>
                <w:color w:val="auto"/>
              </w:rPr>
            </w:pPr>
          </w:p>
        </w:tc>
        <w:tc>
          <w:tcPr>
            <w:tcW w:w="1180" w:type="dxa"/>
            <w:vAlign w:val="bottom"/>
            <w:tcBorders>
              <w:top w:val="single" w:sz="8" w:color="0000EE"/>
            </w:tcBorders>
            <w:shd w:val="clear" w:color="auto" w:fill="BFBFBF"/>
          </w:tcPr>
          <w:p>
            <w:pPr>
              <w:spacing w:after="0" w:line="20" w:lineRule="exact"/>
              <w:rPr>
                <w:sz w:val="1"/>
                <w:szCs w:val="1"/>
                <w:color w:val="auto"/>
              </w:rPr>
            </w:pPr>
          </w:p>
        </w:tc>
        <w:tc>
          <w:tcPr>
            <w:tcW w:w="140" w:type="dxa"/>
            <w:vAlign w:val="bottom"/>
            <w:tcBorders>
              <w:top w:val="single" w:sz="8" w:color="0000EE"/>
            </w:tcBorders>
            <w:shd w:val="clear" w:color="auto" w:fill="BFBFBF"/>
          </w:tcPr>
          <w:p>
            <w:pPr>
              <w:spacing w:after="0" w:line="20" w:lineRule="exact"/>
              <w:rPr>
                <w:sz w:val="1"/>
                <w:szCs w:val="1"/>
                <w:color w:val="auto"/>
              </w:rPr>
            </w:pPr>
          </w:p>
        </w:tc>
        <w:tc>
          <w:tcPr>
            <w:tcW w:w="980" w:type="dxa"/>
            <w:vAlign w:val="bottom"/>
            <w:tcBorders>
              <w:top w:val="single" w:sz="8" w:color="0000EE"/>
            </w:tcBorders>
            <w:shd w:val="clear" w:color="auto" w:fill="BFBFBF"/>
          </w:tcPr>
          <w:p>
            <w:pPr>
              <w:spacing w:after="0" w:line="20" w:lineRule="exact"/>
              <w:rPr>
                <w:sz w:val="1"/>
                <w:szCs w:val="1"/>
                <w:color w:val="auto"/>
              </w:rPr>
            </w:pPr>
          </w:p>
        </w:tc>
        <w:tc>
          <w:tcPr>
            <w:tcW w:w="1040" w:type="dxa"/>
            <w:vAlign w:val="bottom"/>
            <w:tcBorders>
              <w:top w:val="single" w:sz="8" w:color="0000EE"/>
            </w:tcBorders>
            <w:shd w:val="clear" w:color="auto" w:fill="BFBFBF"/>
          </w:tcPr>
          <w:p>
            <w:pPr>
              <w:spacing w:after="0" w:line="20" w:lineRule="exact"/>
              <w:rPr>
                <w:sz w:val="1"/>
                <w:szCs w:val="1"/>
                <w:color w:val="auto"/>
              </w:rPr>
            </w:pPr>
          </w:p>
        </w:tc>
        <w:tc>
          <w:tcPr>
            <w:tcW w:w="120" w:type="dxa"/>
            <w:vAlign w:val="bottom"/>
            <w:tcBorders>
              <w:top w:val="single" w:sz="8" w:color="0000EE"/>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gridSpan w:val="17"/>
          </w:tcPr>
          <w:p>
            <w:pPr>
              <w:spacing w:after="0" w:line="176" w:lineRule="exact"/>
              <w:rPr>
                <w:rFonts w:ascii="Arial" w:cs="Arial" w:eastAsia="Arial" w:hAnsi="Arial"/>
                <w:sz w:val="16"/>
                <w:szCs w:val="16"/>
                <w:color w:val="0000EE"/>
              </w:rPr>
            </w:pPr>
            <w:hyperlink w:anchor="page5">
              <w:r>
                <w:rPr>
                  <w:rFonts w:ascii="Arial" w:cs="Arial" w:eastAsia="Arial" w:hAnsi="Arial"/>
                  <w:sz w:val="16"/>
                  <w:szCs w:val="16"/>
                  <w:color w:val="0000EE"/>
                </w:rPr>
                <w:t>Consolidated statements of comprehensive income/(loss) – three and six months ended June 30, 2019 and 2018</w:t>
              </w:r>
            </w:hyperlink>
          </w:p>
        </w:tc>
        <w:tc>
          <w:tcPr>
            <w:tcW w:w="1980" w:type="dxa"/>
            <w:vAlign w:val="bottom"/>
            <w:gridSpan w:val="5"/>
          </w:tcPr>
          <w:p>
            <w:pPr>
              <w:jc w:val="right"/>
              <w:ind w:right="20"/>
              <w:spacing w:after="0" w:line="176" w:lineRule="exact"/>
              <w:rPr>
                <w:rFonts w:ascii="Arial" w:cs="Arial" w:eastAsia="Arial" w:hAnsi="Arial"/>
                <w:sz w:val="16"/>
                <w:szCs w:val="16"/>
                <w:color w:val="0000EE"/>
              </w:rPr>
            </w:pPr>
            <w:hyperlink w:anchor="page5">
              <w:r>
                <w:rPr>
                  <w:rFonts w:ascii="Arial" w:cs="Arial" w:eastAsia="Arial" w:hAnsi="Arial"/>
                  <w:sz w:val="16"/>
                  <w:szCs w:val="16"/>
                  <w:color w:val="0000EE"/>
                </w:rPr>
                <w:t>4</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shd w:val="clear" w:color="auto" w:fill="BFBFBF"/>
          </w:tcPr>
          <w:p>
            <w:pPr>
              <w:spacing w:after="0"/>
              <w:rPr>
                <w:sz w:val="15"/>
                <w:szCs w:val="15"/>
                <w:color w:val="auto"/>
              </w:rPr>
            </w:pPr>
          </w:p>
        </w:tc>
        <w:tc>
          <w:tcPr>
            <w:tcW w:w="480" w:type="dxa"/>
            <w:vAlign w:val="bottom"/>
            <w:shd w:val="clear" w:color="auto" w:fill="BFBFBF"/>
          </w:tcPr>
          <w:p>
            <w:pPr>
              <w:spacing w:after="0"/>
              <w:rPr>
                <w:sz w:val="15"/>
                <w:szCs w:val="15"/>
                <w:color w:val="auto"/>
              </w:rPr>
            </w:pPr>
          </w:p>
        </w:tc>
        <w:tc>
          <w:tcPr>
            <w:tcW w:w="120" w:type="dxa"/>
            <w:vAlign w:val="bottom"/>
            <w:shd w:val="clear" w:color="auto" w:fill="BFBFBF"/>
          </w:tcPr>
          <w:p>
            <w:pPr>
              <w:spacing w:after="0"/>
              <w:rPr>
                <w:sz w:val="15"/>
                <w:szCs w:val="15"/>
                <w:color w:val="auto"/>
              </w:rPr>
            </w:pPr>
          </w:p>
        </w:tc>
        <w:tc>
          <w:tcPr>
            <w:tcW w:w="200" w:type="dxa"/>
            <w:vAlign w:val="bottom"/>
            <w:shd w:val="clear" w:color="auto" w:fill="BFBFBF"/>
          </w:tcPr>
          <w:p>
            <w:pPr>
              <w:spacing w:after="0"/>
              <w:rPr>
                <w:sz w:val="15"/>
                <w:szCs w:val="15"/>
                <w:color w:val="auto"/>
              </w:rPr>
            </w:pPr>
          </w:p>
        </w:tc>
        <w:tc>
          <w:tcPr>
            <w:tcW w:w="5340" w:type="dxa"/>
            <w:vAlign w:val="bottom"/>
            <w:gridSpan w:val="13"/>
            <w:shd w:val="clear" w:color="auto" w:fill="BFBFBF"/>
          </w:tcPr>
          <w:p>
            <w:pPr>
              <w:spacing w:after="0" w:line="176" w:lineRule="exact"/>
              <w:rPr>
                <w:rFonts w:ascii="Arial" w:cs="Arial" w:eastAsia="Arial" w:hAnsi="Arial"/>
                <w:sz w:val="16"/>
                <w:szCs w:val="16"/>
                <w:color w:val="0000EE"/>
              </w:rPr>
            </w:pPr>
            <w:hyperlink w:anchor="page6">
              <w:r>
                <w:rPr>
                  <w:rFonts w:ascii="Arial" w:cs="Arial" w:eastAsia="Arial" w:hAnsi="Arial"/>
                  <w:sz w:val="16"/>
                  <w:szCs w:val="16"/>
                  <w:color w:val="0000EE"/>
                </w:rPr>
                <w:t>Consolidated balance sheets as of June 30, 2019 and December 31, 2018</w:t>
              </w:r>
            </w:hyperlink>
          </w:p>
        </w:tc>
        <w:tc>
          <w:tcPr>
            <w:tcW w:w="2760" w:type="dxa"/>
            <w:vAlign w:val="bottom"/>
            <w:gridSpan w:val="4"/>
            <w:shd w:val="clear" w:color="auto" w:fill="BFBFBF"/>
          </w:tcPr>
          <w:p>
            <w:pPr>
              <w:spacing w:after="0"/>
              <w:rPr>
                <w:sz w:val="15"/>
                <w:szCs w:val="15"/>
                <w:color w:val="auto"/>
              </w:rPr>
            </w:pPr>
          </w:p>
        </w:tc>
        <w:tc>
          <w:tcPr>
            <w:tcW w:w="1980" w:type="dxa"/>
            <w:vAlign w:val="bottom"/>
            <w:gridSpan w:val="5"/>
            <w:shd w:val="clear" w:color="auto" w:fill="BFBFBF"/>
          </w:tcPr>
          <w:p>
            <w:pPr>
              <w:jc w:val="right"/>
              <w:ind w:right="20"/>
              <w:spacing w:after="0" w:line="176" w:lineRule="exact"/>
              <w:rPr>
                <w:rFonts w:ascii="Arial" w:cs="Arial" w:eastAsia="Arial" w:hAnsi="Arial"/>
                <w:sz w:val="16"/>
                <w:szCs w:val="16"/>
                <w:color w:val="0000EE"/>
              </w:rPr>
            </w:pPr>
            <w:hyperlink w:anchor="page6">
              <w:r>
                <w:rPr>
                  <w:rFonts w:ascii="Arial" w:cs="Arial" w:eastAsia="Arial" w:hAnsi="Arial"/>
                  <w:sz w:val="16"/>
                  <w:szCs w:val="16"/>
                  <w:color w:val="0000EE"/>
                </w:rPr>
                <w:t>5</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0000EE"/>
            </w:tcBorders>
            <w:shd w:val="clear" w:color="auto" w:fill="BFBFBF"/>
          </w:tcPr>
          <w:p>
            <w:pPr>
              <w:spacing w:after="0" w:line="20" w:lineRule="exact"/>
              <w:rPr>
                <w:sz w:val="1"/>
                <w:szCs w:val="1"/>
                <w:color w:val="auto"/>
              </w:rPr>
            </w:pPr>
          </w:p>
        </w:tc>
        <w:tc>
          <w:tcPr>
            <w:tcW w:w="220" w:type="dxa"/>
            <w:vAlign w:val="bottom"/>
            <w:tcBorders>
              <w:top w:val="single" w:sz="8" w:color="0000EE"/>
            </w:tcBorders>
            <w:shd w:val="clear" w:color="auto" w:fill="BFBFBF"/>
          </w:tcPr>
          <w:p>
            <w:pPr>
              <w:spacing w:after="0" w:line="20" w:lineRule="exact"/>
              <w:rPr>
                <w:sz w:val="1"/>
                <w:szCs w:val="1"/>
                <w:color w:val="auto"/>
              </w:rPr>
            </w:pPr>
          </w:p>
        </w:tc>
        <w:tc>
          <w:tcPr>
            <w:tcW w:w="60" w:type="dxa"/>
            <w:vAlign w:val="bottom"/>
            <w:tcBorders>
              <w:top w:val="single" w:sz="8" w:color="0000EE"/>
            </w:tcBorders>
            <w:shd w:val="clear" w:color="auto" w:fill="BFBFBF"/>
          </w:tcPr>
          <w:p>
            <w:pPr>
              <w:spacing w:after="0" w:line="20" w:lineRule="exact"/>
              <w:rPr>
                <w:sz w:val="1"/>
                <w:szCs w:val="1"/>
                <w:color w:val="auto"/>
              </w:rPr>
            </w:pPr>
          </w:p>
        </w:tc>
        <w:tc>
          <w:tcPr>
            <w:tcW w:w="200" w:type="dxa"/>
            <w:vAlign w:val="bottom"/>
            <w:tcBorders>
              <w:top w:val="single" w:sz="8" w:color="0000EE"/>
            </w:tcBorders>
            <w:shd w:val="clear" w:color="auto" w:fill="BFBFBF"/>
          </w:tcPr>
          <w:p>
            <w:pPr>
              <w:spacing w:after="0" w:line="20" w:lineRule="exact"/>
              <w:rPr>
                <w:sz w:val="1"/>
                <w:szCs w:val="1"/>
                <w:color w:val="auto"/>
              </w:rPr>
            </w:pPr>
          </w:p>
        </w:tc>
        <w:tc>
          <w:tcPr>
            <w:tcW w:w="260" w:type="dxa"/>
            <w:vAlign w:val="bottom"/>
            <w:tcBorders>
              <w:top w:val="single" w:sz="8" w:color="0000EE"/>
            </w:tcBorders>
            <w:shd w:val="clear" w:color="auto" w:fill="BFBFBF"/>
          </w:tcPr>
          <w:p>
            <w:pPr>
              <w:spacing w:after="0" w:line="20" w:lineRule="exact"/>
              <w:rPr>
                <w:sz w:val="1"/>
                <w:szCs w:val="1"/>
                <w:color w:val="auto"/>
              </w:rPr>
            </w:pPr>
          </w:p>
        </w:tc>
        <w:tc>
          <w:tcPr>
            <w:tcW w:w="780" w:type="dxa"/>
            <w:vAlign w:val="bottom"/>
            <w:tcBorders>
              <w:top w:val="single" w:sz="8" w:color="0000EE"/>
            </w:tcBorders>
            <w:shd w:val="clear" w:color="auto" w:fill="BFBFBF"/>
          </w:tcPr>
          <w:p>
            <w:pPr>
              <w:spacing w:after="0" w:line="20" w:lineRule="exact"/>
              <w:rPr>
                <w:sz w:val="1"/>
                <w:szCs w:val="1"/>
                <w:color w:val="auto"/>
              </w:rPr>
            </w:pPr>
          </w:p>
        </w:tc>
        <w:tc>
          <w:tcPr>
            <w:tcW w:w="1180" w:type="dxa"/>
            <w:vAlign w:val="bottom"/>
            <w:tcBorders>
              <w:top w:val="single" w:sz="8" w:color="0000EE"/>
            </w:tcBorders>
            <w:shd w:val="clear" w:color="auto" w:fill="BFBFBF"/>
          </w:tcPr>
          <w:p>
            <w:pPr>
              <w:spacing w:after="0" w:line="20" w:lineRule="exact"/>
              <w:rPr>
                <w:sz w:val="1"/>
                <w:szCs w:val="1"/>
                <w:color w:val="auto"/>
              </w:rPr>
            </w:pPr>
          </w:p>
        </w:tc>
        <w:tc>
          <w:tcPr>
            <w:tcW w:w="140" w:type="dxa"/>
            <w:vAlign w:val="bottom"/>
            <w:tcBorders>
              <w:top w:val="single" w:sz="8" w:color="0000EE"/>
            </w:tcBorders>
            <w:shd w:val="clear" w:color="auto" w:fill="BFBFBF"/>
          </w:tcPr>
          <w:p>
            <w:pPr>
              <w:spacing w:after="0" w:line="20" w:lineRule="exact"/>
              <w:rPr>
                <w:sz w:val="1"/>
                <w:szCs w:val="1"/>
                <w:color w:val="auto"/>
              </w:rPr>
            </w:pPr>
          </w:p>
        </w:tc>
        <w:tc>
          <w:tcPr>
            <w:tcW w:w="980" w:type="dxa"/>
            <w:vAlign w:val="bottom"/>
            <w:tcBorders>
              <w:top w:val="single" w:sz="8" w:color="0000EE"/>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176"/>
        </w:trPr>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100" w:type="dxa"/>
            <w:vAlign w:val="bottom"/>
            <w:gridSpan w:val="17"/>
          </w:tcPr>
          <w:p>
            <w:pPr>
              <w:spacing w:after="0" w:line="176" w:lineRule="exact"/>
              <w:rPr>
                <w:rFonts w:ascii="Arial" w:cs="Arial" w:eastAsia="Arial" w:hAnsi="Arial"/>
                <w:sz w:val="16"/>
                <w:szCs w:val="16"/>
                <w:color w:val="0000EE"/>
              </w:rPr>
            </w:pPr>
            <w:hyperlink w:anchor="page7">
              <w:r>
                <w:rPr>
                  <w:rFonts w:ascii="Arial" w:cs="Arial" w:eastAsia="Arial" w:hAnsi="Arial"/>
                  <w:sz w:val="16"/>
                  <w:szCs w:val="16"/>
                  <w:color w:val="0000EE"/>
                </w:rPr>
                <w:t>Consolidated statements of cash flows – three and six months ended June 30, 2019 and 2018</w:t>
              </w:r>
            </w:hyperlink>
          </w:p>
        </w:tc>
        <w:tc>
          <w:tcPr>
            <w:tcW w:w="1980" w:type="dxa"/>
            <w:vAlign w:val="bottom"/>
            <w:gridSpan w:val="5"/>
          </w:tcPr>
          <w:p>
            <w:pPr>
              <w:jc w:val="right"/>
              <w:ind w:right="20"/>
              <w:spacing w:after="0" w:line="176" w:lineRule="exact"/>
              <w:rPr>
                <w:rFonts w:ascii="Arial" w:cs="Arial" w:eastAsia="Arial" w:hAnsi="Arial"/>
                <w:sz w:val="16"/>
                <w:szCs w:val="16"/>
                <w:color w:val="0000EE"/>
              </w:rPr>
            </w:pPr>
            <w:hyperlink w:anchor="page7">
              <w:r>
                <w:rPr>
                  <w:rFonts w:ascii="Arial" w:cs="Arial" w:eastAsia="Arial" w:hAnsi="Arial"/>
                  <w:sz w:val="16"/>
                  <w:szCs w:val="16"/>
                  <w:color w:val="0000EE"/>
                </w:rPr>
                <w:t>6</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shd w:val="clear" w:color="auto" w:fill="BFBFBF"/>
          </w:tcPr>
          <w:p>
            <w:pPr>
              <w:spacing w:after="0"/>
              <w:rPr>
                <w:sz w:val="15"/>
                <w:szCs w:val="15"/>
                <w:color w:val="auto"/>
              </w:rPr>
            </w:pPr>
          </w:p>
        </w:tc>
        <w:tc>
          <w:tcPr>
            <w:tcW w:w="480" w:type="dxa"/>
            <w:vAlign w:val="bottom"/>
            <w:shd w:val="clear" w:color="auto" w:fill="BFBFBF"/>
          </w:tcPr>
          <w:p>
            <w:pPr>
              <w:spacing w:after="0"/>
              <w:rPr>
                <w:sz w:val="15"/>
                <w:szCs w:val="15"/>
                <w:color w:val="auto"/>
              </w:rPr>
            </w:pPr>
          </w:p>
        </w:tc>
        <w:tc>
          <w:tcPr>
            <w:tcW w:w="120" w:type="dxa"/>
            <w:vAlign w:val="bottom"/>
            <w:shd w:val="clear" w:color="auto" w:fill="BFBFBF"/>
          </w:tcPr>
          <w:p>
            <w:pPr>
              <w:spacing w:after="0"/>
              <w:rPr>
                <w:sz w:val="15"/>
                <w:szCs w:val="15"/>
                <w:color w:val="auto"/>
              </w:rPr>
            </w:pPr>
          </w:p>
        </w:tc>
        <w:tc>
          <w:tcPr>
            <w:tcW w:w="200" w:type="dxa"/>
            <w:vAlign w:val="bottom"/>
            <w:shd w:val="clear" w:color="auto" w:fill="BFBFBF"/>
          </w:tcPr>
          <w:p>
            <w:pPr>
              <w:spacing w:after="0"/>
              <w:rPr>
                <w:sz w:val="15"/>
                <w:szCs w:val="15"/>
                <w:color w:val="auto"/>
              </w:rPr>
            </w:pPr>
          </w:p>
        </w:tc>
        <w:tc>
          <w:tcPr>
            <w:tcW w:w="3040" w:type="dxa"/>
            <w:vAlign w:val="bottom"/>
            <w:gridSpan w:val="10"/>
            <w:shd w:val="clear" w:color="auto" w:fill="BFBFBF"/>
          </w:tcPr>
          <w:p>
            <w:pPr>
              <w:spacing w:after="0" w:line="176" w:lineRule="exact"/>
              <w:rPr>
                <w:rFonts w:ascii="Arial" w:cs="Arial" w:eastAsia="Arial" w:hAnsi="Arial"/>
                <w:sz w:val="16"/>
                <w:szCs w:val="16"/>
                <w:color w:val="0000EE"/>
              </w:rPr>
            </w:pPr>
            <w:hyperlink w:anchor="page8">
              <w:r>
                <w:rPr>
                  <w:rFonts w:ascii="Arial" w:cs="Arial" w:eastAsia="Arial" w:hAnsi="Arial"/>
                  <w:sz w:val="16"/>
                  <w:szCs w:val="16"/>
                  <w:color w:val="0000EE"/>
                </w:rPr>
                <w:t>Notes to consolidated financial statements</w:t>
              </w:r>
            </w:hyperlink>
          </w:p>
        </w:tc>
        <w:tc>
          <w:tcPr>
            <w:tcW w:w="5060" w:type="dxa"/>
            <w:vAlign w:val="bottom"/>
            <w:gridSpan w:val="7"/>
            <w:shd w:val="clear" w:color="auto" w:fill="BFBFBF"/>
          </w:tcPr>
          <w:p>
            <w:pPr>
              <w:spacing w:after="0"/>
              <w:rPr>
                <w:sz w:val="15"/>
                <w:szCs w:val="15"/>
                <w:color w:val="auto"/>
              </w:rPr>
            </w:pPr>
          </w:p>
        </w:tc>
        <w:tc>
          <w:tcPr>
            <w:tcW w:w="1980" w:type="dxa"/>
            <w:vAlign w:val="bottom"/>
            <w:gridSpan w:val="5"/>
            <w:shd w:val="clear" w:color="auto" w:fill="BFBFBF"/>
          </w:tcPr>
          <w:p>
            <w:pPr>
              <w:jc w:val="right"/>
              <w:ind w:right="20"/>
              <w:spacing w:after="0" w:line="176" w:lineRule="exact"/>
              <w:rPr>
                <w:rFonts w:ascii="Arial" w:cs="Arial" w:eastAsia="Arial" w:hAnsi="Arial"/>
                <w:sz w:val="16"/>
                <w:szCs w:val="16"/>
                <w:color w:val="0000EE"/>
              </w:rPr>
            </w:pPr>
            <w:hyperlink w:anchor="page8">
              <w:r>
                <w:rPr>
                  <w:rFonts w:ascii="Arial" w:cs="Arial" w:eastAsia="Arial" w:hAnsi="Arial"/>
                  <w:sz w:val="16"/>
                  <w:szCs w:val="16"/>
                  <w:color w:val="0000EE"/>
                </w:rPr>
                <w:t>7</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0000EE"/>
            </w:tcBorders>
            <w:shd w:val="clear" w:color="auto" w:fill="BFBFBF"/>
          </w:tcPr>
          <w:p>
            <w:pPr>
              <w:spacing w:after="0" w:line="20" w:lineRule="exact"/>
              <w:rPr>
                <w:sz w:val="1"/>
                <w:szCs w:val="1"/>
                <w:color w:val="auto"/>
              </w:rPr>
            </w:pPr>
          </w:p>
        </w:tc>
        <w:tc>
          <w:tcPr>
            <w:tcW w:w="220" w:type="dxa"/>
            <w:vAlign w:val="bottom"/>
            <w:tcBorders>
              <w:top w:val="single" w:sz="8" w:color="0000EE"/>
            </w:tcBorders>
            <w:shd w:val="clear" w:color="auto" w:fill="BFBFBF"/>
          </w:tcPr>
          <w:p>
            <w:pPr>
              <w:spacing w:after="0" w:line="20" w:lineRule="exact"/>
              <w:rPr>
                <w:sz w:val="1"/>
                <w:szCs w:val="1"/>
                <w:color w:val="auto"/>
              </w:rPr>
            </w:pPr>
          </w:p>
        </w:tc>
        <w:tc>
          <w:tcPr>
            <w:tcW w:w="60" w:type="dxa"/>
            <w:vAlign w:val="bottom"/>
            <w:tcBorders>
              <w:top w:val="single" w:sz="8" w:color="0000EE"/>
            </w:tcBorders>
            <w:shd w:val="clear" w:color="auto" w:fill="BFBFBF"/>
          </w:tcPr>
          <w:p>
            <w:pPr>
              <w:spacing w:after="0" w:line="20" w:lineRule="exact"/>
              <w:rPr>
                <w:sz w:val="1"/>
                <w:szCs w:val="1"/>
                <w:color w:val="auto"/>
              </w:rPr>
            </w:pPr>
          </w:p>
        </w:tc>
        <w:tc>
          <w:tcPr>
            <w:tcW w:w="200" w:type="dxa"/>
            <w:vAlign w:val="bottom"/>
            <w:tcBorders>
              <w:top w:val="single" w:sz="8" w:color="0000EE"/>
            </w:tcBorders>
            <w:shd w:val="clear" w:color="auto" w:fill="BFBFBF"/>
          </w:tcPr>
          <w:p>
            <w:pPr>
              <w:spacing w:after="0" w:line="20" w:lineRule="exact"/>
              <w:rPr>
                <w:sz w:val="1"/>
                <w:szCs w:val="1"/>
                <w:color w:val="auto"/>
              </w:rPr>
            </w:pPr>
          </w:p>
        </w:tc>
        <w:tc>
          <w:tcPr>
            <w:tcW w:w="260" w:type="dxa"/>
            <w:vAlign w:val="bottom"/>
            <w:tcBorders>
              <w:top w:val="single" w:sz="8" w:color="0000EE"/>
            </w:tcBorders>
            <w:shd w:val="clear" w:color="auto" w:fill="BFBFBF"/>
          </w:tcPr>
          <w:p>
            <w:pPr>
              <w:spacing w:after="0" w:line="20" w:lineRule="exact"/>
              <w:rPr>
                <w:sz w:val="1"/>
                <w:szCs w:val="1"/>
                <w:color w:val="auto"/>
              </w:rPr>
            </w:pPr>
          </w:p>
        </w:tc>
        <w:tc>
          <w:tcPr>
            <w:tcW w:w="780" w:type="dxa"/>
            <w:vAlign w:val="bottom"/>
            <w:tcBorders>
              <w:top w:val="single" w:sz="8" w:color="0000EE"/>
            </w:tcBorders>
            <w:shd w:val="clear" w:color="auto" w:fill="BFBFBF"/>
          </w:tcPr>
          <w:p>
            <w:pPr>
              <w:spacing w:after="0" w:line="20" w:lineRule="exact"/>
              <w:rPr>
                <w:sz w:val="1"/>
                <w:szCs w:val="1"/>
                <w:color w:val="auto"/>
              </w:rPr>
            </w:pPr>
          </w:p>
        </w:tc>
        <w:tc>
          <w:tcPr>
            <w:tcW w:w="1180" w:type="dxa"/>
            <w:vAlign w:val="bottom"/>
            <w:tcBorders>
              <w:top w:val="single" w:sz="8" w:color="BFBFBF"/>
            </w:tcBorders>
            <w:shd w:val="clear" w:color="auto" w:fill="BFBFBF"/>
          </w:tcPr>
          <w:p>
            <w:pPr>
              <w:spacing w:after="0" w:line="20" w:lineRule="exact"/>
              <w:rPr>
                <w:sz w:val="1"/>
                <w:szCs w:val="1"/>
                <w:color w:val="auto"/>
              </w:rPr>
            </w:pPr>
          </w:p>
        </w:tc>
        <w:tc>
          <w:tcPr>
            <w:tcW w:w="140" w:type="dxa"/>
            <w:vAlign w:val="bottom"/>
            <w:tcBorders>
              <w:top w:val="single" w:sz="8" w:color="BFBFBF"/>
            </w:tcBorders>
            <w:shd w:val="clear" w:color="auto" w:fill="BFBFBF"/>
          </w:tcPr>
          <w:p>
            <w:pPr>
              <w:spacing w:after="0" w:line="20" w:lineRule="exact"/>
              <w:rPr>
                <w:sz w:val="1"/>
                <w:szCs w:val="1"/>
                <w:color w:val="auto"/>
              </w:rPr>
            </w:pPr>
          </w:p>
        </w:tc>
        <w:tc>
          <w:tcPr>
            <w:tcW w:w="980" w:type="dxa"/>
            <w:vAlign w:val="bottom"/>
            <w:tcBorders>
              <w:top w:val="single" w:sz="8" w:color="BFBFBF"/>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176"/>
        </w:trPr>
        <w:tc>
          <w:tcPr>
            <w:tcW w:w="1100" w:type="dxa"/>
            <w:vAlign w:val="bottom"/>
            <w:gridSpan w:val="4"/>
          </w:tcPr>
          <w:p>
            <w:pPr>
              <w:ind w:left="300"/>
              <w:spacing w:after="0" w:line="176" w:lineRule="exact"/>
              <w:rPr>
                <w:rFonts w:ascii="Arial" w:cs="Arial" w:eastAsia="Arial" w:hAnsi="Arial"/>
                <w:sz w:val="16"/>
                <w:szCs w:val="16"/>
                <w:color w:val="0000EE"/>
              </w:rPr>
            </w:pPr>
            <w:hyperlink w:anchor="page32">
              <w:r>
                <w:rPr>
                  <w:rFonts w:ascii="Arial" w:cs="Arial" w:eastAsia="Arial" w:hAnsi="Arial"/>
                  <w:sz w:val="16"/>
                  <w:szCs w:val="16"/>
                  <w:color w:val="0000EE"/>
                </w:rPr>
                <w:t>Item 2.</w:t>
              </w:r>
            </w:hyperlink>
          </w:p>
        </w:tc>
        <w:tc>
          <w:tcPr>
            <w:tcW w:w="8100" w:type="dxa"/>
            <w:vAlign w:val="bottom"/>
            <w:gridSpan w:val="17"/>
          </w:tcPr>
          <w:p>
            <w:pPr>
              <w:spacing w:after="0" w:line="176" w:lineRule="exact"/>
              <w:rPr>
                <w:rFonts w:ascii="Arial" w:cs="Arial" w:eastAsia="Arial" w:hAnsi="Arial"/>
                <w:sz w:val="16"/>
                <w:szCs w:val="16"/>
                <w:color w:val="0000EE"/>
              </w:rPr>
            </w:pPr>
            <w:hyperlink w:anchor="page32">
              <w:r>
                <w:rPr>
                  <w:rFonts w:ascii="Arial" w:cs="Arial" w:eastAsia="Arial" w:hAnsi="Arial"/>
                  <w:sz w:val="16"/>
                  <w:szCs w:val="16"/>
                  <w:color w:val="0000EE"/>
                </w:rPr>
                <w:t>Management's Discussion and Analysis of Financial Condition and Results of Operations</w:t>
              </w:r>
            </w:hyperlink>
          </w:p>
        </w:tc>
        <w:tc>
          <w:tcPr>
            <w:tcW w:w="1980" w:type="dxa"/>
            <w:vAlign w:val="bottom"/>
            <w:gridSpan w:val="5"/>
          </w:tcPr>
          <w:p>
            <w:pPr>
              <w:jc w:val="right"/>
              <w:spacing w:after="0" w:line="176" w:lineRule="exact"/>
              <w:rPr>
                <w:rFonts w:ascii="Arial" w:cs="Arial" w:eastAsia="Arial" w:hAnsi="Arial"/>
                <w:sz w:val="16"/>
                <w:szCs w:val="16"/>
                <w:color w:val="0000EE"/>
              </w:rPr>
            </w:pPr>
            <w:hyperlink w:anchor="page32">
              <w:r>
                <w:rPr>
                  <w:rFonts w:ascii="Arial" w:cs="Arial" w:eastAsia="Arial" w:hAnsi="Arial"/>
                  <w:sz w:val="16"/>
                  <w:szCs w:val="16"/>
                  <w:color w:val="0000EE"/>
                </w:rPr>
                <w:t>31</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300" w:type="dxa"/>
            <w:vAlign w:val="bottom"/>
            <w:shd w:val="clear" w:color="auto" w:fill="BFBFBF"/>
          </w:tcPr>
          <w:p>
            <w:pPr>
              <w:spacing w:after="0"/>
              <w:rPr>
                <w:sz w:val="15"/>
                <w:szCs w:val="15"/>
                <w:color w:val="auto"/>
              </w:rPr>
            </w:pPr>
          </w:p>
        </w:tc>
        <w:tc>
          <w:tcPr>
            <w:tcW w:w="480" w:type="dxa"/>
            <w:vAlign w:val="bottom"/>
            <w:shd w:val="clear" w:color="auto" w:fill="BFBFBF"/>
          </w:tcPr>
          <w:p>
            <w:pPr>
              <w:spacing w:after="0"/>
              <w:rPr>
                <w:sz w:val="15"/>
                <w:szCs w:val="15"/>
                <w:color w:val="auto"/>
              </w:rPr>
            </w:pPr>
          </w:p>
        </w:tc>
        <w:tc>
          <w:tcPr>
            <w:tcW w:w="120" w:type="dxa"/>
            <w:vAlign w:val="bottom"/>
            <w:shd w:val="clear" w:color="auto" w:fill="BFBFBF"/>
          </w:tcPr>
          <w:p>
            <w:pPr>
              <w:spacing w:after="0"/>
              <w:rPr>
                <w:sz w:val="15"/>
                <w:szCs w:val="15"/>
                <w:color w:val="auto"/>
              </w:rPr>
            </w:pPr>
          </w:p>
        </w:tc>
        <w:tc>
          <w:tcPr>
            <w:tcW w:w="200" w:type="dxa"/>
            <w:vAlign w:val="bottom"/>
            <w:shd w:val="clear" w:color="auto" w:fill="BFBFBF"/>
          </w:tcPr>
          <w:p>
            <w:pPr>
              <w:spacing w:after="0"/>
              <w:rPr>
                <w:sz w:val="15"/>
                <w:szCs w:val="15"/>
                <w:color w:val="auto"/>
              </w:rPr>
            </w:pPr>
          </w:p>
        </w:tc>
        <w:tc>
          <w:tcPr>
            <w:tcW w:w="8100" w:type="dxa"/>
            <w:vAlign w:val="bottom"/>
            <w:gridSpan w:val="17"/>
            <w:shd w:val="clear" w:color="auto" w:fill="BFBFBF"/>
          </w:tcPr>
          <w:p>
            <w:pPr>
              <w:spacing w:after="0" w:line="176" w:lineRule="exact"/>
              <w:rPr>
                <w:rFonts w:ascii="Arial" w:cs="Arial" w:eastAsia="Arial" w:hAnsi="Arial"/>
                <w:sz w:val="16"/>
                <w:szCs w:val="16"/>
                <w:color w:val="0000EE"/>
              </w:rPr>
            </w:pPr>
            <w:hyperlink w:anchor="page32">
              <w:r>
                <w:rPr>
                  <w:rFonts w:ascii="Arial" w:cs="Arial" w:eastAsia="Arial" w:hAnsi="Arial"/>
                  <w:sz w:val="16"/>
                  <w:szCs w:val="16"/>
                  <w:color w:val="0000EE"/>
                </w:rPr>
                <w:t>Forward-looking statements</w:t>
              </w:r>
            </w:hyperlink>
          </w:p>
        </w:tc>
        <w:tc>
          <w:tcPr>
            <w:tcW w:w="1980" w:type="dxa"/>
            <w:vAlign w:val="bottom"/>
            <w:gridSpan w:val="5"/>
            <w:shd w:val="clear" w:color="auto" w:fill="BFBFBF"/>
          </w:tcPr>
          <w:p>
            <w:pPr>
              <w:jc w:val="right"/>
              <w:spacing w:after="0" w:line="176" w:lineRule="exact"/>
              <w:rPr>
                <w:rFonts w:ascii="Arial" w:cs="Arial" w:eastAsia="Arial" w:hAnsi="Arial"/>
                <w:sz w:val="16"/>
                <w:szCs w:val="16"/>
                <w:color w:val="0000EE"/>
              </w:rPr>
            </w:pPr>
            <w:hyperlink w:anchor="page32">
              <w:r>
                <w:rPr>
                  <w:rFonts w:ascii="Arial" w:cs="Arial" w:eastAsia="Arial" w:hAnsi="Arial"/>
                  <w:sz w:val="16"/>
                  <w:szCs w:val="16"/>
                  <w:color w:val="0000EE"/>
                </w:rPr>
                <w:t>31</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0000EE"/>
            </w:tcBorders>
            <w:shd w:val="clear" w:color="auto" w:fill="BFBFBF"/>
          </w:tcPr>
          <w:p>
            <w:pPr>
              <w:spacing w:after="0" w:line="20" w:lineRule="exact"/>
              <w:rPr>
                <w:sz w:val="1"/>
                <w:szCs w:val="1"/>
                <w:color w:val="auto"/>
              </w:rPr>
            </w:pPr>
          </w:p>
        </w:tc>
        <w:tc>
          <w:tcPr>
            <w:tcW w:w="220" w:type="dxa"/>
            <w:vAlign w:val="bottom"/>
            <w:tcBorders>
              <w:top w:val="single" w:sz="8" w:color="0000EE"/>
            </w:tcBorders>
            <w:shd w:val="clear" w:color="auto" w:fill="BFBFBF"/>
          </w:tcPr>
          <w:p>
            <w:pPr>
              <w:spacing w:after="0" w:line="20" w:lineRule="exact"/>
              <w:rPr>
                <w:sz w:val="1"/>
                <w:szCs w:val="1"/>
                <w:color w:val="auto"/>
              </w:rPr>
            </w:pPr>
          </w:p>
        </w:tc>
        <w:tc>
          <w:tcPr>
            <w:tcW w:w="60" w:type="dxa"/>
            <w:vAlign w:val="bottom"/>
            <w:tcBorders>
              <w:top w:val="single" w:sz="8" w:color="0000EE"/>
            </w:tcBorders>
            <w:shd w:val="clear" w:color="auto" w:fill="BFBFBF"/>
          </w:tcPr>
          <w:p>
            <w:pPr>
              <w:spacing w:after="0" w:line="20" w:lineRule="exact"/>
              <w:rPr>
                <w:sz w:val="1"/>
                <w:szCs w:val="1"/>
                <w:color w:val="auto"/>
              </w:rPr>
            </w:pPr>
          </w:p>
        </w:tc>
        <w:tc>
          <w:tcPr>
            <w:tcW w:w="200" w:type="dxa"/>
            <w:vAlign w:val="bottom"/>
            <w:tcBorders>
              <w:top w:val="single" w:sz="8" w:color="0000EE"/>
            </w:tcBorders>
            <w:shd w:val="clear" w:color="auto" w:fill="BFBFBF"/>
          </w:tcPr>
          <w:p>
            <w:pPr>
              <w:spacing w:after="0" w:line="20" w:lineRule="exact"/>
              <w:rPr>
                <w:sz w:val="1"/>
                <w:szCs w:val="1"/>
                <w:color w:val="auto"/>
              </w:rPr>
            </w:pPr>
          </w:p>
        </w:tc>
        <w:tc>
          <w:tcPr>
            <w:tcW w:w="260" w:type="dxa"/>
            <w:vAlign w:val="bottom"/>
            <w:tcBorders>
              <w:top w:val="single" w:sz="8" w:color="BFBFBF"/>
            </w:tcBorders>
            <w:shd w:val="clear" w:color="auto" w:fill="BFBFBF"/>
          </w:tcPr>
          <w:p>
            <w:pPr>
              <w:spacing w:after="0" w:line="20" w:lineRule="exact"/>
              <w:rPr>
                <w:sz w:val="1"/>
                <w:szCs w:val="1"/>
                <w:color w:val="auto"/>
              </w:rPr>
            </w:pPr>
          </w:p>
        </w:tc>
        <w:tc>
          <w:tcPr>
            <w:tcW w:w="780" w:type="dxa"/>
            <w:vAlign w:val="bottom"/>
            <w:tcBorders>
              <w:top w:val="single" w:sz="8" w:color="BFBFBF"/>
            </w:tcBorders>
            <w:shd w:val="clear" w:color="auto" w:fill="BFBFBF"/>
          </w:tcPr>
          <w:p>
            <w:pPr>
              <w:spacing w:after="0" w:line="20" w:lineRule="exact"/>
              <w:rPr>
                <w:sz w:val="1"/>
                <w:szCs w:val="1"/>
                <w:color w:val="auto"/>
              </w:rPr>
            </w:pPr>
          </w:p>
        </w:tc>
        <w:tc>
          <w:tcPr>
            <w:tcW w:w="1180" w:type="dxa"/>
            <w:vAlign w:val="bottom"/>
            <w:tcBorders>
              <w:top w:val="single" w:sz="8" w:color="BFBFBF"/>
            </w:tcBorders>
            <w:shd w:val="clear" w:color="auto" w:fill="BFBFBF"/>
          </w:tcPr>
          <w:p>
            <w:pPr>
              <w:spacing w:after="0" w:line="20" w:lineRule="exact"/>
              <w:rPr>
                <w:sz w:val="1"/>
                <w:szCs w:val="1"/>
                <w:color w:val="auto"/>
              </w:rPr>
            </w:pPr>
          </w:p>
        </w:tc>
        <w:tc>
          <w:tcPr>
            <w:tcW w:w="140" w:type="dxa"/>
            <w:vAlign w:val="bottom"/>
            <w:tcBorders>
              <w:top w:val="single" w:sz="8" w:color="BFBFBF"/>
            </w:tcBorders>
            <w:shd w:val="clear" w:color="auto" w:fill="BFBFBF"/>
          </w:tcPr>
          <w:p>
            <w:pPr>
              <w:spacing w:after="0" w:line="20" w:lineRule="exact"/>
              <w:rPr>
                <w:sz w:val="1"/>
                <w:szCs w:val="1"/>
                <w:color w:val="auto"/>
              </w:rPr>
            </w:pPr>
          </w:p>
        </w:tc>
        <w:tc>
          <w:tcPr>
            <w:tcW w:w="980" w:type="dxa"/>
            <w:vAlign w:val="bottom"/>
            <w:tcBorders>
              <w:top w:val="single" w:sz="8" w:color="BFBFBF"/>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176"/>
        </w:trPr>
        <w:tc>
          <w:tcPr>
            <w:tcW w:w="1100" w:type="dxa"/>
            <w:vAlign w:val="bottom"/>
            <w:gridSpan w:val="4"/>
          </w:tcPr>
          <w:p>
            <w:pPr>
              <w:ind w:left="300"/>
              <w:spacing w:after="0" w:line="176" w:lineRule="exact"/>
              <w:rPr>
                <w:rFonts w:ascii="Arial" w:cs="Arial" w:eastAsia="Arial" w:hAnsi="Arial"/>
                <w:sz w:val="16"/>
                <w:szCs w:val="16"/>
                <w:color w:val="0000EE"/>
              </w:rPr>
            </w:pPr>
            <w:hyperlink w:anchor="page47">
              <w:r>
                <w:rPr>
                  <w:rFonts w:ascii="Arial" w:cs="Arial" w:eastAsia="Arial" w:hAnsi="Arial"/>
                  <w:sz w:val="16"/>
                  <w:szCs w:val="16"/>
                  <w:color w:val="0000EE"/>
                </w:rPr>
                <w:t>Item 3.</w:t>
              </w:r>
            </w:hyperlink>
          </w:p>
        </w:tc>
        <w:tc>
          <w:tcPr>
            <w:tcW w:w="8100" w:type="dxa"/>
            <w:vAlign w:val="bottom"/>
            <w:gridSpan w:val="17"/>
          </w:tcPr>
          <w:p>
            <w:pPr>
              <w:spacing w:after="0" w:line="176" w:lineRule="exact"/>
              <w:rPr>
                <w:rFonts w:ascii="Arial" w:cs="Arial" w:eastAsia="Arial" w:hAnsi="Arial"/>
                <w:sz w:val="16"/>
                <w:szCs w:val="16"/>
                <w:color w:val="0000EE"/>
              </w:rPr>
            </w:pPr>
            <w:hyperlink w:anchor="page47">
              <w:r>
                <w:rPr>
                  <w:rFonts w:ascii="Arial" w:cs="Arial" w:eastAsia="Arial" w:hAnsi="Arial"/>
                  <w:sz w:val="16"/>
                  <w:szCs w:val="16"/>
                  <w:color w:val="0000EE"/>
                </w:rPr>
                <w:t>Quantitative and Qualitative Disclosures about Market Risk</w:t>
              </w:r>
            </w:hyperlink>
          </w:p>
        </w:tc>
        <w:tc>
          <w:tcPr>
            <w:tcW w:w="1980" w:type="dxa"/>
            <w:vAlign w:val="bottom"/>
            <w:gridSpan w:val="5"/>
          </w:tcPr>
          <w:p>
            <w:pPr>
              <w:jc w:val="right"/>
              <w:spacing w:after="0" w:line="176" w:lineRule="exact"/>
              <w:rPr>
                <w:rFonts w:ascii="Arial" w:cs="Arial" w:eastAsia="Arial" w:hAnsi="Arial"/>
                <w:sz w:val="16"/>
                <w:szCs w:val="16"/>
                <w:color w:val="0000EE"/>
              </w:rPr>
            </w:pPr>
            <w:hyperlink w:anchor="page47">
              <w:r>
                <w:rPr>
                  <w:rFonts w:ascii="Arial" w:cs="Arial" w:eastAsia="Arial" w:hAnsi="Arial"/>
                  <w:sz w:val="16"/>
                  <w:szCs w:val="16"/>
                  <w:color w:val="0000EE"/>
                </w:rPr>
                <w:t>46</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0" w:type="dxa"/>
            <w:vAlign w:val="bottom"/>
            <w:gridSpan w:val="4"/>
            <w:shd w:val="clear" w:color="auto" w:fill="BFBFBF"/>
          </w:tcPr>
          <w:p>
            <w:pPr>
              <w:ind w:left="300"/>
              <w:spacing w:after="0" w:line="176" w:lineRule="exact"/>
              <w:rPr>
                <w:rFonts w:ascii="Arial" w:cs="Arial" w:eastAsia="Arial" w:hAnsi="Arial"/>
                <w:sz w:val="16"/>
                <w:szCs w:val="16"/>
                <w:color w:val="0000EE"/>
              </w:rPr>
            </w:pPr>
            <w:hyperlink w:anchor="page47">
              <w:r>
                <w:rPr>
                  <w:rFonts w:ascii="Arial" w:cs="Arial" w:eastAsia="Arial" w:hAnsi="Arial"/>
                  <w:sz w:val="16"/>
                  <w:szCs w:val="16"/>
                  <w:color w:val="0000EE"/>
                </w:rPr>
                <w:t>Item 4.</w:t>
              </w:r>
            </w:hyperlink>
          </w:p>
        </w:tc>
        <w:tc>
          <w:tcPr>
            <w:tcW w:w="8100" w:type="dxa"/>
            <w:vAlign w:val="bottom"/>
            <w:gridSpan w:val="17"/>
            <w:shd w:val="clear" w:color="auto" w:fill="BFBFBF"/>
          </w:tcPr>
          <w:p>
            <w:pPr>
              <w:spacing w:after="0" w:line="176" w:lineRule="exact"/>
              <w:rPr>
                <w:rFonts w:ascii="Arial" w:cs="Arial" w:eastAsia="Arial" w:hAnsi="Arial"/>
                <w:sz w:val="16"/>
                <w:szCs w:val="16"/>
                <w:color w:val="0000EE"/>
              </w:rPr>
            </w:pPr>
            <w:hyperlink w:anchor="page47">
              <w:r>
                <w:rPr>
                  <w:rFonts w:ascii="Arial" w:cs="Arial" w:eastAsia="Arial" w:hAnsi="Arial"/>
                  <w:sz w:val="16"/>
                  <w:szCs w:val="16"/>
                  <w:color w:val="0000EE"/>
                </w:rPr>
                <w:t>Controls and Procedures</w:t>
              </w:r>
            </w:hyperlink>
          </w:p>
        </w:tc>
        <w:tc>
          <w:tcPr>
            <w:tcW w:w="1980" w:type="dxa"/>
            <w:vAlign w:val="bottom"/>
            <w:gridSpan w:val="5"/>
            <w:shd w:val="clear" w:color="auto" w:fill="BFBFBF"/>
          </w:tcPr>
          <w:p>
            <w:pPr>
              <w:jc w:val="right"/>
              <w:spacing w:after="0" w:line="176" w:lineRule="exact"/>
              <w:rPr>
                <w:rFonts w:ascii="Arial" w:cs="Arial" w:eastAsia="Arial" w:hAnsi="Arial"/>
                <w:sz w:val="16"/>
                <w:szCs w:val="16"/>
                <w:color w:val="0000EE"/>
              </w:rPr>
            </w:pPr>
            <w:hyperlink w:anchor="page47">
              <w:r>
                <w:rPr>
                  <w:rFonts w:ascii="Arial" w:cs="Arial" w:eastAsia="Arial" w:hAnsi="Arial"/>
                  <w:sz w:val="16"/>
                  <w:szCs w:val="16"/>
                  <w:color w:val="0000EE"/>
                </w:rPr>
                <w:t>46</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0000EE"/>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0000EE"/>
            </w:tcBorders>
            <w:shd w:val="clear" w:color="auto" w:fill="BFBFBF"/>
          </w:tcPr>
          <w:p>
            <w:pPr>
              <w:spacing w:after="0" w:line="20" w:lineRule="exact"/>
              <w:rPr>
                <w:sz w:val="1"/>
                <w:szCs w:val="1"/>
                <w:color w:val="auto"/>
              </w:rPr>
            </w:pPr>
          </w:p>
        </w:tc>
        <w:tc>
          <w:tcPr>
            <w:tcW w:w="220" w:type="dxa"/>
            <w:vAlign w:val="bottom"/>
            <w:tcBorders>
              <w:top w:val="single" w:sz="8" w:color="0000EE"/>
            </w:tcBorders>
            <w:shd w:val="clear" w:color="auto" w:fill="BFBFBF"/>
          </w:tcPr>
          <w:p>
            <w:pPr>
              <w:spacing w:after="0" w:line="20" w:lineRule="exact"/>
              <w:rPr>
                <w:sz w:val="1"/>
                <w:szCs w:val="1"/>
                <w:color w:val="auto"/>
              </w:rPr>
            </w:pPr>
          </w:p>
        </w:tc>
        <w:tc>
          <w:tcPr>
            <w:tcW w:w="60" w:type="dxa"/>
            <w:vAlign w:val="bottom"/>
            <w:tcBorders>
              <w:top w:val="single" w:sz="8" w:color="0000EE"/>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260" w:type="dxa"/>
            <w:vAlign w:val="bottom"/>
            <w:tcBorders>
              <w:top w:val="single" w:sz="8" w:color="BFBFBF"/>
            </w:tcBorders>
            <w:shd w:val="clear" w:color="auto" w:fill="BFBFBF"/>
          </w:tcPr>
          <w:p>
            <w:pPr>
              <w:spacing w:after="0" w:line="20" w:lineRule="exact"/>
              <w:rPr>
                <w:sz w:val="1"/>
                <w:szCs w:val="1"/>
                <w:color w:val="auto"/>
              </w:rPr>
            </w:pPr>
          </w:p>
        </w:tc>
        <w:tc>
          <w:tcPr>
            <w:tcW w:w="780" w:type="dxa"/>
            <w:vAlign w:val="bottom"/>
            <w:tcBorders>
              <w:top w:val="single" w:sz="8" w:color="BFBFBF"/>
            </w:tcBorders>
            <w:shd w:val="clear" w:color="auto" w:fill="BFBFBF"/>
          </w:tcPr>
          <w:p>
            <w:pPr>
              <w:spacing w:after="0" w:line="20" w:lineRule="exact"/>
              <w:rPr>
                <w:sz w:val="1"/>
                <w:szCs w:val="1"/>
                <w:color w:val="auto"/>
              </w:rPr>
            </w:pPr>
          </w:p>
        </w:tc>
        <w:tc>
          <w:tcPr>
            <w:tcW w:w="1180" w:type="dxa"/>
            <w:vAlign w:val="bottom"/>
            <w:tcBorders>
              <w:top w:val="single" w:sz="8" w:color="BFBFBF"/>
            </w:tcBorders>
            <w:shd w:val="clear" w:color="auto" w:fill="BFBFBF"/>
          </w:tcPr>
          <w:p>
            <w:pPr>
              <w:spacing w:after="0" w:line="20" w:lineRule="exact"/>
              <w:rPr>
                <w:sz w:val="1"/>
                <w:szCs w:val="1"/>
                <w:color w:val="auto"/>
              </w:rPr>
            </w:pPr>
          </w:p>
        </w:tc>
        <w:tc>
          <w:tcPr>
            <w:tcW w:w="140" w:type="dxa"/>
            <w:vAlign w:val="bottom"/>
            <w:tcBorders>
              <w:top w:val="single" w:sz="8" w:color="BFBFBF"/>
            </w:tcBorders>
            <w:shd w:val="clear" w:color="auto" w:fill="BFBFBF"/>
          </w:tcPr>
          <w:p>
            <w:pPr>
              <w:spacing w:after="0" w:line="20" w:lineRule="exact"/>
              <w:rPr>
                <w:sz w:val="1"/>
                <w:szCs w:val="1"/>
                <w:color w:val="auto"/>
              </w:rPr>
            </w:pPr>
          </w:p>
        </w:tc>
        <w:tc>
          <w:tcPr>
            <w:tcW w:w="980" w:type="dxa"/>
            <w:vAlign w:val="bottom"/>
            <w:tcBorders>
              <w:top w:val="single" w:sz="8" w:color="BFBFBF"/>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429"/>
        </w:trPr>
        <w:tc>
          <w:tcPr>
            <w:tcW w:w="9200" w:type="dxa"/>
            <w:vAlign w:val="bottom"/>
            <w:gridSpan w:val="21"/>
          </w:tcPr>
          <w:p>
            <w:pPr>
              <w:ind w:left="20"/>
              <w:spacing w:after="0"/>
              <w:rPr>
                <w:sz w:val="20"/>
                <w:szCs w:val="20"/>
                <w:color w:val="auto"/>
              </w:rPr>
            </w:pPr>
            <w:r>
              <w:rPr>
                <w:rFonts w:ascii="Arial" w:cs="Arial" w:eastAsia="Arial" w:hAnsi="Arial"/>
                <w:sz w:val="16"/>
                <w:szCs w:val="16"/>
                <w:b w:val="1"/>
                <w:bCs w:val="1"/>
                <w:color w:val="auto"/>
              </w:rPr>
              <w:t>PART II OTHER INFORMATION</w:t>
            </w:r>
          </w:p>
        </w:tc>
        <w:tc>
          <w:tcPr>
            <w:tcW w:w="1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9"/>
        </w:trPr>
        <w:tc>
          <w:tcPr>
            <w:tcW w:w="1100" w:type="dxa"/>
            <w:vAlign w:val="bottom"/>
            <w:gridSpan w:val="4"/>
            <w:shd w:val="clear" w:color="auto" w:fill="BFBFBF"/>
          </w:tcPr>
          <w:p>
            <w:pPr>
              <w:ind w:left="300"/>
              <w:spacing w:after="0" w:line="178" w:lineRule="exact"/>
              <w:rPr>
                <w:rFonts w:ascii="Arial" w:cs="Arial" w:eastAsia="Arial" w:hAnsi="Arial"/>
                <w:sz w:val="16"/>
                <w:szCs w:val="16"/>
                <w:color w:val="0000EE"/>
              </w:rPr>
            </w:pPr>
            <w:hyperlink w:anchor="page49">
              <w:r>
                <w:rPr>
                  <w:rFonts w:ascii="Arial" w:cs="Arial" w:eastAsia="Arial" w:hAnsi="Arial"/>
                  <w:sz w:val="16"/>
                  <w:szCs w:val="16"/>
                  <w:color w:val="0000EE"/>
                </w:rPr>
                <w:t>Item 1.</w:t>
              </w:r>
            </w:hyperlink>
          </w:p>
        </w:tc>
        <w:tc>
          <w:tcPr>
            <w:tcW w:w="8100" w:type="dxa"/>
            <w:vAlign w:val="bottom"/>
            <w:gridSpan w:val="17"/>
            <w:shd w:val="clear" w:color="auto" w:fill="BFBFBF"/>
          </w:tcPr>
          <w:p>
            <w:pPr>
              <w:spacing w:after="0" w:line="178" w:lineRule="exact"/>
              <w:rPr>
                <w:rFonts w:ascii="Arial" w:cs="Arial" w:eastAsia="Arial" w:hAnsi="Arial"/>
                <w:sz w:val="16"/>
                <w:szCs w:val="16"/>
                <w:color w:val="0000EE"/>
              </w:rPr>
            </w:pPr>
            <w:hyperlink w:anchor="page49">
              <w:r>
                <w:rPr>
                  <w:rFonts w:ascii="Arial" w:cs="Arial" w:eastAsia="Arial" w:hAnsi="Arial"/>
                  <w:sz w:val="16"/>
                  <w:szCs w:val="16"/>
                  <w:color w:val="0000EE"/>
                </w:rPr>
                <w:t>Legal Proceedings</w:t>
              </w:r>
            </w:hyperlink>
          </w:p>
        </w:tc>
        <w:tc>
          <w:tcPr>
            <w:tcW w:w="1980" w:type="dxa"/>
            <w:vAlign w:val="bottom"/>
            <w:gridSpan w:val="5"/>
            <w:shd w:val="clear" w:color="auto" w:fill="BFBFBF"/>
          </w:tcPr>
          <w:p>
            <w:pPr>
              <w:jc w:val="right"/>
              <w:spacing w:after="0" w:line="178" w:lineRule="exact"/>
              <w:rPr>
                <w:rFonts w:ascii="Arial" w:cs="Arial" w:eastAsia="Arial" w:hAnsi="Arial"/>
                <w:sz w:val="16"/>
                <w:szCs w:val="16"/>
                <w:color w:val="0000EE"/>
              </w:rPr>
            </w:pPr>
            <w:hyperlink w:anchor="page49">
              <w:r>
                <w:rPr>
                  <w:rFonts w:ascii="Arial" w:cs="Arial" w:eastAsia="Arial" w:hAnsi="Arial"/>
                  <w:sz w:val="16"/>
                  <w:szCs w:val="16"/>
                  <w:color w:val="0000EE"/>
                </w:rPr>
                <w:t>48</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0000EE"/>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220" w:type="dxa"/>
            <w:vAlign w:val="bottom"/>
            <w:tcBorders>
              <w:top w:val="single" w:sz="8" w:color="BFBFBF"/>
            </w:tcBorders>
            <w:shd w:val="clear" w:color="auto" w:fill="BFBFBF"/>
          </w:tcPr>
          <w:p>
            <w:pPr>
              <w:spacing w:after="0" w:line="20" w:lineRule="exact"/>
              <w:rPr>
                <w:sz w:val="1"/>
                <w:szCs w:val="1"/>
                <w:color w:val="auto"/>
              </w:rPr>
            </w:pPr>
          </w:p>
        </w:tc>
        <w:tc>
          <w:tcPr>
            <w:tcW w:w="6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260" w:type="dxa"/>
            <w:vAlign w:val="bottom"/>
            <w:tcBorders>
              <w:top w:val="single" w:sz="8" w:color="BFBFBF"/>
            </w:tcBorders>
            <w:shd w:val="clear" w:color="auto" w:fill="BFBFBF"/>
          </w:tcPr>
          <w:p>
            <w:pPr>
              <w:spacing w:after="0" w:line="20" w:lineRule="exact"/>
              <w:rPr>
                <w:sz w:val="1"/>
                <w:szCs w:val="1"/>
                <w:color w:val="auto"/>
              </w:rPr>
            </w:pPr>
          </w:p>
        </w:tc>
        <w:tc>
          <w:tcPr>
            <w:tcW w:w="780" w:type="dxa"/>
            <w:vAlign w:val="bottom"/>
            <w:tcBorders>
              <w:top w:val="single" w:sz="8" w:color="BFBFBF"/>
            </w:tcBorders>
            <w:shd w:val="clear" w:color="auto" w:fill="BFBFBF"/>
          </w:tcPr>
          <w:p>
            <w:pPr>
              <w:spacing w:after="0" w:line="20" w:lineRule="exact"/>
              <w:rPr>
                <w:sz w:val="1"/>
                <w:szCs w:val="1"/>
                <w:color w:val="auto"/>
              </w:rPr>
            </w:pPr>
          </w:p>
        </w:tc>
        <w:tc>
          <w:tcPr>
            <w:tcW w:w="1180" w:type="dxa"/>
            <w:vAlign w:val="bottom"/>
            <w:tcBorders>
              <w:top w:val="single" w:sz="8" w:color="BFBFBF"/>
            </w:tcBorders>
            <w:shd w:val="clear" w:color="auto" w:fill="BFBFBF"/>
          </w:tcPr>
          <w:p>
            <w:pPr>
              <w:spacing w:after="0" w:line="20" w:lineRule="exact"/>
              <w:rPr>
                <w:sz w:val="1"/>
                <w:szCs w:val="1"/>
                <w:color w:val="auto"/>
              </w:rPr>
            </w:pPr>
          </w:p>
        </w:tc>
        <w:tc>
          <w:tcPr>
            <w:tcW w:w="140" w:type="dxa"/>
            <w:vAlign w:val="bottom"/>
            <w:tcBorders>
              <w:top w:val="single" w:sz="8" w:color="BFBFBF"/>
            </w:tcBorders>
            <w:shd w:val="clear" w:color="auto" w:fill="BFBFBF"/>
          </w:tcPr>
          <w:p>
            <w:pPr>
              <w:spacing w:after="0" w:line="20" w:lineRule="exact"/>
              <w:rPr>
                <w:sz w:val="1"/>
                <w:szCs w:val="1"/>
                <w:color w:val="auto"/>
              </w:rPr>
            </w:pPr>
          </w:p>
        </w:tc>
        <w:tc>
          <w:tcPr>
            <w:tcW w:w="980" w:type="dxa"/>
            <w:vAlign w:val="bottom"/>
            <w:tcBorders>
              <w:top w:val="single" w:sz="8" w:color="BFBFBF"/>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176"/>
        </w:trPr>
        <w:tc>
          <w:tcPr>
            <w:tcW w:w="1100" w:type="dxa"/>
            <w:vAlign w:val="bottom"/>
            <w:gridSpan w:val="4"/>
          </w:tcPr>
          <w:p>
            <w:pPr>
              <w:ind w:left="300"/>
              <w:spacing w:after="0" w:line="176" w:lineRule="exact"/>
              <w:rPr>
                <w:rFonts w:ascii="Arial" w:cs="Arial" w:eastAsia="Arial" w:hAnsi="Arial"/>
                <w:sz w:val="16"/>
                <w:szCs w:val="16"/>
                <w:color w:val="0000EE"/>
              </w:rPr>
            </w:pPr>
            <w:hyperlink w:anchor="page49">
              <w:r>
                <w:rPr>
                  <w:rFonts w:ascii="Arial" w:cs="Arial" w:eastAsia="Arial" w:hAnsi="Arial"/>
                  <w:sz w:val="16"/>
                  <w:szCs w:val="16"/>
                  <w:color w:val="0000EE"/>
                </w:rPr>
                <w:t>Item 1A.</w:t>
              </w:r>
            </w:hyperlink>
          </w:p>
        </w:tc>
        <w:tc>
          <w:tcPr>
            <w:tcW w:w="8100" w:type="dxa"/>
            <w:vAlign w:val="bottom"/>
            <w:gridSpan w:val="17"/>
          </w:tcPr>
          <w:p>
            <w:pPr>
              <w:spacing w:after="0" w:line="176" w:lineRule="exact"/>
              <w:rPr>
                <w:rFonts w:ascii="Arial" w:cs="Arial" w:eastAsia="Arial" w:hAnsi="Arial"/>
                <w:sz w:val="16"/>
                <w:szCs w:val="16"/>
                <w:color w:val="0000EE"/>
              </w:rPr>
            </w:pPr>
            <w:hyperlink w:anchor="page49">
              <w:r>
                <w:rPr>
                  <w:rFonts w:ascii="Arial" w:cs="Arial" w:eastAsia="Arial" w:hAnsi="Arial"/>
                  <w:sz w:val="16"/>
                  <w:szCs w:val="16"/>
                  <w:color w:val="0000EE"/>
                </w:rPr>
                <w:t>Risk Factors</w:t>
              </w:r>
            </w:hyperlink>
          </w:p>
        </w:tc>
        <w:tc>
          <w:tcPr>
            <w:tcW w:w="1980" w:type="dxa"/>
            <w:vAlign w:val="bottom"/>
            <w:gridSpan w:val="5"/>
          </w:tcPr>
          <w:p>
            <w:pPr>
              <w:jc w:val="right"/>
              <w:spacing w:after="0" w:line="176" w:lineRule="exact"/>
              <w:rPr>
                <w:rFonts w:ascii="Arial" w:cs="Arial" w:eastAsia="Arial" w:hAnsi="Arial"/>
                <w:sz w:val="16"/>
                <w:szCs w:val="16"/>
                <w:color w:val="0000EE"/>
              </w:rPr>
            </w:pPr>
            <w:hyperlink w:anchor="page49">
              <w:r>
                <w:rPr>
                  <w:rFonts w:ascii="Arial" w:cs="Arial" w:eastAsia="Arial" w:hAnsi="Arial"/>
                  <w:sz w:val="16"/>
                  <w:szCs w:val="16"/>
                  <w:color w:val="0000EE"/>
                </w:rPr>
                <w:t>48</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0" w:type="dxa"/>
            <w:vAlign w:val="bottom"/>
            <w:gridSpan w:val="4"/>
            <w:shd w:val="clear" w:color="auto" w:fill="BFBFBF"/>
          </w:tcPr>
          <w:p>
            <w:pPr>
              <w:ind w:left="300"/>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Item 2.</w:t>
              </w:r>
            </w:hyperlink>
          </w:p>
        </w:tc>
        <w:tc>
          <w:tcPr>
            <w:tcW w:w="8100" w:type="dxa"/>
            <w:vAlign w:val="bottom"/>
            <w:gridSpan w:val="17"/>
            <w:shd w:val="clear" w:color="auto" w:fill="BFBFBF"/>
          </w:tcPr>
          <w:p>
            <w:pPr>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Unregistered Sales of Equity Securities and Use of Proceeds</w:t>
              </w:r>
            </w:hyperlink>
          </w:p>
        </w:tc>
        <w:tc>
          <w:tcPr>
            <w:tcW w:w="1980" w:type="dxa"/>
            <w:vAlign w:val="bottom"/>
            <w:gridSpan w:val="5"/>
            <w:shd w:val="clear" w:color="auto" w:fill="BFBFBF"/>
          </w:tcPr>
          <w:p>
            <w:pPr>
              <w:jc w:val="right"/>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49</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0000EE"/>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0000EE"/>
            </w:tcBorders>
            <w:shd w:val="clear" w:color="auto" w:fill="BFBFBF"/>
          </w:tcPr>
          <w:p>
            <w:pPr>
              <w:spacing w:after="0" w:line="20" w:lineRule="exact"/>
              <w:rPr>
                <w:sz w:val="1"/>
                <w:szCs w:val="1"/>
                <w:color w:val="auto"/>
              </w:rPr>
            </w:pPr>
          </w:p>
        </w:tc>
        <w:tc>
          <w:tcPr>
            <w:tcW w:w="220" w:type="dxa"/>
            <w:vAlign w:val="bottom"/>
            <w:tcBorders>
              <w:top w:val="single" w:sz="8" w:color="0000EE"/>
            </w:tcBorders>
            <w:shd w:val="clear" w:color="auto" w:fill="BFBFBF"/>
          </w:tcPr>
          <w:p>
            <w:pPr>
              <w:spacing w:after="0" w:line="20" w:lineRule="exact"/>
              <w:rPr>
                <w:sz w:val="1"/>
                <w:szCs w:val="1"/>
                <w:color w:val="auto"/>
              </w:rPr>
            </w:pPr>
          </w:p>
        </w:tc>
        <w:tc>
          <w:tcPr>
            <w:tcW w:w="60" w:type="dxa"/>
            <w:vAlign w:val="bottom"/>
            <w:tcBorders>
              <w:top w:val="single" w:sz="8" w:color="0000EE"/>
            </w:tcBorders>
            <w:shd w:val="clear" w:color="auto" w:fill="BFBFBF"/>
          </w:tcPr>
          <w:p>
            <w:pPr>
              <w:spacing w:after="0" w:line="20" w:lineRule="exact"/>
              <w:rPr>
                <w:sz w:val="1"/>
                <w:szCs w:val="1"/>
                <w:color w:val="auto"/>
              </w:rPr>
            </w:pPr>
          </w:p>
        </w:tc>
        <w:tc>
          <w:tcPr>
            <w:tcW w:w="200" w:type="dxa"/>
            <w:vAlign w:val="bottom"/>
            <w:tcBorders>
              <w:top w:val="single" w:sz="8" w:color="0000EE"/>
            </w:tcBorders>
            <w:shd w:val="clear" w:color="auto" w:fill="BFBFBF"/>
          </w:tcPr>
          <w:p>
            <w:pPr>
              <w:spacing w:after="0" w:line="20" w:lineRule="exact"/>
              <w:rPr>
                <w:sz w:val="1"/>
                <w:szCs w:val="1"/>
                <w:color w:val="auto"/>
              </w:rPr>
            </w:pPr>
          </w:p>
        </w:tc>
        <w:tc>
          <w:tcPr>
            <w:tcW w:w="260" w:type="dxa"/>
            <w:vAlign w:val="bottom"/>
            <w:tcBorders>
              <w:top w:val="single" w:sz="8" w:color="0000EE"/>
            </w:tcBorders>
            <w:shd w:val="clear" w:color="auto" w:fill="BFBFBF"/>
          </w:tcPr>
          <w:p>
            <w:pPr>
              <w:spacing w:after="0" w:line="20" w:lineRule="exact"/>
              <w:rPr>
                <w:sz w:val="1"/>
                <w:szCs w:val="1"/>
                <w:color w:val="auto"/>
              </w:rPr>
            </w:pPr>
          </w:p>
        </w:tc>
        <w:tc>
          <w:tcPr>
            <w:tcW w:w="780" w:type="dxa"/>
            <w:vAlign w:val="bottom"/>
            <w:tcBorders>
              <w:top w:val="single" w:sz="8" w:color="0000EE"/>
            </w:tcBorders>
            <w:shd w:val="clear" w:color="auto" w:fill="BFBFBF"/>
          </w:tcPr>
          <w:p>
            <w:pPr>
              <w:spacing w:after="0" w:line="20" w:lineRule="exact"/>
              <w:rPr>
                <w:sz w:val="1"/>
                <w:szCs w:val="1"/>
                <w:color w:val="auto"/>
              </w:rPr>
            </w:pPr>
          </w:p>
        </w:tc>
        <w:tc>
          <w:tcPr>
            <w:tcW w:w="1180" w:type="dxa"/>
            <w:vAlign w:val="bottom"/>
            <w:tcBorders>
              <w:top w:val="single" w:sz="8" w:color="0000EE"/>
            </w:tcBorders>
            <w:shd w:val="clear" w:color="auto" w:fill="BFBFBF"/>
          </w:tcPr>
          <w:p>
            <w:pPr>
              <w:spacing w:after="0" w:line="20" w:lineRule="exact"/>
              <w:rPr>
                <w:sz w:val="1"/>
                <w:szCs w:val="1"/>
                <w:color w:val="auto"/>
              </w:rPr>
            </w:pPr>
          </w:p>
        </w:tc>
        <w:tc>
          <w:tcPr>
            <w:tcW w:w="140" w:type="dxa"/>
            <w:vAlign w:val="bottom"/>
            <w:tcBorders>
              <w:top w:val="single" w:sz="8" w:color="0000EE"/>
            </w:tcBorders>
            <w:shd w:val="clear" w:color="auto" w:fill="BFBFBF"/>
          </w:tcPr>
          <w:p>
            <w:pPr>
              <w:spacing w:after="0" w:line="20" w:lineRule="exact"/>
              <w:rPr>
                <w:sz w:val="1"/>
                <w:szCs w:val="1"/>
                <w:color w:val="auto"/>
              </w:rPr>
            </w:pPr>
          </w:p>
        </w:tc>
        <w:tc>
          <w:tcPr>
            <w:tcW w:w="980" w:type="dxa"/>
            <w:vAlign w:val="bottom"/>
            <w:tcBorders>
              <w:top w:val="single" w:sz="8" w:color="BFBFBF"/>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176"/>
        </w:trPr>
        <w:tc>
          <w:tcPr>
            <w:tcW w:w="1100" w:type="dxa"/>
            <w:vAlign w:val="bottom"/>
            <w:gridSpan w:val="4"/>
          </w:tcPr>
          <w:p>
            <w:pPr>
              <w:ind w:left="300"/>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Item 3.</w:t>
              </w:r>
            </w:hyperlink>
          </w:p>
        </w:tc>
        <w:tc>
          <w:tcPr>
            <w:tcW w:w="8100" w:type="dxa"/>
            <w:vAlign w:val="bottom"/>
            <w:gridSpan w:val="17"/>
          </w:tcPr>
          <w:p>
            <w:pPr>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Defaults upon Senior Securities</w:t>
              </w:r>
            </w:hyperlink>
          </w:p>
        </w:tc>
        <w:tc>
          <w:tcPr>
            <w:tcW w:w="1980" w:type="dxa"/>
            <w:vAlign w:val="bottom"/>
            <w:gridSpan w:val="5"/>
          </w:tcPr>
          <w:p>
            <w:pPr>
              <w:jc w:val="right"/>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49</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0" w:type="dxa"/>
            <w:vAlign w:val="bottom"/>
            <w:gridSpan w:val="4"/>
            <w:shd w:val="clear" w:color="auto" w:fill="BFBFBF"/>
          </w:tcPr>
          <w:p>
            <w:pPr>
              <w:ind w:left="300"/>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Item 4.</w:t>
              </w:r>
            </w:hyperlink>
          </w:p>
        </w:tc>
        <w:tc>
          <w:tcPr>
            <w:tcW w:w="8100" w:type="dxa"/>
            <w:vAlign w:val="bottom"/>
            <w:gridSpan w:val="17"/>
            <w:shd w:val="clear" w:color="auto" w:fill="BFBFBF"/>
          </w:tcPr>
          <w:p>
            <w:pPr>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Mine Safety Disclosures</w:t>
              </w:r>
            </w:hyperlink>
          </w:p>
        </w:tc>
        <w:tc>
          <w:tcPr>
            <w:tcW w:w="1980" w:type="dxa"/>
            <w:vAlign w:val="bottom"/>
            <w:gridSpan w:val="5"/>
            <w:shd w:val="clear" w:color="auto" w:fill="BFBFBF"/>
          </w:tcPr>
          <w:p>
            <w:pPr>
              <w:jc w:val="right"/>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49</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0000EE"/>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0000EE"/>
            </w:tcBorders>
            <w:shd w:val="clear" w:color="auto" w:fill="BFBFBF"/>
          </w:tcPr>
          <w:p>
            <w:pPr>
              <w:spacing w:after="0" w:line="20" w:lineRule="exact"/>
              <w:rPr>
                <w:sz w:val="1"/>
                <w:szCs w:val="1"/>
                <w:color w:val="auto"/>
              </w:rPr>
            </w:pPr>
          </w:p>
        </w:tc>
        <w:tc>
          <w:tcPr>
            <w:tcW w:w="36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0000EE"/>
            </w:tcBorders>
            <w:shd w:val="clear" w:color="auto" w:fill="BFBFBF"/>
          </w:tcPr>
          <w:p>
            <w:pPr>
              <w:spacing w:after="0" w:line="20" w:lineRule="exact"/>
              <w:rPr>
                <w:sz w:val="1"/>
                <w:szCs w:val="1"/>
                <w:color w:val="auto"/>
              </w:rPr>
            </w:pPr>
          </w:p>
        </w:tc>
        <w:tc>
          <w:tcPr>
            <w:tcW w:w="220" w:type="dxa"/>
            <w:vAlign w:val="bottom"/>
            <w:tcBorders>
              <w:top w:val="single" w:sz="8" w:color="0000EE"/>
            </w:tcBorders>
            <w:shd w:val="clear" w:color="auto" w:fill="BFBFBF"/>
          </w:tcPr>
          <w:p>
            <w:pPr>
              <w:spacing w:after="0" w:line="20" w:lineRule="exact"/>
              <w:rPr>
                <w:sz w:val="1"/>
                <w:szCs w:val="1"/>
                <w:color w:val="auto"/>
              </w:rPr>
            </w:pPr>
          </w:p>
        </w:tc>
        <w:tc>
          <w:tcPr>
            <w:tcW w:w="6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260" w:type="dxa"/>
            <w:vAlign w:val="bottom"/>
            <w:tcBorders>
              <w:top w:val="single" w:sz="8" w:color="BFBFBF"/>
            </w:tcBorders>
            <w:shd w:val="clear" w:color="auto" w:fill="BFBFBF"/>
          </w:tcPr>
          <w:p>
            <w:pPr>
              <w:spacing w:after="0" w:line="20" w:lineRule="exact"/>
              <w:rPr>
                <w:sz w:val="1"/>
                <w:szCs w:val="1"/>
                <w:color w:val="auto"/>
              </w:rPr>
            </w:pPr>
          </w:p>
        </w:tc>
        <w:tc>
          <w:tcPr>
            <w:tcW w:w="780" w:type="dxa"/>
            <w:vAlign w:val="bottom"/>
            <w:tcBorders>
              <w:top w:val="single" w:sz="8" w:color="BFBFBF"/>
            </w:tcBorders>
            <w:shd w:val="clear" w:color="auto" w:fill="BFBFBF"/>
          </w:tcPr>
          <w:p>
            <w:pPr>
              <w:spacing w:after="0" w:line="20" w:lineRule="exact"/>
              <w:rPr>
                <w:sz w:val="1"/>
                <w:szCs w:val="1"/>
                <w:color w:val="auto"/>
              </w:rPr>
            </w:pPr>
          </w:p>
        </w:tc>
        <w:tc>
          <w:tcPr>
            <w:tcW w:w="1180" w:type="dxa"/>
            <w:vAlign w:val="bottom"/>
            <w:tcBorders>
              <w:top w:val="single" w:sz="8" w:color="BFBFBF"/>
            </w:tcBorders>
            <w:shd w:val="clear" w:color="auto" w:fill="BFBFBF"/>
          </w:tcPr>
          <w:p>
            <w:pPr>
              <w:spacing w:after="0" w:line="20" w:lineRule="exact"/>
              <w:rPr>
                <w:sz w:val="1"/>
                <w:szCs w:val="1"/>
                <w:color w:val="auto"/>
              </w:rPr>
            </w:pPr>
          </w:p>
        </w:tc>
        <w:tc>
          <w:tcPr>
            <w:tcW w:w="140" w:type="dxa"/>
            <w:vAlign w:val="bottom"/>
            <w:tcBorders>
              <w:top w:val="single" w:sz="8" w:color="BFBFBF"/>
            </w:tcBorders>
            <w:shd w:val="clear" w:color="auto" w:fill="BFBFBF"/>
          </w:tcPr>
          <w:p>
            <w:pPr>
              <w:spacing w:after="0" w:line="20" w:lineRule="exact"/>
              <w:rPr>
                <w:sz w:val="1"/>
                <w:szCs w:val="1"/>
                <w:color w:val="auto"/>
              </w:rPr>
            </w:pPr>
          </w:p>
        </w:tc>
        <w:tc>
          <w:tcPr>
            <w:tcW w:w="980" w:type="dxa"/>
            <w:vAlign w:val="bottom"/>
            <w:tcBorders>
              <w:top w:val="single" w:sz="8" w:color="BFBFBF"/>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176"/>
        </w:trPr>
        <w:tc>
          <w:tcPr>
            <w:tcW w:w="1100" w:type="dxa"/>
            <w:vAlign w:val="bottom"/>
            <w:gridSpan w:val="4"/>
          </w:tcPr>
          <w:p>
            <w:pPr>
              <w:ind w:left="300"/>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Item 5.</w:t>
              </w:r>
            </w:hyperlink>
          </w:p>
        </w:tc>
        <w:tc>
          <w:tcPr>
            <w:tcW w:w="8100" w:type="dxa"/>
            <w:vAlign w:val="bottom"/>
            <w:gridSpan w:val="17"/>
          </w:tcPr>
          <w:p>
            <w:pPr>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Other Information</w:t>
              </w:r>
            </w:hyperlink>
          </w:p>
        </w:tc>
        <w:tc>
          <w:tcPr>
            <w:tcW w:w="1980" w:type="dxa"/>
            <w:vAlign w:val="bottom"/>
            <w:gridSpan w:val="5"/>
          </w:tcPr>
          <w:p>
            <w:pPr>
              <w:jc w:val="right"/>
              <w:spacing w:after="0" w:line="176" w:lineRule="exact"/>
              <w:rPr>
                <w:rFonts w:ascii="Arial" w:cs="Arial" w:eastAsia="Arial" w:hAnsi="Arial"/>
                <w:sz w:val="16"/>
                <w:szCs w:val="16"/>
                <w:color w:val="0000EE"/>
              </w:rPr>
            </w:pPr>
            <w:hyperlink w:anchor="page50">
              <w:r>
                <w:rPr>
                  <w:rFonts w:ascii="Arial" w:cs="Arial" w:eastAsia="Arial" w:hAnsi="Arial"/>
                  <w:sz w:val="16"/>
                  <w:szCs w:val="16"/>
                  <w:color w:val="0000EE"/>
                </w:rPr>
                <w:t>49</w:t>
              </w:r>
            </w:hyperlink>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3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00" w:type="dxa"/>
            <w:vAlign w:val="bottom"/>
            <w:gridSpan w:val="4"/>
            <w:shd w:val="clear" w:color="auto" w:fill="BFBFBF"/>
          </w:tcPr>
          <w:p>
            <w:pPr>
              <w:ind w:left="300"/>
              <w:spacing w:after="0" w:line="176" w:lineRule="exact"/>
              <w:rPr>
                <w:rFonts w:ascii="Arial" w:cs="Arial" w:eastAsia="Arial" w:hAnsi="Arial"/>
                <w:sz w:val="16"/>
                <w:szCs w:val="16"/>
                <w:color w:val="0000EE"/>
              </w:rPr>
            </w:pPr>
            <w:hyperlink w:anchor="page51">
              <w:r>
                <w:rPr>
                  <w:rFonts w:ascii="Arial" w:cs="Arial" w:eastAsia="Arial" w:hAnsi="Arial"/>
                  <w:sz w:val="16"/>
                  <w:szCs w:val="16"/>
                  <w:color w:val="0000EE"/>
                </w:rPr>
                <w:t>Item 6.</w:t>
              </w:r>
            </w:hyperlink>
          </w:p>
        </w:tc>
        <w:tc>
          <w:tcPr>
            <w:tcW w:w="8100" w:type="dxa"/>
            <w:vAlign w:val="bottom"/>
            <w:gridSpan w:val="17"/>
            <w:shd w:val="clear" w:color="auto" w:fill="BFBFBF"/>
          </w:tcPr>
          <w:p>
            <w:pPr>
              <w:spacing w:after="0" w:line="176" w:lineRule="exact"/>
              <w:rPr>
                <w:rFonts w:ascii="Arial" w:cs="Arial" w:eastAsia="Arial" w:hAnsi="Arial"/>
                <w:sz w:val="16"/>
                <w:szCs w:val="16"/>
                <w:color w:val="0000EE"/>
              </w:rPr>
            </w:pPr>
            <w:hyperlink w:anchor="page51">
              <w:r>
                <w:rPr>
                  <w:rFonts w:ascii="Arial" w:cs="Arial" w:eastAsia="Arial" w:hAnsi="Arial"/>
                  <w:sz w:val="16"/>
                  <w:szCs w:val="16"/>
                  <w:color w:val="0000EE"/>
                </w:rPr>
                <w:t>Exhibits</w:t>
              </w:r>
            </w:hyperlink>
          </w:p>
        </w:tc>
        <w:tc>
          <w:tcPr>
            <w:tcW w:w="1980" w:type="dxa"/>
            <w:vAlign w:val="bottom"/>
            <w:gridSpan w:val="5"/>
            <w:shd w:val="clear" w:color="auto" w:fill="BFBFBF"/>
          </w:tcPr>
          <w:p>
            <w:pPr>
              <w:jc w:val="right"/>
              <w:spacing w:after="0" w:line="176" w:lineRule="exact"/>
              <w:rPr>
                <w:rFonts w:ascii="Arial" w:cs="Arial" w:eastAsia="Arial" w:hAnsi="Arial"/>
                <w:sz w:val="16"/>
                <w:szCs w:val="16"/>
                <w:color w:val="0000EE"/>
              </w:rPr>
            </w:pPr>
            <w:hyperlink w:anchor="page51">
              <w:r>
                <w:rPr>
                  <w:rFonts w:ascii="Arial" w:cs="Arial" w:eastAsia="Arial" w:hAnsi="Arial"/>
                  <w:sz w:val="16"/>
                  <w:szCs w:val="16"/>
                  <w:color w:val="0000EE"/>
                </w:rPr>
                <w:t>50</w:t>
              </w:r>
            </w:hyperlink>
          </w:p>
        </w:tc>
        <w:tc>
          <w:tcPr>
            <w:tcW w:w="18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r>
      <w:tr>
        <w:trPr>
          <w:trHeight w:val="21"/>
        </w:trPr>
        <w:tc>
          <w:tcPr>
            <w:tcW w:w="300" w:type="dxa"/>
            <w:vAlign w:val="bottom"/>
            <w:tcBorders>
              <w:top w:val="single" w:sz="8" w:color="BFBFBF"/>
            </w:tcBorders>
            <w:shd w:val="clear" w:color="auto" w:fill="BFBFBF"/>
          </w:tcPr>
          <w:p>
            <w:pPr>
              <w:spacing w:after="0" w:line="20" w:lineRule="exact"/>
              <w:rPr>
                <w:sz w:val="1"/>
                <w:szCs w:val="1"/>
                <w:color w:val="auto"/>
              </w:rPr>
            </w:pPr>
          </w:p>
        </w:tc>
        <w:tc>
          <w:tcPr>
            <w:tcW w:w="480" w:type="dxa"/>
            <w:vAlign w:val="bottom"/>
            <w:tcBorders>
              <w:top w:val="single" w:sz="8" w:color="0000EE"/>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560" w:type="dxa"/>
            <w:vAlign w:val="bottom"/>
            <w:tcBorders>
              <w:top w:val="single" w:sz="8" w:color="0000EE"/>
            </w:tcBorders>
            <w:shd w:val="clear" w:color="auto" w:fill="BFBFBF"/>
          </w:tcPr>
          <w:p>
            <w:pPr>
              <w:spacing w:after="0" w:line="20" w:lineRule="exact"/>
              <w:rPr>
                <w:sz w:val="1"/>
                <w:szCs w:val="1"/>
                <w:color w:val="auto"/>
              </w:rPr>
            </w:pPr>
          </w:p>
        </w:tc>
        <w:tc>
          <w:tcPr>
            <w:tcW w:w="340" w:type="dxa"/>
            <w:vAlign w:val="bottom"/>
            <w:tcBorders>
              <w:top w:val="single" w:sz="8" w:color="BFBFBF"/>
            </w:tcBorders>
            <w:shd w:val="clear" w:color="auto" w:fill="BFBFBF"/>
          </w:tcPr>
          <w:p>
            <w:pPr>
              <w:spacing w:after="0" w:line="20" w:lineRule="exact"/>
              <w:rPr>
                <w:sz w:val="1"/>
                <w:szCs w:val="1"/>
                <w:color w:val="auto"/>
              </w:rPr>
            </w:pPr>
          </w:p>
        </w:tc>
        <w:tc>
          <w:tcPr>
            <w:tcW w:w="36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220" w:type="dxa"/>
            <w:vAlign w:val="bottom"/>
            <w:tcBorders>
              <w:top w:val="single" w:sz="8" w:color="BFBFBF"/>
            </w:tcBorders>
            <w:shd w:val="clear" w:color="auto" w:fill="BFBFBF"/>
          </w:tcPr>
          <w:p>
            <w:pPr>
              <w:spacing w:after="0" w:line="20" w:lineRule="exact"/>
              <w:rPr>
                <w:sz w:val="1"/>
                <w:szCs w:val="1"/>
                <w:color w:val="auto"/>
              </w:rPr>
            </w:pPr>
          </w:p>
        </w:tc>
        <w:tc>
          <w:tcPr>
            <w:tcW w:w="60" w:type="dxa"/>
            <w:vAlign w:val="bottom"/>
            <w:tcBorders>
              <w:top w:val="single" w:sz="8" w:color="BFBFBF"/>
            </w:tcBorders>
            <w:shd w:val="clear" w:color="auto" w:fill="BFBFBF"/>
          </w:tcPr>
          <w:p>
            <w:pPr>
              <w:spacing w:after="0" w:line="20" w:lineRule="exact"/>
              <w:rPr>
                <w:sz w:val="1"/>
                <w:szCs w:val="1"/>
                <w:color w:val="auto"/>
              </w:rPr>
            </w:pPr>
          </w:p>
        </w:tc>
        <w:tc>
          <w:tcPr>
            <w:tcW w:w="200" w:type="dxa"/>
            <w:vAlign w:val="bottom"/>
            <w:tcBorders>
              <w:top w:val="single" w:sz="8" w:color="BFBFBF"/>
            </w:tcBorders>
            <w:shd w:val="clear" w:color="auto" w:fill="BFBFBF"/>
          </w:tcPr>
          <w:p>
            <w:pPr>
              <w:spacing w:after="0" w:line="20" w:lineRule="exact"/>
              <w:rPr>
                <w:sz w:val="1"/>
                <w:szCs w:val="1"/>
                <w:color w:val="auto"/>
              </w:rPr>
            </w:pPr>
          </w:p>
        </w:tc>
        <w:tc>
          <w:tcPr>
            <w:tcW w:w="260" w:type="dxa"/>
            <w:vAlign w:val="bottom"/>
            <w:tcBorders>
              <w:top w:val="single" w:sz="8" w:color="BFBFBF"/>
            </w:tcBorders>
            <w:shd w:val="clear" w:color="auto" w:fill="BFBFBF"/>
          </w:tcPr>
          <w:p>
            <w:pPr>
              <w:spacing w:after="0" w:line="20" w:lineRule="exact"/>
              <w:rPr>
                <w:sz w:val="1"/>
                <w:szCs w:val="1"/>
                <w:color w:val="auto"/>
              </w:rPr>
            </w:pPr>
          </w:p>
        </w:tc>
        <w:tc>
          <w:tcPr>
            <w:tcW w:w="780" w:type="dxa"/>
            <w:vAlign w:val="bottom"/>
            <w:tcBorders>
              <w:top w:val="single" w:sz="8" w:color="BFBFBF"/>
            </w:tcBorders>
            <w:shd w:val="clear" w:color="auto" w:fill="BFBFBF"/>
          </w:tcPr>
          <w:p>
            <w:pPr>
              <w:spacing w:after="0" w:line="20" w:lineRule="exact"/>
              <w:rPr>
                <w:sz w:val="1"/>
                <w:szCs w:val="1"/>
                <w:color w:val="auto"/>
              </w:rPr>
            </w:pPr>
          </w:p>
        </w:tc>
        <w:tc>
          <w:tcPr>
            <w:tcW w:w="1180" w:type="dxa"/>
            <w:vAlign w:val="bottom"/>
            <w:tcBorders>
              <w:top w:val="single" w:sz="8" w:color="BFBFBF"/>
            </w:tcBorders>
            <w:shd w:val="clear" w:color="auto" w:fill="BFBFBF"/>
          </w:tcPr>
          <w:p>
            <w:pPr>
              <w:spacing w:after="0" w:line="20" w:lineRule="exact"/>
              <w:rPr>
                <w:sz w:val="1"/>
                <w:szCs w:val="1"/>
                <w:color w:val="auto"/>
              </w:rPr>
            </w:pPr>
          </w:p>
        </w:tc>
        <w:tc>
          <w:tcPr>
            <w:tcW w:w="140" w:type="dxa"/>
            <w:vAlign w:val="bottom"/>
            <w:tcBorders>
              <w:top w:val="single" w:sz="8" w:color="BFBFBF"/>
            </w:tcBorders>
            <w:shd w:val="clear" w:color="auto" w:fill="BFBFBF"/>
          </w:tcPr>
          <w:p>
            <w:pPr>
              <w:spacing w:after="0" w:line="20" w:lineRule="exact"/>
              <w:rPr>
                <w:sz w:val="1"/>
                <w:szCs w:val="1"/>
                <w:color w:val="auto"/>
              </w:rPr>
            </w:pPr>
          </w:p>
        </w:tc>
        <w:tc>
          <w:tcPr>
            <w:tcW w:w="980" w:type="dxa"/>
            <w:vAlign w:val="bottom"/>
            <w:tcBorders>
              <w:top w:val="single" w:sz="8" w:color="BFBFBF"/>
            </w:tcBorders>
            <w:shd w:val="clear" w:color="auto" w:fill="BFBFBF"/>
          </w:tcPr>
          <w:p>
            <w:pPr>
              <w:spacing w:after="0" w:line="20" w:lineRule="exact"/>
              <w:rPr>
                <w:sz w:val="1"/>
                <w:szCs w:val="1"/>
                <w:color w:val="auto"/>
              </w:rPr>
            </w:pPr>
          </w:p>
        </w:tc>
        <w:tc>
          <w:tcPr>
            <w:tcW w:w="1040" w:type="dxa"/>
            <w:vAlign w:val="bottom"/>
            <w:tcBorders>
              <w:top w:val="single" w:sz="8" w:color="BFBFBF"/>
            </w:tcBorders>
            <w:shd w:val="clear" w:color="auto" w:fill="BFBFBF"/>
          </w:tcPr>
          <w:p>
            <w:pPr>
              <w:spacing w:after="0" w:line="20" w:lineRule="exact"/>
              <w:rPr>
                <w:sz w:val="1"/>
                <w:szCs w:val="1"/>
                <w:color w:val="auto"/>
              </w:rPr>
            </w:pPr>
          </w:p>
        </w:tc>
        <w:tc>
          <w:tcPr>
            <w:tcW w:w="120" w:type="dxa"/>
            <w:vAlign w:val="bottom"/>
            <w:tcBorders>
              <w:top w:val="single" w:sz="8" w:color="BFBFBF"/>
            </w:tcBorders>
            <w:shd w:val="clear" w:color="auto" w:fill="BFBFBF"/>
          </w:tcPr>
          <w:p>
            <w:pPr>
              <w:spacing w:after="0" w:line="20" w:lineRule="exact"/>
              <w:rPr>
                <w:sz w:val="1"/>
                <w:szCs w:val="1"/>
                <w:color w:val="auto"/>
              </w:rPr>
            </w:pPr>
          </w:p>
        </w:tc>
        <w:tc>
          <w:tcPr>
            <w:tcW w:w="240" w:type="dxa"/>
            <w:vAlign w:val="bottom"/>
            <w:tcBorders>
              <w:top w:val="single" w:sz="8" w:color="BFBFBF"/>
            </w:tcBorders>
            <w:shd w:val="clear" w:color="auto" w:fill="BFBFBF"/>
          </w:tcPr>
          <w:p>
            <w:pPr>
              <w:spacing w:after="0" w:line="20" w:lineRule="exact"/>
              <w:rPr>
                <w:sz w:val="1"/>
                <w:szCs w:val="1"/>
                <w:color w:val="auto"/>
              </w:rPr>
            </w:pPr>
          </w:p>
        </w:tc>
        <w:tc>
          <w:tcPr>
            <w:tcW w:w="1360" w:type="dxa"/>
            <w:vAlign w:val="bottom"/>
            <w:tcBorders>
              <w:top w:val="single" w:sz="8" w:color="BFBFBF"/>
            </w:tcBorders>
            <w:shd w:val="clear" w:color="auto" w:fill="BFBFBF"/>
          </w:tcPr>
          <w:p>
            <w:pPr>
              <w:spacing w:after="0" w:line="20" w:lineRule="exact"/>
              <w:rPr>
                <w:sz w:val="1"/>
                <w:szCs w:val="1"/>
                <w:color w:val="auto"/>
              </w:rPr>
            </w:pPr>
          </w:p>
        </w:tc>
        <w:tc>
          <w:tcPr>
            <w:tcW w:w="1620" w:type="dxa"/>
            <w:vAlign w:val="bottom"/>
            <w:tcBorders>
              <w:top w:val="single" w:sz="8" w:color="BFBFBF"/>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80" w:type="dxa"/>
            <w:vAlign w:val="bottom"/>
            <w:tcBorders>
              <w:top w:val="single" w:sz="8" w:color="0000EE"/>
            </w:tcBorders>
            <w:shd w:val="clear" w:color="auto" w:fill="BFBFBF"/>
          </w:tcPr>
          <w:p>
            <w:pPr>
              <w:spacing w:after="0" w:line="20" w:lineRule="exact"/>
              <w:rPr>
                <w:sz w:val="1"/>
                <w:szCs w:val="1"/>
                <w:color w:val="auto"/>
              </w:rPr>
            </w:pPr>
          </w:p>
        </w:tc>
        <w:tc>
          <w:tcPr>
            <w:tcW w:w="20" w:type="dxa"/>
            <w:vAlign w:val="bottom"/>
            <w:tcBorders>
              <w:top w:val="single" w:sz="8" w:color="0000EE"/>
            </w:tcBorders>
            <w:shd w:val="clear" w:color="auto" w:fill="BFBFBF"/>
          </w:tcPr>
          <w:p>
            <w:pPr>
              <w:spacing w:after="0" w:line="20" w:lineRule="exact"/>
              <w:rPr>
                <w:sz w:val="1"/>
                <w:szCs w:val="1"/>
                <w:color w:val="auto"/>
              </w:rPr>
            </w:pPr>
          </w:p>
        </w:tc>
        <w:tc>
          <w:tcPr>
            <w:tcW w:w="180" w:type="dxa"/>
            <w:vAlign w:val="bottom"/>
            <w:tcBorders>
              <w:top w:val="single" w:sz="8" w:color="BFBFBF"/>
            </w:tcBorders>
            <w:shd w:val="clear" w:color="auto" w:fill="BFBFBF"/>
          </w:tcPr>
          <w:p>
            <w:pPr>
              <w:spacing w:after="0" w:line="20" w:lineRule="exact"/>
              <w:rPr>
                <w:sz w:val="1"/>
                <w:szCs w:val="1"/>
                <w:color w:val="auto"/>
              </w:rPr>
            </w:pPr>
          </w:p>
        </w:tc>
        <w:tc>
          <w:tcPr>
            <w:tcW w:w="40" w:type="dxa"/>
            <w:vAlign w:val="bottom"/>
            <w:tcBorders>
              <w:top w:val="single" w:sz="8" w:color="BFBFBF"/>
            </w:tcBorders>
            <w:shd w:val="clear" w:color="auto" w:fill="BFBFBF"/>
          </w:tcPr>
          <w:p>
            <w:pPr>
              <w:spacing w:after="0" w:line="20" w:lineRule="exact"/>
              <w:rPr>
                <w:sz w:val="1"/>
                <w:szCs w:val="1"/>
                <w:color w:val="auto"/>
              </w:rPr>
            </w:pPr>
          </w:p>
        </w:tc>
        <w:tc>
          <w:tcPr>
            <w:tcW w:w="20" w:type="dxa"/>
            <w:vAlign w:val="bottom"/>
            <w:tcBorders>
              <w:top w:val="single" w:sz="8" w:color="BFBFBF"/>
            </w:tcBorders>
            <w:shd w:val="clear" w:color="auto" w:fill="BFBFBF"/>
          </w:tcPr>
          <w:p>
            <w:pPr>
              <w:spacing w:after="0" w:line="20" w:lineRule="exact"/>
              <w:rPr>
                <w:sz w:val="1"/>
                <w:szCs w:val="1"/>
                <w:color w:val="auto"/>
              </w:rPr>
            </w:pPr>
          </w:p>
        </w:tc>
      </w:tr>
      <w:tr>
        <w:trPr>
          <w:trHeight w:val="392"/>
        </w:trPr>
        <w:tc>
          <w:tcPr>
            <w:tcW w:w="1100" w:type="dxa"/>
            <w:vAlign w:val="bottom"/>
            <w:gridSpan w:val="4"/>
          </w:tcPr>
          <w:p>
            <w:pPr>
              <w:ind w:left="20"/>
              <w:spacing w:after="0"/>
              <w:rPr>
                <w:sz w:val="20"/>
                <w:szCs w:val="20"/>
                <w:color w:val="auto"/>
              </w:rPr>
            </w:pPr>
            <w:r>
              <w:rPr>
                <w:rFonts w:ascii="Arial" w:cs="Arial" w:eastAsia="Arial" w:hAnsi="Arial"/>
                <w:sz w:val="16"/>
                <w:szCs w:val="16"/>
                <w:b w:val="1"/>
                <w:bCs w:val="1"/>
                <w:color w:val="auto"/>
              </w:rPr>
              <w:t>SIGNATURES</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80" w:type="dxa"/>
            <w:vAlign w:val="bottom"/>
            <w:gridSpan w:val="5"/>
          </w:tcPr>
          <w:p>
            <w:pPr>
              <w:jc w:val="right"/>
              <w:spacing w:after="0"/>
              <w:rPr>
                <w:rFonts w:ascii="Arial" w:cs="Arial" w:eastAsia="Arial" w:hAnsi="Arial"/>
                <w:sz w:val="16"/>
                <w:szCs w:val="16"/>
                <w:color w:val="0000EE"/>
              </w:rPr>
            </w:pPr>
            <w:hyperlink w:anchor="page52">
              <w:r>
                <w:rPr>
                  <w:rFonts w:ascii="Arial" w:cs="Arial" w:eastAsia="Arial" w:hAnsi="Arial"/>
                  <w:sz w:val="16"/>
                  <w:szCs w:val="16"/>
                  <w:color w:val="0000EE"/>
                </w:rPr>
                <w:t>51</w:t>
              </w:r>
            </w:hyperlink>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6"/>
        </w:trPr>
        <w:tc>
          <w:tcPr>
            <w:tcW w:w="300" w:type="dxa"/>
            <w:vAlign w:val="bottom"/>
            <w:tcBorders>
              <w:bottom w:val="single" w:sz="8" w:color="EEEEEE"/>
            </w:tcBorders>
          </w:tcPr>
          <w:p>
            <w:pPr>
              <w:spacing w:after="0"/>
              <w:rPr>
                <w:sz w:val="13"/>
                <w:szCs w:val="13"/>
                <w:color w:val="auto"/>
              </w:rPr>
            </w:pPr>
          </w:p>
        </w:tc>
        <w:tc>
          <w:tcPr>
            <w:tcW w:w="480" w:type="dxa"/>
            <w:vAlign w:val="bottom"/>
            <w:tcBorders>
              <w:bottom w:val="single" w:sz="8" w:color="EEEEEE"/>
            </w:tcBorders>
          </w:tcPr>
          <w:p>
            <w:pPr>
              <w:spacing w:after="0"/>
              <w:rPr>
                <w:sz w:val="13"/>
                <w:szCs w:val="13"/>
                <w:color w:val="auto"/>
              </w:rPr>
            </w:pPr>
          </w:p>
        </w:tc>
        <w:tc>
          <w:tcPr>
            <w:tcW w:w="120" w:type="dxa"/>
            <w:vAlign w:val="bottom"/>
            <w:tcBorders>
              <w:bottom w:val="single" w:sz="8" w:color="EEEEEE"/>
            </w:tcBorders>
          </w:tcPr>
          <w:p>
            <w:pPr>
              <w:spacing w:after="0"/>
              <w:rPr>
                <w:sz w:val="13"/>
                <w:szCs w:val="13"/>
                <w:color w:val="auto"/>
              </w:rPr>
            </w:pPr>
          </w:p>
        </w:tc>
        <w:tc>
          <w:tcPr>
            <w:tcW w:w="200" w:type="dxa"/>
            <w:vAlign w:val="bottom"/>
            <w:tcBorders>
              <w:bottom w:val="single" w:sz="8" w:color="EEEEEE"/>
            </w:tcBorders>
          </w:tcPr>
          <w:p>
            <w:pPr>
              <w:spacing w:after="0"/>
              <w:rPr>
                <w:sz w:val="13"/>
                <w:szCs w:val="13"/>
                <w:color w:val="auto"/>
              </w:rPr>
            </w:pPr>
          </w:p>
        </w:tc>
        <w:tc>
          <w:tcPr>
            <w:tcW w:w="560" w:type="dxa"/>
            <w:vAlign w:val="bottom"/>
            <w:tcBorders>
              <w:bottom w:val="single" w:sz="8" w:color="EEEEEE"/>
            </w:tcBorders>
          </w:tcPr>
          <w:p>
            <w:pPr>
              <w:spacing w:after="0"/>
              <w:rPr>
                <w:sz w:val="13"/>
                <w:szCs w:val="13"/>
                <w:color w:val="auto"/>
              </w:rPr>
            </w:pPr>
          </w:p>
        </w:tc>
        <w:tc>
          <w:tcPr>
            <w:tcW w:w="340" w:type="dxa"/>
            <w:vAlign w:val="bottom"/>
            <w:tcBorders>
              <w:bottom w:val="single" w:sz="8" w:color="EEEEEE"/>
            </w:tcBorders>
          </w:tcPr>
          <w:p>
            <w:pPr>
              <w:spacing w:after="0"/>
              <w:rPr>
                <w:sz w:val="13"/>
                <w:szCs w:val="13"/>
                <w:color w:val="auto"/>
              </w:rPr>
            </w:pPr>
          </w:p>
        </w:tc>
        <w:tc>
          <w:tcPr>
            <w:tcW w:w="360" w:type="dxa"/>
            <w:vAlign w:val="bottom"/>
            <w:tcBorders>
              <w:bottom w:val="single" w:sz="8" w:color="EEEEEE"/>
            </w:tcBorders>
          </w:tcPr>
          <w:p>
            <w:pPr>
              <w:spacing w:after="0"/>
              <w:rPr>
                <w:sz w:val="13"/>
                <w:szCs w:val="13"/>
                <w:color w:val="auto"/>
              </w:rPr>
            </w:pPr>
          </w:p>
        </w:tc>
        <w:tc>
          <w:tcPr>
            <w:tcW w:w="80" w:type="dxa"/>
            <w:vAlign w:val="bottom"/>
            <w:tcBorders>
              <w:bottom w:val="single" w:sz="8" w:color="EEEEEE"/>
            </w:tcBorders>
          </w:tcPr>
          <w:p>
            <w:pPr>
              <w:spacing w:after="0"/>
              <w:rPr>
                <w:sz w:val="13"/>
                <w:szCs w:val="13"/>
                <w:color w:val="auto"/>
              </w:rPr>
            </w:pPr>
          </w:p>
        </w:tc>
        <w:tc>
          <w:tcPr>
            <w:tcW w:w="180" w:type="dxa"/>
            <w:vAlign w:val="bottom"/>
            <w:tcBorders>
              <w:bottom w:val="single" w:sz="8" w:color="EEEEEE"/>
            </w:tcBorders>
          </w:tcPr>
          <w:p>
            <w:pPr>
              <w:spacing w:after="0"/>
              <w:rPr>
                <w:sz w:val="13"/>
                <w:szCs w:val="13"/>
                <w:color w:val="auto"/>
              </w:rPr>
            </w:pPr>
          </w:p>
        </w:tc>
        <w:tc>
          <w:tcPr>
            <w:tcW w:w="220" w:type="dxa"/>
            <w:vAlign w:val="bottom"/>
            <w:tcBorders>
              <w:bottom w:val="single" w:sz="8" w:color="EEEEEE"/>
            </w:tcBorders>
          </w:tcPr>
          <w:p>
            <w:pPr>
              <w:spacing w:after="0"/>
              <w:rPr>
                <w:sz w:val="13"/>
                <w:szCs w:val="13"/>
                <w:color w:val="auto"/>
              </w:rPr>
            </w:pPr>
          </w:p>
        </w:tc>
        <w:tc>
          <w:tcPr>
            <w:tcW w:w="60" w:type="dxa"/>
            <w:vAlign w:val="bottom"/>
            <w:tcBorders>
              <w:bottom w:val="single" w:sz="8" w:color="EEEEEE"/>
            </w:tcBorders>
          </w:tcPr>
          <w:p>
            <w:pPr>
              <w:spacing w:after="0"/>
              <w:rPr>
                <w:sz w:val="13"/>
                <w:szCs w:val="13"/>
                <w:color w:val="auto"/>
              </w:rPr>
            </w:pPr>
          </w:p>
        </w:tc>
        <w:tc>
          <w:tcPr>
            <w:tcW w:w="200" w:type="dxa"/>
            <w:vAlign w:val="bottom"/>
            <w:tcBorders>
              <w:bottom w:val="single" w:sz="8" w:color="EEEEEE"/>
            </w:tcBorders>
          </w:tcPr>
          <w:p>
            <w:pPr>
              <w:spacing w:after="0"/>
              <w:rPr>
                <w:sz w:val="13"/>
                <w:szCs w:val="13"/>
                <w:color w:val="auto"/>
              </w:rPr>
            </w:pPr>
          </w:p>
        </w:tc>
        <w:tc>
          <w:tcPr>
            <w:tcW w:w="260" w:type="dxa"/>
            <w:vAlign w:val="bottom"/>
            <w:tcBorders>
              <w:bottom w:val="single" w:sz="8" w:color="EEEEEE"/>
            </w:tcBorders>
          </w:tcPr>
          <w:p>
            <w:pPr>
              <w:spacing w:after="0"/>
              <w:rPr>
                <w:sz w:val="13"/>
                <w:szCs w:val="13"/>
                <w:color w:val="auto"/>
              </w:rPr>
            </w:pPr>
          </w:p>
        </w:tc>
        <w:tc>
          <w:tcPr>
            <w:tcW w:w="780" w:type="dxa"/>
            <w:vAlign w:val="bottom"/>
            <w:tcBorders>
              <w:bottom w:val="single" w:sz="8" w:color="EEEEEE"/>
            </w:tcBorders>
          </w:tcPr>
          <w:p>
            <w:pPr>
              <w:spacing w:after="0"/>
              <w:rPr>
                <w:sz w:val="13"/>
                <w:szCs w:val="13"/>
                <w:color w:val="auto"/>
              </w:rPr>
            </w:pPr>
          </w:p>
        </w:tc>
        <w:tc>
          <w:tcPr>
            <w:tcW w:w="1180" w:type="dxa"/>
            <w:vAlign w:val="bottom"/>
            <w:tcBorders>
              <w:bottom w:val="single" w:sz="8" w:color="EEEEEE"/>
            </w:tcBorders>
          </w:tcPr>
          <w:p>
            <w:pPr>
              <w:spacing w:after="0"/>
              <w:rPr>
                <w:sz w:val="13"/>
                <w:szCs w:val="13"/>
                <w:color w:val="auto"/>
              </w:rPr>
            </w:pPr>
          </w:p>
        </w:tc>
        <w:tc>
          <w:tcPr>
            <w:tcW w:w="140" w:type="dxa"/>
            <w:vAlign w:val="bottom"/>
            <w:tcBorders>
              <w:bottom w:val="single" w:sz="8" w:color="EEEEEE"/>
            </w:tcBorders>
          </w:tcPr>
          <w:p>
            <w:pPr>
              <w:spacing w:after="0"/>
              <w:rPr>
                <w:sz w:val="13"/>
                <w:szCs w:val="13"/>
                <w:color w:val="auto"/>
              </w:rPr>
            </w:pPr>
          </w:p>
        </w:tc>
        <w:tc>
          <w:tcPr>
            <w:tcW w:w="980" w:type="dxa"/>
            <w:vAlign w:val="bottom"/>
            <w:tcBorders>
              <w:bottom w:val="single" w:sz="8" w:color="EEEEEE"/>
            </w:tcBorders>
          </w:tcPr>
          <w:p>
            <w:pPr>
              <w:spacing w:after="0"/>
              <w:rPr>
                <w:sz w:val="13"/>
                <w:szCs w:val="13"/>
                <w:color w:val="auto"/>
              </w:rPr>
            </w:pPr>
          </w:p>
        </w:tc>
        <w:tc>
          <w:tcPr>
            <w:tcW w:w="1040" w:type="dxa"/>
            <w:vAlign w:val="bottom"/>
            <w:tcBorders>
              <w:bottom w:val="single" w:sz="8" w:color="EEEEEE"/>
            </w:tcBorders>
          </w:tcPr>
          <w:p>
            <w:pPr>
              <w:spacing w:after="0"/>
              <w:rPr>
                <w:sz w:val="13"/>
                <w:szCs w:val="13"/>
                <w:color w:val="auto"/>
              </w:rPr>
            </w:pPr>
          </w:p>
        </w:tc>
        <w:tc>
          <w:tcPr>
            <w:tcW w:w="120" w:type="dxa"/>
            <w:vAlign w:val="bottom"/>
            <w:tcBorders>
              <w:bottom w:val="single" w:sz="8" w:color="EEEEEE"/>
            </w:tcBorders>
          </w:tcPr>
          <w:p>
            <w:pPr>
              <w:spacing w:after="0"/>
              <w:rPr>
                <w:sz w:val="13"/>
                <w:szCs w:val="13"/>
                <w:color w:val="auto"/>
              </w:rPr>
            </w:pPr>
          </w:p>
        </w:tc>
        <w:tc>
          <w:tcPr>
            <w:tcW w:w="240" w:type="dxa"/>
            <w:vAlign w:val="bottom"/>
            <w:tcBorders>
              <w:bottom w:val="single" w:sz="8" w:color="EEEEEE"/>
            </w:tcBorders>
          </w:tcPr>
          <w:p>
            <w:pPr>
              <w:spacing w:after="0"/>
              <w:rPr>
                <w:sz w:val="13"/>
                <w:szCs w:val="13"/>
                <w:color w:val="auto"/>
              </w:rPr>
            </w:pPr>
          </w:p>
        </w:tc>
        <w:tc>
          <w:tcPr>
            <w:tcW w:w="1360" w:type="dxa"/>
            <w:vAlign w:val="bottom"/>
            <w:tcBorders>
              <w:bottom w:val="single" w:sz="8" w:color="EEEEEE"/>
            </w:tcBorders>
          </w:tcPr>
          <w:p>
            <w:pPr>
              <w:spacing w:after="0"/>
              <w:rPr>
                <w:sz w:val="13"/>
                <w:szCs w:val="13"/>
                <w:color w:val="auto"/>
              </w:rPr>
            </w:pPr>
          </w:p>
        </w:tc>
        <w:tc>
          <w:tcPr>
            <w:tcW w:w="1620" w:type="dxa"/>
            <w:vAlign w:val="bottom"/>
            <w:tcBorders>
              <w:bottom w:val="single" w:sz="8" w:color="EEEEEE"/>
            </w:tcBorders>
          </w:tcPr>
          <w:p>
            <w:pPr>
              <w:spacing w:after="0"/>
              <w:rPr>
                <w:sz w:val="13"/>
                <w:szCs w:val="13"/>
                <w:color w:val="auto"/>
              </w:rPr>
            </w:pPr>
          </w:p>
        </w:tc>
        <w:tc>
          <w:tcPr>
            <w:tcW w:w="180" w:type="dxa"/>
            <w:vAlign w:val="bottom"/>
            <w:tcBorders>
              <w:bottom w:val="single" w:sz="8" w:color="EEEEEE"/>
            </w:tcBorders>
          </w:tcPr>
          <w:p>
            <w:pPr>
              <w:spacing w:after="0"/>
              <w:rPr>
                <w:sz w:val="13"/>
                <w:szCs w:val="13"/>
                <w:color w:val="auto"/>
              </w:rPr>
            </w:pPr>
          </w:p>
        </w:tc>
        <w:tc>
          <w:tcPr>
            <w:tcW w:w="80" w:type="dxa"/>
            <w:vAlign w:val="bottom"/>
            <w:tcBorders>
              <w:top w:val="single" w:sz="8" w:color="0000EE"/>
              <w:bottom w:val="single" w:sz="8" w:color="EEEEEE"/>
            </w:tcBorders>
          </w:tcPr>
          <w:p>
            <w:pPr>
              <w:spacing w:after="0"/>
              <w:rPr>
                <w:sz w:val="13"/>
                <w:szCs w:val="13"/>
                <w:color w:val="auto"/>
              </w:rPr>
            </w:pPr>
          </w:p>
        </w:tc>
        <w:tc>
          <w:tcPr>
            <w:tcW w:w="80" w:type="dxa"/>
            <w:vAlign w:val="bottom"/>
            <w:tcBorders>
              <w:top w:val="single" w:sz="8" w:color="0000EE"/>
              <w:bottom w:val="single" w:sz="8" w:color="EEEEEE"/>
            </w:tcBorders>
          </w:tcPr>
          <w:p>
            <w:pPr>
              <w:spacing w:after="0"/>
              <w:rPr>
                <w:sz w:val="13"/>
                <w:szCs w:val="13"/>
                <w:color w:val="auto"/>
              </w:rPr>
            </w:pPr>
          </w:p>
        </w:tc>
        <w:tc>
          <w:tcPr>
            <w:tcW w:w="20" w:type="dxa"/>
            <w:vAlign w:val="bottom"/>
            <w:tcBorders>
              <w:top w:val="single" w:sz="8" w:color="0000EE"/>
              <w:bottom w:val="single" w:sz="8" w:color="EEEEEE"/>
            </w:tcBorders>
          </w:tcPr>
          <w:p>
            <w:pPr>
              <w:spacing w:after="0"/>
              <w:rPr>
                <w:sz w:val="13"/>
                <w:szCs w:val="13"/>
                <w:color w:val="auto"/>
              </w:rPr>
            </w:pPr>
          </w:p>
        </w:tc>
        <w:tc>
          <w:tcPr>
            <w:tcW w:w="180" w:type="dxa"/>
            <w:vAlign w:val="bottom"/>
            <w:tcBorders>
              <w:bottom w:val="single" w:sz="8" w:color="EEEEEE"/>
            </w:tcBorders>
          </w:tcPr>
          <w:p>
            <w:pPr>
              <w:spacing w:after="0"/>
              <w:rPr>
                <w:sz w:val="13"/>
                <w:szCs w:val="13"/>
                <w:color w:val="auto"/>
              </w:rPr>
            </w:pPr>
          </w:p>
        </w:tc>
        <w:tc>
          <w:tcPr>
            <w:tcW w:w="40" w:type="dxa"/>
            <w:vAlign w:val="bottom"/>
            <w:tcBorders>
              <w:bottom w:val="single" w:sz="8" w:color="EEEEEE"/>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jc w:val="center"/>
        <w:spacing w:after="0" w:line="234" w:lineRule="auto"/>
        <w:rPr>
          <w:sz w:val="20"/>
          <w:szCs w:val="20"/>
          <w:color w:val="auto"/>
        </w:rPr>
      </w:pPr>
      <w:r>
        <w:rPr>
          <w:rFonts w:ascii="Arial" w:cs="Arial" w:eastAsia="Arial" w:hAnsi="Arial"/>
          <w:sz w:val="18"/>
          <w:szCs w:val="18"/>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160" w:type="dxa"/>
            <w:vAlign w:val="bottom"/>
            <w:gridSpan w:val="3"/>
          </w:tcPr>
          <w:p>
            <w:pPr>
              <w:jc w:val="right"/>
              <w:ind w:right="539"/>
              <w:spacing w:after="0"/>
              <w:rPr>
                <w:sz w:val="20"/>
                <w:szCs w:val="20"/>
                <w:color w:val="auto"/>
              </w:rPr>
            </w:pPr>
            <w:r>
              <w:rPr>
                <w:rFonts w:ascii="Arial" w:cs="Arial" w:eastAsia="Arial" w:hAnsi="Arial"/>
                <w:sz w:val="14"/>
                <w:szCs w:val="14"/>
                <w:b w:val="1"/>
                <w:bCs w:val="1"/>
                <w:color w:val="auto"/>
              </w:rPr>
              <w:t>Three Months Ended</w:t>
            </w:r>
          </w:p>
        </w:tc>
        <w:tc>
          <w:tcPr>
            <w:tcW w:w="60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8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5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r>
      <w:tr>
        <w:trPr>
          <w:trHeight w:val="183"/>
        </w:trPr>
        <w:tc>
          <w:tcPr>
            <w:tcW w:w="5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720"/>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6040" w:type="dxa"/>
            <w:vAlign w:val="bottom"/>
            <w:tcBorders>
              <w:bottom w:val="single" w:sz="8" w:color="BFBFB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210"/>
        </w:trPr>
        <w:tc>
          <w:tcPr>
            <w:tcW w:w="1680" w:type="dxa"/>
            <w:vAlign w:val="bottom"/>
            <w:gridSpan w:val="2"/>
            <w:shd w:val="clear" w:color="auto" w:fill="BFBFBF"/>
          </w:tcPr>
          <w:p>
            <w:pPr>
              <w:jc w:val="right"/>
              <w:ind w:right="540"/>
              <w:spacing w:after="0"/>
              <w:rPr>
                <w:sz w:val="20"/>
                <w:szCs w:val="20"/>
                <w:color w:val="auto"/>
              </w:rPr>
            </w:pPr>
            <w:r>
              <w:rPr>
                <w:rFonts w:ascii="Arial" w:cs="Arial" w:eastAsia="Arial" w:hAnsi="Arial"/>
                <w:sz w:val="16"/>
                <w:szCs w:val="16"/>
                <w:color w:val="auto"/>
              </w:rPr>
              <w:t>$273,949</w:t>
            </w:r>
          </w:p>
        </w:tc>
        <w:tc>
          <w:tcPr>
            <w:tcW w:w="1000" w:type="dxa"/>
            <w:vAlign w:val="bottom"/>
            <w:gridSpan w:val="2"/>
            <w:shd w:val="clear" w:color="auto" w:fill="BFBFBF"/>
          </w:tcPr>
          <w:p>
            <w:pPr>
              <w:jc w:val="right"/>
              <w:ind w:right="199"/>
              <w:spacing w:after="0"/>
              <w:rPr>
                <w:sz w:val="20"/>
                <w:szCs w:val="20"/>
                <w:color w:val="auto"/>
              </w:rPr>
            </w:pPr>
            <w:r>
              <w:rPr>
                <w:rFonts w:ascii="Arial" w:cs="Arial" w:eastAsia="Arial" w:hAnsi="Arial"/>
                <w:sz w:val="16"/>
                <w:szCs w:val="16"/>
                <w:color w:val="auto"/>
              </w:rPr>
              <w:t>$255,374</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Net sales</w:t>
            </w:r>
          </w:p>
        </w:tc>
        <w:tc>
          <w:tcPr>
            <w:tcW w:w="1020" w:type="dxa"/>
            <w:vAlign w:val="bottom"/>
            <w:gridSpan w:val="2"/>
            <w:shd w:val="clear" w:color="auto" w:fill="BFBFBF"/>
          </w:tcPr>
          <w:p>
            <w:pPr>
              <w:jc w:val="right"/>
              <w:spacing w:after="0"/>
              <w:rPr>
                <w:sz w:val="20"/>
                <w:szCs w:val="20"/>
                <w:color w:val="auto"/>
              </w:rPr>
            </w:pPr>
            <w:r>
              <w:rPr>
                <w:rFonts w:ascii="Arial" w:cs="Arial" w:eastAsia="Arial" w:hAnsi="Arial"/>
                <w:sz w:val="16"/>
                <w:szCs w:val="16"/>
                <w:color w:val="auto"/>
              </w:rPr>
              <w:t>$525,321</w:t>
            </w:r>
          </w:p>
        </w:tc>
        <w:tc>
          <w:tcPr>
            <w:tcW w:w="1680" w:type="dxa"/>
            <w:vAlign w:val="bottom"/>
            <w:gridSpan w:val="2"/>
            <w:shd w:val="clear" w:color="auto" w:fill="BFBFBF"/>
          </w:tcPr>
          <w:p>
            <w:pPr>
              <w:jc w:val="right"/>
              <w:ind w:right="300"/>
              <w:spacing w:after="0"/>
              <w:rPr>
                <w:sz w:val="20"/>
                <w:szCs w:val="20"/>
                <w:color w:val="auto"/>
              </w:rPr>
            </w:pPr>
            <w:r>
              <w:rPr>
                <w:rFonts w:ascii="Arial" w:cs="Arial" w:eastAsia="Arial" w:hAnsi="Arial"/>
                <w:sz w:val="16"/>
                <w:szCs w:val="16"/>
                <w:color w:val="auto"/>
              </w:rPr>
              <w:t>$478,977</w:t>
            </w:r>
          </w:p>
        </w:tc>
      </w:tr>
      <w:tr>
        <w:trPr>
          <w:trHeight w:val="213"/>
        </w:trPr>
        <w:tc>
          <w:tcPr>
            <w:tcW w:w="16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6"/>
                <w:szCs w:val="16"/>
                <w:color w:val="auto"/>
              </w:rPr>
              <w:t>168,767</w:t>
            </w:r>
          </w:p>
        </w:tc>
        <w:tc>
          <w:tcPr>
            <w:tcW w:w="100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color w:val="auto"/>
              </w:rPr>
              <w:t>163,731</w:t>
            </w:r>
          </w:p>
        </w:tc>
        <w:tc>
          <w:tcPr>
            <w:tcW w:w="604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Cost of goods sold</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328,368</w:t>
            </w:r>
          </w:p>
        </w:tc>
        <w:tc>
          <w:tcPr>
            <w:tcW w:w="16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309,552</w:t>
            </w:r>
          </w:p>
        </w:tc>
      </w:tr>
      <w:tr>
        <w:trPr>
          <w:trHeight w:val="213"/>
        </w:trPr>
        <w:tc>
          <w:tcPr>
            <w:tcW w:w="520" w:type="dxa"/>
            <w:vAlign w:val="bottom"/>
            <w:shd w:val="clear" w:color="auto" w:fill="BFBFBF"/>
          </w:tcPr>
          <w:p>
            <w:pPr>
              <w:spacing w:after="0"/>
              <w:rPr>
                <w:sz w:val="18"/>
                <w:szCs w:val="18"/>
                <w:color w:val="auto"/>
              </w:rPr>
            </w:pPr>
          </w:p>
        </w:tc>
        <w:tc>
          <w:tcPr>
            <w:tcW w:w="1160" w:type="dxa"/>
            <w:vAlign w:val="bottom"/>
            <w:shd w:val="clear" w:color="auto" w:fill="BFBFBF"/>
          </w:tcPr>
          <w:p>
            <w:pPr>
              <w:spacing w:after="0"/>
              <w:rPr>
                <w:sz w:val="18"/>
                <w:szCs w:val="18"/>
                <w:color w:val="auto"/>
              </w:rPr>
            </w:pPr>
          </w:p>
        </w:tc>
        <w:tc>
          <w:tcPr>
            <w:tcW w:w="180" w:type="dxa"/>
            <w:vAlign w:val="bottom"/>
            <w:shd w:val="clear" w:color="auto" w:fill="BFBFBF"/>
          </w:tcPr>
          <w:p>
            <w:pPr>
              <w:spacing w:after="0"/>
              <w:rPr>
                <w:sz w:val="18"/>
                <w:szCs w:val="18"/>
                <w:color w:val="auto"/>
              </w:rPr>
            </w:pPr>
          </w:p>
        </w:tc>
        <w:tc>
          <w:tcPr>
            <w:tcW w:w="820" w:type="dxa"/>
            <w:vAlign w:val="bottom"/>
            <w:shd w:val="clear" w:color="auto" w:fill="BFBFBF"/>
          </w:tcPr>
          <w:p>
            <w:pPr>
              <w:spacing w:after="0"/>
              <w:rPr>
                <w:sz w:val="18"/>
                <w:szCs w:val="18"/>
                <w:color w:val="auto"/>
              </w:rPr>
            </w:pPr>
          </w:p>
        </w:tc>
        <w:tc>
          <w:tcPr>
            <w:tcW w:w="6040" w:type="dxa"/>
            <w:vAlign w:val="bottom"/>
            <w:shd w:val="clear" w:color="auto" w:fill="BFBFBF"/>
          </w:tcPr>
          <w:p>
            <w:pPr>
              <w:spacing w:after="0"/>
              <w:rPr>
                <w:sz w:val="18"/>
                <w:szCs w:val="18"/>
                <w:color w:val="auto"/>
              </w:rPr>
            </w:pPr>
          </w:p>
        </w:tc>
        <w:tc>
          <w:tcPr>
            <w:tcW w:w="420" w:type="dxa"/>
            <w:vAlign w:val="bottom"/>
            <w:shd w:val="clear" w:color="auto" w:fill="BFBFBF"/>
          </w:tcPr>
          <w:p>
            <w:pPr>
              <w:spacing w:after="0"/>
              <w:rPr>
                <w:sz w:val="18"/>
                <w:szCs w:val="18"/>
                <w:color w:val="auto"/>
              </w:rPr>
            </w:pPr>
          </w:p>
        </w:tc>
        <w:tc>
          <w:tcPr>
            <w:tcW w:w="600" w:type="dxa"/>
            <w:vAlign w:val="bottom"/>
            <w:shd w:val="clear" w:color="auto" w:fill="BFBFBF"/>
          </w:tcPr>
          <w:p>
            <w:pPr>
              <w:spacing w:after="0"/>
              <w:rPr>
                <w:sz w:val="18"/>
                <w:szCs w:val="18"/>
                <w:color w:val="auto"/>
              </w:rPr>
            </w:pPr>
          </w:p>
        </w:tc>
        <w:tc>
          <w:tcPr>
            <w:tcW w:w="760" w:type="dxa"/>
            <w:vAlign w:val="bottom"/>
            <w:shd w:val="clear" w:color="auto" w:fill="BFBFBF"/>
          </w:tcPr>
          <w:p>
            <w:pPr>
              <w:spacing w:after="0"/>
              <w:rPr>
                <w:sz w:val="18"/>
                <w:szCs w:val="18"/>
                <w:color w:val="auto"/>
              </w:rPr>
            </w:pPr>
          </w:p>
        </w:tc>
        <w:tc>
          <w:tcPr>
            <w:tcW w:w="920" w:type="dxa"/>
            <w:vAlign w:val="bottom"/>
            <w:shd w:val="clear" w:color="auto" w:fill="BFBFBF"/>
          </w:tcPr>
          <w:p>
            <w:pPr>
              <w:spacing w:after="0"/>
              <w:rPr>
                <w:sz w:val="18"/>
                <w:szCs w:val="18"/>
                <w:color w:val="auto"/>
              </w:rPr>
            </w:pPr>
          </w:p>
        </w:tc>
      </w:tr>
      <w:tr>
        <w:trPr>
          <w:trHeight w:val="213"/>
        </w:trPr>
        <w:tc>
          <w:tcPr>
            <w:tcW w:w="1680" w:type="dxa"/>
            <w:vAlign w:val="bottom"/>
            <w:gridSpan w:val="2"/>
          </w:tcPr>
          <w:p>
            <w:pPr>
              <w:jc w:val="right"/>
              <w:ind w:right="540"/>
              <w:spacing w:after="0"/>
              <w:rPr>
                <w:sz w:val="20"/>
                <w:szCs w:val="20"/>
                <w:color w:val="auto"/>
              </w:rPr>
            </w:pPr>
            <w:r>
              <w:rPr>
                <w:rFonts w:ascii="Arial" w:cs="Arial" w:eastAsia="Arial" w:hAnsi="Arial"/>
                <w:sz w:val="16"/>
                <w:szCs w:val="16"/>
                <w:color w:val="auto"/>
              </w:rPr>
              <w:t>105,182</w:t>
            </w:r>
          </w:p>
        </w:tc>
        <w:tc>
          <w:tcPr>
            <w:tcW w:w="18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91,643</w:t>
            </w:r>
          </w:p>
        </w:tc>
        <w:tc>
          <w:tcPr>
            <w:tcW w:w="6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196,953</w:t>
            </w:r>
          </w:p>
        </w:tc>
        <w:tc>
          <w:tcPr>
            <w:tcW w:w="1680" w:type="dxa"/>
            <w:vAlign w:val="bottom"/>
            <w:gridSpan w:val="2"/>
          </w:tcPr>
          <w:p>
            <w:pPr>
              <w:jc w:val="right"/>
              <w:ind w:right="300"/>
              <w:spacing w:after="0"/>
              <w:rPr>
                <w:sz w:val="20"/>
                <w:szCs w:val="20"/>
                <w:color w:val="auto"/>
              </w:rPr>
            </w:pPr>
            <w:r>
              <w:rPr>
                <w:rFonts w:ascii="Arial" w:cs="Arial" w:eastAsia="Arial" w:hAnsi="Arial"/>
                <w:sz w:val="16"/>
                <w:szCs w:val="16"/>
                <w:color w:val="auto"/>
              </w:rPr>
              <w:t>169,425</w:t>
            </w:r>
          </w:p>
        </w:tc>
      </w:tr>
      <w:tr>
        <w:trPr>
          <w:trHeight w:val="219"/>
        </w:trPr>
        <w:tc>
          <w:tcPr>
            <w:tcW w:w="520" w:type="dxa"/>
            <w:vAlign w:val="bottom"/>
            <w:shd w:val="clear" w:color="auto" w:fill="BFBFBF"/>
          </w:tcPr>
          <w:p>
            <w:pPr>
              <w:spacing w:after="0"/>
              <w:rPr>
                <w:sz w:val="19"/>
                <w:szCs w:val="19"/>
                <w:color w:val="auto"/>
              </w:rPr>
            </w:pPr>
          </w:p>
        </w:tc>
        <w:tc>
          <w:tcPr>
            <w:tcW w:w="1160" w:type="dxa"/>
            <w:vAlign w:val="bottom"/>
            <w:shd w:val="clear" w:color="auto" w:fill="BFBFBF"/>
          </w:tcPr>
          <w:p>
            <w:pPr>
              <w:jc w:val="right"/>
              <w:ind w:right="540"/>
              <w:spacing w:after="0"/>
              <w:rPr>
                <w:sz w:val="20"/>
                <w:szCs w:val="20"/>
                <w:color w:val="auto"/>
              </w:rPr>
            </w:pPr>
            <w:r>
              <w:rPr>
                <w:rFonts w:ascii="Arial" w:cs="Arial" w:eastAsia="Arial" w:hAnsi="Arial"/>
                <w:sz w:val="16"/>
                <w:szCs w:val="16"/>
                <w:color w:val="auto"/>
              </w:rPr>
              <w:t>40,816</w:t>
            </w:r>
          </w:p>
        </w:tc>
        <w:tc>
          <w:tcPr>
            <w:tcW w:w="180" w:type="dxa"/>
            <w:vAlign w:val="bottom"/>
            <w:shd w:val="clear" w:color="auto" w:fill="BFBFBF"/>
          </w:tcPr>
          <w:p>
            <w:pPr>
              <w:spacing w:after="0"/>
              <w:rPr>
                <w:sz w:val="19"/>
                <w:szCs w:val="19"/>
                <w:color w:val="auto"/>
              </w:rPr>
            </w:pPr>
          </w:p>
        </w:tc>
        <w:tc>
          <w:tcPr>
            <w:tcW w:w="82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36,700</w:t>
            </w:r>
          </w:p>
        </w:tc>
        <w:tc>
          <w:tcPr>
            <w:tcW w:w="6040" w:type="dxa"/>
            <w:vAlign w:val="bottom"/>
            <w:shd w:val="clear" w:color="auto" w:fill="BFBFBF"/>
          </w:tcPr>
          <w:p>
            <w:pPr>
              <w:ind w:left="240"/>
              <w:spacing w:after="0"/>
              <w:rPr>
                <w:sz w:val="20"/>
                <w:szCs w:val="20"/>
                <w:color w:val="auto"/>
              </w:rPr>
            </w:pPr>
            <w:r>
              <w:rPr>
                <w:rFonts w:ascii="Arial" w:cs="Arial" w:eastAsia="Arial" w:hAnsi="Arial"/>
                <w:sz w:val="16"/>
                <w:szCs w:val="16"/>
                <w:color w:val="auto"/>
              </w:rPr>
              <w:t>Selling, general, and administrative expenses</w:t>
            </w:r>
          </w:p>
        </w:tc>
        <w:tc>
          <w:tcPr>
            <w:tcW w:w="420" w:type="dxa"/>
            <w:vAlign w:val="bottom"/>
            <w:shd w:val="clear" w:color="auto" w:fill="BFBFBF"/>
          </w:tcPr>
          <w:p>
            <w:pPr>
              <w:spacing w:after="0"/>
              <w:rPr>
                <w:sz w:val="19"/>
                <w:szCs w:val="19"/>
                <w:color w:val="auto"/>
              </w:rPr>
            </w:pPr>
          </w:p>
        </w:tc>
        <w:tc>
          <w:tcPr>
            <w:tcW w:w="6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81,761</w:t>
            </w:r>
          </w:p>
        </w:tc>
        <w:tc>
          <w:tcPr>
            <w:tcW w:w="76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78,588</w:t>
            </w:r>
          </w:p>
        </w:tc>
      </w:tr>
      <w:tr>
        <w:trPr>
          <w:trHeight w:val="213"/>
        </w:trPr>
        <w:tc>
          <w:tcPr>
            <w:tcW w:w="520" w:type="dxa"/>
            <w:vAlign w:val="bottom"/>
          </w:tcPr>
          <w:p>
            <w:pPr>
              <w:spacing w:after="0"/>
              <w:rPr>
                <w:sz w:val="18"/>
                <w:szCs w:val="18"/>
                <w:color w:val="auto"/>
              </w:rPr>
            </w:pPr>
          </w:p>
        </w:tc>
        <w:tc>
          <w:tcPr>
            <w:tcW w:w="1160" w:type="dxa"/>
            <w:vAlign w:val="bottom"/>
          </w:tcPr>
          <w:p>
            <w:pPr>
              <w:jc w:val="right"/>
              <w:ind w:right="540"/>
              <w:spacing w:after="0"/>
              <w:rPr>
                <w:sz w:val="20"/>
                <w:szCs w:val="20"/>
                <w:color w:val="auto"/>
              </w:rPr>
            </w:pPr>
            <w:r>
              <w:rPr>
                <w:rFonts w:ascii="Arial" w:cs="Arial" w:eastAsia="Arial" w:hAnsi="Arial"/>
                <w:sz w:val="16"/>
                <w:szCs w:val="16"/>
                <w:color w:val="auto"/>
              </w:rPr>
              <w:t>9,242</w:t>
            </w:r>
          </w:p>
        </w:tc>
        <w:tc>
          <w:tcPr>
            <w:tcW w:w="18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10,198</w:t>
            </w:r>
          </w:p>
        </w:tc>
        <w:tc>
          <w:tcPr>
            <w:tcW w:w="6040" w:type="dxa"/>
            <w:vAlign w:val="bottom"/>
          </w:tcPr>
          <w:p>
            <w:pPr>
              <w:ind w:left="240"/>
              <w:spacing w:after="0"/>
              <w:rPr>
                <w:sz w:val="20"/>
                <w:szCs w:val="20"/>
                <w:color w:val="auto"/>
              </w:rPr>
            </w:pPr>
            <w:r>
              <w:rPr>
                <w:rFonts w:ascii="Arial" w:cs="Arial" w:eastAsia="Arial" w:hAnsi="Arial"/>
                <w:sz w:val="16"/>
                <w:szCs w:val="16"/>
                <w:color w:val="auto"/>
              </w:rPr>
              <w:t>Technical and research expenses</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19,491</w:t>
            </w:r>
          </w:p>
        </w:tc>
        <w:tc>
          <w:tcPr>
            <w:tcW w:w="760" w:type="dxa"/>
            <w:vAlign w:val="bottom"/>
          </w:tcPr>
          <w:p>
            <w:pPr>
              <w:spacing w:after="0"/>
              <w:rPr>
                <w:sz w:val="18"/>
                <w:szCs w:val="18"/>
                <w:color w:val="auto"/>
              </w:rPr>
            </w:pP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20,515</w:t>
            </w:r>
          </w:p>
        </w:tc>
      </w:tr>
      <w:tr>
        <w:trPr>
          <w:trHeight w:val="216"/>
        </w:trPr>
        <w:tc>
          <w:tcPr>
            <w:tcW w:w="520" w:type="dxa"/>
            <w:vAlign w:val="bottom"/>
            <w:tcBorders>
              <w:bottom w:val="single" w:sz="8" w:color="auto"/>
            </w:tcBorders>
            <w:shd w:val="clear" w:color="auto" w:fill="BFBFBF"/>
          </w:tcPr>
          <w:p>
            <w:pPr>
              <w:spacing w:after="0"/>
              <w:rPr>
                <w:sz w:val="18"/>
                <w:szCs w:val="18"/>
                <w:color w:val="auto"/>
              </w:rPr>
            </w:pPr>
          </w:p>
        </w:tc>
        <w:tc>
          <w:tcPr>
            <w:tcW w:w="1160" w:type="dxa"/>
            <w:vAlign w:val="bottom"/>
            <w:tcBorders>
              <w:bottom w:val="single" w:sz="8" w:color="auto"/>
            </w:tcBorders>
            <w:shd w:val="clear" w:color="auto" w:fill="BFBFBF"/>
          </w:tcPr>
          <w:p>
            <w:pPr>
              <w:jc w:val="right"/>
              <w:ind w:right="540"/>
              <w:spacing w:after="0"/>
              <w:rPr>
                <w:sz w:val="20"/>
                <w:szCs w:val="20"/>
                <w:color w:val="auto"/>
              </w:rPr>
            </w:pPr>
            <w:r>
              <w:rPr>
                <w:rFonts w:ascii="Arial" w:cs="Arial" w:eastAsia="Arial" w:hAnsi="Arial"/>
                <w:sz w:val="16"/>
                <w:szCs w:val="16"/>
                <w:color w:val="auto"/>
              </w:rPr>
              <w:t>899</w:t>
            </w:r>
          </w:p>
        </w:tc>
        <w:tc>
          <w:tcPr>
            <w:tcW w:w="180" w:type="dxa"/>
            <w:vAlign w:val="bottom"/>
            <w:tcBorders>
              <w:bottom w:val="single" w:sz="8" w:color="auto"/>
            </w:tcBorders>
            <w:shd w:val="clear" w:color="auto" w:fill="BFBFBF"/>
          </w:tcPr>
          <w:p>
            <w:pPr>
              <w:spacing w:after="0"/>
              <w:rPr>
                <w:sz w:val="18"/>
                <w:szCs w:val="18"/>
                <w:color w:val="auto"/>
              </w:rPr>
            </w:pPr>
          </w:p>
        </w:tc>
        <w:tc>
          <w:tcPr>
            <w:tcW w:w="820" w:type="dxa"/>
            <w:vAlign w:val="bottom"/>
            <w:tcBorders>
              <w:bottom w:val="single" w:sz="8" w:color="auto"/>
            </w:tcBorders>
            <w:shd w:val="clear" w:color="auto" w:fill="BFBFBF"/>
          </w:tcPr>
          <w:p>
            <w:pPr>
              <w:jc w:val="right"/>
              <w:ind w:right="199"/>
              <w:spacing w:after="0"/>
              <w:rPr>
                <w:sz w:val="20"/>
                <w:szCs w:val="20"/>
                <w:color w:val="auto"/>
              </w:rPr>
            </w:pPr>
            <w:r>
              <w:rPr>
                <w:rFonts w:ascii="Arial" w:cs="Arial" w:eastAsia="Arial" w:hAnsi="Arial"/>
                <w:sz w:val="16"/>
                <w:szCs w:val="16"/>
                <w:color w:val="auto"/>
              </w:rPr>
              <w:t>2,589</w:t>
            </w:r>
          </w:p>
        </w:tc>
        <w:tc>
          <w:tcPr>
            <w:tcW w:w="6040" w:type="dxa"/>
            <w:vAlign w:val="bottom"/>
            <w:shd w:val="clear" w:color="auto" w:fill="BFBFBF"/>
          </w:tcPr>
          <w:p>
            <w:pPr>
              <w:ind w:left="240"/>
              <w:spacing w:after="0"/>
              <w:rPr>
                <w:sz w:val="20"/>
                <w:szCs w:val="20"/>
                <w:color w:val="auto"/>
              </w:rPr>
            </w:pPr>
            <w:r>
              <w:rPr>
                <w:rFonts w:ascii="Arial" w:cs="Arial" w:eastAsia="Arial" w:hAnsi="Arial"/>
                <w:sz w:val="16"/>
                <w:szCs w:val="16"/>
                <w:color w:val="auto"/>
              </w:rPr>
              <w:t>Restructuring expenses, net</w:t>
            </w:r>
          </w:p>
        </w:tc>
        <w:tc>
          <w:tcPr>
            <w:tcW w:w="420" w:type="dxa"/>
            <w:vAlign w:val="bottom"/>
            <w:tcBorders>
              <w:bottom w:val="single" w:sz="8" w:color="auto"/>
            </w:tcBorders>
            <w:shd w:val="clear" w:color="auto" w:fill="BFBFBF"/>
          </w:tcPr>
          <w:p>
            <w:pPr>
              <w:spacing w:after="0"/>
              <w:rPr>
                <w:sz w:val="18"/>
                <w:szCs w:val="18"/>
                <w:color w:val="auto"/>
              </w:rPr>
            </w:pPr>
          </w:p>
        </w:tc>
        <w:tc>
          <w:tcPr>
            <w:tcW w:w="6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1,383</w:t>
            </w:r>
          </w:p>
        </w:tc>
        <w:tc>
          <w:tcPr>
            <w:tcW w:w="76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300"/>
              <w:spacing w:after="0"/>
              <w:rPr>
                <w:sz w:val="20"/>
                <w:szCs w:val="20"/>
                <w:color w:val="auto"/>
              </w:rPr>
            </w:pPr>
            <w:r>
              <w:rPr>
                <w:rFonts w:ascii="Arial" w:cs="Arial" w:eastAsia="Arial" w:hAnsi="Arial"/>
                <w:sz w:val="16"/>
                <w:szCs w:val="16"/>
                <w:color w:val="auto"/>
              </w:rPr>
              <w:t>11,162</w:t>
            </w:r>
          </w:p>
        </w:tc>
      </w:tr>
      <w:tr>
        <w:trPr>
          <w:trHeight w:val="213"/>
        </w:trPr>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0" w:type="dxa"/>
            <w:vAlign w:val="bottom"/>
            <w:shd w:val="clear" w:color="auto" w:fill="BFBFBF"/>
          </w:tcPr>
          <w:p>
            <w:pPr>
              <w:spacing w:after="0"/>
              <w:rPr>
                <w:sz w:val="18"/>
                <w:szCs w:val="18"/>
                <w:color w:val="auto"/>
              </w:rPr>
            </w:pPr>
          </w:p>
        </w:tc>
        <w:tc>
          <w:tcPr>
            <w:tcW w:w="1160" w:type="dxa"/>
            <w:vAlign w:val="bottom"/>
            <w:shd w:val="clear" w:color="auto" w:fill="BFBFBF"/>
          </w:tcPr>
          <w:p>
            <w:pPr>
              <w:jc w:val="right"/>
              <w:ind w:right="540"/>
              <w:spacing w:after="0"/>
              <w:rPr>
                <w:sz w:val="20"/>
                <w:szCs w:val="20"/>
                <w:color w:val="auto"/>
              </w:rPr>
            </w:pPr>
            <w:r>
              <w:rPr>
                <w:rFonts w:ascii="Arial" w:cs="Arial" w:eastAsia="Arial" w:hAnsi="Arial"/>
                <w:sz w:val="16"/>
                <w:szCs w:val="16"/>
                <w:color w:val="auto"/>
              </w:rPr>
              <w:t>54,225</w:t>
            </w:r>
          </w:p>
        </w:tc>
        <w:tc>
          <w:tcPr>
            <w:tcW w:w="180" w:type="dxa"/>
            <w:vAlign w:val="bottom"/>
            <w:shd w:val="clear" w:color="auto" w:fill="BFBFBF"/>
          </w:tcPr>
          <w:p>
            <w:pPr>
              <w:spacing w:after="0"/>
              <w:rPr>
                <w:sz w:val="18"/>
                <w:szCs w:val="18"/>
                <w:color w:val="auto"/>
              </w:rPr>
            </w:pPr>
          </w:p>
        </w:tc>
        <w:tc>
          <w:tcPr>
            <w:tcW w:w="82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42,156</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Operating income</w:t>
            </w:r>
          </w:p>
        </w:tc>
        <w:tc>
          <w:tcPr>
            <w:tcW w:w="420" w:type="dxa"/>
            <w:vAlign w:val="bottom"/>
            <w:shd w:val="clear" w:color="auto" w:fill="BFBFBF"/>
          </w:tcPr>
          <w:p>
            <w:pPr>
              <w:spacing w:after="0"/>
              <w:rPr>
                <w:sz w:val="18"/>
                <w:szCs w:val="18"/>
                <w:color w:val="auto"/>
              </w:rPr>
            </w:pPr>
          </w:p>
        </w:tc>
        <w:tc>
          <w:tcPr>
            <w:tcW w:w="6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94,318</w:t>
            </w:r>
          </w:p>
        </w:tc>
        <w:tc>
          <w:tcPr>
            <w:tcW w:w="7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59,160</w:t>
            </w:r>
          </w:p>
        </w:tc>
      </w:tr>
      <w:tr>
        <w:trPr>
          <w:trHeight w:val="213"/>
        </w:trPr>
        <w:tc>
          <w:tcPr>
            <w:tcW w:w="520" w:type="dxa"/>
            <w:vAlign w:val="bottom"/>
          </w:tcPr>
          <w:p>
            <w:pPr>
              <w:spacing w:after="0"/>
              <w:rPr>
                <w:sz w:val="18"/>
                <w:szCs w:val="18"/>
                <w:color w:val="auto"/>
              </w:rPr>
            </w:pPr>
          </w:p>
        </w:tc>
        <w:tc>
          <w:tcPr>
            <w:tcW w:w="1160" w:type="dxa"/>
            <w:vAlign w:val="bottom"/>
          </w:tcPr>
          <w:p>
            <w:pPr>
              <w:jc w:val="right"/>
              <w:ind w:right="540"/>
              <w:spacing w:after="0"/>
              <w:rPr>
                <w:sz w:val="20"/>
                <w:szCs w:val="20"/>
                <w:color w:val="auto"/>
              </w:rPr>
            </w:pPr>
            <w:r>
              <w:rPr>
                <w:rFonts w:ascii="Arial" w:cs="Arial" w:eastAsia="Arial" w:hAnsi="Arial"/>
                <w:sz w:val="16"/>
                <w:szCs w:val="16"/>
                <w:color w:val="auto"/>
              </w:rPr>
              <w:t>4,631</w:t>
            </w:r>
          </w:p>
        </w:tc>
        <w:tc>
          <w:tcPr>
            <w:tcW w:w="180" w:type="dxa"/>
            <w:vAlign w:val="bottom"/>
          </w:tcPr>
          <w:p>
            <w:pPr>
              <w:spacing w:after="0"/>
              <w:rPr>
                <w:sz w:val="18"/>
                <w:szCs w:val="18"/>
                <w:color w:val="auto"/>
              </w:rPr>
            </w:pP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4,621</w:t>
            </w:r>
          </w:p>
        </w:tc>
        <w:tc>
          <w:tcPr>
            <w:tcW w:w="604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9,048</w:t>
            </w:r>
          </w:p>
        </w:tc>
        <w:tc>
          <w:tcPr>
            <w:tcW w:w="760" w:type="dxa"/>
            <w:vAlign w:val="bottom"/>
          </w:tcPr>
          <w:p>
            <w:pPr>
              <w:spacing w:after="0"/>
              <w:rPr>
                <w:sz w:val="18"/>
                <w:szCs w:val="18"/>
                <w:color w:val="auto"/>
              </w:rPr>
            </w:pP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8,909</w:t>
            </w:r>
          </w:p>
        </w:tc>
      </w:tr>
      <w:tr>
        <w:trPr>
          <w:trHeight w:val="216"/>
        </w:trPr>
        <w:tc>
          <w:tcPr>
            <w:tcW w:w="520" w:type="dxa"/>
            <w:vAlign w:val="bottom"/>
            <w:tcBorders>
              <w:bottom w:val="single" w:sz="8" w:color="auto"/>
            </w:tcBorders>
            <w:shd w:val="clear" w:color="auto" w:fill="BFBFBF"/>
          </w:tcPr>
          <w:p>
            <w:pPr>
              <w:spacing w:after="0"/>
              <w:rPr>
                <w:sz w:val="18"/>
                <w:szCs w:val="18"/>
                <w:color w:val="auto"/>
              </w:rPr>
            </w:pPr>
          </w:p>
        </w:tc>
        <w:tc>
          <w:tcPr>
            <w:tcW w:w="1160" w:type="dxa"/>
            <w:vAlign w:val="bottom"/>
            <w:tcBorders>
              <w:bottom w:val="single" w:sz="8" w:color="auto"/>
            </w:tcBorders>
            <w:shd w:val="clear" w:color="auto" w:fill="BFBFBF"/>
          </w:tcPr>
          <w:p>
            <w:pPr>
              <w:jc w:val="right"/>
              <w:ind w:right="540"/>
              <w:spacing w:after="0"/>
              <w:rPr>
                <w:sz w:val="20"/>
                <w:szCs w:val="20"/>
                <w:color w:val="auto"/>
              </w:rPr>
            </w:pPr>
            <w:r>
              <w:rPr>
                <w:rFonts w:ascii="Arial" w:cs="Arial" w:eastAsia="Arial" w:hAnsi="Arial"/>
                <w:sz w:val="16"/>
                <w:szCs w:val="16"/>
                <w:color w:val="auto"/>
              </w:rPr>
              <w:t>930</w:t>
            </w:r>
          </w:p>
        </w:tc>
        <w:tc>
          <w:tcPr>
            <w:tcW w:w="180" w:type="dxa"/>
            <w:vAlign w:val="bottom"/>
            <w:tcBorders>
              <w:bottom w:val="single" w:sz="8" w:color="auto"/>
            </w:tcBorders>
            <w:shd w:val="clear" w:color="auto" w:fill="BFBFBF"/>
          </w:tcPr>
          <w:p>
            <w:pPr>
              <w:spacing w:after="0"/>
              <w:rPr>
                <w:sz w:val="18"/>
                <w:szCs w:val="18"/>
                <w:color w:val="auto"/>
              </w:rPr>
            </w:pPr>
          </w:p>
        </w:tc>
        <w:tc>
          <w:tcPr>
            <w:tcW w:w="820" w:type="dxa"/>
            <w:vAlign w:val="bottom"/>
            <w:tcBorders>
              <w:bottom w:val="single" w:sz="8" w:color="auto"/>
            </w:tcBorders>
            <w:shd w:val="clear" w:color="auto" w:fill="BFBFBF"/>
          </w:tcPr>
          <w:p>
            <w:pPr>
              <w:jc w:val="right"/>
              <w:ind w:right="199"/>
              <w:spacing w:after="0"/>
              <w:rPr>
                <w:sz w:val="20"/>
                <w:szCs w:val="20"/>
                <w:color w:val="auto"/>
              </w:rPr>
            </w:pPr>
            <w:r>
              <w:rPr>
                <w:rFonts w:ascii="Arial" w:cs="Arial" w:eastAsia="Arial" w:hAnsi="Arial"/>
                <w:sz w:val="16"/>
                <w:szCs w:val="16"/>
                <w:color w:val="auto"/>
              </w:rPr>
              <w:t>726</w:t>
            </w:r>
          </w:p>
        </w:tc>
        <w:tc>
          <w:tcPr>
            <w:tcW w:w="6040" w:type="dxa"/>
            <w:vAlign w:val="bottom"/>
            <w:shd w:val="clear" w:color="auto" w:fill="BFBFBF"/>
          </w:tcPr>
          <w:p>
            <w:pPr>
              <w:ind w:left="240"/>
              <w:spacing w:after="0"/>
              <w:rPr>
                <w:sz w:val="20"/>
                <w:szCs w:val="20"/>
                <w:color w:val="auto"/>
              </w:rPr>
            </w:pPr>
            <w:r>
              <w:rPr>
                <w:rFonts w:ascii="Arial" w:cs="Arial" w:eastAsia="Arial" w:hAnsi="Arial"/>
                <w:sz w:val="16"/>
                <w:szCs w:val="16"/>
                <w:color w:val="auto"/>
              </w:rPr>
              <w:t>Other (income)/expense, net</w:t>
            </w:r>
          </w:p>
        </w:tc>
        <w:tc>
          <w:tcPr>
            <w:tcW w:w="420" w:type="dxa"/>
            <w:vAlign w:val="bottom"/>
            <w:tcBorders>
              <w:bottom w:val="single" w:sz="8" w:color="auto"/>
            </w:tcBorders>
            <w:shd w:val="clear" w:color="auto" w:fill="BFBFBF"/>
          </w:tcPr>
          <w:p>
            <w:pPr>
              <w:spacing w:after="0"/>
              <w:rPr>
                <w:sz w:val="18"/>
                <w:szCs w:val="18"/>
                <w:color w:val="auto"/>
              </w:rPr>
            </w:pPr>
          </w:p>
        </w:tc>
        <w:tc>
          <w:tcPr>
            <w:tcW w:w="6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(278)</w:t>
            </w:r>
          </w:p>
        </w:tc>
        <w:tc>
          <w:tcPr>
            <w:tcW w:w="76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300"/>
              <w:spacing w:after="0"/>
              <w:rPr>
                <w:sz w:val="20"/>
                <w:szCs w:val="20"/>
                <w:color w:val="auto"/>
              </w:rPr>
            </w:pPr>
            <w:r>
              <w:rPr>
                <w:rFonts w:ascii="Arial" w:cs="Arial" w:eastAsia="Arial" w:hAnsi="Arial"/>
                <w:sz w:val="16"/>
                <w:szCs w:val="16"/>
                <w:color w:val="auto"/>
              </w:rPr>
              <w:t>2,178</w:t>
            </w:r>
          </w:p>
        </w:tc>
      </w:tr>
      <w:tr>
        <w:trPr>
          <w:trHeight w:val="213"/>
        </w:trPr>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520" w:type="dxa"/>
            <w:vAlign w:val="bottom"/>
            <w:shd w:val="clear" w:color="auto" w:fill="BFBFBF"/>
          </w:tcPr>
          <w:p>
            <w:pPr>
              <w:spacing w:after="0"/>
              <w:rPr>
                <w:sz w:val="18"/>
                <w:szCs w:val="18"/>
                <w:color w:val="auto"/>
              </w:rPr>
            </w:pPr>
          </w:p>
        </w:tc>
        <w:tc>
          <w:tcPr>
            <w:tcW w:w="1160" w:type="dxa"/>
            <w:vAlign w:val="bottom"/>
            <w:shd w:val="clear" w:color="auto" w:fill="BFBFBF"/>
          </w:tcPr>
          <w:p>
            <w:pPr>
              <w:jc w:val="right"/>
              <w:ind w:right="540"/>
              <w:spacing w:after="0"/>
              <w:rPr>
                <w:sz w:val="20"/>
                <w:szCs w:val="20"/>
                <w:color w:val="auto"/>
              </w:rPr>
            </w:pPr>
            <w:r>
              <w:rPr>
                <w:rFonts w:ascii="Arial" w:cs="Arial" w:eastAsia="Arial" w:hAnsi="Arial"/>
                <w:sz w:val="16"/>
                <w:szCs w:val="16"/>
                <w:color w:val="auto"/>
              </w:rPr>
              <w:t>48,664</w:t>
            </w:r>
          </w:p>
        </w:tc>
        <w:tc>
          <w:tcPr>
            <w:tcW w:w="180" w:type="dxa"/>
            <w:vAlign w:val="bottom"/>
            <w:shd w:val="clear" w:color="auto" w:fill="BFBFBF"/>
          </w:tcPr>
          <w:p>
            <w:pPr>
              <w:spacing w:after="0"/>
              <w:rPr>
                <w:sz w:val="18"/>
                <w:szCs w:val="18"/>
                <w:color w:val="auto"/>
              </w:rPr>
            </w:pPr>
          </w:p>
        </w:tc>
        <w:tc>
          <w:tcPr>
            <w:tcW w:w="82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36,809</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Income before income taxes</w:t>
            </w:r>
          </w:p>
        </w:tc>
        <w:tc>
          <w:tcPr>
            <w:tcW w:w="420" w:type="dxa"/>
            <w:vAlign w:val="bottom"/>
            <w:shd w:val="clear" w:color="auto" w:fill="BFBFBF"/>
          </w:tcPr>
          <w:p>
            <w:pPr>
              <w:spacing w:after="0"/>
              <w:rPr>
                <w:sz w:val="18"/>
                <w:szCs w:val="18"/>
                <w:color w:val="auto"/>
              </w:rPr>
            </w:pPr>
          </w:p>
        </w:tc>
        <w:tc>
          <w:tcPr>
            <w:tcW w:w="6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85,548</w:t>
            </w:r>
          </w:p>
        </w:tc>
        <w:tc>
          <w:tcPr>
            <w:tcW w:w="7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48,073</w:t>
            </w:r>
          </w:p>
        </w:tc>
      </w:tr>
      <w:tr>
        <w:trPr>
          <w:trHeight w:val="213"/>
        </w:trPr>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14,405</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6,966</w:t>
            </w:r>
          </w:p>
        </w:tc>
        <w:tc>
          <w:tcPr>
            <w:tcW w:w="6040" w:type="dxa"/>
            <w:vAlign w:val="bottom"/>
            <w:tcBorders>
              <w:bottom w:val="single" w:sz="8" w:color="BFBFBF"/>
            </w:tcBorders>
          </w:tcPr>
          <w:p>
            <w:pPr>
              <w:ind w:left="240"/>
              <w:spacing w:after="0"/>
              <w:rPr>
                <w:sz w:val="20"/>
                <w:szCs w:val="20"/>
                <w:color w:val="auto"/>
              </w:rPr>
            </w:pPr>
            <w:r>
              <w:rPr>
                <w:rFonts w:ascii="Arial" w:cs="Arial" w:eastAsia="Arial" w:hAnsi="Arial"/>
                <w:sz w:val="16"/>
                <w:szCs w:val="16"/>
                <w:color w:val="auto"/>
              </w:rPr>
              <w:t>Income tax expense</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21,881</w:t>
            </w: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10,331</w:t>
            </w:r>
          </w:p>
        </w:tc>
      </w:tr>
      <w:tr>
        <w:trPr>
          <w:trHeight w:val="213"/>
        </w:trPr>
        <w:tc>
          <w:tcPr>
            <w:tcW w:w="520" w:type="dxa"/>
            <w:vAlign w:val="bottom"/>
            <w:shd w:val="clear" w:color="auto" w:fill="BFBFBF"/>
          </w:tcPr>
          <w:p>
            <w:pPr>
              <w:spacing w:after="0"/>
              <w:rPr>
                <w:sz w:val="18"/>
                <w:szCs w:val="18"/>
                <w:color w:val="auto"/>
              </w:rPr>
            </w:pPr>
          </w:p>
        </w:tc>
        <w:tc>
          <w:tcPr>
            <w:tcW w:w="1160" w:type="dxa"/>
            <w:vAlign w:val="bottom"/>
            <w:shd w:val="clear" w:color="auto" w:fill="BFBFBF"/>
          </w:tcPr>
          <w:p>
            <w:pPr>
              <w:jc w:val="right"/>
              <w:ind w:right="540"/>
              <w:spacing w:after="0"/>
              <w:rPr>
                <w:sz w:val="20"/>
                <w:szCs w:val="20"/>
                <w:color w:val="auto"/>
              </w:rPr>
            </w:pPr>
            <w:r>
              <w:rPr>
                <w:rFonts w:ascii="Arial" w:cs="Arial" w:eastAsia="Arial" w:hAnsi="Arial"/>
                <w:sz w:val="16"/>
                <w:szCs w:val="16"/>
                <w:color w:val="auto"/>
              </w:rPr>
              <w:t>34,259</w:t>
            </w:r>
          </w:p>
        </w:tc>
        <w:tc>
          <w:tcPr>
            <w:tcW w:w="180" w:type="dxa"/>
            <w:vAlign w:val="bottom"/>
            <w:shd w:val="clear" w:color="auto" w:fill="BFBFBF"/>
          </w:tcPr>
          <w:p>
            <w:pPr>
              <w:spacing w:after="0"/>
              <w:rPr>
                <w:sz w:val="18"/>
                <w:szCs w:val="18"/>
                <w:color w:val="auto"/>
              </w:rPr>
            </w:pPr>
          </w:p>
        </w:tc>
        <w:tc>
          <w:tcPr>
            <w:tcW w:w="82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29,843</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BFBFBF"/>
          </w:tcPr>
          <w:p>
            <w:pPr>
              <w:spacing w:after="0"/>
              <w:rPr>
                <w:sz w:val="18"/>
                <w:szCs w:val="18"/>
                <w:color w:val="auto"/>
              </w:rPr>
            </w:pPr>
          </w:p>
        </w:tc>
        <w:tc>
          <w:tcPr>
            <w:tcW w:w="6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63,667</w:t>
            </w:r>
          </w:p>
        </w:tc>
        <w:tc>
          <w:tcPr>
            <w:tcW w:w="760" w:type="dxa"/>
            <w:vAlign w:val="bottom"/>
            <w:shd w:val="clear" w:color="auto" w:fill="BFBFBF"/>
          </w:tcPr>
          <w:p>
            <w:pPr>
              <w:spacing w:after="0"/>
              <w:rPr>
                <w:sz w:val="18"/>
                <w:szCs w:val="18"/>
                <w:color w:val="auto"/>
              </w:rPr>
            </w:pPr>
          </w:p>
        </w:tc>
        <w:tc>
          <w:tcPr>
            <w:tcW w:w="92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37,742</w:t>
            </w:r>
          </w:p>
        </w:tc>
      </w:tr>
      <w:tr>
        <w:trPr>
          <w:trHeight w:val="213"/>
        </w:trPr>
        <w:tc>
          <w:tcPr>
            <w:tcW w:w="5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6"/>
                <w:szCs w:val="16"/>
                <w:color w:val="auto"/>
              </w:rPr>
              <w:t>205</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(59)</w:t>
            </w:r>
          </w:p>
        </w:tc>
        <w:tc>
          <w:tcPr>
            <w:tcW w:w="604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w:t>
            </w:r>
          </w:p>
        </w:tc>
        <w:tc>
          <w:tcPr>
            <w:tcW w:w="7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178</w:t>
            </w:r>
          </w:p>
        </w:tc>
      </w:tr>
      <w:tr>
        <w:trPr>
          <w:trHeight w:val="213"/>
        </w:trPr>
        <w:tc>
          <w:tcPr>
            <w:tcW w:w="5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BFBFBF"/>
          </w:tcPr>
          <w:p>
            <w:pPr>
              <w:jc w:val="right"/>
              <w:ind w:right="540"/>
              <w:spacing w:after="0"/>
              <w:rPr>
                <w:sz w:val="20"/>
                <w:szCs w:val="20"/>
                <w:color w:val="auto"/>
              </w:rPr>
            </w:pPr>
            <w:r>
              <w:rPr>
                <w:rFonts w:ascii="Arial" w:cs="Arial" w:eastAsia="Arial" w:hAnsi="Arial"/>
                <w:sz w:val="16"/>
                <w:szCs w:val="16"/>
                <w:color w:val="auto"/>
              </w:rPr>
              <w:t>34,054</w:t>
            </w:r>
          </w:p>
        </w:tc>
        <w:tc>
          <w:tcPr>
            <w:tcW w:w="18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BFBFBF"/>
          </w:tcPr>
          <w:p>
            <w:pPr>
              <w:jc w:val="right"/>
              <w:ind w:right="219"/>
              <w:spacing w:after="0"/>
              <w:rPr>
                <w:sz w:val="20"/>
                <w:szCs w:val="20"/>
                <w:color w:val="auto"/>
              </w:rPr>
            </w:pPr>
            <w:r>
              <w:rPr>
                <w:rFonts w:ascii="Arial" w:cs="Arial" w:eastAsia="Arial" w:hAnsi="Arial"/>
                <w:sz w:val="16"/>
                <w:szCs w:val="16"/>
                <w:color w:val="auto"/>
              </w:rPr>
              <w:t>29,902</w:t>
            </w:r>
          </w:p>
        </w:tc>
        <w:tc>
          <w:tcPr>
            <w:tcW w:w="6040" w:type="dxa"/>
            <w:vAlign w:val="bottom"/>
            <w:tcBorders>
              <w:bottom w:val="single" w:sz="8" w:color="BFBFBF"/>
            </w:tcBorders>
            <w:shd w:val="clear" w:color="auto" w:fill="BFBFBF"/>
          </w:tcPr>
          <w:p>
            <w:pPr>
              <w:ind w:left="20"/>
              <w:spacing w:after="0"/>
              <w:rPr>
                <w:sz w:val="20"/>
                <w:szCs w:val="20"/>
                <w:color w:val="auto"/>
              </w:rPr>
            </w:pPr>
            <w:r>
              <w:rPr>
                <w:rFonts w:ascii="Arial" w:cs="Arial" w:eastAsia="Arial" w:hAnsi="Arial"/>
                <w:sz w:val="16"/>
                <w:szCs w:val="16"/>
                <w:color w:val="auto"/>
              </w:rPr>
              <w:t>Net income attributable to the Company</w:t>
            </w:r>
          </w:p>
        </w:tc>
        <w:tc>
          <w:tcPr>
            <w:tcW w:w="42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63,244</w:t>
            </w:r>
          </w:p>
        </w:tc>
        <w:tc>
          <w:tcPr>
            <w:tcW w:w="76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BFBFBF"/>
          </w:tcPr>
          <w:p>
            <w:pPr>
              <w:jc w:val="right"/>
              <w:ind w:right="300"/>
              <w:spacing w:after="0"/>
              <w:rPr>
                <w:sz w:val="20"/>
                <w:szCs w:val="20"/>
                <w:color w:val="auto"/>
              </w:rPr>
            </w:pPr>
            <w:r>
              <w:rPr>
                <w:rFonts w:ascii="Arial" w:cs="Arial" w:eastAsia="Arial" w:hAnsi="Arial"/>
                <w:sz w:val="16"/>
                <w:szCs w:val="16"/>
                <w:color w:val="auto"/>
              </w:rPr>
              <w:t>37,564</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4"/>
        </w:trPr>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40"/>
              <w:spacing w:after="0"/>
              <w:rPr>
                <w:sz w:val="20"/>
                <w:szCs w:val="20"/>
                <w:color w:val="auto"/>
              </w:rPr>
            </w:pPr>
            <w:r>
              <w:rPr>
                <w:rFonts w:ascii="Arial" w:cs="Arial" w:eastAsia="Arial" w:hAnsi="Arial"/>
                <w:sz w:val="16"/>
                <w:szCs w:val="16"/>
                <w:color w:val="auto"/>
              </w:rPr>
              <w:t>1.05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199"/>
              <w:spacing w:after="0"/>
              <w:rPr>
                <w:sz w:val="20"/>
                <w:szCs w:val="20"/>
                <w:color w:val="auto"/>
              </w:rPr>
            </w:pPr>
            <w:r>
              <w:rPr>
                <w:rFonts w:ascii="Arial" w:cs="Arial" w:eastAsia="Arial" w:hAnsi="Arial"/>
                <w:sz w:val="16"/>
                <w:szCs w:val="16"/>
                <w:color w:val="auto"/>
              </w:rPr>
              <w:t>0.93</w:t>
            </w:r>
          </w:p>
        </w:tc>
        <w:tc>
          <w:tcPr>
            <w:tcW w:w="6040" w:type="dxa"/>
            <w:vAlign w:val="bottom"/>
          </w:tcPr>
          <w:p>
            <w:pPr>
              <w:ind w:left="20"/>
              <w:spacing w:after="0"/>
              <w:rPr>
                <w:sz w:val="20"/>
                <w:szCs w:val="20"/>
                <w:color w:val="auto"/>
              </w:rPr>
            </w:pPr>
            <w:r>
              <w:rPr>
                <w:rFonts w:ascii="Arial" w:cs="Arial" w:eastAsia="Arial" w:hAnsi="Arial"/>
                <w:sz w:val="16"/>
                <w:szCs w:val="16"/>
                <w:color w:val="auto"/>
              </w:rPr>
              <w:t>Earnings per share attributable to Company shareholders — Basic</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1.96</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1.17</w:t>
            </w:r>
          </w:p>
        </w:tc>
      </w:tr>
      <w:tr>
        <w:trPr>
          <w:trHeight w:val="219"/>
        </w:trPr>
        <w:tc>
          <w:tcPr>
            <w:tcW w:w="5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FBFBF"/>
          </w:tcPr>
          <w:p>
            <w:pPr>
              <w:jc w:val="right"/>
              <w:ind w:right="540"/>
              <w:spacing w:after="0"/>
              <w:rPr>
                <w:sz w:val="20"/>
                <w:szCs w:val="20"/>
                <w:color w:val="auto"/>
              </w:rPr>
            </w:pPr>
            <w:r>
              <w:rPr>
                <w:rFonts w:ascii="Arial" w:cs="Arial" w:eastAsia="Arial" w:hAnsi="Arial"/>
                <w:sz w:val="16"/>
                <w:szCs w:val="16"/>
                <w:color w:val="auto"/>
              </w:rPr>
              <w:t>1.05</w:t>
            </w:r>
          </w:p>
        </w:tc>
        <w:tc>
          <w:tcPr>
            <w:tcW w:w="18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BFBF"/>
          </w:tcPr>
          <w:p>
            <w:pPr>
              <w:jc w:val="right"/>
              <w:ind w:right="199"/>
              <w:spacing w:after="0"/>
              <w:rPr>
                <w:sz w:val="20"/>
                <w:szCs w:val="20"/>
                <w:color w:val="auto"/>
              </w:rPr>
            </w:pPr>
            <w:r>
              <w:rPr>
                <w:rFonts w:ascii="Arial" w:cs="Arial" w:eastAsia="Arial" w:hAnsi="Arial"/>
                <w:sz w:val="16"/>
                <w:szCs w:val="16"/>
                <w:color w:val="auto"/>
              </w:rPr>
              <w:t>0.93</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Earnings per share attributable to Company shareholders — Diluted</w:t>
            </w:r>
          </w:p>
        </w:tc>
        <w:tc>
          <w:tcPr>
            <w:tcW w:w="4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1.96</w:t>
            </w: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1.16</w:t>
            </w:r>
          </w:p>
        </w:tc>
      </w:tr>
      <w:tr>
        <w:trPr>
          <w:trHeight w:val="213"/>
        </w:trPr>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Shares of the Company used in computing earnings per share:</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520" w:type="dxa"/>
            <w:vAlign w:val="bottom"/>
            <w:shd w:val="clear" w:color="auto" w:fill="BFBFBF"/>
          </w:tcPr>
          <w:p>
            <w:pPr>
              <w:spacing w:after="0"/>
              <w:rPr>
                <w:sz w:val="19"/>
                <w:szCs w:val="19"/>
                <w:color w:val="auto"/>
              </w:rPr>
            </w:pPr>
          </w:p>
        </w:tc>
        <w:tc>
          <w:tcPr>
            <w:tcW w:w="1160" w:type="dxa"/>
            <w:vAlign w:val="bottom"/>
            <w:shd w:val="clear" w:color="auto" w:fill="BFBFBF"/>
          </w:tcPr>
          <w:p>
            <w:pPr>
              <w:jc w:val="right"/>
              <w:ind w:right="540"/>
              <w:spacing w:after="0"/>
              <w:rPr>
                <w:sz w:val="20"/>
                <w:szCs w:val="20"/>
                <w:color w:val="auto"/>
              </w:rPr>
            </w:pPr>
            <w:r>
              <w:rPr>
                <w:rFonts w:ascii="Arial" w:cs="Arial" w:eastAsia="Arial" w:hAnsi="Arial"/>
                <w:sz w:val="16"/>
                <w:szCs w:val="16"/>
                <w:color w:val="auto"/>
              </w:rPr>
              <w:t>32,299</w:t>
            </w:r>
          </w:p>
        </w:tc>
        <w:tc>
          <w:tcPr>
            <w:tcW w:w="180" w:type="dxa"/>
            <w:vAlign w:val="bottom"/>
            <w:shd w:val="clear" w:color="auto" w:fill="BFBFBF"/>
          </w:tcPr>
          <w:p>
            <w:pPr>
              <w:spacing w:after="0"/>
              <w:rPr>
                <w:sz w:val="19"/>
                <w:szCs w:val="19"/>
                <w:color w:val="auto"/>
              </w:rPr>
            </w:pPr>
          </w:p>
        </w:tc>
        <w:tc>
          <w:tcPr>
            <w:tcW w:w="82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32,257</w:t>
            </w:r>
          </w:p>
        </w:tc>
        <w:tc>
          <w:tcPr>
            <w:tcW w:w="6040" w:type="dxa"/>
            <w:vAlign w:val="bottom"/>
            <w:shd w:val="clear" w:color="auto" w:fill="BFBFBF"/>
          </w:tcPr>
          <w:p>
            <w:pPr>
              <w:ind w:left="120"/>
              <w:spacing w:after="0"/>
              <w:rPr>
                <w:sz w:val="20"/>
                <w:szCs w:val="20"/>
                <w:color w:val="auto"/>
              </w:rPr>
            </w:pPr>
            <w:r>
              <w:rPr>
                <w:rFonts w:ascii="Arial" w:cs="Arial" w:eastAsia="Arial" w:hAnsi="Arial"/>
                <w:sz w:val="16"/>
                <w:szCs w:val="16"/>
                <w:color w:val="auto"/>
              </w:rPr>
              <w:t>Basic</w:t>
            </w:r>
          </w:p>
        </w:tc>
        <w:tc>
          <w:tcPr>
            <w:tcW w:w="420" w:type="dxa"/>
            <w:vAlign w:val="bottom"/>
            <w:shd w:val="clear" w:color="auto" w:fill="BFBFBF"/>
          </w:tcPr>
          <w:p>
            <w:pPr>
              <w:spacing w:after="0"/>
              <w:rPr>
                <w:sz w:val="19"/>
                <w:szCs w:val="19"/>
                <w:color w:val="auto"/>
              </w:rPr>
            </w:pPr>
          </w:p>
        </w:tc>
        <w:tc>
          <w:tcPr>
            <w:tcW w:w="6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32,286</w:t>
            </w:r>
          </w:p>
        </w:tc>
        <w:tc>
          <w:tcPr>
            <w:tcW w:w="76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32,239</w:t>
            </w:r>
          </w:p>
        </w:tc>
      </w:tr>
      <w:tr>
        <w:trPr>
          <w:trHeight w:val="213"/>
        </w:trPr>
        <w:tc>
          <w:tcPr>
            <w:tcW w:w="520" w:type="dxa"/>
            <w:vAlign w:val="bottom"/>
          </w:tcPr>
          <w:p>
            <w:pPr>
              <w:spacing w:after="0"/>
              <w:rPr>
                <w:sz w:val="18"/>
                <w:szCs w:val="18"/>
                <w:color w:val="auto"/>
              </w:rPr>
            </w:pPr>
          </w:p>
        </w:tc>
        <w:tc>
          <w:tcPr>
            <w:tcW w:w="1160" w:type="dxa"/>
            <w:vAlign w:val="bottom"/>
          </w:tcPr>
          <w:p>
            <w:pPr>
              <w:jc w:val="right"/>
              <w:ind w:right="540"/>
              <w:spacing w:after="0"/>
              <w:rPr>
                <w:sz w:val="20"/>
                <w:szCs w:val="20"/>
                <w:color w:val="auto"/>
              </w:rPr>
            </w:pPr>
            <w:r>
              <w:rPr>
                <w:rFonts w:ascii="Arial" w:cs="Arial" w:eastAsia="Arial" w:hAnsi="Arial"/>
                <w:sz w:val="16"/>
                <w:szCs w:val="16"/>
                <w:color w:val="auto"/>
              </w:rPr>
              <w:t>32,311</w:t>
            </w:r>
          </w:p>
        </w:tc>
        <w:tc>
          <w:tcPr>
            <w:tcW w:w="180" w:type="dxa"/>
            <w:vAlign w:val="bottom"/>
          </w:tcPr>
          <w:p>
            <w:pPr>
              <w:spacing w:after="0"/>
              <w:rPr>
                <w:sz w:val="18"/>
                <w:szCs w:val="18"/>
                <w:color w:val="auto"/>
              </w:rPr>
            </w:pPr>
          </w:p>
        </w:tc>
        <w:tc>
          <w:tcPr>
            <w:tcW w:w="820" w:type="dxa"/>
            <w:vAlign w:val="bottom"/>
          </w:tcPr>
          <w:p>
            <w:pPr>
              <w:jc w:val="right"/>
              <w:ind w:right="219"/>
              <w:spacing w:after="0"/>
              <w:rPr>
                <w:sz w:val="20"/>
                <w:szCs w:val="20"/>
                <w:color w:val="auto"/>
              </w:rPr>
            </w:pPr>
            <w:r>
              <w:rPr>
                <w:rFonts w:ascii="Arial" w:cs="Arial" w:eastAsia="Arial" w:hAnsi="Arial"/>
                <w:sz w:val="16"/>
                <w:szCs w:val="16"/>
                <w:color w:val="auto"/>
              </w:rPr>
              <w:t>32,273</w:t>
            </w:r>
          </w:p>
        </w:tc>
        <w:tc>
          <w:tcPr>
            <w:tcW w:w="6040" w:type="dxa"/>
            <w:vAlign w:val="bottom"/>
          </w:tcPr>
          <w:p>
            <w:pPr>
              <w:ind w:left="120"/>
              <w:spacing w:after="0"/>
              <w:rPr>
                <w:sz w:val="20"/>
                <w:szCs w:val="20"/>
                <w:color w:val="auto"/>
              </w:rPr>
            </w:pPr>
            <w:r>
              <w:rPr>
                <w:rFonts w:ascii="Arial" w:cs="Arial" w:eastAsia="Arial" w:hAnsi="Arial"/>
                <w:sz w:val="16"/>
                <w:szCs w:val="16"/>
                <w:color w:val="auto"/>
              </w:rPr>
              <w:t>Diluted</w:t>
            </w:r>
          </w:p>
        </w:tc>
        <w:tc>
          <w:tcPr>
            <w:tcW w:w="4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32,298</w:t>
            </w:r>
          </w:p>
        </w:tc>
        <w:tc>
          <w:tcPr>
            <w:tcW w:w="760" w:type="dxa"/>
            <w:vAlign w:val="bottom"/>
          </w:tcPr>
          <w:p>
            <w:pPr>
              <w:spacing w:after="0"/>
              <w:rPr>
                <w:sz w:val="18"/>
                <w:szCs w:val="18"/>
                <w:color w:val="auto"/>
              </w:rPr>
            </w:pPr>
          </w:p>
        </w:tc>
        <w:tc>
          <w:tcPr>
            <w:tcW w:w="920" w:type="dxa"/>
            <w:vAlign w:val="bottom"/>
          </w:tcPr>
          <w:p>
            <w:pPr>
              <w:jc w:val="right"/>
              <w:ind w:right="300"/>
              <w:spacing w:after="0"/>
              <w:rPr>
                <w:sz w:val="20"/>
                <w:szCs w:val="20"/>
                <w:color w:val="auto"/>
              </w:rPr>
            </w:pPr>
            <w:r>
              <w:rPr>
                <w:rFonts w:ascii="Arial" w:cs="Arial" w:eastAsia="Arial" w:hAnsi="Arial"/>
                <w:sz w:val="16"/>
                <w:szCs w:val="16"/>
                <w:color w:val="auto"/>
              </w:rPr>
              <w:t>32,255</w:t>
            </w:r>
          </w:p>
        </w:tc>
      </w:tr>
      <w:tr>
        <w:trPr>
          <w:trHeight w:val="219"/>
        </w:trPr>
        <w:tc>
          <w:tcPr>
            <w:tcW w:w="5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BFBFBF"/>
          </w:tcPr>
          <w:p>
            <w:pPr>
              <w:jc w:val="right"/>
              <w:ind w:right="540"/>
              <w:spacing w:after="0"/>
              <w:rPr>
                <w:sz w:val="20"/>
                <w:szCs w:val="20"/>
                <w:color w:val="auto"/>
              </w:rPr>
            </w:pPr>
            <w:r>
              <w:rPr>
                <w:rFonts w:ascii="Arial" w:cs="Arial" w:eastAsia="Arial" w:hAnsi="Arial"/>
                <w:sz w:val="16"/>
                <w:szCs w:val="16"/>
                <w:color w:val="auto"/>
              </w:rPr>
              <w:t>0.18</w:t>
            </w:r>
          </w:p>
        </w:tc>
        <w:tc>
          <w:tcPr>
            <w:tcW w:w="18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BFBFBF"/>
          </w:tcPr>
          <w:p>
            <w:pPr>
              <w:jc w:val="right"/>
              <w:ind w:right="199"/>
              <w:spacing w:after="0"/>
              <w:rPr>
                <w:sz w:val="20"/>
                <w:szCs w:val="20"/>
                <w:color w:val="auto"/>
              </w:rPr>
            </w:pPr>
            <w:r>
              <w:rPr>
                <w:rFonts w:ascii="Arial" w:cs="Arial" w:eastAsia="Arial" w:hAnsi="Arial"/>
                <w:sz w:val="16"/>
                <w:szCs w:val="16"/>
                <w:color w:val="auto"/>
              </w:rPr>
              <w:t>0.17</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Dividends declared per share, Class A and Class B</w:t>
            </w:r>
          </w:p>
        </w:tc>
        <w:tc>
          <w:tcPr>
            <w:tcW w:w="42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0.36</w:t>
            </w:r>
          </w:p>
        </w:tc>
        <w:tc>
          <w:tcPr>
            <w:tcW w:w="760" w:type="dxa"/>
            <w:vAlign w:val="bottom"/>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0.34</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INCOME/(LOSS)</w:t>
      </w:r>
    </w:p>
    <w:p>
      <w:pPr>
        <w:jc w:val="center"/>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rPr>
              <w:t>Three Months Ended</w:t>
            </w:r>
          </w:p>
        </w:tc>
        <w:tc>
          <w:tcPr>
            <w:tcW w:w="6040" w:type="dxa"/>
            <w:vAlign w:val="bottom"/>
          </w:tcPr>
          <w:p>
            <w:pPr>
              <w:spacing w:after="0"/>
              <w:rPr>
                <w:sz w:val="14"/>
                <w:szCs w:val="14"/>
                <w:color w:val="auto"/>
              </w:rPr>
            </w:pPr>
          </w:p>
        </w:tc>
        <w:tc>
          <w:tcPr>
            <w:tcW w:w="27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Six Months Ended</w:t>
            </w:r>
          </w:p>
        </w:tc>
      </w:tr>
      <w:tr>
        <w:trPr>
          <w:trHeight w:val="189"/>
        </w:trPr>
        <w:tc>
          <w:tcPr>
            <w:tcW w:w="10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6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980"/>
              <w:spacing w:after="0"/>
              <w:rPr>
                <w:sz w:val="20"/>
                <w:szCs w:val="20"/>
                <w:color w:val="auto"/>
              </w:rPr>
            </w:pPr>
            <w:r>
              <w:rPr>
                <w:rFonts w:ascii="Arial" w:cs="Arial" w:eastAsia="Arial" w:hAnsi="Arial"/>
                <w:sz w:val="14"/>
                <w:szCs w:val="14"/>
                <w:b w:val="1"/>
                <w:bCs w:val="1"/>
                <w:color w:val="auto"/>
              </w:rPr>
              <w:t>June 30,</w:t>
            </w:r>
          </w:p>
        </w:tc>
      </w:tr>
      <w:tr>
        <w:trPr>
          <w:trHeight w:val="183"/>
        </w:trPr>
        <w:tc>
          <w:tcPr>
            <w:tcW w:w="104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6040" w:type="dxa"/>
            <w:vAlign w:val="bottom"/>
            <w:tcBorders>
              <w:bottom w:val="single" w:sz="8" w:color="BFBFBF"/>
            </w:tcBorders>
          </w:tcPr>
          <w:p>
            <w:pPr>
              <w:spacing w:after="0"/>
              <w:rPr>
                <w:sz w:val="15"/>
                <w:szCs w:val="15"/>
                <w:color w:val="auto"/>
              </w:rPr>
            </w:pPr>
          </w:p>
        </w:tc>
        <w:tc>
          <w:tcPr>
            <w:tcW w:w="10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2019</w:t>
            </w:r>
          </w:p>
        </w:tc>
        <w:tc>
          <w:tcPr>
            <w:tcW w:w="17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r>
      <w:tr>
        <w:trPr>
          <w:trHeight w:val="183"/>
        </w:trPr>
        <w:tc>
          <w:tcPr>
            <w:tcW w:w="1040" w:type="dxa"/>
            <w:vAlign w:val="bottom"/>
            <w:shd w:val="clear" w:color="auto" w:fill="BFBFBF"/>
          </w:tcPr>
          <w:p>
            <w:pPr>
              <w:spacing w:after="0"/>
              <w:rPr>
                <w:sz w:val="15"/>
                <w:szCs w:val="15"/>
                <w:color w:val="auto"/>
              </w:rPr>
            </w:pPr>
          </w:p>
        </w:tc>
        <w:tc>
          <w:tcPr>
            <w:tcW w:w="820" w:type="dxa"/>
            <w:vAlign w:val="bottom"/>
            <w:shd w:val="clear" w:color="auto" w:fill="BFBFBF"/>
          </w:tcPr>
          <w:p>
            <w:pPr>
              <w:spacing w:after="0"/>
              <w:rPr>
                <w:sz w:val="15"/>
                <w:szCs w:val="15"/>
                <w:color w:val="auto"/>
              </w:rPr>
            </w:pPr>
          </w:p>
        </w:tc>
        <w:tc>
          <w:tcPr>
            <w:tcW w:w="820" w:type="dxa"/>
            <w:vAlign w:val="bottom"/>
            <w:shd w:val="clear" w:color="auto" w:fill="BFBFBF"/>
          </w:tcPr>
          <w:p>
            <w:pPr>
              <w:spacing w:after="0"/>
              <w:rPr>
                <w:sz w:val="15"/>
                <w:szCs w:val="15"/>
                <w:color w:val="auto"/>
              </w:rPr>
            </w:pPr>
          </w:p>
        </w:tc>
        <w:tc>
          <w:tcPr>
            <w:tcW w:w="6040" w:type="dxa"/>
            <w:vAlign w:val="bottom"/>
            <w:shd w:val="clear" w:color="auto" w:fill="BFBFBF"/>
          </w:tcPr>
          <w:p>
            <w:pPr>
              <w:spacing w:after="0"/>
              <w:rPr>
                <w:sz w:val="15"/>
                <w:szCs w:val="15"/>
                <w:color w:val="auto"/>
              </w:rPr>
            </w:pPr>
          </w:p>
        </w:tc>
        <w:tc>
          <w:tcPr>
            <w:tcW w:w="1000" w:type="dxa"/>
            <w:vAlign w:val="bottom"/>
            <w:shd w:val="clear" w:color="auto" w:fill="BFBFBF"/>
          </w:tcPr>
          <w:p>
            <w:pPr>
              <w:spacing w:after="0"/>
              <w:rPr>
                <w:sz w:val="15"/>
                <w:szCs w:val="15"/>
                <w:color w:val="auto"/>
              </w:rPr>
            </w:pPr>
          </w:p>
        </w:tc>
        <w:tc>
          <w:tcPr>
            <w:tcW w:w="1700" w:type="dxa"/>
            <w:vAlign w:val="bottom"/>
            <w:shd w:val="clear" w:color="auto" w:fill="BFBFBF"/>
          </w:tcPr>
          <w:p>
            <w:pPr>
              <w:spacing w:after="0"/>
              <w:rPr>
                <w:sz w:val="15"/>
                <w:szCs w:val="15"/>
                <w:color w:val="auto"/>
              </w:rPr>
            </w:pPr>
          </w:p>
        </w:tc>
      </w:tr>
      <w:tr>
        <w:trPr>
          <w:trHeight w:val="213"/>
        </w:trPr>
        <w:tc>
          <w:tcPr>
            <w:tcW w:w="1040" w:type="dxa"/>
            <w:vAlign w:val="bottom"/>
          </w:tcPr>
          <w:p>
            <w:pPr>
              <w:jc w:val="right"/>
              <w:spacing w:after="0"/>
              <w:rPr>
                <w:sz w:val="20"/>
                <w:szCs w:val="20"/>
                <w:color w:val="auto"/>
              </w:rPr>
            </w:pPr>
            <w:r>
              <w:rPr>
                <w:rFonts w:ascii="Arial" w:cs="Arial" w:eastAsia="Arial" w:hAnsi="Arial"/>
                <w:sz w:val="16"/>
                <w:szCs w:val="16"/>
                <w:color w:val="auto"/>
              </w:rPr>
              <w:t>$34,259</w:t>
            </w:r>
          </w:p>
        </w:tc>
        <w:tc>
          <w:tcPr>
            <w:tcW w:w="1640" w:type="dxa"/>
            <w:vAlign w:val="bottom"/>
            <w:gridSpan w:val="2"/>
          </w:tcPr>
          <w:p>
            <w:pPr>
              <w:jc w:val="right"/>
              <w:ind w:right="240"/>
              <w:spacing w:after="0"/>
              <w:rPr>
                <w:sz w:val="20"/>
                <w:szCs w:val="20"/>
                <w:color w:val="auto"/>
              </w:rPr>
            </w:pPr>
            <w:r>
              <w:rPr>
                <w:rFonts w:ascii="Arial" w:cs="Arial" w:eastAsia="Arial" w:hAnsi="Arial"/>
                <w:sz w:val="16"/>
                <w:szCs w:val="16"/>
                <w:color w:val="auto"/>
              </w:rPr>
              <w:t>$ 29,843</w:t>
            </w:r>
          </w:p>
        </w:tc>
        <w:tc>
          <w:tcPr>
            <w:tcW w:w="6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$63,667</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$ 37,742</w:t>
            </w:r>
          </w:p>
        </w:tc>
      </w:tr>
      <w:tr>
        <w:trPr>
          <w:trHeight w:val="192"/>
        </w:trPr>
        <w:tc>
          <w:tcPr>
            <w:tcW w:w="1040" w:type="dxa"/>
            <w:vAlign w:val="bottom"/>
            <w:shd w:val="clear" w:color="auto" w:fill="BFBFBF"/>
          </w:tcPr>
          <w:p>
            <w:pPr>
              <w:spacing w:after="0"/>
              <w:rPr>
                <w:sz w:val="16"/>
                <w:szCs w:val="16"/>
                <w:color w:val="auto"/>
              </w:rPr>
            </w:pPr>
          </w:p>
        </w:tc>
        <w:tc>
          <w:tcPr>
            <w:tcW w:w="820" w:type="dxa"/>
            <w:vAlign w:val="bottom"/>
            <w:shd w:val="clear" w:color="auto" w:fill="BFBFBF"/>
          </w:tcPr>
          <w:p>
            <w:pPr>
              <w:spacing w:after="0"/>
              <w:rPr>
                <w:sz w:val="16"/>
                <w:szCs w:val="16"/>
                <w:color w:val="auto"/>
              </w:rPr>
            </w:pPr>
          </w:p>
        </w:tc>
        <w:tc>
          <w:tcPr>
            <w:tcW w:w="820" w:type="dxa"/>
            <w:vAlign w:val="bottom"/>
            <w:shd w:val="clear" w:color="auto" w:fill="BFBFBF"/>
          </w:tcPr>
          <w:p>
            <w:pPr>
              <w:spacing w:after="0"/>
              <w:rPr>
                <w:sz w:val="16"/>
                <w:szCs w:val="16"/>
                <w:color w:val="auto"/>
              </w:rPr>
            </w:pPr>
          </w:p>
        </w:tc>
        <w:tc>
          <w:tcPr>
            <w:tcW w:w="6040" w:type="dxa"/>
            <w:vAlign w:val="bottom"/>
            <w:shd w:val="clear" w:color="auto" w:fill="BFBFBF"/>
          </w:tcPr>
          <w:p>
            <w:pPr>
              <w:spacing w:after="0"/>
              <w:rPr>
                <w:sz w:val="16"/>
                <w:szCs w:val="16"/>
                <w:color w:val="auto"/>
              </w:rPr>
            </w:pPr>
          </w:p>
        </w:tc>
        <w:tc>
          <w:tcPr>
            <w:tcW w:w="1000" w:type="dxa"/>
            <w:vAlign w:val="bottom"/>
            <w:shd w:val="clear" w:color="auto" w:fill="BFBFBF"/>
          </w:tcPr>
          <w:p>
            <w:pPr>
              <w:spacing w:after="0"/>
              <w:rPr>
                <w:sz w:val="16"/>
                <w:szCs w:val="16"/>
                <w:color w:val="auto"/>
              </w:rPr>
            </w:pPr>
          </w:p>
        </w:tc>
        <w:tc>
          <w:tcPr>
            <w:tcW w:w="1700" w:type="dxa"/>
            <w:vAlign w:val="bottom"/>
            <w:shd w:val="clear" w:color="auto" w:fill="BFBFBF"/>
          </w:tcPr>
          <w:p>
            <w:pPr>
              <w:spacing w:after="0"/>
              <w:rPr>
                <w:sz w:val="16"/>
                <w:szCs w:val="16"/>
                <w:color w:val="auto"/>
              </w:rPr>
            </w:pPr>
          </w:p>
        </w:tc>
      </w:tr>
      <w:tr>
        <w:trPr>
          <w:trHeight w:val="213"/>
        </w:trPr>
        <w:tc>
          <w:tcPr>
            <w:tcW w:w="10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40" w:type="dxa"/>
            <w:vAlign w:val="bottom"/>
          </w:tcPr>
          <w:p>
            <w:pPr>
              <w:ind w:left="20"/>
              <w:spacing w:after="0"/>
              <w:rPr>
                <w:sz w:val="20"/>
                <w:szCs w:val="20"/>
                <w:color w:val="auto"/>
              </w:rPr>
            </w:pPr>
            <w:r>
              <w:rPr>
                <w:rFonts w:ascii="Arial" w:cs="Arial" w:eastAsia="Arial" w:hAnsi="Arial"/>
                <w:sz w:val="16"/>
                <w:szCs w:val="16"/>
                <w:color w:val="auto"/>
              </w:rPr>
              <w:t>Other comprehensive income/(loss), before tax:</w:t>
            </w:r>
          </w:p>
        </w:tc>
        <w:tc>
          <w:tcPr>
            <w:tcW w:w="10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19"/>
        </w:trPr>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(50)</w:t>
            </w:r>
          </w:p>
        </w:tc>
        <w:tc>
          <w:tcPr>
            <w:tcW w:w="1640" w:type="dxa"/>
            <w:vAlign w:val="bottom"/>
            <w:gridSpan w:val="2"/>
            <w:shd w:val="clear" w:color="auto" w:fill="BFBFBF"/>
          </w:tcPr>
          <w:p>
            <w:pPr>
              <w:jc w:val="right"/>
              <w:ind w:right="200"/>
              <w:spacing w:after="0"/>
              <w:rPr>
                <w:sz w:val="20"/>
                <w:szCs w:val="20"/>
                <w:color w:val="auto"/>
              </w:rPr>
            </w:pPr>
            <w:r>
              <w:rPr>
                <w:rFonts w:ascii="Arial" w:cs="Arial" w:eastAsia="Arial" w:hAnsi="Arial"/>
                <w:sz w:val="16"/>
                <w:szCs w:val="16"/>
                <w:color w:val="auto"/>
              </w:rPr>
              <w:t>(30,851)</w:t>
            </w:r>
          </w:p>
        </w:tc>
        <w:tc>
          <w:tcPr>
            <w:tcW w:w="6040" w:type="dxa"/>
            <w:vAlign w:val="bottom"/>
            <w:shd w:val="clear" w:color="auto" w:fill="BFBFBF"/>
          </w:tcPr>
          <w:p>
            <w:pPr>
              <w:ind w:left="240"/>
              <w:spacing w:after="0"/>
              <w:rPr>
                <w:sz w:val="20"/>
                <w:szCs w:val="20"/>
                <w:color w:val="auto"/>
              </w:rPr>
            </w:pPr>
            <w:r>
              <w:rPr>
                <w:rFonts w:ascii="Arial" w:cs="Arial" w:eastAsia="Arial" w:hAnsi="Arial"/>
                <w:sz w:val="16"/>
                <w:szCs w:val="16"/>
                <w:color w:val="auto"/>
              </w:rPr>
              <w:t>Foreign currency translation and other adjustments</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(2,202)</w:t>
            </w:r>
          </w:p>
        </w:tc>
        <w:tc>
          <w:tcPr>
            <w:tcW w:w="170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(13,346)</w:t>
            </w:r>
          </w:p>
        </w:tc>
      </w:tr>
      <w:tr>
        <w:trPr>
          <w:trHeight w:val="213"/>
        </w:trPr>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(518)</w:t>
            </w:r>
          </w:p>
        </w:tc>
        <w:tc>
          <w:tcPr>
            <w:tcW w:w="6040" w:type="dxa"/>
            <w:vAlign w:val="bottom"/>
          </w:tcPr>
          <w:p>
            <w:pPr>
              <w:ind w:left="20"/>
              <w:spacing w:after="0"/>
              <w:rPr>
                <w:sz w:val="20"/>
                <w:szCs w:val="20"/>
                <w:color w:val="auto"/>
              </w:rPr>
            </w:pPr>
            <w:r>
              <w:rPr>
                <w:rFonts w:ascii="Arial" w:cs="Arial" w:eastAsia="Arial" w:hAnsi="Arial"/>
                <w:sz w:val="16"/>
                <w:szCs w:val="16"/>
                <w:color w:val="auto"/>
              </w:rPr>
              <w:t>Pension/postretirement curtailment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00"/>
              <w:spacing w:after="0"/>
              <w:rPr>
                <w:sz w:val="20"/>
                <w:szCs w:val="20"/>
                <w:color w:val="auto"/>
              </w:rPr>
            </w:pPr>
            <w:r>
              <w:rPr>
                <w:rFonts w:ascii="Arial" w:cs="Arial" w:eastAsia="Arial" w:hAnsi="Arial"/>
                <w:sz w:val="16"/>
                <w:szCs w:val="16"/>
                <w:color w:val="auto"/>
              </w:rPr>
              <w:t>(518)</w:t>
            </w:r>
          </w:p>
        </w:tc>
      </w:tr>
      <w:tr>
        <w:trPr>
          <w:trHeight w:val="219"/>
        </w:trPr>
        <w:tc>
          <w:tcPr>
            <w:tcW w:w="1040" w:type="dxa"/>
            <w:vAlign w:val="bottom"/>
            <w:shd w:val="clear" w:color="auto" w:fill="BFBFBF"/>
          </w:tcPr>
          <w:p>
            <w:pPr>
              <w:spacing w:after="0"/>
              <w:rPr>
                <w:sz w:val="19"/>
                <w:szCs w:val="19"/>
                <w:color w:val="auto"/>
              </w:rPr>
            </w:pPr>
          </w:p>
        </w:tc>
        <w:tc>
          <w:tcPr>
            <w:tcW w:w="820" w:type="dxa"/>
            <w:vAlign w:val="bottom"/>
            <w:shd w:val="clear" w:color="auto" w:fill="BFBFBF"/>
          </w:tcPr>
          <w:p>
            <w:pPr>
              <w:spacing w:after="0"/>
              <w:rPr>
                <w:sz w:val="19"/>
                <w:szCs w:val="19"/>
                <w:color w:val="auto"/>
              </w:rPr>
            </w:pPr>
          </w:p>
        </w:tc>
        <w:tc>
          <w:tcPr>
            <w:tcW w:w="820" w:type="dxa"/>
            <w:vAlign w:val="bottom"/>
            <w:shd w:val="clear" w:color="auto" w:fill="BFBFBF"/>
          </w:tcPr>
          <w:p>
            <w:pPr>
              <w:spacing w:after="0"/>
              <w:rPr>
                <w:sz w:val="19"/>
                <w:szCs w:val="19"/>
                <w:color w:val="auto"/>
              </w:rPr>
            </w:pP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Amortization of pension liability adjustments:</w:t>
            </w:r>
          </w:p>
        </w:tc>
        <w:tc>
          <w:tcPr>
            <w:tcW w:w="1000" w:type="dxa"/>
            <w:vAlign w:val="bottom"/>
            <w:shd w:val="clear" w:color="auto" w:fill="BFBFBF"/>
          </w:tcPr>
          <w:p>
            <w:pPr>
              <w:spacing w:after="0"/>
              <w:rPr>
                <w:sz w:val="19"/>
                <w:szCs w:val="19"/>
                <w:color w:val="auto"/>
              </w:rPr>
            </w:pPr>
          </w:p>
        </w:tc>
        <w:tc>
          <w:tcPr>
            <w:tcW w:w="1700" w:type="dxa"/>
            <w:vAlign w:val="bottom"/>
            <w:shd w:val="clear" w:color="auto" w:fill="BFBFBF"/>
          </w:tcPr>
          <w:p>
            <w:pPr>
              <w:spacing w:after="0"/>
              <w:rPr>
                <w:sz w:val="19"/>
                <w:szCs w:val="19"/>
                <w:color w:val="auto"/>
              </w:rPr>
            </w:pPr>
          </w:p>
        </w:tc>
      </w:tr>
      <w:tr>
        <w:trPr>
          <w:trHeight w:val="213"/>
        </w:trPr>
        <w:tc>
          <w:tcPr>
            <w:tcW w:w="1040" w:type="dxa"/>
            <w:vAlign w:val="bottom"/>
          </w:tcPr>
          <w:p>
            <w:pPr>
              <w:jc w:val="right"/>
              <w:spacing w:after="0"/>
              <w:rPr>
                <w:sz w:val="20"/>
                <w:szCs w:val="20"/>
                <w:color w:val="auto"/>
              </w:rPr>
            </w:pPr>
            <w:r>
              <w:rPr>
                <w:rFonts w:ascii="Arial" w:cs="Arial" w:eastAsia="Arial" w:hAnsi="Arial"/>
                <w:sz w:val="16"/>
                <w:szCs w:val="16"/>
                <w:color w:val="auto"/>
              </w:rPr>
              <w:t>(1,105)</w:t>
            </w:r>
          </w:p>
        </w:tc>
        <w:tc>
          <w:tcPr>
            <w:tcW w:w="820" w:type="dxa"/>
            <w:vAlign w:val="bottom"/>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(1,113)</w:t>
            </w:r>
          </w:p>
        </w:tc>
        <w:tc>
          <w:tcPr>
            <w:tcW w:w="6040" w:type="dxa"/>
            <w:vAlign w:val="bottom"/>
          </w:tcPr>
          <w:p>
            <w:pPr>
              <w:ind w:left="340"/>
              <w:spacing w:after="0"/>
              <w:rPr>
                <w:sz w:val="20"/>
                <w:szCs w:val="20"/>
                <w:color w:val="auto"/>
              </w:rPr>
            </w:pPr>
            <w:r>
              <w:rPr>
                <w:rFonts w:ascii="Arial" w:cs="Arial" w:eastAsia="Arial" w:hAnsi="Arial"/>
                <w:sz w:val="16"/>
                <w:szCs w:val="16"/>
                <w:color w:val="auto"/>
              </w:rPr>
              <w:t>Prior service credit</w:t>
            </w:r>
          </w:p>
        </w:tc>
        <w:tc>
          <w:tcPr>
            <w:tcW w:w="1000" w:type="dxa"/>
            <w:vAlign w:val="bottom"/>
          </w:tcPr>
          <w:p>
            <w:pPr>
              <w:jc w:val="right"/>
              <w:spacing w:after="0"/>
              <w:rPr>
                <w:sz w:val="20"/>
                <w:szCs w:val="20"/>
                <w:color w:val="auto"/>
              </w:rPr>
            </w:pPr>
            <w:r>
              <w:rPr>
                <w:rFonts w:ascii="Arial" w:cs="Arial" w:eastAsia="Arial" w:hAnsi="Arial"/>
                <w:sz w:val="16"/>
                <w:szCs w:val="16"/>
                <w:color w:val="auto"/>
              </w:rPr>
              <w:t>(2,210)</w:t>
            </w:r>
          </w:p>
        </w:tc>
        <w:tc>
          <w:tcPr>
            <w:tcW w:w="1700" w:type="dxa"/>
            <w:vAlign w:val="bottom"/>
          </w:tcPr>
          <w:p>
            <w:pPr>
              <w:jc w:val="right"/>
              <w:ind w:right="300"/>
              <w:spacing w:after="0"/>
              <w:rPr>
                <w:sz w:val="20"/>
                <w:szCs w:val="20"/>
                <w:color w:val="auto"/>
              </w:rPr>
            </w:pPr>
            <w:r>
              <w:rPr>
                <w:rFonts w:ascii="Arial" w:cs="Arial" w:eastAsia="Arial" w:hAnsi="Arial"/>
                <w:sz w:val="16"/>
                <w:szCs w:val="16"/>
                <w:color w:val="auto"/>
              </w:rPr>
              <w:t>(2,227)</w:t>
            </w:r>
          </w:p>
        </w:tc>
      </w:tr>
      <w:tr>
        <w:trPr>
          <w:trHeight w:val="219"/>
        </w:trPr>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1,118</w:t>
            </w:r>
          </w:p>
        </w:tc>
        <w:tc>
          <w:tcPr>
            <w:tcW w:w="820" w:type="dxa"/>
            <w:vAlign w:val="bottom"/>
            <w:shd w:val="clear" w:color="auto" w:fill="BFBFBF"/>
          </w:tcPr>
          <w:p>
            <w:pPr>
              <w:spacing w:after="0"/>
              <w:rPr>
                <w:sz w:val="19"/>
                <w:szCs w:val="19"/>
                <w:color w:val="auto"/>
              </w:rPr>
            </w:pPr>
          </w:p>
        </w:tc>
        <w:tc>
          <w:tcPr>
            <w:tcW w:w="820" w:type="dxa"/>
            <w:vAlign w:val="bottom"/>
            <w:shd w:val="clear" w:color="auto" w:fill="BFBFBF"/>
          </w:tcPr>
          <w:p>
            <w:pPr>
              <w:jc w:val="right"/>
              <w:ind w:right="220"/>
              <w:spacing w:after="0"/>
              <w:rPr>
                <w:sz w:val="20"/>
                <w:szCs w:val="20"/>
                <w:color w:val="auto"/>
              </w:rPr>
            </w:pPr>
            <w:r>
              <w:rPr>
                <w:rFonts w:ascii="Arial" w:cs="Arial" w:eastAsia="Arial" w:hAnsi="Arial"/>
                <w:sz w:val="16"/>
                <w:szCs w:val="16"/>
                <w:color w:val="auto"/>
              </w:rPr>
              <w:t>1,291</w:t>
            </w:r>
          </w:p>
        </w:tc>
        <w:tc>
          <w:tcPr>
            <w:tcW w:w="6040" w:type="dxa"/>
            <w:vAlign w:val="bottom"/>
            <w:shd w:val="clear" w:color="auto" w:fill="BFBFBF"/>
          </w:tcPr>
          <w:p>
            <w:pPr>
              <w:ind w:left="340"/>
              <w:spacing w:after="0"/>
              <w:rPr>
                <w:sz w:val="20"/>
                <w:szCs w:val="20"/>
                <w:color w:val="auto"/>
              </w:rPr>
            </w:pPr>
            <w:r>
              <w:rPr>
                <w:rFonts w:ascii="Arial" w:cs="Arial" w:eastAsia="Arial" w:hAnsi="Arial"/>
                <w:sz w:val="16"/>
                <w:szCs w:val="16"/>
                <w:color w:val="auto"/>
              </w:rPr>
              <w:t>Net actuarial loss</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2,239</w:t>
            </w:r>
          </w:p>
        </w:tc>
        <w:tc>
          <w:tcPr>
            <w:tcW w:w="1700" w:type="dxa"/>
            <w:vAlign w:val="bottom"/>
            <w:shd w:val="clear" w:color="auto" w:fill="BFBFBF"/>
          </w:tcPr>
          <w:p>
            <w:pPr>
              <w:jc w:val="right"/>
              <w:ind w:right="320"/>
              <w:spacing w:after="0"/>
              <w:rPr>
                <w:sz w:val="20"/>
                <w:szCs w:val="20"/>
                <w:color w:val="auto"/>
              </w:rPr>
            </w:pPr>
            <w:r>
              <w:rPr>
                <w:rFonts w:ascii="Arial" w:cs="Arial" w:eastAsia="Arial" w:hAnsi="Arial"/>
                <w:sz w:val="16"/>
                <w:szCs w:val="16"/>
                <w:color w:val="auto"/>
              </w:rPr>
              <w:t>2,588</w:t>
            </w:r>
          </w:p>
        </w:tc>
      </w:tr>
      <w:tr>
        <w:trPr>
          <w:trHeight w:val="213"/>
        </w:trPr>
        <w:tc>
          <w:tcPr>
            <w:tcW w:w="1040" w:type="dxa"/>
            <w:vAlign w:val="bottom"/>
          </w:tcPr>
          <w:p>
            <w:pPr>
              <w:jc w:val="right"/>
              <w:spacing w:after="0"/>
              <w:rPr>
                <w:sz w:val="20"/>
                <w:szCs w:val="20"/>
                <w:color w:val="auto"/>
              </w:rPr>
            </w:pPr>
            <w:r>
              <w:rPr>
                <w:rFonts w:ascii="Arial" w:cs="Arial" w:eastAsia="Arial" w:hAnsi="Arial"/>
                <w:sz w:val="16"/>
                <w:szCs w:val="16"/>
                <w:color w:val="auto"/>
              </w:rPr>
              <w:t>(420)</w:t>
            </w:r>
          </w:p>
        </w:tc>
        <w:tc>
          <w:tcPr>
            <w:tcW w:w="820" w:type="dxa"/>
            <w:vAlign w:val="bottom"/>
          </w:tcPr>
          <w:p>
            <w:pPr>
              <w:spacing w:after="0"/>
              <w:rPr>
                <w:sz w:val="18"/>
                <w:szCs w:val="18"/>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54</w:t>
            </w:r>
          </w:p>
        </w:tc>
        <w:tc>
          <w:tcPr>
            <w:tcW w:w="6040" w:type="dxa"/>
            <w:vAlign w:val="bottom"/>
          </w:tcPr>
          <w:p>
            <w:pPr>
              <w:ind w:left="240"/>
              <w:spacing w:after="0"/>
              <w:rPr>
                <w:sz w:val="20"/>
                <w:szCs w:val="20"/>
                <w:color w:val="auto"/>
              </w:rPr>
            </w:pPr>
            <w:r>
              <w:rPr>
                <w:rFonts w:ascii="Arial" w:cs="Arial" w:eastAsia="Arial" w:hAnsi="Arial"/>
                <w:sz w:val="16"/>
                <w:szCs w:val="16"/>
                <w:color w:val="auto"/>
              </w:rPr>
              <w:t>Payments and amortization related to interest rate swaps included in earnings</w:t>
            </w:r>
          </w:p>
        </w:tc>
        <w:tc>
          <w:tcPr>
            <w:tcW w:w="1000" w:type="dxa"/>
            <w:vAlign w:val="bottom"/>
          </w:tcPr>
          <w:p>
            <w:pPr>
              <w:jc w:val="right"/>
              <w:spacing w:after="0"/>
              <w:rPr>
                <w:sz w:val="20"/>
                <w:szCs w:val="20"/>
                <w:color w:val="auto"/>
              </w:rPr>
            </w:pPr>
            <w:r>
              <w:rPr>
                <w:rFonts w:ascii="Arial" w:cs="Arial" w:eastAsia="Arial" w:hAnsi="Arial"/>
                <w:sz w:val="16"/>
                <w:szCs w:val="16"/>
                <w:color w:val="auto"/>
              </w:rPr>
              <w:t>(872)</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234</w:t>
            </w:r>
          </w:p>
        </w:tc>
      </w:tr>
      <w:tr>
        <w:trPr>
          <w:trHeight w:val="219"/>
        </w:trPr>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(5,887)</w:t>
            </w:r>
          </w:p>
        </w:tc>
        <w:tc>
          <w:tcPr>
            <w:tcW w:w="820" w:type="dxa"/>
            <w:vAlign w:val="bottom"/>
            <w:shd w:val="clear" w:color="auto" w:fill="BFBFBF"/>
          </w:tcPr>
          <w:p>
            <w:pPr>
              <w:spacing w:after="0"/>
              <w:rPr>
                <w:sz w:val="19"/>
                <w:szCs w:val="19"/>
                <w:color w:val="auto"/>
              </w:rPr>
            </w:pPr>
          </w:p>
        </w:tc>
        <w:tc>
          <w:tcPr>
            <w:tcW w:w="820" w:type="dxa"/>
            <w:vAlign w:val="bottom"/>
            <w:shd w:val="clear" w:color="auto" w:fill="BFBFBF"/>
          </w:tcPr>
          <w:p>
            <w:pPr>
              <w:jc w:val="right"/>
              <w:ind w:right="220"/>
              <w:spacing w:after="0"/>
              <w:rPr>
                <w:sz w:val="20"/>
                <w:szCs w:val="20"/>
                <w:color w:val="auto"/>
              </w:rPr>
            </w:pPr>
            <w:r>
              <w:rPr>
                <w:rFonts w:ascii="Arial" w:cs="Arial" w:eastAsia="Arial" w:hAnsi="Arial"/>
                <w:sz w:val="16"/>
                <w:szCs w:val="16"/>
                <w:color w:val="auto"/>
              </w:rPr>
              <w:t>2,211</w:t>
            </w:r>
          </w:p>
        </w:tc>
        <w:tc>
          <w:tcPr>
            <w:tcW w:w="6040" w:type="dxa"/>
            <w:vAlign w:val="bottom"/>
            <w:shd w:val="clear" w:color="auto" w:fill="BFBFBF"/>
          </w:tcPr>
          <w:p>
            <w:pPr>
              <w:ind w:left="240"/>
              <w:spacing w:after="0"/>
              <w:rPr>
                <w:sz w:val="20"/>
                <w:szCs w:val="20"/>
                <w:color w:val="auto"/>
              </w:rPr>
            </w:pPr>
            <w:r>
              <w:rPr>
                <w:rFonts w:ascii="Arial" w:cs="Arial" w:eastAsia="Arial" w:hAnsi="Arial"/>
                <w:sz w:val="16"/>
                <w:szCs w:val="16"/>
                <w:color w:val="auto"/>
              </w:rPr>
              <w:t>Derivative valuation adjustment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(9,264)</w:t>
            </w:r>
          </w:p>
        </w:tc>
        <w:tc>
          <w:tcPr>
            <w:tcW w:w="1700" w:type="dxa"/>
            <w:vAlign w:val="bottom"/>
            <w:shd w:val="clear" w:color="auto" w:fill="BFBFBF"/>
          </w:tcPr>
          <w:p>
            <w:pPr>
              <w:jc w:val="right"/>
              <w:ind w:right="320"/>
              <w:spacing w:after="0"/>
              <w:rPr>
                <w:sz w:val="20"/>
                <w:szCs w:val="20"/>
                <w:color w:val="auto"/>
              </w:rPr>
            </w:pPr>
            <w:r>
              <w:rPr>
                <w:rFonts w:ascii="Arial" w:cs="Arial" w:eastAsia="Arial" w:hAnsi="Arial"/>
                <w:sz w:val="16"/>
                <w:szCs w:val="16"/>
                <w:color w:val="auto"/>
              </w:rPr>
              <w:t>7,926</w:t>
            </w:r>
          </w:p>
        </w:tc>
      </w:tr>
      <w:tr>
        <w:trPr>
          <w:trHeight w:val="189"/>
        </w:trPr>
        <w:tc>
          <w:tcPr>
            <w:tcW w:w="10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16"/>
        </w:trPr>
        <w:tc>
          <w:tcPr>
            <w:tcW w:w="1040" w:type="dxa"/>
            <w:vAlign w:val="bottom"/>
            <w:shd w:val="clear" w:color="auto" w:fill="BFBFBF"/>
          </w:tcPr>
          <w:p>
            <w:pPr>
              <w:spacing w:after="0"/>
              <w:rPr>
                <w:sz w:val="18"/>
                <w:szCs w:val="18"/>
                <w:color w:val="auto"/>
              </w:rPr>
            </w:pPr>
          </w:p>
        </w:tc>
        <w:tc>
          <w:tcPr>
            <w:tcW w:w="820" w:type="dxa"/>
            <w:vAlign w:val="bottom"/>
            <w:shd w:val="clear" w:color="auto" w:fill="BFBFBF"/>
          </w:tcPr>
          <w:p>
            <w:pPr>
              <w:spacing w:after="0"/>
              <w:rPr>
                <w:sz w:val="18"/>
                <w:szCs w:val="18"/>
                <w:color w:val="auto"/>
              </w:rPr>
            </w:pPr>
          </w:p>
        </w:tc>
        <w:tc>
          <w:tcPr>
            <w:tcW w:w="820" w:type="dxa"/>
            <w:vAlign w:val="bottom"/>
            <w:shd w:val="clear" w:color="auto" w:fill="BFBFBF"/>
          </w:tcPr>
          <w:p>
            <w:pPr>
              <w:spacing w:after="0"/>
              <w:rPr>
                <w:sz w:val="18"/>
                <w:szCs w:val="18"/>
                <w:color w:val="auto"/>
              </w:rPr>
            </w:pP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Income taxes related to items of other comprehensive income/(loss):</w:t>
            </w:r>
          </w:p>
        </w:tc>
        <w:tc>
          <w:tcPr>
            <w:tcW w:w="1000" w:type="dxa"/>
            <w:vAlign w:val="bottom"/>
            <w:shd w:val="clear" w:color="auto" w:fill="BFBFBF"/>
          </w:tcPr>
          <w:p>
            <w:pPr>
              <w:spacing w:after="0"/>
              <w:rPr>
                <w:sz w:val="18"/>
                <w:szCs w:val="18"/>
                <w:color w:val="auto"/>
              </w:rPr>
            </w:pPr>
          </w:p>
        </w:tc>
        <w:tc>
          <w:tcPr>
            <w:tcW w:w="1700" w:type="dxa"/>
            <w:vAlign w:val="bottom"/>
            <w:shd w:val="clear" w:color="auto" w:fill="BFBFBF"/>
          </w:tcPr>
          <w:p>
            <w:pPr>
              <w:spacing w:after="0"/>
              <w:rPr>
                <w:sz w:val="18"/>
                <w:szCs w:val="18"/>
                <w:color w:val="auto"/>
              </w:rPr>
            </w:pPr>
          </w:p>
        </w:tc>
      </w:tr>
      <w:tr>
        <w:trPr>
          <w:trHeight w:val="213"/>
        </w:trPr>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spacing w:after="0"/>
              <w:rPr>
                <w:sz w:val="18"/>
                <w:szCs w:val="18"/>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155</w:t>
            </w:r>
          </w:p>
        </w:tc>
        <w:tc>
          <w:tcPr>
            <w:tcW w:w="6040" w:type="dxa"/>
            <w:vAlign w:val="bottom"/>
          </w:tcPr>
          <w:p>
            <w:pPr>
              <w:ind w:left="20"/>
              <w:spacing w:after="0"/>
              <w:rPr>
                <w:sz w:val="20"/>
                <w:szCs w:val="20"/>
                <w:color w:val="auto"/>
              </w:rPr>
            </w:pPr>
            <w:r>
              <w:rPr>
                <w:rFonts w:ascii="Arial" w:cs="Arial" w:eastAsia="Arial" w:hAnsi="Arial"/>
                <w:sz w:val="16"/>
                <w:szCs w:val="16"/>
                <w:color w:val="auto"/>
              </w:rPr>
              <w:t>Pension/postretirement curtailment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155</w:t>
            </w:r>
          </w:p>
        </w:tc>
      </w:tr>
      <w:tr>
        <w:trPr>
          <w:trHeight w:val="219"/>
        </w:trPr>
        <w:tc>
          <w:tcPr>
            <w:tcW w:w="1040" w:type="dxa"/>
            <w:vAlign w:val="bottom"/>
            <w:shd w:val="clear" w:color="auto" w:fill="BFBFBF"/>
          </w:tcPr>
          <w:p>
            <w:pPr>
              <w:jc w:val="right"/>
              <w:spacing w:after="0"/>
              <w:rPr>
                <w:sz w:val="20"/>
                <w:szCs w:val="20"/>
                <w:color w:val="auto"/>
              </w:rPr>
            </w:pPr>
            <w:r>
              <w:rPr>
                <w:rFonts w:ascii="Arial" w:cs="Arial" w:eastAsia="Arial" w:hAnsi="Arial"/>
                <w:sz w:val="16"/>
                <w:szCs w:val="16"/>
                <w:color w:val="auto"/>
              </w:rPr>
              <w:t>(4)</w:t>
            </w:r>
          </w:p>
        </w:tc>
        <w:tc>
          <w:tcPr>
            <w:tcW w:w="820" w:type="dxa"/>
            <w:vAlign w:val="bottom"/>
            <w:shd w:val="clear" w:color="auto" w:fill="BFBFBF"/>
          </w:tcPr>
          <w:p>
            <w:pPr>
              <w:spacing w:after="0"/>
              <w:rPr>
                <w:sz w:val="19"/>
                <w:szCs w:val="19"/>
                <w:color w:val="auto"/>
              </w:rPr>
            </w:pPr>
          </w:p>
        </w:tc>
        <w:tc>
          <w:tcPr>
            <w:tcW w:w="820" w:type="dxa"/>
            <w:vAlign w:val="bottom"/>
            <w:shd w:val="clear" w:color="auto" w:fill="BFBFBF"/>
          </w:tcPr>
          <w:p>
            <w:pPr>
              <w:jc w:val="right"/>
              <w:ind w:right="200"/>
              <w:spacing w:after="0"/>
              <w:rPr>
                <w:sz w:val="20"/>
                <w:szCs w:val="20"/>
                <w:color w:val="auto"/>
              </w:rPr>
            </w:pPr>
            <w:r>
              <w:rPr>
                <w:rFonts w:ascii="Arial" w:cs="Arial" w:eastAsia="Arial" w:hAnsi="Arial"/>
                <w:sz w:val="16"/>
                <w:szCs w:val="16"/>
                <w:color w:val="auto"/>
              </w:rPr>
              <w:t>(53)</w:t>
            </w:r>
          </w:p>
        </w:tc>
        <w:tc>
          <w:tcPr>
            <w:tcW w:w="6040" w:type="dxa"/>
            <w:vAlign w:val="bottom"/>
            <w:shd w:val="clear" w:color="auto" w:fill="BFBFBF"/>
          </w:tcPr>
          <w:p>
            <w:pPr>
              <w:ind w:left="240"/>
              <w:spacing w:after="0"/>
              <w:rPr>
                <w:sz w:val="20"/>
                <w:szCs w:val="20"/>
                <w:color w:val="auto"/>
              </w:rPr>
            </w:pPr>
            <w:r>
              <w:rPr>
                <w:rFonts w:ascii="Arial" w:cs="Arial" w:eastAsia="Arial" w:hAnsi="Arial"/>
                <w:sz w:val="16"/>
                <w:szCs w:val="16"/>
                <w:color w:val="auto"/>
              </w:rPr>
              <w:t>Amortization of pension liability adjustment</w:t>
            </w:r>
          </w:p>
        </w:tc>
        <w:tc>
          <w:tcPr>
            <w:tcW w:w="10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(9)</w:t>
            </w:r>
          </w:p>
        </w:tc>
        <w:tc>
          <w:tcPr>
            <w:tcW w:w="1700" w:type="dxa"/>
            <w:vAlign w:val="bottom"/>
            <w:shd w:val="clear" w:color="auto" w:fill="BFBFBF"/>
          </w:tcPr>
          <w:p>
            <w:pPr>
              <w:jc w:val="right"/>
              <w:ind w:right="300"/>
              <w:spacing w:after="0"/>
              <w:rPr>
                <w:sz w:val="20"/>
                <w:szCs w:val="20"/>
                <w:color w:val="auto"/>
              </w:rPr>
            </w:pPr>
            <w:r>
              <w:rPr>
                <w:rFonts w:ascii="Arial" w:cs="Arial" w:eastAsia="Arial" w:hAnsi="Arial"/>
                <w:sz w:val="16"/>
                <w:szCs w:val="16"/>
                <w:color w:val="auto"/>
              </w:rPr>
              <w:t>(108)</w:t>
            </w:r>
          </w:p>
        </w:tc>
      </w:tr>
      <w:tr>
        <w:trPr>
          <w:trHeight w:val="213"/>
        </w:trPr>
        <w:tc>
          <w:tcPr>
            <w:tcW w:w="1040" w:type="dxa"/>
            <w:vAlign w:val="bottom"/>
          </w:tcPr>
          <w:p>
            <w:pPr>
              <w:jc w:val="right"/>
              <w:spacing w:after="0"/>
              <w:rPr>
                <w:sz w:val="20"/>
                <w:szCs w:val="20"/>
                <w:color w:val="auto"/>
              </w:rPr>
            </w:pPr>
            <w:r>
              <w:rPr>
                <w:rFonts w:ascii="Arial" w:cs="Arial" w:eastAsia="Arial" w:hAnsi="Arial"/>
                <w:sz w:val="16"/>
                <w:szCs w:val="16"/>
                <w:color w:val="auto"/>
              </w:rPr>
              <w:t>108</w:t>
            </w:r>
          </w:p>
        </w:tc>
        <w:tc>
          <w:tcPr>
            <w:tcW w:w="820" w:type="dxa"/>
            <w:vAlign w:val="bottom"/>
          </w:tcPr>
          <w:p>
            <w:pPr>
              <w:spacing w:after="0"/>
              <w:rPr>
                <w:sz w:val="18"/>
                <w:szCs w:val="18"/>
                <w:color w:val="auto"/>
              </w:rPr>
            </w:pPr>
          </w:p>
        </w:tc>
        <w:tc>
          <w:tcPr>
            <w:tcW w:w="820" w:type="dxa"/>
            <w:vAlign w:val="bottom"/>
          </w:tcPr>
          <w:p>
            <w:pPr>
              <w:jc w:val="right"/>
              <w:ind w:right="200"/>
              <w:spacing w:after="0"/>
              <w:rPr>
                <w:sz w:val="20"/>
                <w:szCs w:val="20"/>
                <w:color w:val="auto"/>
              </w:rPr>
            </w:pPr>
            <w:r>
              <w:rPr>
                <w:rFonts w:ascii="Arial" w:cs="Arial" w:eastAsia="Arial" w:hAnsi="Arial"/>
                <w:sz w:val="16"/>
                <w:szCs w:val="16"/>
                <w:color w:val="auto"/>
              </w:rPr>
              <w:t>(13)</w:t>
            </w:r>
          </w:p>
        </w:tc>
        <w:tc>
          <w:tcPr>
            <w:tcW w:w="6040" w:type="dxa"/>
            <w:vAlign w:val="bottom"/>
          </w:tcPr>
          <w:p>
            <w:pPr>
              <w:ind w:left="240"/>
              <w:spacing w:after="0"/>
              <w:rPr>
                <w:sz w:val="20"/>
                <w:szCs w:val="20"/>
                <w:color w:val="auto"/>
              </w:rPr>
            </w:pPr>
            <w:r>
              <w:rPr>
                <w:rFonts w:ascii="Arial" w:cs="Arial" w:eastAsia="Arial" w:hAnsi="Arial"/>
                <w:sz w:val="16"/>
                <w:szCs w:val="16"/>
                <w:color w:val="auto"/>
              </w:rPr>
              <w:t>Payments related to interest rate swaps included in earnings</w:t>
            </w:r>
          </w:p>
        </w:tc>
        <w:tc>
          <w:tcPr>
            <w:tcW w:w="1000" w:type="dxa"/>
            <w:vAlign w:val="bottom"/>
          </w:tcPr>
          <w:p>
            <w:pPr>
              <w:jc w:val="right"/>
              <w:spacing w:after="0"/>
              <w:rPr>
                <w:sz w:val="20"/>
                <w:szCs w:val="20"/>
                <w:color w:val="auto"/>
              </w:rPr>
            </w:pPr>
            <w:r>
              <w:rPr>
                <w:rFonts w:ascii="Arial" w:cs="Arial" w:eastAsia="Arial" w:hAnsi="Arial"/>
                <w:sz w:val="16"/>
                <w:szCs w:val="16"/>
                <w:color w:val="auto"/>
              </w:rPr>
              <w:t>223</w:t>
            </w:r>
          </w:p>
        </w:tc>
        <w:tc>
          <w:tcPr>
            <w:tcW w:w="1700" w:type="dxa"/>
            <w:vAlign w:val="bottom"/>
          </w:tcPr>
          <w:p>
            <w:pPr>
              <w:jc w:val="right"/>
              <w:ind w:right="300"/>
              <w:spacing w:after="0"/>
              <w:rPr>
                <w:sz w:val="20"/>
                <w:szCs w:val="20"/>
                <w:color w:val="auto"/>
              </w:rPr>
            </w:pPr>
            <w:r>
              <w:rPr>
                <w:rFonts w:ascii="Arial" w:cs="Arial" w:eastAsia="Arial" w:hAnsi="Arial"/>
                <w:sz w:val="16"/>
                <w:szCs w:val="16"/>
                <w:color w:val="auto"/>
              </w:rPr>
              <w:t>(56)</w:t>
            </w:r>
          </w:p>
        </w:tc>
      </w:tr>
      <w:tr>
        <w:trPr>
          <w:trHeight w:val="216"/>
        </w:trPr>
        <w:tc>
          <w:tcPr>
            <w:tcW w:w="10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1,504</w:t>
            </w:r>
          </w:p>
        </w:tc>
        <w:tc>
          <w:tcPr>
            <w:tcW w:w="820" w:type="dxa"/>
            <w:vAlign w:val="bottom"/>
            <w:tcBorders>
              <w:bottom w:val="single" w:sz="8" w:color="auto"/>
            </w:tcBorders>
            <w:shd w:val="clear" w:color="auto" w:fill="BFBFBF"/>
          </w:tcPr>
          <w:p>
            <w:pPr>
              <w:spacing w:after="0"/>
              <w:rPr>
                <w:sz w:val="18"/>
                <w:szCs w:val="18"/>
                <w:color w:val="auto"/>
              </w:rPr>
            </w:pPr>
          </w:p>
        </w:tc>
        <w:tc>
          <w:tcPr>
            <w:tcW w:w="820" w:type="dxa"/>
            <w:vAlign w:val="bottom"/>
            <w:tcBorders>
              <w:bottom w:val="single" w:sz="8" w:color="auto"/>
            </w:tcBorders>
            <w:shd w:val="clear" w:color="auto" w:fill="BFBFBF"/>
          </w:tcPr>
          <w:p>
            <w:pPr>
              <w:jc w:val="right"/>
              <w:ind w:right="200"/>
              <w:spacing w:after="0"/>
              <w:rPr>
                <w:sz w:val="20"/>
                <w:szCs w:val="20"/>
                <w:color w:val="auto"/>
              </w:rPr>
            </w:pPr>
            <w:r>
              <w:rPr>
                <w:rFonts w:ascii="Arial" w:cs="Arial" w:eastAsia="Arial" w:hAnsi="Arial"/>
                <w:sz w:val="16"/>
                <w:szCs w:val="16"/>
                <w:color w:val="auto"/>
              </w:rPr>
              <w:t>(530)</w:t>
            </w:r>
          </w:p>
        </w:tc>
        <w:tc>
          <w:tcPr>
            <w:tcW w:w="6040" w:type="dxa"/>
            <w:vAlign w:val="bottom"/>
            <w:shd w:val="clear" w:color="auto" w:fill="BFBFBF"/>
          </w:tcPr>
          <w:p>
            <w:pPr>
              <w:ind w:left="240"/>
              <w:spacing w:after="0"/>
              <w:rPr>
                <w:sz w:val="20"/>
                <w:szCs w:val="20"/>
                <w:color w:val="auto"/>
              </w:rPr>
            </w:pPr>
            <w:r>
              <w:rPr>
                <w:rFonts w:ascii="Arial" w:cs="Arial" w:eastAsia="Arial" w:hAnsi="Arial"/>
                <w:sz w:val="16"/>
                <w:szCs w:val="16"/>
                <w:color w:val="auto"/>
              </w:rPr>
              <w:t>Derivative valuation adjustment</w:t>
            </w:r>
          </w:p>
        </w:tc>
        <w:tc>
          <w:tcPr>
            <w:tcW w:w="10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2,367</w:t>
            </w:r>
          </w:p>
        </w:tc>
        <w:tc>
          <w:tcPr>
            <w:tcW w:w="1700" w:type="dxa"/>
            <w:vAlign w:val="bottom"/>
            <w:tcBorders>
              <w:bottom w:val="single" w:sz="8" w:color="auto"/>
            </w:tcBorders>
            <w:shd w:val="clear" w:color="auto" w:fill="BFBFBF"/>
          </w:tcPr>
          <w:p>
            <w:pPr>
              <w:jc w:val="right"/>
              <w:ind w:right="300"/>
              <w:spacing w:after="0"/>
              <w:rPr>
                <w:sz w:val="20"/>
                <w:szCs w:val="20"/>
                <w:color w:val="auto"/>
              </w:rPr>
            </w:pPr>
            <w:r>
              <w:rPr>
                <w:rFonts w:ascii="Arial" w:cs="Arial" w:eastAsia="Arial" w:hAnsi="Arial"/>
                <w:sz w:val="16"/>
                <w:szCs w:val="16"/>
                <w:color w:val="auto"/>
              </w:rPr>
              <w:t>(1,902)</w:t>
            </w:r>
          </w:p>
        </w:tc>
      </w:tr>
      <w:tr>
        <w:trPr>
          <w:trHeight w:val="210"/>
        </w:trPr>
        <w:tc>
          <w:tcPr>
            <w:tcW w:w="1040" w:type="dxa"/>
            <w:vAlign w:val="bottom"/>
          </w:tcPr>
          <w:p>
            <w:pPr>
              <w:jc w:val="right"/>
              <w:spacing w:after="0"/>
              <w:rPr>
                <w:sz w:val="20"/>
                <w:szCs w:val="20"/>
                <w:color w:val="auto"/>
              </w:rPr>
            </w:pPr>
            <w:r>
              <w:rPr>
                <w:rFonts w:ascii="Arial" w:cs="Arial" w:eastAsia="Arial" w:hAnsi="Arial"/>
                <w:sz w:val="16"/>
                <w:szCs w:val="16"/>
                <w:color w:val="auto"/>
              </w:rPr>
              <w:t>29,523</w:t>
            </w:r>
          </w:p>
        </w:tc>
        <w:tc>
          <w:tcPr>
            <w:tcW w:w="820" w:type="dxa"/>
            <w:vAlign w:val="bottom"/>
          </w:tcPr>
          <w:p>
            <w:pPr>
              <w:spacing w:after="0"/>
              <w:rPr>
                <w:sz w:val="18"/>
                <w:szCs w:val="18"/>
                <w:color w:val="auto"/>
              </w:rPr>
            </w:pPr>
          </w:p>
        </w:tc>
        <w:tc>
          <w:tcPr>
            <w:tcW w:w="820" w:type="dxa"/>
            <w:vAlign w:val="bottom"/>
          </w:tcPr>
          <w:p>
            <w:pPr>
              <w:jc w:val="right"/>
              <w:ind w:right="220"/>
              <w:spacing w:after="0"/>
              <w:rPr>
                <w:sz w:val="20"/>
                <w:szCs w:val="20"/>
                <w:color w:val="auto"/>
              </w:rPr>
            </w:pPr>
            <w:r>
              <w:rPr>
                <w:rFonts w:ascii="Arial" w:cs="Arial" w:eastAsia="Arial" w:hAnsi="Arial"/>
                <w:sz w:val="16"/>
                <w:szCs w:val="16"/>
                <w:color w:val="auto"/>
              </w:rPr>
              <w:t>476</w:t>
            </w:r>
          </w:p>
        </w:tc>
        <w:tc>
          <w:tcPr>
            <w:tcW w:w="6040" w:type="dxa"/>
            <w:vAlign w:val="bottom"/>
          </w:tcPr>
          <w:p>
            <w:pPr>
              <w:ind w:left="240"/>
              <w:spacing w:after="0"/>
              <w:rPr>
                <w:sz w:val="20"/>
                <w:szCs w:val="20"/>
                <w:color w:val="auto"/>
              </w:rPr>
            </w:pPr>
            <w:r>
              <w:rPr>
                <w:rFonts w:ascii="Arial" w:cs="Arial" w:eastAsia="Arial" w:hAnsi="Arial"/>
                <w:sz w:val="16"/>
                <w:szCs w:val="16"/>
                <w:color w:val="auto"/>
              </w:rPr>
              <w:t>Comprehensive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53,939</w:t>
            </w:r>
          </w:p>
        </w:tc>
        <w:tc>
          <w:tcPr>
            <w:tcW w:w="1700" w:type="dxa"/>
            <w:vAlign w:val="bottom"/>
          </w:tcPr>
          <w:p>
            <w:pPr>
              <w:jc w:val="right"/>
              <w:ind w:right="320"/>
              <w:spacing w:after="0"/>
              <w:rPr>
                <w:sz w:val="20"/>
                <w:szCs w:val="20"/>
                <w:color w:val="auto"/>
              </w:rPr>
            </w:pPr>
            <w:r>
              <w:rPr>
                <w:rFonts w:ascii="Arial" w:cs="Arial" w:eastAsia="Arial" w:hAnsi="Arial"/>
                <w:sz w:val="16"/>
                <w:szCs w:val="16"/>
                <w:color w:val="auto"/>
              </w:rPr>
              <w:t>30,488</w:t>
            </w:r>
          </w:p>
        </w:tc>
      </w:tr>
      <w:tr>
        <w:trPr>
          <w:trHeight w:val="216"/>
        </w:trPr>
        <w:tc>
          <w:tcPr>
            <w:tcW w:w="104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207</w:t>
            </w:r>
          </w:p>
        </w:tc>
        <w:tc>
          <w:tcPr>
            <w:tcW w:w="820" w:type="dxa"/>
            <w:vAlign w:val="bottom"/>
            <w:tcBorders>
              <w:bottom w:val="single" w:sz="8" w:color="auto"/>
            </w:tcBorders>
            <w:shd w:val="clear" w:color="auto" w:fill="BFBFBF"/>
          </w:tcPr>
          <w:p>
            <w:pPr>
              <w:spacing w:after="0"/>
              <w:rPr>
                <w:sz w:val="18"/>
                <w:szCs w:val="18"/>
                <w:color w:val="auto"/>
              </w:rPr>
            </w:pPr>
          </w:p>
        </w:tc>
        <w:tc>
          <w:tcPr>
            <w:tcW w:w="820" w:type="dxa"/>
            <w:vAlign w:val="bottom"/>
            <w:tcBorders>
              <w:bottom w:val="single" w:sz="8" w:color="auto"/>
            </w:tcBorders>
            <w:shd w:val="clear" w:color="auto" w:fill="BFBFBF"/>
          </w:tcPr>
          <w:p>
            <w:pPr>
              <w:jc w:val="right"/>
              <w:ind w:right="200"/>
              <w:spacing w:after="0"/>
              <w:rPr>
                <w:sz w:val="20"/>
                <w:szCs w:val="20"/>
                <w:color w:val="auto"/>
              </w:rPr>
            </w:pPr>
            <w:r>
              <w:rPr>
                <w:rFonts w:ascii="Arial" w:cs="Arial" w:eastAsia="Arial" w:hAnsi="Arial"/>
                <w:sz w:val="16"/>
                <w:szCs w:val="16"/>
                <w:color w:val="auto"/>
              </w:rPr>
              <w:t>(48)</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Comprehensive income/(loss) attributable to the noncontrolling interest</w:t>
            </w:r>
          </w:p>
        </w:tc>
        <w:tc>
          <w:tcPr>
            <w:tcW w:w="1000" w:type="dxa"/>
            <w:vAlign w:val="bottom"/>
            <w:tcBorders>
              <w:bottom w:val="single" w:sz="8" w:color="auto"/>
            </w:tcBorders>
            <w:shd w:val="clear" w:color="auto" w:fill="BFBFBF"/>
          </w:tcPr>
          <w:p>
            <w:pPr>
              <w:jc w:val="right"/>
              <w:spacing w:after="0"/>
              <w:rPr>
                <w:sz w:val="20"/>
                <w:szCs w:val="20"/>
                <w:color w:val="auto"/>
              </w:rPr>
            </w:pPr>
            <w:r>
              <w:rPr>
                <w:rFonts w:ascii="Arial" w:cs="Arial" w:eastAsia="Arial" w:hAnsi="Arial"/>
                <w:sz w:val="16"/>
                <w:szCs w:val="16"/>
                <w:color w:val="auto"/>
              </w:rPr>
              <w:t>417</w:t>
            </w:r>
          </w:p>
        </w:tc>
        <w:tc>
          <w:tcPr>
            <w:tcW w:w="1700" w:type="dxa"/>
            <w:vAlign w:val="bottom"/>
            <w:tcBorders>
              <w:bottom w:val="single" w:sz="8" w:color="auto"/>
            </w:tcBorders>
            <w:shd w:val="clear" w:color="auto" w:fill="BFBFBF"/>
          </w:tcPr>
          <w:p>
            <w:pPr>
              <w:jc w:val="right"/>
              <w:ind w:right="320"/>
              <w:spacing w:after="0"/>
              <w:rPr>
                <w:sz w:val="20"/>
                <w:szCs w:val="20"/>
                <w:color w:val="auto"/>
              </w:rPr>
            </w:pPr>
            <w:r>
              <w:rPr>
                <w:rFonts w:ascii="Arial" w:cs="Arial" w:eastAsia="Arial" w:hAnsi="Arial"/>
                <w:sz w:val="16"/>
                <w:szCs w:val="16"/>
                <w:color w:val="auto"/>
              </w:rPr>
              <w:t>182</w:t>
            </w:r>
          </w:p>
        </w:tc>
      </w:tr>
      <w:tr>
        <w:trPr>
          <w:trHeight w:val="213"/>
        </w:trPr>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$29,316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524</w:t>
            </w:r>
          </w:p>
        </w:tc>
        <w:tc>
          <w:tcPr>
            <w:tcW w:w="6040" w:type="dxa"/>
            <w:vAlign w:val="bottom"/>
          </w:tcPr>
          <w:p>
            <w:pPr>
              <w:ind w:left="20"/>
              <w:spacing w:after="0"/>
              <w:rPr>
                <w:sz w:val="20"/>
                <w:szCs w:val="20"/>
                <w:color w:val="auto"/>
              </w:rPr>
            </w:pPr>
            <w:r>
              <w:rPr>
                <w:rFonts w:ascii="Arial" w:cs="Arial" w:eastAsia="Arial" w:hAnsi="Arial"/>
                <w:sz w:val="16"/>
                <w:szCs w:val="16"/>
                <w:color w:val="auto"/>
              </w:rPr>
              <w:t>Comprehensive income attributable to the Company</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$53,522</w:t>
            </w:r>
          </w:p>
        </w:tc>
        <w:tc>
          <w:tcPr>
            <w:tcW w:w="17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$ 30,306</w:t>
            </w: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860" w:type="dxa"/>
            <w:vAlign w:val="bottom"/>
            <w:tcBorders>
              <w:bottom w:val="single" w:sz="8" w:color="BFBFBF"/>
            </w:tcBorders>
          </w:tcPr>
          <w:p>
            <w:pPr>
              <w:spacing w:after="0"/>
              <w:rPr>
                <w:sz w:val="16"/>
                <w:szCs w:val="16"/>
                <w:color w:val="auto"/>
              </w:rPr>
            </w:pPr>
          </w:p>
        </w:tc>
        <w:tc>
          <w:tcPr>
            <w:tcW w:w="16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4"/>
                <w:szCs w:val="14"/>
                <w:b w:val="1"/>
                <w:bCs w:val="1"/>
                <w:color w:val="auto"/>
              </w:rPr>
              <w:t>June 30, 2019</w:t>
            </w:r>
          </w:p>
        </w:tc>
        <w:tc>
          <w:tcPr>
            <w:tcW w:w="190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December 31, 2018</w:t>
            </w:r>
          </w:p>
        </w:tc>
      </w:tr>
      <w:tr>
        <w:trPr>
          <w:trHeight w:val="196"/>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ASSETS</w:t>
            </w:r>
          </w:p>
        </w:tc>
        <w:tc>
          <w:tcPr>
            <w:tcW w:w="54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c>
          <w:tcPr>
            <w:tcW w:w="66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220" w:type="dxa"/>
            <w:vAlign w:val="bottom"/>
            <w:shd w:val="clear" w:color="auto" w:fill="BFBFB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215,233</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197,755</w:t>
            </w: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Accounts receivable, net</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220,584</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59"/>
              <w:spacing w:after="0"/>
              <w:rPr>
                <w:sz w:val="20"/>
                <w:szCs w:val="20"/>
                <w:color w:val="auto"/>
              </w:rPr>
            </w:pPr>
            <w:r>
              <w:rPr>
                <w:rFonts w:ascii="Arial" w:cs="Arial" w:eastAsia="Arial" w:hAnsi="Arial"/>
                <w:sz w:val="16"/>
                <w:szCs w:val="16"/>
                <w:color w:val="auto"/>
              </w:rPr>
              <w:t>223,176</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54,431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57,447</w:t>
            </w: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Inventories</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104,254</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85,904</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Income taxes prepaid and receivable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7,165</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7,473</w:t>
            </w:r>
          </w:p>
        </w:tc>
      </w:tr>
      <w:tr>
        <w:trPr>
          <w:trHeight w:val="216"/>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54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25,108</w:t>
            </w:r>
          </w:p>
        </w:tc>
        <w:tc>
          <w:tcPr>
            <w:tcW w:w="66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220" w:type="dxa"/>
            <w:vAlign w:val="bottom"/>
            <w:tcBorders>
              <w:bottom w:val="single" w:sz="8" w:color="auto"/>
            </w:tcBorders>
            <w:shd w:val="clear" w:color="auto" w:fill="BFBFBF"/>
          </w:tcPr>
          <w:p>
            <w:pPr>
              <w:jc w:val="right"/>
              <w:ind w:right="439"/>
              <w:spacing w:after="0"/>
              <w:rPr>
                <w:sz w:val="20"/>
                <w:szCs w:val="20"/>
                <w:color w:val="auto"/>
              </w:rPr>
            </w:pPr>
            <w:r>
              <w:rPr>
                <w:rFonts w:ascii="Arial" w:cs="Arial" w:eastAsia="Arial" w:hAnsi="Arial"/>
                <w:sz w:val="16"/>
                <w:szCs w:val="16"/>
                <w:color w:val="auto"/>
              </w:rPr>
              <w:t>21,294</w:t>
            </w:r>
          </w:p>
        </w:tc>
      </w:tr>
      <w:tr>
        <w:trPr>
          <w:trHeight w:val="210"/>
        </w:trPr>
        <w:tc>
          <w:tcPr>
            <w:tcW w:w="7860" w:type="dxa"/>
            <w:vAlign w:val="bottom"/>
          </w:tcPr>
          <w:p>
            <w:pPr>
              <w:ind w:left="240"/>
              <w:spacing w:after="0"/>
              <w:rPr>
                <w:sz w:val="20"/>
                <w:szCs w:val="20"/>
                <w:color w:val="auto"/>
              </w:rPr>
            </w:pPr>
            <w:r>
              <w:rPr>
                <w:rFonts w:ascii="Arial" w:cs="Arial" w:eastAsia="Arial" w:hAnsi="Arial"/>
                <w:sz w:val="16"/>
                <w:szCs w:val="16"/>
                <w:color w:val="auto"/>
              </w:rPr>
              <w:t>Total current assets</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626,775</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593,049</w:t>
            </w:r>
          </w:p>
        </w:tc>
      </w:tr>
      <w:tr>
        <w:trPr>
          <w:trHeight w:val="206"/>
        </w:trPr>
        <w:tc>
          <w:tcPr>
            <w:tcW w:w="7860" w:type="dxa"/>
            <w:vAlign w:val="bottom"/>
            <w:shd w:val="clear" w:color="auto" w:fill="BFBFBF"/>
          </w:tcPr>
          <w:p>
            <w:pPr>
              <w:spacing w:after="0"/>
              <w:rPr>
                <w:sz w:val="17"/>
                <w:szCs w:val="17"/>
                <w:color w:val="auto"/>
              </w:rPr>
            </w:pPr>
          </w:p>
        </w:tc>
        <w:tc>
          <w:tcPr>
            <w:tcW w:w="54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c>
          <w:tcPr>
            <w:tcW w:w="66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220" w:type="dxa"/>
            <w:vAlign w:val="bottom"/>
            <w:shd w:val="clear" w:color="auto" w:fill="BFBFB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458,038</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462,055</w:t>
            </w: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Intangibles, net</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46,089</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49,206</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Goodwill</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164,083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164,382</w:t>
            </w: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Deferred income taxes</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66,082</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62,622</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Noncurrent receivables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45,651</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45,061</w:t>
            </w:r>
          </w:p>
        </w:tc>
      </w:tr>
      <w:tr>
        <w:trPr>
          <w:trHeight w:val="216"/>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Other assets</w:t>
            </w:r>
          </w:p>
        </w:tc>
        <w:tc>
          <w:tcPr>
            <w:tcW w:w="54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51,381</w:t>
            </w:r>
          </w:p>
        </w:tc>
        <w:tc>
          <w:tcPr>
            <w:tcW w:w="66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220" w:type="dxa"/>
            <w:vAlign w:val="bottom"/>
            <w:tcBorders>
              <w:bottom w:val="single" w:sz="8" w:color="auto"/>
            </w:tcBorders>
            <w:shd w:val="clear" w:color="auto" w:fill="BFBFBF"/>
          </w:tcPr>
          <w:p>
            <w:pPr>
              <w:jc w:val="right"/>
              <w:ind w:right="439"/>
              <w:spacing w:after="0"/>
              <w:rPr>
                <w:sz w:val="20"/>
                <w:szCs w:val="20"/>
                <w:color w:val="auto"/>
              </w:rPr>
            </w:pPr>
            <w:r>
              <w:rPr>
                <w:rFonts w:ascii="Arial" w:cs="Arial" w:eastAsia="Arial" w:hAnsi="Arial"/>
                <w:sz w:val="16"/>
                <w:szCs w:val="16"/>
                <w:color w:val="auto"/>
              </w:rPr>
              <w:t>41,617</w:t>
            </w:r>
          </w:p>
        </w:tc>
      </w:tr>
      <w:tr>
        <w:trPr>
          <w:trHeight w:val="253"/>
        </w:trPr>
        <w:tc>
          <w:tcPr>
            <w:tcW w:w="7860" w:type="dxa"/>
            <w:vAlign w:val="bottom"/>
            <w:tcBorders>
              <w:bottom w:val="single" w:sz="8" w:color="BFBFBF"/>
            </w:tcBorders>
          </w:tcPr>
          <w:p>
            <w:pPr>
              <w:ind w:left="240"/>
              <w:spacing w:after="0"/>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w w:val="98"/>
              </w:rPr>
              <w:t>1,458,099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w w:val="98"/>
              </w:rPr>
              <w:t>1,417,992</w:t>
            </w:r>
          </w:p>
        </w:tc>
      </w:tr>
      <w:tr>
        <w:trPr>
          <w:trHeight w:val="183"/>
        </w:trPr>
        <w:tc>
          <w:tcPr>
            <w:tcW w:w="7860" w:type="dxa"/>
            <w:vAlign w:val="bottom"/>
            <w:shd w:val="clear" w:color="auto" w:fill="BFBFBF"/>
          </w:tcPr>
          <w:p>
            <w:pPr>
              <w:spacing w:after="0"/>
              <w:rPr>
                <w:sz w:val="15"/>
                <w:szCs w:val="15"/>
                <w:color w:val="auto"/>
              </w:rPr>
            </w:pPr>
          </w:p>
        </w:tc>
        <w:tc>
          <w:tcPr>
            <w:tcW w:w="54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c>
          <w:tcPr>
            <w:tcW w:w="1100" w:type="dxa"/>
            <w:vAlign w:val="bottom"/>
            <w:shd w:val="clear" w:color="auto" w:fill="BFBFBF"/>
          </w:tcPr>
          <w:p>
            <w:pPr>
              <w:spacing w:after="0"/>
              <w:rPr>
                <w:sz w:val="15"/>
                <w:szCs w:val="15"/>
                <w:color w:val="auto"/>
              </w:rPr>
            </w:pPr>
          </w:p>
        </w:tc>
        <w:tc>
          <w:tcPr>
            <w:tcW w:w="66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c>
          <w:tcPr>
            <w:tcW w:w="1220" w:type="dxa"/>
            <w:vAlign w:val="bottom"/>
            <w:shd w:val="clear" w:color="auto" w:fill="BFBFBF"/>
          </w:tcPr>
          <w:p>
            <w:pPr>
              <w:spacing w:after="0"/>
              <w:rPr>
                <w:sz w:val="15"/>
                <w:szCs w:val="15"/>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LIABILITIES AND SHAREHOLDERS' EQUITY</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Accounts payable</w:t>
            </w:r>
          </w:p>
        </w:tc>
        <w:tc>
          <w:tcPr>
            <w:tcW w:w="560" w:type="dxa"/>
            <w:vAlign w:val="bottom"/>
            <w:gridSpan w:val="2"/>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61,899</w:t>
            </w:r>
          </w:p>
        </w:tc>
        <w:tc>
          <w:tcPr>
            <w:tcW w:w="680" w:type="dxa"/>
            <w:vAlign w:val="bottom"/>
            <w:gridSpan w:val="2"/>
            <w:shd w:val="clear" w:color="auto" w:fill="BFBFB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BFBFBF"/>
          </w:tcPr>
          <w:p>
            <w:pPr>
              <w:jc w:val="right"/>
              <w:ind w:right="459"/>
              <w:spacing w:after="0"/>
              <w:rPr>
                <w:sz w:val="20"/>
                <w:szCs w:val="20"/>
                <w:color w:val="auto"/>
              </w:rPr>
            </w:pPr>
            <w:r>
              <w:rPr>
                <w:rFonts w:ascii="Arial" w:cs="Arial" w:eastAsia="Arial" w:hAnsi="Arial"/>
                <w:sz w:val="16"/>
                <w:szCs w:val="16"/>
                <w:color w:val="auto"/>
              </w:rPr>
              <w:t>52,246</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Accrued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120,693</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129,030</w:t>
            </w: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Current maturities of long-term debt</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19</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1,224</w:t>
            </w:r>
          </w:p>
        </w:tc>
      </w:tr>
      <w:tr>
        <w:trPr>
          <w:trHeight w:val="213"/>
        </w:trPr>
        <w:tc>
          <w:tcPr>
            <w:tcW w:w="786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Income taxes payable</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14,078</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6,806</w:t>
            </w:r>
          </w:p>
        </w:tc>
      </w:tr>
      <w:tr>
        <w:trPr>
          <w:trHeight w:val="213"/>
        </w:trPr>
        <w:tc>
          <w:tcPr>
            <w:tcW w:w="7860" w:type="dxa"/>
            <w:vAlign w:val="bottom"/>
            <w:shd w:val="clear" w:color="auto" w:fill="BFBFBF"/>
          </w:tcPr>
          <w:p>
            <w:pPr>
              <w:ind w:left="240"/>
              <w:spacing w:after="0"/>
              <w:rPr>
                <w:sz w:val="20"/>
                <w:szCs w:val="20"/>
                <w:color w:val="auto"/>
              </w:rPr>
            </w:pPr>
            <w:r>
              <w:rPr>
                <w:rFonts w:ascii="Arial" w:cs="Arial" w:eastAsia="Arial" w:hAnsi="Arial"/>
                <w:sz w:val="16"/>
                <w:szCs w:val="16"/>
                <w:color w:val="auto"/>
              </w:rPr>
              <w:t>Total current liabilities</w:t>
            </w:r>
          </w:p>
        </w:tc>
        <w:tc>
          <w:tcPr>
            <w:tcW w:w="54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196,689</w:t>
            </w:r>
          </w:p>
        </w:tc>
        <w:tc>
          <w:tcPr>
            <w:tcW w:w="66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220" w:type="dxa"/>
            <w:vAlign w:val="bottom"/>
            <w:shd w:val="clear" w:color="auto" w:fill="BFBFBF"/>
          </w:tcPr>
          <w:p>
            <w:pPr>
              <w:jc w:val="right"/>
              <w:ind w:right="459"/>
              <w:spacing w:after="0"/>
              <w:rPr>
                <w:sz w:val="20"/>
                <w:szCs w:val="20"/>
                <w:color w:val="auto"/>
              </w:rPr>
            </w:pPr>
            <w:r>
              <w:rPr>
                <w:rFonts w:ascii="Arial" w:cs="Arial" w:eastAsia="Arial" w:hAnsi="Arial"/>
                <w:sz w:val="16"/>
                <w:szCs w:val="16"/>
                <w:color w:val="auto"/>
              </w:rPr>
              <w:t>189,306</w:t>
            </w:r>
          </w:p>
        </w:tc>
      </w:tr>
      <w:tr>
        <w:trPr>
          <w:trHeight w:val="203"/>
        </w:trPr>
        <w:tc>
          <w:tcPr>
            <w:tcW w:w="7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6"/>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Long-term debt</w:t>
            </w:r>
          </w:p>
        </w:tc>
        <w:tc>
          <w:tcPr>
            <w:tcW w:w="54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482,019</w:t>
            </w:r>
          </w:p>
        </w:tc>
        <w:tc>
          <w:tcPr>
            <w:tcW w:w="66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220" w:type="dxa"/>
            <w:vAlign w:val="bottom"/>
            <w:shd w:val="clear" w:color="auto" w:fill="BFBFBF"/>
          </w:tcPr>
          <w:p>
            <w:pPr>
              <w:jc w:val="right"/>
              <w:ind w:right="459"/>
              <w:spacing w:after="0"/>
              <w:rPr>
                <w:sz w:val="20"/>
                <w:szCs w:val="20"/>
                <w:color w:val="auto"/>
              </w:rPr>
            </w:pPr>
            <w:r>
              <w:rPr>
                <w:rFonts w:ascii="Arial" w:cs="Arial" w:eastAsia="Arial" w:hAnsi="Arial"/>
                <w:sz w:val="16"/>
                <w:szCs w:val="16"/>
                <w:color w:val="auto"/>
              </w:rPr>
              <w:t>523,707</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Other noncurrent liabilities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119,642</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39"/>
              <w:spacing w:after="0"/>
              <w:rPr>
                <w:sz w:val="20"/>
                <w:szCs w:val="20"/>
                <w:color w:val="auto"/>
              </w:rPr>
            </w:pPr>
            <w:r>
              <w:rPr>
                <w:rFonts w:ascii="Arial" w:cs="Arial" w:eastAsia="Arial" w:hAnsi="Arial"/>
                <w:sz w:val="16"/>
                <w:szCs w:val="16"/>
                <w:color w:val="auto"/>
              </w:rPr>
              <w:t>88,277</w:t>
            </w:r>
          </w:p>
        </w:tc>
      </w:tr>
      <w:tr>
        <w:trPr>
          <w:trHeight w:val="216"/>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Deferred taxes and other liabilities</w:t>
            </w:r>
          </w:p>
        </w:tc>
        <w:tc>
          <w:tcPr>
            <w:tcW w:w="54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8,433</w:t>
            </w:r>
          </w:p>
        </w:tc>
        <w:tc>
          <w:tcPr>
            <w:tcW w:w="66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220" w:type="dxa"/>
            <w:vAlign w:val="bottom"/>
            <w:tcBorders>
              <w:bottom w:val="single" w:sz="8" w:color="auto"/>
            </w:tcBorders>
            <w:shd w:val="clear" w:color="auto" w:fill="BFBFBF"/>
          </w:tcPr>
          <w:p>
            <w:pPr>
              <w:jc w:val="right"/>
              <w:ind w:right="439"/>
              <w:spacing w:after="0"/>
              <w:rPr>
                <w:sz w:val="20"/>
                <w:szCs w:val="20"/>
                <w:color w:val="auto"/>
              </w:rPr>
            </w:pPr>
            <w:r>
              <w:rPr>
                <w:rFonts w:ascii="Arial" w:cs="Arial" w:eastAsia="Arial" w:hAnsi="Arial"/>
                <w:sz w:val="16"/>
                <w:szCs w:val="16"/>
                <w:color w:val="auto"/>
              </w:rPr>
              <w:t>8,422</w:t>
            </w:r>
          </w:p>
        </w:tc>
      </w:tr>
      <w:tr>
        <w:trPr>
          <w:trHeight w:val="210"/>
        </w:trPr>
        <w:tc>
          <w:tcPr>
            <w:tcW w:w="7860" w:type="dxa"/>
            <w:vAlign w:val="bottom"/>
            <w:tcBorders>
              <w:bottom w:val="single" w:sz="8" w:color="BFBFBF"/>
            </w:tcBorders>
          </w:tcPr>
          <w:p>
            <w:pPr>
              <w:ind w:left="240"/>
              <w:spacing w:after="0"/>
              <w:rPr>
                <w:sz w:val="20"/>
                <w:szCs w:val="20"/>
                <w:color w:val="auto"/>
              </w:rPr>
            </w:pPr>
            <w:r>
              <w:rPr>
                <w:rFonts w:ascii="Arial" w:cs="Arial" w:eastAsia="Arial" w:hAnsi="Arial"/>
                <w:sz w:val="16"/>
                <w:szCs w:val="16"/>
                <w:color w:val="auto"/>
              </w:rPr>
              <w:t>Total liabilities</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806,783</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809,712</w:t>
            </w:r>
          </w:p>
        </w:tc>
      </w:tr>
      <w:tr>
        <w:trPr>
          <w:trHeight w:val="199"/>
        </w:trPr>
        <w:tc>
          <w:tcPr>
            <w:tcW w:w="7860" w:type="dxa"/>
            <w:vAlign w:val="bottom"/>
            <w:shd w:val="clear" w:color="auto" w:fill="BFBFBF"/>
          </w:tcPr>
          <w:p>
            <w:pPr>
              <w:spacing w:after="0"/>
              <w:rPr>
                <w:sz w:val="17"/>
                <w:szCs w:val="17"/>
                <w:color w:val="auto"/>
              </w:rPr>
            </w:pPr>
          </w:p>
        </w:tc>
        <w:tc>
          <w:tcPr>
            <w:tcW w:w="54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c>
          <w:tcPr>
            <w:tcW w:w="66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220" w:type="dxa"/>
            <w:vAlign w:val="bottom"/>
            <w:shd w:val="clear" w:color="auto" w:fill="BFBFBF"/>
          </w:tcPr>
          <w:p>
            <w:pPr>
              <w:spacing w:after="0"/>
              <w:rPr>
                <w:sz w:val="17"/>
                <w:szCs w:val="17"/>
                <w:color w:val="auto"/>
              </w:rPr>
            </w:pP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w:t>
            </w:r>
          </w:p>
        </w:tc>
      </w:tr>
      <w:tr>
        <w:trPr>
          <w:trHeight w:val="204"/>
        </w:trPr>
        <w:tc>
          <w:tcPr>
            <w:tcW w:w="7860" w:type="dxa"/>
            <w:vAlign w:val="bottom"/>
          </w:tcPr>
          <w:p>
            <w:pPr>
              <w:ind w:left="20"/>
              <w:spacing w:after="0"/>
              <w:rPr>
                <w:sz w:val="20"/>
                <w:szCs w:val="20"/>
                <w:color w:val="auto"/>
              </w:rPr>
            </w:pPr>
            <w:r>
              <w:rPr>
                <w:rFonts w:ascii="Arial" w:cs="Arial" w:eastAsia="Arial" w:hAnsi="Arial"/>
                <w:sz w:val="16"/>
                <w:szCs w:val="16"/>
                <w:color w:val="auto"/>
              </w:rPr>
              <w:t>Class A Common Stock, par value $.001 per share; authorized 100,000,000 shares; issued 39,095,992 in</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198"/>
        </w:trPr>
        <w:tc>
          <w:tcPr>
            <w:tcW w:w="7860" w:type="dxa"/>
            <w:vAlign w:val="bottom"/>
          </w:tcPr>
          <w:p>
            <w:pPr>
              <w:ind w:left="20"/>
              <w:spacing w:after="0"/>
              <w:rPr>
                <w:sz w:val="20"/>
                <w:szCs w:val="20"/>
                <w:color w:val="auto"/>
              </w:rPr>
            </w:pPr>
            <w:r>
              <w:rPr>
                <w:rFonts w:ascii="Arial" w:cs="Arial" w:eastAsia="Arial" w:hAnsi="Arial"/>
                <w:sz w:val="16"/>
                <w:szCs w:val="16"/>
                <w:color w:val="auto"/>
              </w:rPr>
              <w:t>2019 and 37,450,329 in 2018</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39</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37</w:t>
            </w:r>
          </w:p>
        </w:tc>
      </w:tr>
      <w:tr>
        <w:trPr>
          <w:trHeight w:val="207"/>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Class B Common Stock, par value $.001 per share; authorized 25,000,000 shares; issued and outstanding</w:t>
            </w:r>
          </w:p>
        </w:tc>
        <w:tc>
          <w:tcPr>
            <w:tcW w:w="54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100" w:type="dxa"/>
            <w:vAlign w:val="bottom"/>
            <w:shd w:val="clear" w:color="auto" w:fill="BFBFBF"/>
          </w:tcPr>
          <w:p>
            <w:pPr>
              <w:spacing w:after="0"/>
              <w:rPr>
                <w:sz w:val="18"/>
                <w:szCs w:val="18"/>
                <w:color w:val="auto"/>
              </w:rPr>
            </w:pPr>
          </w:p>
        </w:tc>
        <w:tc>
          <w:tcPr>
            <w:tcW w:w="66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220" w:type="dxa"/>
            <w:vAlign w:val="bottom"/>
            <w:shd w:val="clear" w:color="auto" w:fill="BFBFBF"/>
          </w:tcPr>
          <w:p>
            <w:pPr>
              <w:spacing w:after="0"/>
              <w:rPr>
                <w:sz w:val="18"/>
                <w:szCs w:val="18"/>
                <w:color w:val="auto"/>
              </w:rPr>
            </w:pPr>
          </w:p>
        </w:tc>
      </w:tr>
      <w:tr>
        <w:trPr>
          <w:trHeight w:val="201"/>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1,617,998 in 2019 and 3,233,998 in 2018</w:t>
            </w:r>
          </w:p>
        </w:tc>
        <w:tc>
          <w:tcPr>
            <w:tcW w:w="54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2</w:t>
            </w:r>
          </w:p>
        </w:tc>
        <w:tc>
          <w:tcPr>
            <w:tcW w:w="66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2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3</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Additional paid in capital</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431,037</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59"/>
              <w:spacing w:after="0"/>
              <w:rPr>
                <w:sz w:val="20"/>
                <w:szCs w:val="20"/>
                <w:color w:val="auto"/>
              </w:rPr>
            </w:pPr>
            <w:r>
              <w:rPr>
                <w:rFonts w:ascii="Arial" w:cs="Arial" w:eastAsia="Arial" w:hAnsi="Arial"/>
                <w:sz w:val="16"/>
                <w:szCs w:val="16"/>
                <w:color w:val="auto"/>
              </w:rPr>
              <w:t>430,555</w:t>
            </w:r>
          </w:p>
        </w:tc>
      </w:tr>
      <w:tr>
        <w:trPr>
          <w:trHeight w:val="219"/>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Retained earnings</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641,297</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59"/>
              <w:spacing w:after="0"/>
              <w:rPr>
                <w:sz w:val="20"/>
                <w:szCs w:val="20"/>
                <w:color w:val="auto"/>
              </w:rPr>
            </w:pPr>
            <w:r>
              <w:rPr>
                <w:rFonts w:ascii="Arial" w:cs="Arial" w:eastAsia="Arial" w:hAnsi="Arial"/>
                <w:sz w:val="16"/>
                <w:szCs w:val="16"/>
                <w:color w:val="auto"/>
              </w:rPr>
              <w:t>589,645</w:t>
            </w:r>
          </w:p>
        </w:tc>
      </w:tr>
      <w:tr>
        <w:trPr>
          <w:trHeight w:val="213"/>
        </w:trPr>
        <w:tc>
          <w:tcPr>
            <w:tcW w:w="7860" w:type="dxa"/>
            <w:vAlign w:val="bottom"/>
          </w:tcPr>
          <w:p>
            <w:pPr>
              <w:ind w:left="20"/>
              <w:spacing w:after="0"/>
              <w:rPr>
                <w:sz w:val="20"/>
                <w:szCs w:val="20"/>
                <w:color w:val="auto"/>
              </w:rPr>
            </w:pPr>
            <w:r>
              <w:rPr>
                <w:rFonts w:ascii="Arial" w:cs="Arial" w:eastAsia="Arial" w:hAnsi="Arial"/>
                <w:sz w:val="16"/>
                <w:szCs w:val="16"/>
                <w:color w:val="auto"/>
              </w:rPr>
              <w:t>Accumulated items of other comprehensive income: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860" w:type="dxa"/>
            <w:vAlign w:val="bottom"/>
            <w:shd w:val="clear" w:color="auto" w:fill="BFBFBF"/>
          </w:tcPr>
          <w:p>
            <w:pPr>
              <w:ind w:left="240"/>
              <w:spacing w:after="0"/>
              <w:rPr>
                <w:sz w:val="20"/>
                <w:szCs w:val="20"/>
                <w:color w:val="auto"/>
              </w:rPr>
            </w:pPr>
            <w:r>
              <w:rPr>
                <w:rFonts w:ascii="Arial" w:cs="Arial" w:eastAsia="Arial" w:hAnsi="Arial"/>
                <w:sz w:val="16"/>
                <w:szCs w:val="16"/>
                <w:color w:val="auto"/>
              </w:rPr>
              <w:t>Translation adjustments</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299"/>
              <w:spacing w:after="0"/>
              <w:rPr>
                <w:sz w:val="20"/>
                <w:szCs w:val="20"/>
                <w:color w:val="auto"/>
              </w:rPr>
            </w:pPr>
            <w:r>
              <w:rPr>
                <w:rFonts w:ascii="Arial" w:cs="Arial" w:eastAsia="Arial" w:hAnsi="Arial"/>
                <w:sz w:val="16"/>
                <w:szCs w:val="16"/>
                <w:color w:val="auto"/>
              </w:rPr>
              <w:t>(116,631)</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19"/>
              <w:spacing w:after="0"/>
              <w:rPr>
                <w:sz w:val="20"/>
                <w:szCs w:val="20"/>
                <w:color w:val="auto"/>
              </w:rPr>
            </w:pPr>
            <w:r>
              <w:rPr>
                <w:rFonts w:ascii="Arial" w:cs="Arial" w:eastAsia="Arial" w:hAnsi="Arial"/>
                <w:sz w:val="16"/>
                <w:szCs w:val="16"/>
                <w:color w:val="auto"/>
              </w:rPr>
              <w:t>(115,976)</w:t>
            </w:r>
          </w:p>
        </w:tc>
      </w:tr>
      <w:tr>
        <w:trPr>
          <w:trHeight w:val="213"/>
        </w:trPr>
        <w:tc>
          <w:tcPr>
            <w:tcW w:w="7860" w:type="dxa"/>
            <w:vAlign w:val="bottom"/>
          </w:tcPr>
          <w:p>
            <w:pPr>
              <w:ind w:left="240"/>
              <w:spacing w:after="0"/>
              <w:rPr>
                <w:sz w:val="20"/>
                <w:szCs w:val="20"/>
                <w:color w:val="auto"/>
              </w:rPr>
            </w:pPr>
            <w:r>
              <w:rPr>
                <w:rFonts w:ascii="Arial" w:cs="Arial" w:eastAsia="Arial" w:hAnsi="Arial"/>
                <w:sz w:val="16"/>
                <w:szCs w:val="16"/>
                <w:color w:val="auto"/>
              </w:rPr>
              <w:t>Pension and postretirement liability adjustments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color w:val="auto"/>
              </w:rPr>
              <w:t>(48,636)</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jc w:val="right"/>
              <w:ind w:right="419"/>
              <w:spacing w:after="0"/>
              <w:rPr>
                <w:sz w:val="20"/>
                <w:szCs w:val="20"/>
                <w:color w:val="auto"/>
              </w:rPr>
            </w:pPr>
            <w:r>
              <w:rPr>
                <w:rFonts w:ascii="Arial" w:cs="Arial" w:eastAsia="Arial" w:hAnsi="Arial"/>
                <w:sz w:val="16"/>
                <w:szCs w:val="16"/>
                <w:color w:val="auto"/>
              </w:rPr>
              <w:t>(47,109)</w:t>
            </w:r>
          </w:p>
        </w:tc>
      </w:tr>
      <w:tr>
        <w:trPr>
          <w:trHeight w:val="219"/>
        </w:trPr>
        <w:tc>
          <w:tcPr>
            <w:tcW w:w="7860" w:type="dxa"/>
            <w:vAlign w:val="bottom"/>
            <w:shd w:val="clear" w:color="auto" w:fill="BFBFBF"/>
          </w:tcPr>
          <w:p>
            <w:pPr>
              <w:ind w:left="240"/>
              <w:spacing w:after="0"/>
              <w:rPr>
                <w:sz w:val="20"/>
                <w:szCs w:val="20"/>
                <w:color w:val="auto"/>
              </w:rPr>
            </w:pPr>
            <w:r>
              <w:rPr>
                <w:rFonts w:ascii="Arial" w:cs="Arial" w:eastAsia="Arial" w:hAnsi="Arial"/>
                <w:sz w:val="16"/>
                <w:szCs w:val="16"/>
                <w:color w:val="auto"/>
              </w:rPr>
              <w:t>Derivative valuation adjustment</w:t>
            </w:r>
          </w:p>
        </w:tc>
        <w:tc>
          <w:tcPr>
            <w:tcW w:w="54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299"/>
              <w:spacing w:after="0"/>
              <w:rPr>
                <w:sz w:val="20"/>
                <w:szCs w:val="20"/>
                <w:color w:val="auto"/>
              </w:rPr>
            </w:pPr>
            <w:r>
              <w:rPr>
                <w:rFonts w:ascii="Arial" w:cs="Arial" w:eastAsia="Arial" w:hAnsi="Arial"/>
                <w:sz w:val="16"/>
                <w:szCs w:val="16"/>
                <w:color w:val="auto"/>
              </w:rPr>
              <w:t>(2,849)</w:t>
            </w:r>
          </w:p>
        </w:tc>
        <w:tc>
          <w:tcPr>
            <w:tcW w:w="66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220" w:type="dxa"/>
            <w:vAlign w:val="bottom"/>
            <w:shd w:val="clear" w:color="auto" w:fill="BFBFBF"/>
          </w:tcPr>
          <w:p>
            <w:pPr>
              <w:jc w:val="right"/>
              <w:ind w:right="439"/>
              <w:spacing w:after="0"/>
              <w:rPr>
                <w:sz w:val="20"/>
                <w:szCs w:val="20"/>
                <w:color w:val="auto"/>
              </w:rPr>
            </w:pPr>
            <w:r>
              <w:rPr>
                <w:rFonts w:ascii="Arial" w:cs="Arial" w:eastAsia="Arial" w:hAnsi="Arial"/>
                <w:sz w:val="16"/>
                <w:szCs w:val="16"/>
                <w:color w:val="auto"/>
              </w:rPr>
              <w:t>4,697</w:t>
            </w:r>
          </w:p>
        </w:tc>
      </w:tr>
      <w:tr>
        <w:trPr>
          <w:trHeight w:val="213"/>
        </w:trPr>
        <w:tc>
          <w:tcPr>
            <w:tcW w:w="786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Treasury stock (Class A), at cost 8,408,770 shares in 2019 and 8,418,620 shares in 2018</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(256,391)</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(256,603)</w:t>
            </w:r>
          </w:p>
        </w:tc>
      </w:tr>
      <w:tr>
        <w:trPr>
          <w:trHeight w:val="213"/>
        </w:trPr>
        <w:tc>
          <w:tcPr>
            <w:tcW w:w="7860" w:type="dxa"/>
            <w:vAlign w:val="bottom"/>
            <w:shd w:val="clear" w:color="auto" w:fill="BFBFBF"/>
          </w:tcPr>
          <w:p>
            <w:pPr>
              <w:ind w:left="240"/>
              <w:spacing w:after="0"/>
              <w:rPr>
                <w:sz w:val="20"/>
                <w:szCs w:val="20"/>
                <w:color w:val="auto"/>
              </w:rPr>
            </w:pPr>
            <w:r>
              <w:rPr>
                <w:rFonts w:ascii="Arial" w:cs="Arial" w:eastAsia="Arial" w:hAnsi="Arial"/>
                <w:sz w:val="16"/>
                <w:szCs w:val="16"/>
                <w:color w:val="auto"/>
              </w:rPr>
              <w:t>Total Company shareholders' equity</w:t>
            </w:r>
          </w:p>
        </w:tc>
        <w:tc>
          <w:tcPr>
            <w:tcW w:w="54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647,868</w:t>
            </w:r>
          </w:p>
        </w:tc>
        <w:tc>
          <w:tcPr>
            <w:tcW w:w="66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220" w:type="dxa"/>
            <w:vAlign w:val="bottom"/>
            <w:shd w:val="clear" w:color="auto" w:fill="BFBFBF"/>
          </w:tcPr>
          <w:p>
            <w:pPr>
              <w:jc w:val="right"/>
              <w:ind w:right="459"/>
              <w:spacing w:after="0"/>
              <w:rPr>
                <w:sz w:val="20"/>
                <w:szCs w:val="20"/>
                <w:color w:val="auto"/>
              </w:rPr>
            </w:pPr>
            <w:r>
              <w:rPr>
                <w:rFonts w:ascii="Arial" w:cs="Arial" w:eastAsia="Arial" w:hAnsi="Arial"/>
                <w:sz w:val="16"/>
                <w:szCs w:val="16"/>
                <w:color w:val="auto"/>
              </w:rPr>
              <w:t>605,249</w:t>
            </w:r>
          </w:p>
        </w:tc>
      </w:tr>
      <w:tr>
        <w:trPr>
          <w:trHeight w:val="213"/>
        </w:trPr>
        <w:tc>
          <w:tcPr>
            <w:tcW w:w="786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Noncontrolling interest</w:t>
            </w:r>
          </w:p>
        </w:tc>
        <w:tc>
          <w:tcPr>
            <w:tcW w:w="5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3,448</w:t>
            </w:r>
          </w:p>
        </w:tc>
        <w:tc>
          <w:tcPr>
            <w:tcW w:w="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3,031</w:t>
            </w:r>
          </w:p>
        </w:tc>
      </w:tr>
      <w:tr>
        <w:trPr>
          <w:trHeight w:val="210"/>
        </w:trPr>
        <w:tc>
          <w:tcPr>
            <w:tcW w:w="7860" w:type="dxa"/>
            <w:vAlign w:val="bottom"/>
            <w:shd w:val="clear" w:color="auto" w:fill="BFBFBF"/>
          </w:tcPr>
          <w:p>
            <w:pPr>
              <w:ind w:left="20"/>
              <w:spacing w:after="0"/>
              <w:rPr>
                <w:sz w:val="20"/>
                <w:szCs w:val="20"/>
                <w:color w:val="auto"/>
              </w:rPr>
            </w:pPr>
            <w:r>
              <w:rPr>
                <w:rFonts w:ascii="Arial" w:cs="Arial" w:eastAsia="Arial" w:hAnsi="Arial"/>
                <w:sz w:val="16"/>
                <w:szCs w:val="16"/>
                <w:color w:val="auto"/>
              </w:rPr>
              <w:t>Total equity</w:t>
            </w:r>
          </w:p>
        </w:tc>
        <w:tc>
          <w:tcPr>
            <w:tcW w:w="54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651,316</w:t>
            </w:r>
          </w:p>
        </w:tc>
        <w:tc>
          <w:tcPr>
            <w:tcW w:w="66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220" w:type="dxa"/>
            <w:vAlign w:val="bottom"/>
            <w:tcBorders>
              <w:bottom w:val="single" w:sz="8" w:color="auto"/>
            </w:tcBorders>
            <w:shd w:val="clear" w:color="auto" w:fill="BFBFBF"/>
          </w:tcPr>
          <w:p>
            <w:pPr>
              <w:jc w:val="right"/>
              <w:ind w:right="459"/>
              <w:spacing w:after="0"/>
              <w:rPr>
                <w:sz w:val="20"/>
                <w:szCs w:val="20"/>
                <w:color w:val="auto"/>
              </w:rPr>
            </w:pPr>
            <w:r>
              <w:rPr>
                <w:rFonts w:ascii="Arial" w:cs="Arial" w:eastAsia="Arial" w:hAnsi="Arial"/>
                <w:sz w:val="16"/>
                <w:szCs w:val="16"/>
                <w:color w:val="auto"/>
              </w:rPr>
              <w:t>608,280</w:t>
            </w:r>
          </w:p>
        </w:tc>
      </w:tr>
      <w:tr>
        <w:trPr>
          <w:trHeight w:val="213"/>
        </w:trPr>
        <w:tc>
          <w:tcPr>
            <w:tcW w:w="7860" w:type="dxa"/>
            <w:vAlign w:val="bottom"/>
          </w:tcPr>
          <w:p>
            <w:pPr>
              <w:ind w:left="240"/>
              <w:spacing w:after="0"/>
              <w:rPr>
                <w:sz w:val="20"/>
                <w:szCs w:val="20"/>
                <w:color w:val="auto"/>
              </w:rPr>
            </w:pPr>
            <w:r>
              <w:rPr>
                <w:rFonts w:ascii="Arial" w:cs="Arial" w:eastAsia="Arial" w:hAnsi="Arial"/>
                <w:sz w:val="16"/>
                <w:szCs w:val="16"/>
                <w:color w:val="auto"/>
              </w:rPr>
              <w:t>Total liabilities and shareholders' equity</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w w:val="98"/>
              </w:rPr>
              <w:t>1,458,099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6"/>
                <w:szCs w:val="16"/>
                <w:color w:val="auto"/>
                <w:w w:val="98"/>
              </w:rPr>
              <w:t>1,417,992</w:t>
            </w:r>
          </w:p>
        </w:tc>
      </w:tr>
      <w:tr>
        <w:trPr>
          <w:trHeight w:val="20"/>
        </w:trPr>
        <w:tc>
          <w:tcPr>
            <w:tcW w:w="78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Three Months Ended</w:t>
      </w:r>
    </w:p>
    <w:p>
      <w:pPr>
        <w:spacing w:after="0" w:line="19"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380" w:type="dxa"/>
            <w:vAlign w:val="bottom"/>
            <w:tcBorders>
              <w:top w:val="single" w:sz="8" w:color="auto"/>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2019</w:t>
            </w:r>
          </w:p>
        </w:tc>
        <w:tc>
          <w:tcPr>
            <w:tcW w:w="1300" w:type="dxa"/>
            <w:vAlign w:val="bottom"/>
            <w:tcBorders>
              <w:top w:val="single" w:sz="8" w:color="auto"/>
              <w:bottom w:val="single" w:sz="8" w:color="auto"/>
            </w:tcBorders>
          </w:tcPr>
          <w:p>
            <w:pPr>
              <w:jc w:val="right"/>
              <w:ind w:right="380"/>
              <w:spacing w:after="0"/>
              <w:rPr>
                <w:sz w:val="20"/>
                <w:szCs w:val="20"/>
                <w:color w:val="auto"/>
              </w:rPr>
            </w:pPr>
            <w:r>
              <w:rPr>
                <w:rFonts w:ascii="Arial" w:cs="Arial" w:eastAsia="Arial" w:hAnsi="Arial"/>
                <w:sz w:val="14"/>
                <w:szCs w:val="14"/>
                <w:b w:val="1"/>
                <w:bCs w:val="1"/>
                <w:color w:val="auto"/>
              </w:rPr>
              <w:t>2018</w:t>
            </w:r>
          </w:p>
        </w:tc>
      </w:tr>
      <w:tr>
        <w:trPr>
          <w:trHeight w:val="406"/>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$ 34,259</w:t>
            </w: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$ 29,843</w:t>
            </w:r>
          </w:p>
        </w:tc>
      </w:tr>
      <w:tr>
        <w:trPr>
          <w:trHeight w:val="432"/>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15,345</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17,114</w:t>
            </w:r>
          </w:p>
        </w:tc>
      </w:tr>
      <w:tr>
        <w:trPr>
          <w:trHeight w:val="216"/>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2,409</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2,559</w:t>
            </w:r>
          </w:p>
        </w:tc>
      </w:tr>
      <w:tr>
        <w:trPr>
          <w:trHeight w:val="216"/>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319</w:t>
            </w:r>
          </w:p>
        </w:tc>
        <w:tc>
          <w:tcPr>
            <w:tcW w:w="1300" w:type="dxa"/>
            <w:vAlign w:val="bottom"/>
          </w:tcPr>
          <w:p>
            <w:pPr>
              <w:jc w:val="right"/>
              <w:ind w:right="180"/>
              <w:spacing w:after="0"/>
              <w:rPr>
                <w:sz w:val="20"/>
                <w:szCs w:val="20"/>
                <w:color w:val="auto"/>
              </w:rPr>
            </w:pPr>
            <w:r>
              <w:rPr>
                <w:rFonts w:ascii="Arial" w:cs="Arial" w:eastAsia="Arial" w:hAnsi="Arial"/>
                <w:sz w:val="16"/>
                <w:szCs w:val="16"/>
                <w:color w:val="auto"/>
              </w:rPr>
              <w:t>(6,183)</w:t>
            </w:r>
          </w:p>
        </w:tc>
      </w:tr>
      <w:tr>
        <w:trPr>
          <w:trHeight w:val="216"/>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720</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853</w:t>
            </w:r>
          </w:p>
        </w:tc>
      </w:tr>
      <w:tr>
        <w:trPr>
          <w:trHeight w:val="216"/>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152</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154</w:t>
            </w:r>
          </w:p>
        </w:tc>
      </w:tr>
      <w:tr>
        <w:trPr>
          <w:trHeight w:val="216"/>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1,170</w:t>
            </w:r>
          </w:p>
        </w:tc>
        <w:tc>
          <w:tcPr>
            <w:tcW w:w="1300" w:type="dxa"/>
            <w:vAlign w:val="bottom"/>
          </w:tcPr>
          <w:p>
            <w:pPr>
              <w:jc w:val="right"/>
              <w:ind w:right="200"/>
              <w:spacing w:after="0"/>
              <w:rPr>
                <w:sz w:val="20"/>
                <w:szCs w:val="20"/>
                <w:color w:val="auto"/>
              </w:rPr>
            </w:pPr>
            <w:r>
              <w:rPr>
                <w:rFonts w:ascii="Arial" w:cs="Arial" w:eastAsia="Arial" w:hAnsi="Arial"/>
                <w:sz w:val="16"/>
                <w:szCs w:val="16"/>
                <w:color w:val="auto"/>
              </w:rPr>
              <w:t>1,047</w:t>
            </w:r>
          </w:p>
        </w:tc>
      </w:tr>
      <w:tr>
        <w:trPr>
          <w:trHeight w:val="216"/>
        </w:trPr>
        <w:tc>
          <w:tcPr>
            <w:tcW w:w="138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20"/>
              <w:spacing w:after="0"/>
              <w:rPr>
                <w:sz w:val="20"/>
                <w:szCs w:val="20"/>
                <w:color w:val="auto"/>
              </w:rPr>
            </w:pPr>
            <w:r>
              <w:rPr>
                <w:rFonts w:ascii="Arial" w:cs="Arial" w:eastAsia="Arial" w:hAnsi="Arial"/>
                <w:sz w:val="16"/>
                <w:szCs w:val="16"/>
                <w:color w:val="auto"/>
              </w:rPr>
              <w:t>34</w:t>
            </w:r>
          </w:p>
        </w:tc>
      </w:tr>
    </w:tbl>
    <w:p>
      <w:pPr>
        <w:spacing w:after="0" w:line="200" w:lineRule="exact"/>
        <w:rPr>
          <w:sz w:val="20"/>
          <w:szCs w:val="20"/>
          <w:color w:val="auto"/>
        </w:rPr>
      </w:pPr>
    </w:p>
    <w:p>
      <w:pPr>
        <w:spacing w:after="0" w:line="227" w:lineRule="exact"/>
        <w:rPr>
          <w:sz w:val="20"/>
          <w:szCs w:val="20"/>
          <w:color w:val="auto"/>
        </w:rPr>
      </w:pPr>
    </w:p>
    <w:p>
      <w:pPr>
        <w:ind w:left="560"/>
        <w:spacing w:after="0"/>
        <w:tabs>
          <w:tab w:leader="none" w:pos="1800" w:val="left"/>
        </w:tabs>
        <w:rPr>
          <w:sz w:val="20"/>
          <w:szCs w:val="20"/>
          <w:color w:val="auto"/>
        </w:rPr>
      </w:pPr>
      <w:r>
        <w:rPr>
          <w:rFonts w:ascii="Arial" w:cs="Arial" w:eastAsia="Arial" w:hAnsi="Arial"/>
          <w:sz w:val="16"/>
          <w:szCs w:val="16"/>
          <w:color w:val="auto"/>
        </w:rPr>
        <w:t>14,434</w:t>
      </w:r>
      <w:r>
        <w:rPr>
          <w:sz w:val="20"/>
          <w:szCs w:val="20"/>
          <w:color w:val="auto"/>
        </w:rPr>
        <w:tab/>
      </w:r>
      <w:r>
        <w:rPr>
          <w:rFonts w:ascii="Arial" w:cs="Arial" w:eastAsia="Arial" w:hAnsi="Arial"/>
          <w:sz w:val="16"/>
          <w:szCs w:val="16"/>
          <w:color w:val="auto"/>
        </w:rPr>
        <w:t>(12,052)</w:t>
      </w:r>
    </w:p>
    <w:p>
      <w:pPr>
        <w:spacing w:after="0" w:line="32" w:lineRule="exact"/>
        <w:rPr>
          <w:sz w:val="20"/>
          <w:szCs w:val="20"/>
          <w:color w:val="auto"/>
        </w:rPr>
      </w:pPr>
    </w:p>
    <w:p>
      <w:pPr>
        <w:ind w:left="640"/>
        <w:spacing w:after="0"/>
        <w:tabs>
          <w:tab w:leader="none" w:pos="1800" w:val="left"/>
        </w:tabs>
        <w:rPr>
          <w:sz w:val="20"/>
          <w:szCs w:val="20"/>
          <w:color w:val="auto"/>
        </w:rPr>
      </w:pPr>
      <w:r>
        <w:rPr>
          <w:rFonts w:ascii="Arial" w:cs="Arial" w:eastAsia="Arial" w:hAnsi="Arial"/>
          <w:sz w:val="16"/>
          <w:szCs w:val="16"/>
          <w:color w:val="auto"/>
        </w:rPr>
        <w:t>3,528</w:t>
      </w:r>
      <w:r>
        <w:rPr>
          <w:sz w:val="20"/>
          <w:szCs w:val="20"/>
          <w:color w:val="auto"/>
        </w:rPr>
        <w:tab/>
      </w:r>
      <w:r>
        <w:rPr>
          <w:rFonts w:ascii="Arial" w:cs="Arial" w:eastAsia="Arial" w:hAnsi="Arial"/>
          <w:sz w:val="16"/>
          <w:szCs w:val="16"/>
          <w:color w:val="auto"/>
        </w:rPr>
        <w:t>(13,877)</w:t>
      </w:r>
    </w:p>
    <w:p>
      <w:pPr>
        <w:spacing w:after="0" w:line="32" w:lineRule="exact"/>
        <w:rPr>
          <w:sz w:val="20"/>
          <w:szCs w:val="20"/>
          <w:color w:val="auto"/>
        </w:rPr>
      </w:pPr>
    </w:p>
    <w:p>
      <w:pPr>
        <w:jc w:val="both"/>
        <w:ind w:left="560"/>
        <w:spacing w:after="0"/>
        <w:tabs>
          <w:tab w:leader="none" w:pos="1880" w:val="left"/>
        </w:tabs>
        <w:rPr>
          <w:sz w:val="20"/>
          <w:szCs w:val="20"/>
          <w:color w:val="auto"/>
        </w:rPr>
      </w:pPr>
      <w:r>
        <w:rPr>
          <w:rFonts w:ascii="Arial" w:cs="Arial" w:eastAsia="Arial" w:hAnsi="Arial"/>
          <w:sz w:val="16"/>
          <w:szCs w:val="16"/>
          <w:color w:val="auto"/>
        </w:rPr>
        <w:t>(1,505)</w:t>
      </w:r>
      <w:r>
        <w:rPr>
          <w:sz w:val="20"/>
          <w:szCs w:val="20"/>
          <w:color w:val="auto"/>
        </w:rPr>
        <w:tab/>
      </w:r>
      <w:r>
        <w:rPr>
          <w:rFonts w:ascii="Arial" w:cs="Arial" w:eastAsia="Arial" w:hAnsi="Arial"/>
          <w:sz w:val="16"/>
          <w:szCs w:val="16"/>
          <w:color w:val="auto"/>
        </w:rPr>
        <w:t>(1,687)</w:t>
      </w:r>
    </w:p>
    <w:p>
      <w:pPr>
        <w:spacing w:after="0" w:line="32" w:lineRule="exact"/>
        <w:rPr>
          <w:sz w:val="20"/>
          <w:szCs w:val="20"/>
          <w:color w:val="auto"/>
        </w:rPr>
      </w:pPr>
    </w:p>
    <w:p>
      <w:pPr>
        <w:jc w:val="both"/>
        <w:ind w:left="560"/>
        <w:spacing w:after="0"/>
        <w:tabs>
          <w:tab w:leader="none" w:pos="1880" w:val="left"/>
        </w:tabs>
        <w:rPr>
          <w:sz w:val="20"/>
          <w:szCs w:val="20"/>
          <w:color w:val="auto"/>
        </w:rPr>
      </w:pPr>
      <w:r>
        <w:rPr>
          <w:rFonts w:ascii="Arial" w:cs="Arial" w:eastAsia="Arial" w:hAnsi="Arial"/>
          <w:sz w:val="16"/>
          <w:szCs w:val="16"/>
          <w:color w:val="auto"/>
        </w:rPr>
        <w:t>(1,384)</w:t>
      </w:r>
      <w:r>
        <w:rPr>
          <w:sz w:val="20"/>
          <w:szCs w:val="20"/>
          <w:color w:val="auto"/>
        </w:rPr>
        <w:tab/>
      </w:r>
      <w:r>
        <w:rPr>
          <w:rFonts w:ascii="Arial" w:cs="Arial" w:eastAsia="Arial" w:hAnsi="Arial"/>
          <w:sz w:val="16"/>
          <w:szCs w:val="16"/>
          <w:color w:val="auto"/>
        </w:rPr>
        <w:t>(1,157)</w:t>
      </w:r>
    </w:p>
    <w:p>
      <w:pPr>
        <w:spacing w:after="0" w:line="32" w:lineRule="exact"/>
        <w:rPr>
          <w:sz w:val="20"/>
          <w:szCs w:val="20"/>
          <w:color w:val="auto"/>
        </w:rPr>
      </w:pPr>
    </w:p>
    <w:p>
      <w:pPr>
        <w:ind w:left="2220" w:hanging="1516"/>
        <w:spacing w:after="0"/>
        <w:tabs>
          <w:tab w:leader="none" w:pos="2220" w:val="left"/>
        </w:tabs>
        <w:numPr>
          <w:ilvl w:val="0"/>
          <w:numId w:val="3"/>
        </w:numPr>
        <w:rPr>
          <w:rFonts w:ascii="Arial" w:cs="Arial" w:eastAsia="Arial" w:hAnsi="Arial"/>
          <w:sz w:val="16"/>
          <w:szCs w:val="16"/>
          <w:color w:val="auto"/>
        </w:rPr>
      </w:pPr>
      <w:r>
        <w:rPr>
          <w:rFonts w:ascii="Arial" w:cs="Arial" w:eastAsia="Arial" w:hAnsi="Arial"/>
          <w:sz w:val="16"/>
          <w:szCs w:val="16"/>
          <w:color w:val="auto"/>
        </w:rPr>
        <w:t>(5)</w:t>
      </w:r>
    </w:p>
    <w:p>
      <w:pPr>
        <w:spacing w:after="0" w:line="3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(14,276)11,420</w:t>
      </w:r>
    </w:p>
    <w:p>
      <w:pPr>
        <w:spacing w:after="0" w:line="32"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920" w:type="dxa"/>
            <w:vAlign w:val="bottom"/>
          </w:tcPr>
          <w:p>
            <w:pPr>
              <w:jc w:val="right"/>
              <w:ind w:right="319"/>
              <w:spacing w:after="0"/>
              <w:rPr>
                <w:sz w:val="20"/>
                <w:szCs w:val="20"/>
                <w:color w:val="auto"/>
              </w:rPr>
            </w:pPr>
            <w:r>
              <w:rPr>
                <w:rFonts w:ascii="Arial" w:cs="Arial" w:eastAsia="Arial" w:hAnsi="Arial"/>
                <w:sz w:val="16"/>
                <w:szCs w:val="16"/>
                <w:color w:val="auto"/>
                <w:w w:val="98"/>
              </w:rPr>
              <w:t>(1,074)</w:t>
            </w:r>
          </w:p>
        </w:tc>
        <w:tc>
          <w:tcPr>
            <w:tcW w:w="920" w:type="dxa"/>
            <w:vAlign w:val="bottom"/>
          </w:tcPr>
          <w:p>
            <w:pPr>
              <w:jc w:val="right"/>
              <w:spacing w:after="0"/>
              <w:rPr>
                <w:sz w:val="20"/>
                <w:szCs w:val="20"/>
                <w:color w:val="auto"/>
              </w:rPr>
            </w:pPr>
            <w:r>
              <w:rPr>
                <w:rFonts w:ascii="Arial" w:cs="Arial" w:eastAsia="Arial" w:hAnsi="Arial"/>
                <w:sz w:val="16"/>
                <w:szCs w:val="16"/>
                <w:color w:val="auto"/>
              </w:rPr>
              <w:t>5,846</w:t>
            </w:r>
          </w:p>
        </w:tc>
      </w:tr>
      <w:tr>
        <w:trPr>
          <w:trHeight w:val="216"/>
        </w:trPr>
        <w:tc>
          <w:tcPr>
            <w:tcW w:w="920" w:type="dxa"/>
            <w:vAlign w:val="bottom"/>
          </w:tcPr>
          <w:p>
            <w:pPr>
              <w:jc w:val="right"/>
              <w:ind w:right="339"/>
              <w:spacing w:after="0"/>
              <w:rPr>
                <w:sz w:val="20"/>
                <w:szCs w:val="20"/>
                <w:color w:val="auto"/>
              </w:rPr>
            </w:pPr>
            <w:r>
              <w:rPr>
                <w:rFonts w:ascii="Arial" w:cs="Arial" w:eastAsia="Arial" w:hAnsi="Arial"/>
                <w:sz w:val="16"/>
                <w:szCs w:val="16"/>
                <w:color w:val="auto"/>
              </w:rPr>
              <w:t>5,724</w:t>
            </w:r>
          </w:p>
        </w:tc>
        <w:tc>
          <w:tcPr>
            <w:tcW w:w="920" w:type="dxa"/>
            <w:vAlign w:val="bottom"/>
          </w:tcPr>
          <w:p>
            <w:pPr>
              <w:jc w:val="right"/>
              <w:spacing w:after="0"/>
              <w:rPr>
                <w:sz w:val="20"/>
                <w:szCs w:val="20"/>
                <w:color w:val="auto"/>
              </w:rPr>
            </w:pPr>
            <w:r>
              <w:rPr>
                <w:rFonts w:ascii="Arial" w:cs="Arial" w:eastAsia="Arial" w:hAnsi="Arial"/>
                <w:sz w:val="16"/>
                <w:szCs w:val="16"/>
                <w:color w:val="auto"/>
              </w:rPr>
              <w:t>10,020</w:t>
            </w:r>
          </w:p>
        </w:tc>
      </w:tr>
    </w:tbl>
    <w:p>
      <w:pPr>
        <w:spacing w:after="0" w:line="21" w:lineRule="exact"/>
        <w:rPr>
          <w:sz w:val="20"/>
          <w:szCs w:val="20"/>
          <w:color w:val="auto"/>
        </w:rPr>
      </w:pPr>
    </w:p>
    <w:p>
      <w:pPr>
        <w:ind w:left="1900" w:hanging="1111"/>
        <w:spacing w:after="0"/>
        <w:tabs>
          <w:tab w:leader="none" w:pos="1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(1,643)</w:t>
      </w:r>
    </w:p>
    <w:p>
      <w:pPr>
        <w:spacing w:after="0" w:line="32" w:lineRule="exact"/>
        <w:rPr>
          <w:sz w:val="20"/>
          <w:szCs w:val="20"/>
          <w:color w:val="auto"/>
        </w:rPr>
      </w:pPr>
    </w:p>
    <w:p>
      <w:pPr>
        <w:ind w:left="2040" w:hanging="1336"/>
        <w:spacing w:after="0"/>
        <w:tabs>
          <w:tab w:leader="none" w:pos="2040" w:val="left"/>
        </w:tabs>
        <w:numPr>
          <w:ilvl w:val="0"/>
          <w:numId w:val="5"/>
        </w:numPr>
        <w:rPr>
          <w:rFonts w:ascii="Arial" w:cs="Arial" w:eastAsia="Arial" w:hAnsi="Arial"/>
          <w:sz w:val="16"/>
          <w:szCs w:val="16"/>
          <w:color w:val="auto"/>
        </w:rPr>
      </w:pPr>
      <w:r>
        <w:rPr>
          <w:rFonts w:ascii="Arial" w:cs="Arial" w:eastAsia="Arial" w:hAnsi="Arial"/>
          <w:sz w:val="16"/>
          <w:szCs w:val="16"/>
          <w:color w:val="auto"/>
        </w:rPr>
        <w:t>(854)</w:t>
      </w:r>
    </w:p>
    <w:p>
      <w:pPr>
        <w:spacing w:after="0" w:line="32" w:lineRule="exact"/>
        <w:rPr>
          <w:sz w:val="20"/>
          <w:szCs w:val="20"/>
          <w:color w:val="auto"/>
        </w:rPr>
      </w:pPr>
    </w:p>
    <w:p>
      <w:pPr>
        <w:ind w:left="1900" w:hanging="1196"/>
        <w:spacing w:after="0"/>
        <w:tabs>
          <w:tab w:leader="none" w:pos="1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(5,745)</w:t>
      </w:r>
    </w:p>
    <w:p>
      <w:pPr>
        <w:spacing w:after="0" w:line="45"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58,530</w:t>
      </w:r>
      <w:r>
        <w:rPr>
          <w:rFonts w:ascii="Arial" w:cs="Arial" w:eastAsia="Arial" w:hAnsi="Arial"/>
          <w:sz w:val="15"/>
          <w:szCs w:val="15"/>
          <w:color w:val="auto"/>
        </w:rPr>
        <w:t>35,687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16979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480"/>
        <w:spacing w:after="0"/>
        <w:tabs>
          <w:tab w:leader="none" w:pos="1800" w:val="left"/>
        </w:tabs>
        <w:rPr>
          <w:sz w:val="20"/>
          <w:szCs w:val="20"/>
          <w:color w:val="auto"/>
        </w:rPr>
      </w:pPr>
      <w:r>
        <w:rPr>
          <w:rFonts w:ascii="Arial" w:cs="Arial" w:eastAsia="Arial" w:hAnsi="Arial"/>
          <w:sz w:val="16"/>
          <w:szCs w:val="16"/>
          <w:color w:val="auto"/>
        </w:rPr>
        <w:t>(14,606)</w:t>
      </w:r>
      <w:r>
        <w:rPr>
          <w:sz w:val="20"/>
          <w:szCs w:val="20"/>
          <w:color w:val="auto"/>
        </w:rPr>
        <w:tab/>
      </w:r>
      <w:r>
        <w:rPr>
          <w:rFonts w:ascii="Arial" w:cs="Arial" w:eastAsia="Arial" w:hAnsi="Arial"/>
          <w:sz w:val="16"/>
          <w:szCs w:val="16"/>
          <w:color w:val="auto"/>
        </w:rPr>
        <w:t>(23,352)</w:t>
      </w:r>
    </w:p>
    <w:p>
      <w:pPr>
        <w:spacing w:after="0" w:line="32" w:lineRule="exact"/>
        <w:rPr>
          <w:sz w:val="20"/>
          <w:szCs w:val="20"/>
          <w:color w:val="auto"/>
        </w:rPr>
      </w:pPr>
    </w:p>
    <w:p>
      <w:pPr>
        <w:ind w:left="2120" w:hanging="1331"/>
        <w:spacing w:after="0"/>
        <w:tabs>
          <w:tab w:leader="none" w:pos="2120" w:val="left"/>
        </w:tabs>
        <w:numPr>
          <w:ilvl w:val="0"/>
          <w:numId w:val="7"/>
        </w:numPr>
        <w:rPr>
          <w:rFonts w:ascii="Arial" w:cs="Arial" w:eastAsia="Arial" w:hAnsi="Arial"/>
          <w:sz w:val="16"/>
          <w:szCs w:val="16"/>
          <w:color w:val="auto"/>
        </w:rPr>
      </w:pPr>
      <w:r>
        <w:rPr>
          <w:rFonts w:ascii="Arial" w:cs="Arial" w:eastAsia="Arial" w:hAnsi="Arial"/>
          <w:sz w:val="16"/>
          <w:szCs w:val="16"/>
          <w:color w:val="auto"/>
        </w:rPr>
        <w:t>(23)</w:t>
      </w:r>
    </w:p>
    <w:p>
      <w:pPr>
        <w:spacing w:after="0" w:line="46" w:lineRule="exact"/>
        <w:rPr>
          <w:sz w:val="20"/>
          <w:szCs w:val="20"/>
          <w:color w:val="auto"/>
        </w:rPr>
      </w:pPr>
    </w:p>
    <w:p>
      <w:pPr>
        <w:ind w:left="480"/>
        <w:spacing w:after="0"/>
        <w:tabs>
          <w:tab w:leader="none" w:pos="1800" w:val="left"/>
        </w:tabs>
        <w:rPr>
          <w:sz w:val="20"/>
          <w:szCs w:val="20"/>
          <w:color w:val="auto"/>
        </w:rPr>
      </w:pPr>
      <w:r>
        <w:rPr>
          <w:rFonts w:ascii="Arial" w:cs="Arial" w:eastAsia="Arial" w:hAnsi="Arial"/>
          <w:sz w:val="16"/>
          <w:szCs w:val="16"/>
          <w:color w:val="auto"/>
        </w:rPr>
        <w:t>(14,633)</w:t>
      </w:r>
      <w:r>
        <w:rPr>
          <w:sz w:val="20"/>
          <w:szCs w:val="20"/>
          <w:color w:val="auto"/>
        </w:rPr>
        <w:tab/>
      </w:r>
      <w:r>
        <w:rPr>
          <w:rFonts w:ascii="Arial" w:cs="Arial" w:eastAsia="Arial" w:hAnsi="Arial"/>
          <w:sz w:val="16"/>
          <w:szCs w:val="16"/>
          <w:color w:val="auto"/>
        </w:rPr>
        <w:t>(23,375)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6979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9799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10,020</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(9,004)(5,653)</w:t>
      </w:r>
    </w:p>
    <w:p>
      <w:pPr>
        <w:spacing w:after="0" w:line="32" w:lineRule="exact"/>
        <w:rPr>
          <w:sz w:val="20"/>
          <w:szCs w:val="20"/>
          <w:color w:val="auto"/>
        </w:rPr>
      </w:pPr>
    </w:p>
    <w:p>
      <w:pPr>
        <w:ind w:left="2220" w:hanging="1516"/>
        <w:spacing w:after="0"/>
        <w:tabs>
          <w:tab w:leader="none" w:pos="2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sz w:val="20"/>
          <w:szCs w:val="20"/>
          <w:color w:val="auto"/>
        </w:rPr>
      </w:pPr>
    </w:p>
    <w:p>
      <w:pPr>
        <w:ind w:left="900"/>
        <w:spacing w:after="0"/>
        <w:tabs>
          <w:tab w:leader="none" w:pos="2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32" w:lineRule="exact"/>
        <w:rPr>
          <w:sz w:val="20"/>
          <w:szCs w:val="20"/>
          <w:color w:val="auto"/>
        </w:rPr>
      </w:pPr>
    </w:p>
    <w:p>
      <w:pPr>
        <w:ind w:left="2300" w:hanging="1430"/>
        <w:spacing w:after="0"/>
        <w:tabs>
          <w:tab w:leader="none" w:pos="23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3</w:t>
      </w:r>
    </w:p>
    <w:p>
      <w:pPr>
        <w:spacing w:after="0" w:line="3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(5,813)(5,482)</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jc w:val="center"/>
        <w:ind w:left="-279"/>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ind w:left="-279"/>
        <w:spacing w:after="0"/>
        <w:rPr>
          <w:sz w:val="20"/>
          <w:szCs w:val="20"/>
          <w:color w:val="auto"/>
        </w:rPr>
      </w:pPr>
      <w:r>
        <w:rPr>
          <w:rFonts w:ascii="Arial" w:cs="Arial" w:eastAsia="Arial" w:hAnsi="Arial"/>
          <w:sz w:val="18"/>
          <w:szCs w:val="18"/>
          <w:b w:val="1"/>
          <w:bCs w:val="1"/>
          <w:color w:val="auto"/>
        </w:rPr>
        <w:t>CONSOLIDATED STATEMENTS OF CASH FLOW</w:t>
      </w:r>
    </w:p>
    <w:p>
      <w:pPr>
        <w:jc w:val="center"/>
        <w:ind w:left="-279"/>
        <w:spacing w:after="0" w:line="234"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jc w:val="center"/>
        <w:ind w:left="-27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452120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Change in deferred taxes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Provision for write-off of property, plant and equipment</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Non-cash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right="600"/>
        <w:spacing w:after="0" w:line="295" w:lineRule="auto"/>
        <w:rPr>
          <w:sz w:val="20"/>
          <w:szCs w:val="20"/>
          <w:color w:val="auto"/>
        </w:rPr>
      </w:pPr>
      <w:r>
        <w:rPr>
          <w:rFonts w:ascii="Arial" w:cs="Arial" w:eastAsia="Arial" w:hAnsi="Arial"/>
          <w:sz w:val="16"/>
          <w:szCs w:val="16"/>
          <w:color w:val="auto"/>
        </w:rPr>
        <w:t>Compensation and benefits paid or payable in Class A Common Stock Fair value adjustment on foreign currency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-22225</wp:posOffset>
            </wp:positionV>
            <wp:extent cx="724662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2001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assets and liabilities that provided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Accounts receivable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Contract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Inventories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Income taxes prepaid and receivable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Accrued liabilities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Income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Noncurrent receivables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Other, net</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2890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Purchases of property, plant and equipment</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Purchased software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46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139065</wp:posOffset>
            </wp:positionV>
            <wp:extent cx="72466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FINANCING ACTIVITIES</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Proceeds from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Principal payments on debt</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Principal payments on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Taxes paid in lieu of share issuance</w:t>
      </w:r>
    </w:p>
    <w:p>
      <w:pPr>
        <w:spacing w:after="0" w:line="3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Proceeds from options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-1708785</wp:posOffset>
            </wp:positionH>
            <wp:positionV relativeFrom="paragraph">
              <wp:posOffset>10795</wp:posOffset>
            </wp:positionV>
            <wp:extent cx="72466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Six Months Ended</w:t>
      </w:r>
    </w:p>
    <w:p>
      <w:pPr>
        <w:spacing w:after="0" w:line="19" w:lineRule="exact"/>
        <w:rPr>
          <w:sz w:val="20"/>
          <w:szCs w:val="20"/>
          <w:color w:val="auto"/>
        </w:rPr>
      </w:pPr>
    </w:p>
    <w:p>
      <w:pPr>
        <w:jc w:val="center"/>
        <w:ind w:right="30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6350</wp:posOffset>
            </wp:positionV>
            <wp:extent cx="17151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4"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59"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color w:val="auto"/>
        </w:rPr>
        <w:t>$ 63,667</w:t>
      </w:r>
      <w:r>
        <w:rPr>
          <w:sz w:val="20"/>
          <w:szCs w:val="20"/>
          <w:color w:val="auto"/>
        </w:rPr>
        <w:tab/>
      </w:r>
      <w:r>
        <w:rPr>
          <w:rFonts w:ascii="Arial" w:cs="Arial" w:eastAsia="Arial" w:hAnsi="Arial"/>
          <w:sz w:val="16"/>
          <w:szCs w:val="16"/>
          <w:color w:val="auto"/>
        </w:rPr>
        <w:t>$ 37,742</w:t>
      </w:r>
    </w:p>
    <w:p>
      <w:pPr>
        <w:spacing w:after="0" w:line="248"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6"/>
          <w:szCs w:val="16"/>
          <w:color w:val="auto"/>
        </w:rPr>
        <w:t>30,987</w:t>
      </w:r>
      <w:r>
        <w:rPr>
          <w:sz w:val="20"/>
          <w:szCs w:val="20"/>
          <w:color w:val="auto"/>
        </w:rPr>
        <w:tab/>
      </w:r>
      <w:r>
        <w:rPr>
          <w:rFonts w:ascii="Arial" w:cs="Arial" w:eastAsia="Arial" w:hAnsi="Arial"/>
          <w:sz w:val="16"/>
          <w:szCs w:val="16"/>
          <w:color w:val="auto"/>
        </w:rPr>
        <w:t>35,416</w:t>
      </w:r>
    </w:p>
    <w:p>
      <w:pPr>
        <w:spacing w:after="0" w:line="32" w:lineRule="exact"/>
        <w:rPr>
          <w:sz w:val="20"/>
          <w:szCs w:val="20"/>
          <w:color w:val="auto"/>
        </w:rPr>
      </w:pPr>
    </w:p>
    <w:p>
      <w:pPr>
        <w:ind w:left="260"/>
        <w:spacing w:after="0"/>
        <w:tabs>
          <w:tab w:leader="none" w:pos="1580" w:val="left"/>
        </w:tabs>
        <w:rPr>
          <w:sz w:val="20"/>
          <w:szCs w:val="20"/>
          <w:color w:val="auto"/>
        </w:rPr>
      </w:pPr>
      <w:r>
        <w:rPr>
          <w:rFonts w:ascii="Arial" w:cs="Arial" w:eastAsia="Arial" w:hAnsi="Arial"/>
          <w:sz w:val="16"/>
          <w:szCs w:val="16"/>
          <w:color w:val="auto"/>
        </w:rPr>
        <w:t>4,723</w:t>
      </w:r>
      <w:r>
        <w:rPr>
          <w:sz w:val="20"/>
          <w:szCs w:val="20"/>
          <w:color w:val="auto"/>
        </w:rPr>
        <w:tab/>
      </w:r>
      <w:r>
        <w:rPr>
          <w:rFonts w:ascii="Arial" w:cs="Arial" w:eastAsia="Arial" w:hAnsi="Arial"/>
          <w:sz w:val="16"/>
          <w:szCs w:val="16"/>
          <w:color w:val="auto"/>
        </w:rPr>
        <w:t>5,205</w:t>
      </w:r>
    </w:p>
    <w:p>
      <w:pPr>
        <w:spacing w:after="0" w:line="32" w:lineRule="exact"/>
        <w:rPr>
          <w:sz w:val="20"/>
          <w:szCs w:val="20"/>
          <w:color w:val="auto"/>
        </w:rPr>
      </w:pPr>
    </w:p>
    <w:p>
      <w:pPr>
        <w:ind w:left="1520" w:hanging="1207"/>
        <w:spacing w:after="0"/>
        <w:tabs>
          <w:tab w:leader="none" w:pos="15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(8,211)</w:t>
      </w:r>
    </w:p>
    <w:p>
      <w:pPr>
        <w:spacing w:after="0" w:line="3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880" w:type="dxa"/>
            <w:vAlign w:val="bottom"/>
          </w:tcPr>
          <w:p>
            <w:pPr>
              <w:jc w:val="right"/>
              <w:ind w:right="399"/>
              <w:spacing w:after="0"/>
              <w:rPr>
                <w:sz w:val="20"/>
                <w:szCs w:val="20"/>
                <w:color w:val="auto"/>
              </w:rPr>
            </w:pPr>
            <w:r>
              <w:rPr>
                <w:rFonts w:ascii="Arial" w:cs="Arial" w:eastAsia="Arial" w:hAnsi="Arial"/>
                <w:sz w:val="16"/>
                <w:szCs w:val="16"/>
                <w:color w:val="auto"/>
                <w:w w:val="94"/>
              </w:rPr>
              <w:t>1,106</w:t>
            </w:r>
          </w:p>
        </w:tc>
        <w:tc>
          <w:tcPr>
            <w:tcW w:w="880" w:type="dxa"/>
            <w:vAlign w:val="bottom"/>
          </w:tcPr>
          <w:p>
            <w:pPr>
              <w:jc w:val="right"/>
              <w:spacing w:after="0"/>
              <w:rPr>
                <w:sz w:val="20"/>
                <w:szCs w:val="20"/>
                <w:color w:val="auto"/>
              </w:rPr>
            </w:pPr>
            <w:r>
              <w:rPr>
                <w:rFonts w:ascii="Arial" w:cs="Arial" w:eastAsia="Arial" w:hAnsi="Arial"/>
                <w:sz w:val="16"/>
                <w:szCs w:val="16"/>
                <w:color w:val="auto"/>
              </w:rPr>
              <w:t>1,124</w:t>
            </w:r>
          </w:p>
        </w:tc>
      </w:tr>
      <w:tr>
        <w:trPr>
          <w:trHeight w:val="216"/>
        </w:trPr>
        <w:tc>
          <w:tcPr>
            <w:tcW w:w="880" w:type="dxa"/>
            <w:vAlign w:val="bottom"/>
          </w:tcPr>
          <w:p>
            <w:pPr>
              <w:jc w:val="right"/>
              <w:ind w:right="399"/>
              <w:spacing w:after="0"/>
              <w:rPr>
                <w:sz w:val="20"/>
                <w:szCs w:val="20"/>
                <w:color w:val="auto"/>
              </w:rPr>
            </w:pPr>
            <w:r>
              <w:rPr>
                <w:rFonts w:ascii="Arial" w:cs="Arial" w:eastAsia="Arial" w:hAnsi="Arial"/>
                <w:sz w:val="16"/>
                <w:szCs w:val="16"/>
                <w:color w:val="auto"/>
              </w:rPr>
              <w:t>303</w:t>
            </w:r>
          </w:p>
        </w:tc>
        <w:tc>
          <w:tcPr>
            <w:tcW w:w="880" w:type="dxa"/>
            <w:vAlign w:val="bottom"/>
          </w:tcPr>
          <w:p>
            <w:pPr>
              <w:jc w:val="right"/>
              <w:spacing w:after="0"/>
              <w:rPr>
                <w:sz w:val="20"/>
                <w:szCs w:val="20"/>
                <w:color w:val="auto"/>
              </w:rPr>
            </w:pPr>
            <w:r>
              <w:rPr>
                <w:rFonts w:ascii="Arial" w:cs="Arial" w:eastAsia="Arial" w:hAnsi="Arial"/>
                <w:sz w:val="16"/>
                <w:szCs w:val="16"/>
                <w:color w:val="auto"/>
              </w:rPr>
              <w:t>154</w:t>
            </w:r>
          </w:p>
        </w:tc>
      </w:tr>
    </w:tbl>
    <w:p>
      <w:pPr>
        <w:spacing w:after="0" w:line="21" w:lineRule="exact"/>
        <w:rPr>
          <w:sz w:val="20"/>
          <w:szCs w:val="20"/>
          <w:color w:val="auto"/>
        </w:rPr>
      </w:pPr>
    </w:p>
    <w:p>
      <w:pPr>
        <w:ind w:left="1600" w:hanging="1206"/>
        <w:spacing w:after="0"/>
        <w:tabs>
          <w:tab w:leader="none" w:pos="1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1,336</w:t>
      </w:r>
    </w:p>
    <w:p>
      <w:pPr>
        <w:spacing w:after="0" w:line="32"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6"/>
          <w:szCs w:val="16"/>
          <w:color w:val="auto"/>
        </w:rPr>
        <w:t>—71</w:t>
      </w:r>
    </w:p>
    <w:p>
      <w:pPr>
        <w:spacing w:after="0" w:line="200" w:lineRule="exact"/>
        <w:rPr>
          <w:sz w:val="20"/>
          <w:szCs w:val="20"/>
          <w:color w:val="auto"/>
        </w:rPr>
      </w:pPr>
    </w:p>
    <w:p>
      <w:pPr>
        <w:spacing w:after="0" w:line="237" w:lineRule="exact"/>
        <w:rPr>
          <w:sz w:val="20"/>
          <w:szCs w:val="20"/>
          <w:color w:val="auto"/>
        </w:rPr>
      </w:pPr>
    </w:p>
    <w:p>
      <w:pPr>
        <w:ind w:left="260"/>
        <w:spacing w:after="0"/>
        <w:tabs>
          <w:tab w:leader="none" w:pos="1420" w:val="left"/>
        </w:tabs>
        <w:rPr>
          <w:sz w:val="20"/>
          <w:szCs w:val="20"/>
          <w:color w:val="auto"/>
        </w:rPr>
      </w:pPr>
      <w:r>
        <w:rPr>
          <w:rFonts w:ascii="Arial" w:cs="Arial" w:eastAsia="Arial" w:hAnsi="Arial"/>
          <w:sz w:val="16"/>
          <w:szCs w:val="16"/>
          <w:color w:val="auto"/>
        </w:rPr>
        <w:t>2,810</w:t>
      </w:r>
      <w:r>
        <w:rPr>
          <w:sz w:val="20"/>
          <w:szCs w:val="20"/>
          <w:color w:val="auto"/>
        </w:rPr>
        <w:tab/>
      </w:r>
      <w:r>
        <w:rPr>
          <w:rFonts w:ascii="Arial" w:cs="Arial" w:eastAsia="Arial" w:hAnsi="Arial"/>
          <w:sz w:val="16"/>
          <w:szCs w:val="16"/>
          <w:color w:val="auto"/>
        </w:rPr>
        <w:t>(37,141)</w:t>
      </w:r>
    </w:p>
    <w:p>
      <w:pPr>
        <w:spacing w:after="0" w:line="32" w:lineRule="exact"/>
        <w:rPr>
          <w:sz w:val="20"/>
          <w:szCs w:val="20"/>
          <w:color w:val="auto"/>
        </w:rPr>
      </w:pPr>
    </w:p>
    <w:p>
      <w:pPr>
        <w:jc w:val="both"/>
        <w:ind w:left="260"/>
        <w:spacing w:after="0"/>
        <w:tabs>
          <w:tab w:leader="none" w:pos="1420" w:val="left"/>
        </w:tabs>
        <w:rPr>
          <w:sz w:val="20"/>
          <w:szCs w:val="20"/>
          <w:color w:val="auto"/>
        </w:rPr>
      </w:pPr>
      <w:r>
        <w:rPr>
          <w:rFonts w:ascii="Arial" w:cs="Arial" w:eastAsia="Arial" w:hAnsi="Arial"/>
          <w:sz w:val="16"/>
          <w:szCs w:val="16"/>
          <w:color w:val="auto"/>
        </w:rPr>
        <w:t>3,047</w:t>
      </w:r>
      <w:r>
        <w:rPr>
          <w:sz w:val="20"/>
          <w:szCs w:val="20"/>
          <w:color w:val="auto"/>
        </w:rPr>
        <w:tab/>
      </w:r>
      <w:r>
        <w:rPr>
          <w:rFonts w:ascii="Arial" w:cs="Arial" w:eastAsia="Arial" w:hAnsi="Arial"/>
          <w:sz w:val="16"/>
          <w:szCs w:val="16"/>
          <w:color w:val="auto"/>
        </w:rPr>
        <w:t>(11,761)</w:t>
      </w:r>
    </w:p>
    <w:p>
      <w:pPr>
        <w:spacing w:after="0" w:line="32"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6"/>
          <w:szCs w:val="16"/>
          <w:color w:val="auto"/>
        </w:rPr>
        <w:t>(18,167)</w:t>
      </w:r>
      <w:r>
        <w:rPr>
          <w:sz w:val="20"/>
          <w:szCs w:val="20"/>
          <w:color w:val="auto"/>
        </w:rPr>
        <w:tab/>
      </w:r>
      <w:r>
        <w:rPr>
          <w:rFonts w:ascii="Arial" w:cs="Arial" w:eastAsia="Arial" w:hAnsi="Arial"/>
          <w:sz w:val="16"/>
          <w:szCs w:val="16"/>
          <w:color w:val="auto"/>
        </w:rPr>
        <w:t>(13,440)</w:t>
      </w:r>
    </w:p>
    <w:p>
      <w:pPr>
        <w:spacing w:after="0" w:line="32" w:lineRule="exact"/>
        <w:rPr>
          <w:sz w:val="20"/>
          <w:szCs w:val="20"/>
          <w:color w:val="auto"/>
        </w:rPr>
      </w:pPr>
    </w:p>
    <w:p>
      <w:pPr>
        <w:ind w:left="180"/>
        <w:spacing w:after="0"/>
        <w:tabs>
          <w:tab w:leader="none" w:pos="1500" w:val="left"/>
        </w:tabs>
        <w:rPr>
          <w:sz w:val="20"/>
          <w:szCs w:val="20"/>
          <w:color w:val="auto"/>
        </w:rPr>
      </w:pPr>
      <w:r>
        <w:rPr>
          <w:rFonts w:ascii="Arial" w:cs="Arial" w:eastAsia="Arial" w:hAnsi="Arial"/>
          <w:sz w:val="16"/>
          <w:szCs w:val="16"/>
          <w:color w:val="auto"/>
        </w:rPr>
        <w:t>(4,188)</w:t>
      </w:r>
      <w:r>
        <w:rPr>
          <w:sz w:val="20"/>
          <w:szCs w:val="20"/>
          <w:color w:val="auto"/>
        </w:rPr>
        <w:tab/>
      </w:r>
      <w:r>
        <w:rPr>
          <w:rFonts w:ascii="Arial" w:cs="Arial" w:eastAsia="Arial" w:hAnsi="Arial"/>
          <w:sz w:val="16"/>
          <w:szCs w:val="16"/>
          <w:color w:val="auto"/>
        </w:rPr>
        <w:t>(5,220)</w:t>
      </w:r>
    </w:p>
    <w:p>
      <w:pPr>
        <w:spacing w:after="0" w:line="32" w:lineRule="exact"/>
        <w:rPr>
          <w:sz w:val="20"/>
          <w:szCs w:val="20"/>
          <w:color w:val="auto"/>
        </w:rPr>
      </w:pPr>
    </w:p>
    <w:p>
      <w:pPr>
        <w:ind w:left="1840" w:hanging="1446"/>
        <w:spacing w:after="0"/>
        <w:tabs>
          <w:tab w:leader="none" w:pos="18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97</w:t>
      </w:r>
    </w:p>
    <w:p>
      <w:pPr>
        <w:spacing w:after="0" w:line="32" w:lineRule="exact"/>
        <w:rPr>
          <w:rFonts w:ascii="Arial" w:cs="Arial" w:eastAsia="Arial" w:hAnsi="Arial"/>
          <w:sz w:val="16"/>
          <w:szCs w:val="16"/>
          <w:color w:val="auto"/>
        </w:rPr>
      </w:pPr>
    </w:p>
    <w:p>
      <w:pPr>
        <w:ind w:left="260"/>
        <w:spacing w:after="0"/>
        <w:rPr>
          <w:rFonts w:ascii="Arial" w:cs="Arial" w:eastAsia="Arial" w:hAnsi="Arial"/>
          <w:sz w:val="16"/>
          <w:szCs w:val="16"/>
          <w:color w:val="auto"/>
        </w:rPr>
      </w:pPr>
      <w:r>
        <w:rPr>
          <w:rFonts w:ascii="Arial" w:cs="Arial" w:eastAsia="Arial" w:hAnsi="Arial"/>
          <w:sz w:val="16"/>
          <w:szCs w:val="16"/>
          <w:color w:val="auto"/>
        </w:rPr>
        <w:t>7,4748,882</w:t>
      </w:r>
    </w:p>
    <w:p>
      <w:pPr>
        <w:spacing w:after="0" w:line="3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1060" w:type="dxa"/>
            <w:vAlign w:val="bottom"/>
          </w:tcPr>
          <w:p>
            <w:pPr>
              <w:jc w:val="right"/>
              <w:ind w:right="379"/>
              <w:spacing w:after="0"/>
              <w:rPr>
                <w:sz w:val="20"/>
                <w:szCs w:val="20"/>
                <w:color w:val="auto"/>
              </w:rPr>
            </w:pPr>
            <w:r>
              <w:rPr>
                <w:rFonts w:ascii="Arial" w:cs="Arial" w:eastAsia="Arial" w:hAnsi="Arial"/>
                <w:sz w:val="16"/>
                <w:szCs w:val="16"/>
                <w:color w:val="auto"/>
                <w:w w:val="97"/>
              </w:rPr>
              <w:t>(12,169)</w:t>
            </w:r>
          </w:p>
        </w:tc>
        <w:tc>
          <w:tcPr>
            <w:tcW w:w="880" w:type="dxa"/>
            <w:vAlign w:val="bottom"/>
          </w:tcPr>
          <w:p>
            <w:pPr>
              <w:jc w:val="right"/>
              <w:spacing w:after="0"/>
              <w:rPr>
                <w:sz w:val="20"/>
                <w:szCs w:val="20"/>
                <w:color w:val="auto"/>
              </w:rPr>
            </w:pPr>
            <w:r>
              <w:rPr>
                <w:rFonts w:ascii="Arial" w:cs="Arial" w:eastAsia="Arial" w:hAnsi="Arial"/>
                <w:sz w:val="16"/>
                <w:szCs w:val="16"/>
                <w:color w:val="auto"/>
              </w:rPr>
              <w:t>4,619</w:t>
            </w:r>
          </w:p>
        </w:tc>
      </w:tr>
      <w:tr>
        <w:trPr>
          <w:trHeight w:val="216"/>
        </w:trPr>
        <w:tc>
          <w:tcPr>
            <w:tcW w:w="1060" w:type="dxa"/>
            <w:vAlign w:val="bottom"/>
          </w:tcPr>
          <w:p>
            <w:pPr>
              <w:jc w:val="right"/>
              <w:ind w:right="399"/>
              <w:spacing w:after="0"/>
              <w:rPr>
                <w:sz w:val="20"/>
                <w:szCs w:val="20"/>
                <w:color w:val="auto"/>
              </w:rPr>
            </w:pPr>
            <w:r>
              <w:rPr>
                <w:rFonts w:ascii="Arial" w:cs="Arial" w:eastAsia="Arial" w:hAnsi="Arial"/>
                <w:sz w:val="16"/>
                <w:szCs w:val="16"/>
                <w:color w:val="auto"/>
              </w:rPr>
              <w:t>7,230</w:t>
            </w:r>
          </w:p>
        </w:tc>
        <w:tc>
          <w:tcPr>
            <w:tcW w:w="880" w:type="dxa"/>
            <w:vAlign w:val="bottom"/>
          </w:tcPr>
          <w:p>
            <w:pPr>
              <w:jc w:val="right"/>
              <w:spacing w:after="0"/>
              <w:rPr>
                <w:sz w:val="20"/>
                <w:szCs w:val="20"/>
                <w:color w:val="auto"/>
              </w:rPr>
            </w:pPr>
            <w:r>
              <w:rPr>
                <w:rFonts w:ascii="Arial" w:cs="Arial" w:eastAsia="Arial" w:hAnsi="Arial"/>
                <w:sz w:val="16"/>
                <w:szCs w:val="16"/>
                <w:color w:val="auto"/>
              </w:rPr>
              <w:t>6,589</w:t>
            </w:r>
          </w:p>
        </w:tc>
      </w:tr>
    </w:tbl>
    <w:p>
      <w:pPr>
        <w:spacing w:after="0" w:line="21" w:lineRule="exact"/>
        <w:rPr>
          <w:sz w:val="20"/>
          <w:szCs w:val="20"/>
          <w:color w:val="auto"/>
        </w:rPr>
      </w:pPr>
    </w:p>
    <w:p>
      <w:pPr>
        <w:ind w:left="1520" w:hanging="1207"/>
        <w:spacing w:after="0"/>
        <w:tabs>
          <w:tab w:leader="none" w:pos="1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(4,170)</w:t>
      </w:r>
    </w:p>
    <w:p>
      <w:pPr>
        <w:spacing w:after="0" w:line="32"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(2,160)(1,231)</w:t>
      </w:r>
    </w:p>
    <w:p>
      <w:pPr>
        <w:spacing w:after="0" w:line="32"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6"/>
          <w:szCs w:val="16"/>
          <w:color w:val="auto"/>
        </w:rPr>
        <w:t>(1,462)(3,321)</w:t>
      </w:r>
    </w:p>
    <w:p>
      <w:pPr>
        <w:spacing w:after="0" w:line="45" w:lineRule="exact"/>
        <w:rPr>
          <w:rFonts w:ascii="Arial" w:cs="Arial" w:eastAsia="Arial" w:hAnsi="Arial"/>
          <w:sz w:val="16"/>
          <w:szCs w:val="16"/>
          <w:color w:val="auto"/>
        </w:rPr>
      </w:pPr>
    </w:p>
    <w:p>
      <w:pPr>
        <w:ind w:left="160"/>
        <w:spacing w:after="0"/>
        <w:rPr>
          <w:rFonts w:ascii="Arial" w:cs="Arial" w:eastAsia="Arial" w:hAnsi="Arial"/>
          <w:sz w:val="16"/>
          <w:szCs w:val="16"/>
          <w:color w:val="auto"/>
        </w:rPr>
      </w:pPr>
      <w:r>
        <w:rPr>
          <w:rFonts w:ascii="Arial" w:cs="Arial" w:eastAsia="Arial" w:hAnsi="Arial"/>
          <w:sz w:val="16"/>
          <w:szCs w:val="16"/>
          <w:color w:val="auto"/>
        </w:rPr>
        <w:t>83,09616,740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-134620</wp:posOffset>
            </wp:positionV>
            <wp:extent cx="17151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6"/>
          <w:szCs w:val="16"/>
          <w:color w:val="auto"/>
        </w:rPr>
        <w:t>(35,404)</w:t>
      </w:r>
      <w:r>
        <w:rPr>
          <w:sz w:val="20"/>
          <w:szCs w:val="20"/>
          <w:color w:val="auto"/>
        </w:rPr>
        <w:tab/>
      </w:r>
      <w:r>
        <w:rPr>
          <w:rFonts w:ascii="Arial" w:cs="Arial" w:eastAsia="Arial" w:hAnsi="Arial"/>
          <w:sz w:val="16"/>
          <w:szCs w:val="16"/>
          <w:color w:val="auto"/>
        </w:rPr>
        <w:t>(39,123)</w:t>
      </w:r>
    </w:p>
    <w:p>
      <w:pPr>
        <w:spacing w:after="0" w:line="32" w:lineRule="exact"/>
        <w:rPr>
          <w:sz w:val="20"/>
          <w:szCs w:val="20"/>
          <w:color w:val="auto"/>
        </w:rPr>
      </w:pPr>
    </w:p>
    <w:p>
      <w:pPr>
        <w:ind w:left="1740" w:hanging="1341"/>
        <w:spacing w:after="0"/>
        <w:tabs>
          <w:tab w:leader="none" w:pos="1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(52)</w:t>
      </w:r>
    </w:p>
    <w:p>
      <w:pPr>
        <w:spacing w:after="0" w:line="45" w:lineRule="exact"/>
        <w:rPr>
          <w:rFonts w:ascii="Arial" w:cs="Arial" w:eastAsia="Arial" w:hAnsi="Arial"/>
          <w:sz w:val="16"/>
          <w:szCs w:val="16"/>
          <w:color w:val="auto"/>
        </w:rPr>
      </w:pPr>
    </w:p>
    <w:p>
      <w:pPr>
        <w:ind w:left="80"/>
        <w:spacing w:after="0"/>
        <w:rPr>
          <w:rFonts w:ascii="Arial" w:cs="Arial" w:eastAsia="Arial" w:hAnsi="Arial"/>
          <w:sz w:val="16"/>
          <w:szCs w:val="16"/>
          <w:color w:val="auto"/>
        </w:rPr>
      </w:pPr>
      <w:r>
        <w:rPr>
          <w:rFonts w:ascii="Arial" w:cs="Arial" w:eastAsia="Arial" w:hAnsi="Arial"/>
          <w:sz w:val="16"/>
          <w:szCs w:val="16"/>
          <w:color w:val="auto"/>
        </w:rPr>
        <w:t>(35,453)(39,175)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10795</wp:posOffset>
            </wp:positionV>
            <wp:extent cx="17151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60"/>
        <w:spacing w:after="0"/>
        <w:tabs>
          <w:tab w:leader="none" w:pos="1500" w:val="left"/>
        </w:tabs>
        <w:rPr>
          <w:sz w:val="20"/>
          <w:szCs w:val="20"/>
          <w:color w:val="auto"/>
        </w:rPr>
      </w:pPr>
      <w:r>
        <w:rPr>
          <w:rFonts w:ascii="Arial" w:cs="Arial" w:eastAsia="Arial" w:hAnsi="Arial"/>
          <w:sz w:val="16"/>
          <w:szCs w:val="16"/>
          <w:color w:val="auto"/>
        </w:rPr>
        <w:t>20,000</w:t>
      </w:r>
      <w:r>
        <w:rPr>
          <w:sz w:val="20"/>
          <w:szCs w:val="20"/>
          <w:color w:val="auto"/>
        </w:rPr>
        <w:tab/>
      </w:r>
      <w:r>
        <w:rPr>
          <w:rFonts w:ascii="Arial" w:cs="Arial" w:eastAsia="Arial" w:hAnsi="Arial"/>
          <w:sz w:val="16"/>
          <w:szCs w:val="16"/>
          <w:color w:val="auto"/>
        </w:rPr>
        <w:t>23,031</w:t>
      </w:r>
    </w:p>
    <w:p>
      <w:pPr>
        <w:spacing w:after="0" w:line="32" w:lineRule="exact"/>
        <w:rPr>
          <w:sz w:val="20"/>
          <w:szCs w:val="20"/>
          <w:color w:val="auto"/>
        </w:rPr>
      </w:pPr>
    </w:p>
    <w:p>
      <w:pPr>
        <w:ind w:left="80"/>
        <w:spacing w:after="0"/>
        <w:tabs>
          <w:tab w:leader="none" w:pos="1420" w:val="left"/>
        </w:tabs>
        <w:rPr>
          <w:sz w:val="20"/>
          <w:szCs w:val="20"/>
          <w:color w:val="auto"/>
        </w:rPr>
      </w:pPr>
      <w:r>
        <w:rPr>
          <w:rFonts w:ascii="Arial" w:cs="Arial" w:eastAsia="Arial" w:hAnsi="Arial"/>
          <w:sz w:val="16"/>
          <w:szCs w:val="16"/>
          <w:color w:val="auto"/>
        </w:rPr>
        <w:t>(37,008)</w:t>
      </w:r>
      <w:r>
        <w:rPr>
          <w:sz w:val="20"/>
          <w:szCs w:val="20"/>
          <w:color w:val="auto"/>
        </w:rPr>
        <w:tab/>
      </w:r>
      <w:r>
        <w:rPr>
          <w:rFonts w:ascii="Arial" w:cs="Arial" w:eastAsia="Arial" w:hAnsi="Arial"/>
          <w:sz w:val="16"/>
          <w:szCs w:val="16"/>
          <w:color w:val="auto"/>
        </w:rPr>
        <w:t>(14,143)</w:t>
      </w:r>
    </w:p>
    <w:p>
      <w:pPr>
        <w:spacing w:after="0" w:line="32" w:lineRule="exact"/>
        <w:rPr>
          <w:sz w:val="20"/>
          <w:szCs w:val="20"/>
          <w:color w:val="auto"/>
        </w:rPr>
      </w:pPr>
    </w:p>
    <w:p>
      <w:pPr>
        <w:ind w:left="1860" w:hanging="1547"/>
        <w:spacing w:after="0"/>
        <w:tabs>
          <w:tab w:leader="none" w:pos="18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t>
      </w:r>
    </w:p>
    <w:p>
      <w:pPr>
        <w:spacing w:after="0" w:line="32" w:lineRule="exact"/>
        <w:rPr>
          <w:sz w:val="20"/>
          <w:szCs w:val="20"/>
          <w:color w:val="auto"/>
        </w:rPr>
      </w:pPr>
    </w:p>
    <w:p>
      <w:pPr>
        <w:ind w:left="1520" w:hanging="1207"/>
        <w:spacing w:after="0"/>
        <w:tabs>
          <w:tab w:leader="none" w:pos="15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(1,652)</w:t>
      </w:r>
    </w:p>
    <w:p>
      <w:pPr>
        <w:spacing w:after="0" w:line="3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72150</w:t>
      </w:r>
    </w:p>
    <w:p>
      <w:pPr>
        <w:spacing w:after="0" w:line="32" w:lineRule="exact"/>
        <w:rPr>
          <w:sz w:val="20"/>
          <w:szCs w:val="20"/>
          <w:color w:val="auto"/>
        </w:rPr>
      </w:pPr>
    </w:p>
    <w:p>
      <w:pPr>
        <w:ind w:left="100"/>
        <w:spacing w:after="0"/>
        <w:tabs>
          <w:tab w:leader="none" w:pos="1420" w:val="left"/>
        </w:tabs>
        <w:rPr>
          <w:sz w:val="20"/>
          <w:szCs w:val="20"/>
          <w:color w:val="auto"/>
        </w:rPr>
      </w:pPr>
      <w:r>
        <w:rPr>
          <w:rFonts w:ascii="Arial" w:cs="Arial" w:eastAsia="Arial" w:hAnsi="Arial"/>
          <w:sz w:val="16"/>
          <w:szCs w:val="16"/>
          <w:color w:val="auto"/>
        </w:rPr>
        <w:t>(11,621)</w:t>
      </w:r>
      <w:r>
        <w:rPr>
          <w:sz w:val="20"/>
          <w:szCs w:val="20"/>
          <w:color w:val="auto"/>
        </w:rPr>
        <w:tab/>
      </w:r>
      <w:r>
        <w:rPr>
          <w:rFonts w:ascii="Arial" w:cs="Arial" w:eastAsia="Arial" w:hAnsi="Arial"/>
          <w:sz w:val="16"/>
          <w:szCs w:val="16"/>
          <w:color w:val="auto"/>
        </w:rPr>
        <w:t>(10,956)</w:t>
      </w:r>
    </w:p>
    <w:p>
      <w:pPr>
        <w:spacing w:after="0" w:line="11" w:lineRule="exact"/>
        <w:rPr>
          <w:sz w:val="20"/>
          <w:szCs w:val="20"/>
          <w:color w:val="auto"/>
        </w:rPr>
      </w:pPr>
    </w:p>
    <w:p>
      <w:pPr>
        <w:sectPr>
          <w:pgSz w:w="11900" w:h="16838" w:orient="portrait"/>
          <w:cols w:equalWidth="0" w:num="3">
            <w:col w:w="2680" w:space="20"/>
            <w:col w:w="5760" w:space="560"/>
            <w:col w:w="2400"/>
          </w:cols>
          <w:pgMar w:left="240" w:top="269" w:right="239" w:bottom="1440" w:gutter="0" w:footer="0" w:header="0"/>
        </w:sectPr>
      </w:pPr>
    </w:p>
    <w:tbl>
      <w:tblPr>
        <w:tblLayout w:type="fixed"/>
        <w:tblInd w:w="0" w:type="dxa"/>
        <w:tblCellMar>
          <w:top w:w="0" w:type="dxa"/>
          <w:left w:w="0" w:type="dxa"/>
          <w:bottom w:w="0" w:type="dxa"/>
          <w:right w:w="0" w:type="dxa"/>
        </w:tblCellMar>
      </w:tblPr>
      <w:tr>
        <w:trPr>
          <w:trHeight w:val="213"/>
        </w:trPr>
        <w:tc>
          <w:tcPr>
            <w:tcW w:w="140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(14,967)</w:t>
            </w:r>
          </w:p>
        </w:tc>
        <w:tc>
          <w:tcPr>
            <w:tcW w:w="12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(1,112)</w:t>
            </w:r>
          </w:p>
        </w:tc>
        <w:tc>
          <w:tcPr>
            <w:tcW w:w="6040" w:type="dxa"/>
            <w:vAlign w:val="bottom"/>
            <w:tcBorders>
              <w:bottom w:val="single" w:sz="8" w:color="BFBFBF"/>
            </w:tcBorders>
          </w:tcPr>
          <w:p>
            <w:pPr>
              <w:ind w:left="120"/>
              <w:spacing w:after="0"/>
              <w:rPr>
                <w:sz w:val="20"/>
                <w:szCs w:val="20"/>
                <w:color w:val="auto"/>
              </w:rPr>
            </w:pPr>
            <w:r>
              <w:rPr>
                <w:rFonts w:ascii="Arial" w:cs="Arial" w:eastAsia="Arial" w:hAnsi="Arial"/>
                <w:sz w:val="16"/>
                <w:szCs w:val="16"/>
                <w:color w:val="auto"/>
              </w:rPr>
              <w:t>Net cash used in financing activities</w:t>
            </w:r>
          </w:p>
        </w:tc>
        <w:tc>
          <w:tcPr>
            <w:tcW w:w="13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(30,106)</w:t>
            </w:r>
          </w:p>
        </w:tc>
        <w:tc>
          <w:tcPr>
            <w:tcW w:w="138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(3,570)</w:t>
            </w:r>
          </w:p>
        </w:tc>
      </w:tr>
      <w:tr>
        <w:trPr>
          <w:trHeight w:val="186"/>
        </w:trPr>
        <w:tc>
          <w:tcPr>
            <w:tcW w:w="1400" w:type="dxa"/>
            <w:vAlign w:val="bottom"/>
            <w:shd w:val="clear" w:color="auto" w:fill="BFBFBF"/>
          </w:tcPr>
          <w:p>
            <w:pPr>
              <w:spacing w:after="0"/>
              <w:rPr>
                <w:sz w:val="16"/>
                <w:szCs w:val="16"/>
                <w:color w:val="auto"/>
              </w:rPr>
            </w:pPr>
          </w:p>
        </w:tc>
        <w:tc>
          <w:tcPr>
            <w:tcW w:w="1280" w:type="dxa"/>
            <w:vAlign w:val="bottom"/>
            <w:shd w:val="clear" w:color="auto" w:fill="BFBFBF"/>
          </w:tcPr>
          <w:p>
            <w:pPr>
              <w:spacing w:after="0"/>
              <w:rPr>
                <w:sz w:val="16"/>
                <w:szCs w:val="16"/>
                <w:color w:val="auto"/>
              </w:rPr>
            </w:pPr>
          </w:p>
        </w:tc>
        <w:tc>
          <w:tcPr>
            <w:tcW w:w="6040" w:type="dxa"/>
            <w:vAlign w:val="bottom"/>
            <w:shd w:val="clear" w:color="auto" w:fill="BFBFBF"/>
          </w:tcPr>
          <w:p>
            <w:pPr>
              <w:spacing w:after="0"/>
              <w:rPr>
                <w:sz w:val="16"/>
                <w:szCs w:val="16"/>
                <w:color w:val="auto"/>
              </w:rPr>
            </w:pPr>
          </w:p>
        </w:tc>
        <w:tc>
          <w:tcPr>
            <w:tcW w:w="1320" w:type="dxa"/>
            <w:vAlign w:val="bottom"/>
            <w:shd w:val="clear" w:color="auto" w:fill="BFBFBF"/>
          </w:tcPr>
          <w:p>
            <w:pPr>
              <w:spacing w:after="0"/>
              <w:rPr>
                <w:sz w:val="16"/>
                <w:szCs w:val="16"/>
                <w:color w:val="auto"/>
              </w:rPr>
            </w:pPr>
          </w:p>
        </w:tc>
        <w:tc>
          <w:tcPr>
            <w:tcW w:w="1380" w:type="dxa"/>
            <w:vAlign w:val="bottom"/>
            <w:shd w:val="clear" w:color="auto" w:fill="BFBFBF"/>
          </w:tcPr>
          <w:p>
            <w:pPr>
              <w:spacing w:after="0"/>
              <w:rPr>
                <w:sz w:val="16"/>
                <w:szCs w:val="16"/>
                <w:color w:val="auto"/>
              </w:rPr>
            </w:pPr>
          </w:p>
        </w:tc>
      </w:tr>
      <w:tr>
        <w:trPr>
          <w:trHeight w:val="213"/>
        </w:trPr>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(1,082)</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(7,882)</w:t>
            </w:r>
          </w:p>
        </w:tc>
        <w:tc>
          <w:tcPr>
            <w:tcW w:w="604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(59)</w:t>
            </w:r>
          </w:p>
        </w:tc>
        <w:tc>
          <w:tcPr>
            <w:tcW w:w="13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(2,978)</w:t>
            </w:r>
          </w:p>
        </w:tc>
      </w:tr>
      <w:tr>
        <w:trPr>
          <w:trHeight w:val="186"/>
        </w:trPr>
        <w:tc>
          <w:tcPr>
            <w:tcW w:w="1400" w:type="dxa"/>
            <w:vAlign w:val="bottom"/>
            <w:shd w:val="clear" w:color="auto" w:fill="BFBFBF"/>
          </w:tcPr>
          <w:p>
            <w:pPr>
              <w:spacing w:after="0"/>
              <w:rPr>
                <w:sz w:val="16"/>
                <w:szCs w:val="16"/>
                <w:color w:val="auto"/>
              </w:rPr>
            </w:pPr>
          </w:p>
        </w:tc>
        <w:tc>
          <w:tcPr>
            <w:tcW w:w="1280" w:type="dxa"/>
            <w:vAlign w:val="bottom"/>
            <w:shd w:val="clear" w:color="auto" w:fill="BFBFBF"/>
          </w:tcPr>
          <w:p>
            <w:pPr>
              <w:spacing w:after="0"/>
              <w:rPr>
                <w:sz w:val="16"/>
                <w:szCs w:val="16"/>
                <w:color w:val="auto"/>
              </w:rPr>
            </w:pPr>
          </w:p>
        </w:tc>
        <w:tc>
          <w:tcPr>
            <w:tcW w:w="6040" w:type="dxa"/>
            <w:vAlign w:val="bottom"/>
            <w:shd w:val="clear" w:color="auto" w:fill="BFBFBF"/>
          </w:tcPr>
          <w:p>
            <w:pPr>
              <w:spacing w:after="0"/>
              <w:rPr>
                <w:sz w:val="16"/>
                <w:szCs w:val="16"/>
                <w:color w:val="auto"/>
              </w:rPr>
            </w:pPr>
          </w:p>
        </w:tc>
        <w:tc>
          <w:tcPr>
            <w:tcW w:w="1320" w:type="dxa"/>
            <w:vAlign w:val="bottom"/>
            <w:shd w:val="clear" w:color="auto" w:fill="BFBFBF"/>
          </w:tcPr>
          <w:p>
            <w:pPr>
              <w:spacing w:after="0"/>
              <w:rPr>
                <w:sz w:val="16"/>
                <w:szCs w:val="16"/>
                <w:color w:val="auto"/>
              </w:rPr>
            </w:pPr>
          </w:p>
        </w:tc>
        <w:tc>
          <w:tcPr>
            <w:tcW w:w="1380" w:type="dxa"/>
            <w:vAlign w:val="bottom"/>
            <w:shd w:val="clear" w:color="auto" w:fill="BFBFBF"/>
          </w:tcPr>
          <w:p>
            <w:pPr>
              <w:spacing w:after="0"/>
              <w:rPr>
                <w:sz w:val="16"/>
                <w:szCs w:val="16"/>
                <w:color w:val="auto"/>
              </w:rPr>
            </w:pPr>
          </w:p>
        </w:tc>
      </w:tr>
      <w:tr>
        <w:trPr>
          <w:trHeight w:val="213"/>
        </w:trPr>
        <w:tc>
          <w:tcPr>
            <w:tcW w:w="1400" w:type="dxa"/>
            <w:vAlign w:val="bottom"/>
          </w:tcPr>
          <w:p>
            <w:pPr>
              <w:jc w:val="right"/>
              <w:ind w:right="259"/>
              <w:spacing w:after="0"/>
              <w:rPr>
                <w:sz w:val="20"/>
                <w:szCs w:val="20"/>
                <w:color w:val="auto"/>
              </w:rPr>
            </w:pPr>
            <w:r>
              <w:rPr>
                <w:rFonts w:ascii="Arial" w:cs="Arial" w:eastAsia="Arial" w:hAnsi="Arial"/>
                <w:sz w:val="16"/>
                <w:szCs w:val="16"/>
                <w:color w:val="auto"/>
              </w:rPr>
              <w:t>27,848</w:t>
            </w:r>
          </w:p>
        </w:tc>
        <w:tc>
          <w:tcPr>
            <w:tcW w:w="1280" w:type="dxa"/>
            <w:vAlign w:val="bottom"/>
          </w:tcPr>
          <w:p>
            <w:pPr>
              <w:jc w:val="right"/>
              <w:ind w:right="199"/>
              <w:spacing w:after="0"/>
              <w:rPr>
                <w:sz w:val="20"/>
                <w:szCs w:val="20"/>
                <w:color w:val="auto"/>
              </w:rPr>
            </w:pPr>
            <w:r>
              <w:rPr>
                <w:rFonts w:ascii="Arial" w:cs="Arial" w:eastAsia="Arial" w:hAnsi="Arial"/>
                <w:sz w:val="16"/>
                <w:szCs w:val="16"/>
                <w:color w:val="auto"/>
              </w:rPr>
              <w:t>3,318</w:t>
            </w:r>
          </w:p>
        </w:tc>
        <w:tc>
          <w:tcPr>
            <w:tcW w:w="6040" w:type="dxa"/>
            <w:vAlign w:val="bottom"/>
          </w:tcPr>
          <w:p>
            <w:pPr>
              <w:ind w:left="20"/>
              <w:spacing w:after="0"/>
              <w:rPr>
                <w:sz w:val="20"/>
                <w:szCs w:val="20"/>
                <w:color w:val="auto"/>
              </w:rPr>
            </w:pPr>
            <w:r>
              <w:rPr>
                <w:rFonts w:ascii="Arial" w:cs="Arial" w:eastAsia="Arial" w:hAnsi="Arial"/>
                <w:sz w:val="16"/>
                <w:szCs w:val="16"/>
                <w:color w:val="auto"/>
              </w:rPr>
              <w:t>Increase/(decrease) in cash and cash equivalents</w:t>
            </w:r>
          </w:p>
        </w:tc>
        <w:tc>
          <w:tcPr>
            <w:tcW w:w="1320" w:type="dxa"/>
            <w:vAlign w:val="bottom"/>
          </w:tcPr>
          <w:p>
            <w:pPr>
              <w:jc w:val="right"/>
              <w:ind w:right="279"/>
              <w:spacing w:after="0"/>
              <w:rPr>
                <w:sz w:val="20"/>
                <w:szCs w:val="20"/>
                <w:color w:val="auto"/>
              </w:rPr>
            </w:pPr>
            <w:r>
              <w:rPr>
                <w:rFonts w:ascii="Arial" w:cs="Arial" w:eastAsia="Arial" w:hAnsi="Arial"/>
                <w:sz w:val="16"/>
                <w:szCs w:val="16"/>
                <w:color w:val="auto"/>
              </w:rPr>
              <w:t>17,478</w:t>
            </w:r>
          </w:p>
        </w:tc>
        <w:tc>
          <w:tcPr>
            <w:tcW w:w="1380" w:type="dxa"/>
            <w:vAlign w:val="bottom"/>
          </w:tcPr>
          <w:p>
            <w:pPr>
              <w:jc w:val="right"/>
              <w:ind w:right="279"/>
              <w:spacing w:after="0"/>
              <w:rPr>
                <w:sz w:val="20"/>
                <w:szCs w:val="20"/>
                <w:color w:val="auto"/>
              </w:rPr>
            </w:pPr>
            <w:r>
              <w:rPr>
                <w:rFonts w:ascii="Arial" w:cs="Arial" w:eastAsia="Arial" w:hAnsi="Arial"/>
                <w:sz w:val="16"/>
                <w:szCs w:val="16"/>
                <w:color w:val="auto"/>
              </w:rPr>
              <w:t>(28,983)</w:t>
            </w:r>
          </w:p>
        </w:tc>
      </w:tr>
      <w:tr>
        <w:trPr>
          <w:trHeight w:val="216"/>
        </w:trPr>
        <w:tc>
          <w:tcPr>
            <w:tcW w:w="1400" w:type="dxa"/>
            <w:vAlign w:val="bottom"/>
            <w:tcBorders>
              <w:bottom w:val="single" w:sz="8" w:color="auto"/>
            </w:tcBorders>
            <w:shd w:val="clear" w:color="auto" w:fill="BFBFBF"/>
          </w:tcPr>
          <w:p>
            <w:pPr>
              <w:jc w:val="right"/>
              <w:ind w:right="259"/>
              <w:spacing w:after="0"/>
              <w:rPr>
                <w:sz w:val="20"/>
                <w:szCs w:val="20"/>
                <w:color w:val="auto"/>
              </w:rPr>
            </w:pPr>
            <w:r>
              <w:rPr>
                <w:rFonts w:ascii="Arial" w:cs="Arial" w:eastAsia="Arial" w:hAnsi="Arial"/>
                <w:sz w:val="16"/>
                <w:szCs w:val="16"/>
                <w:color w:val="auto"/>
              </w:rPr>
              <w:t>187,385</w:t>
            </w:r>
          </w:p>
        </w:tc>
        <w:tc>
          <w:tcPr>
            <w:tcW w:w="1280" w:type="dxa"/>
            <w:vAlign w:val="bottom"/>
            <w:tcBorders>
              <w:bottom w:val="single" w:sz="8" w:color="auto"/>
            </w:tcBorders>
            <w:shd w:val="clear" w:color="auto" w:fill="BFBFBF"/>
          </w:tcPr>
          <w:p>
            <w:pPr>
              <w:jc w:val="right"/>
              <w:ind w:right="219"/>
              <w:spacing w:after="0"/>
              <w:rPr>
                <w:sz w:val="20"/>
                <w:szCs w:val="20"/>
                <w:color w:val="auto"/>
              </w:rPr>
            </w:pPr>
            <w:r>
              <w:rPr>
                <w:rFonts w:ascii="Arial" w:cs="Arial" w:eastAsia="Arial" w:hAnsi="Arial"/>
                <w:sz w:val="16"/>
                <w:szCs w:val="16"/>
                <w:color w:val="auto"/>
              </w:rPr>
              <w:t>151,426</w:t>
            </w:r>
          </w:p>
        </w:tc>
        <w:tc>
          <w:tcPr>
            <w:tcW w:w="6040" w:type="dxa"/>
            <w:vAlign w:val="bottom"/>
            <w:shd w:val="clear" w:color="auto" w:fill="BFBFB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320" w:type="dxa"/>
            <w:vAlign w:val="bottom"/>
            <w:tcBorders>
              <w:bottom w:val="single" w:sz="8" w:color="auto"/>
            </w:tcBorders>
            <w:shd w:val="clear" w:color="auto" w:fill="BFBFBF"/>
          </w:tcPr>
          <w:p>
            <w:pPr>
              <w:jc w:val="right"/>
              <w:ind w:right="279"/>
              <w:spacing w:after="0"/>
              <w:rPr>
                <w:sz w:val="20"/>
                <w:szCs w:val="20"/>
                <w:color w:val="auto"/>
              </w:rPr>
            </w:pPr>
            <w:r>
              <w:rPr>
                <w:rFonts w:ascii="Arial" w:cs="Arial" w:eastAsia="Arial" w:hAnsi="Arial"/>
                <w:sz w:val="16"/>
                <w:szCs w:val="16"/>
                <w:color w:val="auto"/>
              </w:rPr>
              <w:t>197,755</w:t>
            </w:r>
          </w:p>
        </w:tc>
        <w:tc>
          <w:tcPr>
            <w:tcW w:w="1380" w:type="dxa"/>
            <w:vAlign w:val="bottom"/>
            <w:tcBorders>
              <w:bottom w:val="single" w:sz="8" w:color="auto"/>
            </w:tcBorders>
            <w:shd w:val="clear" w:color="auto" w:fill="BFBFBF"/>
          </w:tcPr>
          <w:p>
            <w:pPr>
              <w:jc w:val="right"/>
              <w:ind w:right="299"/>
              <w:spacing w:after="0"/>
              <w:rPr>
                <w:sz w:val="20"/>
                <w:szCs w:val="20"/>
                <w:color w:val="auto"/>
              </w:rPr>
            </w:pPr>
            <w:r>
              <w:rPr>
                <w:rFonts w:ascii="Arial" w:cs="Arial" w:eastAsia="Arial" w:hAnsi="Arial"/>
                <w:sz w:val="16"/>
                <w:szCs w:val="16"/>
                <w:color w:val="auto"/>
              </w:rPr>
              <w:t>183,727</w:t>
            </w:r>
          </w:p>
        </w:tc>
      </w:tr>
      <w:tr>
        <w:trPr>
          <w:trHeight w:val="213"/>
        </w:trPr>
        <w:tc>
          <w:tcPr>
            <w:tcW w:w="14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$215,233</w:t>
            </w:r>
          </w:p>
        </w:tc>
        <w:tc>
          <w:tcPr>
            <w:tcW w:w="12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$154,744</w:t>
            </w:r>
          </w:p>
        </w:tc>
        <w:tc>
          <w:tcPr>
            <w:tcW w:w="60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$215,233</w:t>
            </w:r>
          </w:p>
        </w:tc>
        <w:tc>
          <w:tcPr>
            <w:tcW w:w="13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$154,744</w:t>
            </w:r>
          </w:p>
        </w:tc>
      </w:tr>
      <w:tr>
        <w:trPr>
          <w:trHeight w:val="20"/>
        </w:trPr>
        <w:tc>
          <w:tcPr>
            <w:tcW w:w="1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2" w:lineRule="exact"/>
        <w:rPr>
          <w:sz w:val="20"/>
          <w:szCs w:val="20"/>
          <w:color w:val="auto"/>
        </w:rPr>
      </w:pPr>
    </w:p>
    <w:p>
      <w:pPr>
        <w:ind w:left="340" w:right="8520" w:hanging="332"/>
        <w:spacing w:after="0" w:line="394" w:lineRule="auto"/>
        <w:tabs>
          <w:tab w:leader="none" w:pos="216"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Significant Accounting Policies Basis of Presentation</w:t>
      </w:r>
    </w:p>
    <w:p>
      <w:pPr>
        <w:spacing w:after="0" w:line="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2018. Certain quarterly results for 2018 contained within this report have been revised to correct immaterial errors, as described in Note 24 of Item 8 in that same Annual Report on Form 10-K.</w:t>
      </w:r>
    </w:p>
    <w:p>
      <w:pPr>
        <w:spacing w:after="0" w:line="77"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Effective January 1, 2019, we adopted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effective date approach for transition as discussed in Note 3, Leases. Accounting policies have been applied consistently to periods presented, except for the application of ASC 842, as further described in Note 3.</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8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Machine Clothing (MC) segment designs and manufactures fabrics and process felts used in the manufacture of all grades of paper products and other industrial products. We sell our MC products directly to customer end-users in countries across the globe. Our products, manufacturing processes, and distribution channels for MC are substantially the same in each region of the world in which we operate. 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97"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is a designer and manufacturer of advanced materials-based engineered components for jet engine and airframe applications, supporting both commercial and military platforms provides highly engineered, advanced composite structures to customers in the commercial and defense aerospace industries. AEC’s largest program relates to CFM International’s LEAP engine. Under this program, 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AEC net sales to Safran were $116.3 million and $88.4 million in the first six months of 2019 and 2018, respectively. The total of Accounts receivable, Contract assets and Noncurrent receivables due from Safran amounted to $91.1 million and $96.8 million as of June 30, 2019 and December 31, 2018,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5160" w:type="dxa"/>
            <w:vAlign w:val="bottom"/>
            <w:tcBorders>
              <w:top w:val="single" w:sz="8" w:color="auto"/>
            </w:tcBorders>
          </w:tcPr>
          <w:p>
            <w:pPr>
              <w:spacing w:after="0"/>
              <w:rPr>
                <w:sz w:val="17"/>
                <w:szCs w:val="17"/>
                <w:color w:val="auto"/>
              </w:rPr>
            </w:pPr>
          </w:p>
        </w:tc>
        <w:tc>
          <w:tcPr>
            <w:tcW w:w="2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212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2018</w:t>
            </w: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r>
      <w:tr>
        <w:trPr>
          <w:trHeight w:val="205"/>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Net sales</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$155,016</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$161,784</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$299,349</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$303,557</w:t>
            </w:r>
          </w:p>
        </w:tc>
      </w:tr>
      <w:tr>
        <w:trPr>
          <w:trHeight w:val="21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118,933</w:t>
            </w: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93,590</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225,972</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175,420</w:t>
            </w:r>
          </w:p>
        </w:tc>
      </w:tr>
      <w:tr>
        <w:trPr>
          <w:trHeight w:val="21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Consolidated total</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$273,949</w:t>
            </w: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$255,374</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$525,321</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$478,977</w:t>
            </w:r>
          </w:p>
        </w:tc>
      </w:tr>
      <w:tr>
        <w:trPr>
          <w:trHeight w:val="206"/>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w:t>
            </w:r>
          </w:p>
        </w:tc>
        <w:tc>
          <w:tcPr>
            <w:tcW w:w="9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$ 49,538</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$ 50,315</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$ 93,781</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$ 77,258</w:t>
            </w:r>
          </w:p>
        </w:tc>
      </w:tr>
      <w:tr>
        <w:trPr>
          <w:trHeight w:val="216"/>
        </w:trPr>
        <w:tc>
          <w:tcPr>
            <w:tcW w:w="51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17,732</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4,092</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27,254</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6,366</w:t>
            </w:r>
          </w:p>
        </w:tc>
      </w:tr>
      <w:tr>
        <w:trPr>
          <w:trHeight w:val="21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(13,045)</w:t>
            </w:r>
          </w:p>
        </w:tc>
        <w:tc>
          <w:tcPr>
            <w:tcW w:w="11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(12,251)</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(26,717)</w:t>
            </w:r>
          </w:p>
        </w:tc>
        <w:tc>
          <w:tcPr>
            <w:tcW w:w="116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(24,464)</w:t>
            </w:r>
          </w:p>
        </w:tc>
      </w:tr>
      <w:tr>
        <w:trPr>
          <w:trHeight w:val="211"/>
        </w:trPr>
        <w:tc>
          <w:tcPr>
            <w:tcW w:w="51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$ 54,225</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$ 42,156</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$ 94,318</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$ 59,160</w:t>
            </w:r>
          </w:p>
        </w:tc>
      </w:tr>
      <w:tr>
        <w:trPr>
          <w:trHeight w:val="211"/>
        </w:trPr>
        <w:tc>
          <w:tcPr>
            <w:tcW w:w="5160" w:type="dxa"/>
            <w:vAlign w:val="bottom"/>
          </w:tcPr>
          <w:p>
            <w:pPr>
              <w:ind w:left="20"/>
              <w:spacing w:after="0"/>
              <w:rPr>
                <w:sz w:val="20"/>
                <w:szCs w:val="20"/>
                <w:color w:val="auto"/>
              </w:rPr>
            </w:pPr>
            <w:r>
              <w:rPr>
                <w:rFonts w:ascii="Arial" w:cs="Arial" w:eastAsia="Arial" w:hAnsi="Arial"/>
                <w:sz w:val="16"/>
                <w:szCs w:val="16"/>
                <w:color w:val="auto"/>
              </w:rPr>
              <w:t>Reconciling items:</w:t>
            </w:r>
          </w:p>
        </w:tc>
        <w:tc>
          <w:tcPr>
            <w:tcW w:w="9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60" w:type="dxa"/>
            <w:vAlign w:val="bottom"/>
          </w:tcPr>
          <w:p>
            <w:pPr>
              <w:ind w:left="120"/>
              <w:spacing w:after="0"/>
              <w:rPr>
                <w:sz w:val="20"/>
                <w:szCs w:val="20"/>
                <w:color w:val="auto"/>
              </w:rPr>
            </w:pPr>
            <w:r>
              <w:rPr>
                <w:rFonts w:ascii="Arial" w:cs="Arial" w:eastAsia="Arial" w:hAnsi="Arial"/>
                <w:sz w:val="16"/>
                <w:szCs w:val="16"/>
                <w:color w:val="auto"/>
              </w:rPr>
              <w:t>Interest income</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(587)</w:t>
            </w:r>
          </w:p>
        </w:tc>
        <w:tc>
          <w:tcPr>
            <w:tcW w:w="1180" w:type="dxa"/>
            <w:vAlign w:val="bottom"/>
          </w:tcPr>
          <w:p>
            <w:pPr>
              <w:jc w:val="right"/>
              <w:ind w:right="220"/>
              <w:spacing w:after="0"/>
              <w:rPr>
                <w:sz w:val="20"/>
                <w:szCs w:val="20"/>
                <w:color w:val="auto"/>
              </w:rPr>
            </w:pPr>
            <w:r>
              <w:rPr>
                <w:rFonts w:ascii="Arial" w:cs="Arial" w:eastAsia="Arial" w:hAnsi="Arial"/>
                <w:sz w:val="16"/>
                <w:szCs w:val="16"/>
                <w:color w:val="auto"/>
              </w:rPr>
              <w:t>(438)</w:t>
            </w:r>
          </w:p>
        </w:tc>
        <w:tc>
          <w:tcPr>
            <w:tcW w:w="960" w:type="dxa"/>
            <w:vAlign w:val="bottom"/>
          </w:tcPr>
          <w:p>
            <w:pPr>
              <w:jc w:val="right"/>
              <w:ind w:right="100"/>
              <w:spacing w:after="0"/>
              <w:rPr>
                <w:sz w:val="20"/>
                <w:szCs w:val="20"/>
                <w:color w:val="auto"/>
              </w:rPr>
            </w:pPr>
            <w:r>
              <w:rPr>
                <w:rFonts w:ascii="Arial" w:cs="Arial" w:eastAsia="Arial" w:hAnsi="Arial"/>
                <w:sz w:val="16"/>
                <w:szCs w:val="16"/>
                <w:b w:val="1"/>
                <w:bCs w:val="1"/>
                <w:color w:val="auto"/>
              </w:rPr>
              <w:t>(1,186)</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(820)</w:t>
            </w:r>
          </w:p>
        </w:tc>
      </w:tr>
      <w:tr>
        <w:trPr>
          <w:trHeight w:val="216"/>
        </w:trPr>
        <w:tc>
          <w:tcPr>
            <w:tcW w:w="5160" w:type="dxa"/>
            <w:vAlign w:val="bottom"/>
          </w:tcPr>
          <w:p>
            <w:pPr>
              <w:ind w:left="12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120"/>
              <w:spacing w:after="0"/>
              <w:rPr>
                <w:sz w:val="20"/>
                <w:szCs w:val="20"/>
                <w:color w:val="auto"/>
              </w:rPr>
            </w:pPr>
            <w:r>
              <w:rPr>
                <w:rFonts w:ascii="Arial" w:cs="Arial" w:eastAsia="Arial" w:hAnsi="Arial"/>
                <w:sz w:val="16"/>
                <w:szCs w:val="16"/>
                <w:b w:val="1"/>
                <w:bCs w:val="1"/>
                <w:color w:val="auto"/>
              </w:rPr>
              <w:t>5,218</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5,059</w:t>
            </w:r>
          </w:p>
        </w:tc>
        <w:tc>
          <w:tcPr>
            <w:tcW w:w="960" w:type="dxa"/>
            <w:vAlign w:val="bottom"/>
          </w:tcPr>
          <w:p>
            <w:pPr>
              <w:jc w:val="right"/>
              <w:ind w:right="140"/>
              <w:spacing w:after="0"/>
              <w:rPr>
                <w:sz w:val="20"/>
                <w:szCs w:val="20"/>
                <w:color w:val="auto"/>
              </w:rPr>
            </w:pPr>
            <w:r>
              <w:rPr>
                <w:rFonts w:ascii="Arial" w:cs="Arial" w:eastAsia="Arial" w:hAnsi="Arial"/>
                <w:sz w:val="16"/>
                <w:szCs w:val="16"/>
                <w:b w:val="1"/>
                <w:bCs w:val="1"/>
                <w:color w:val="auto"/>
              </w:rPr>
              <w:t>10,234</w:t>
            </w:r>
          </w:p>
        </w:tc>
        <w:tc>
          <w:tcPr>
            <w:tcW w:w="1160" w:type="dxa"/>
            <w:vAlign w:val="bottom"/>
          </w:tcPr>
          <w:p>
            <w:pPr>
              <w:jc w:val="right"/>
              <w:ind w:right="220"/>
              <w:spacing w:after="0"/>
              <w:rPr>
                <w:sz w:val="20"/>
                <w:szCs w:val="20"/>
                <w:color w:val="auto"/>
              </w:rPr>
            </w:pPr>
            <w:r>
              <w:rPr>
                <w:rFonts w:ascii="Arial" w:cs="Arial" w:eastAsia="Arial" w:hAnsi="Arial"/>
                <w:sz w:val="16"/>
                <w:szCs w:val="16"/>
                <w:color w:val="auto"/>
              </w:rPr>
              <w:t>9,729</w:t>
            </w:r>
          </w:p>
        </w:tc>
      </w:tr>
      <w:tr>
        <w:trPr>
          <w:trHeight w:val="219"/>
        </w:trPr>
        <w:tc>
          <w:tcPr>
            <w:tcW w:w="51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(income)/expense, net</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930</w:t>
            </w: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726</w:t>
            </w:r>
          </w:p>
        </w:tc>
        <w:tc>
          <w:tcPr>
            <w:tcW w:w="96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b w:val="1"/>
                <w:bCs w:val="1"/>
                <w:color w:val="auto"/>
              </w:rPr>
              <w:t>(278)</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2,178</w:t>
            </w:r>
          </w:p>
        </w:tc>
      </w:tr>
      <w:tr>
        <w:trPr>
          <w:trHeight w:val="21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b w:val="1"/>
                <w:bCs w:val="1"/>
                <w:color w:val="auto"/>
              </w:rPr>
              <w:t>$ 48,664</w:t>
            </w:r>
          </w:p>
        </w:tc>
        <w:tc>
          <w:tcPr>
            <w:tcW w:w="118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$ 36,809</w:t>
            </w:r>
          </w:p>
        </w:tc>
        <w:tc>
          <w:tcPr>
            <w:tcW w:w="960" w:type="dxa"/>
            <w:vAlign w:val="bottom"/>
            <w:tcBorders>
              <w:bottom w:val="single" w:sz="8" w:color="auto"/>
            </w:tcBorders>
          </w:tcPr>
          <w:p>
            <w:pPr>
              <w:jc w:val="right"/>
              <w:ind w:right="140"/>
              <w:spacing w:after="0"/>
              <w:rPr>
                <w:sz w:val="20"/>
                <w:szCs w:val="20"/>
                <w:color w:val="auto"/>
              </w:rPr>
            </w:pPr>
            <w:r>
              <w:rPr>
                <w:rFonts w:ascii="Arial" w:cs="Arial" w:eastAsia="Arial" w:hAnsi="Arial"/>
                <w:sz w:val="16"/>
                <w:szCs w:val="16"/>
                <w:b w:val="1"/>
                <w:bCs w:val="1"/>
                <w:color w:val="auto"/>
              </w:rPr>
              <w:t>$ 85,548</w:t>
            </w:r>
          </w:p>
        </w:tc>
        <w:tc>
          <w:tcPr>
            <w:tcW w:w="116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$ 48,073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5160" w:type="dxa"/>
            <w:vAlign w:val="bottom"/>
            <w:tcBorders>
              <w:top w:val="single" w:sz="8" w:color="auto"/>
            </w:tcBorders>
          </w:tcPr>
          <w:p>
            <w:pPr>
              <w:spacing w:after="0"/>
              <w:rPr>
                <w:sz w:val="17"/>
                <w:szCs w:val="17"/>
                <w:color w:val="auto"/>
              </w:rPr>
            </w:pPr>
          </w:p>
        </w:tc>
        <w:tc>
          <w:tcPr>
            <w:tcW w:w="218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4"/>
                <w:szCs w:val="14"/>
                <w:b w:val="1"/>
                <w:bCs w:val="1"/>
                <w:color w:val="auto"/>
              </w:rPr>
              <w:t>Three months ended June 30,</w:t>
            </w:r>
          </w:p>
        </w:tc>
        <w:tc>
          <w:tcPr>
            <w:tcW w:w="2080" w:type="dxa"/>
            <w:vAlign w:val="bottom"/>
            <w:tcBorders>
              <w:top w:val="single" w:sz="8" w:color="auto"/>
              <w:bottom w:val="single" w:sz="8" w:color="auto"/>
            </w:tcBorders>
            <w:gridSpan w:val="2"/>
          </w:tcPr>
          <w:p>
            <w:pPr>
              <w:jc w:val="right"/>
              <w:ind w:right="6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90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r>
      <w:tr>
        <w:trPr>
          <w:trHeight w:val="205"/>
        </w:trPr>
        <w:tc>
          <w:tcPr>
            <w:tcW w:w="51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940" w:type="dxa"/>
            <w:vAlign w:val="bottom"/>
          </w:tcPr>
          <w:p>
            <w:pPr>
              <w:jc w:val="center"/>
              <w:ind w:right="22"/>
              <w:spacing w:after="0"/>
              <w:rPr>
                <w:sz w:val="20"/>
                <w:szCs w:val="20"/>
                <w:color w:val="auto"/>
              </w:rPr>
            </w:pPr>
            <w:r>
              <w:rPr>
                <w:rFonts w:ascii="Arial" w:cs="Arial" w:eastAsia="Arial" w:hAnsi="Arial"/>
                <w:sz w:val="16"/>
                <w:szCs w:val="16"/>
                <w:b w:val="1"/>
                <w:bCs w:val="1"/>
                <w:color w:val="auto"/>
              </w:rPr>
              <w:t>$935</w:t>
            </w:r>
          </w:p>
        </w:tc>
        <w:tc>
          <w:tcPr>
            <w:tcW w:w="1240" w:type="dxa"/>
            <w:vAlign w:val="bottom"/>
          </w:tcPr>
          <w:p>
            <w:pPr>
              <w:jc w:val="right"/>
              <w:ind w:right="361"/>
              <w:spacing w:after="0"/>
              <w:rPr>
                <w:sz w:val="20"/>
                <w:szCs w:val="20"/>
                <w:color w:val="auto"/>
              </w:rPr>
            </w:pPr>
            <w:r>
              <w:rPr>
                <w:rFonts w:ascii="Arial" w:cs="Arial" w:eastAsia="Arial" w:hAnsi="Arial"/>
                <w:sz w:val="16"/>
                <w:szCs w:val="16"/>
                <w:color w:val="auto"/>
              </w:rPr>
              <w:t>$1,800</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$1,336</w:t>
            </w:r>
          </w:p>
        </w:tc>
        <w:tc>
          <w:tcPr>
            <w:tcW w:w="1180" w:type="dxa"/>
            <w:vAlign w:val="bottom"/>
          </w:tcPr>
          <w:p>
            <w:pPr>
              <w:jc w:val="right"/>
              <w:ind w:right="261"/>
              <w:spacing w:after="0"/>
              <w:rPr>
                <w:sz w:val="20"/>
                <w:szCs w:val="20"/>
                <w:color w:val="auto"/>
              </w:rPr>
            </w:pPr>
            <w:r>
              <w:rPr>
                <w:rFonts w:ascii="Arial" w:cs="Arial" w:eastAsia="Arial" w:hAnsi="Arial"/>
                <w:sz w:val="16"/>
                <w:szCs w:val="16"/>
                <w:color w:val="auto"/>
              </w:rPr>
              <w:t>$10,152</w:t>
            </w:r>
          </w:p>
        </w:tc>
      </w:tr>
      <w:tr>
        <w:trPr>
          <w:trHeight w:val="215"/>
        </w:trPr>
        <w:tc>
          <w:tcPr>
            <w:tcW w:w="51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940" w:type="dxa"/>
            <w:vAlign w:val="bottom"/>
          </w:tcPr>
          <w:p>
            <w:pPr>
              <w:jc w:val="right"/>
              <w:ind w:right="242"/>
              <w:spacing w:after="0"/>
              <w:rPr>
                <w:sz w:val="20"/>
                <w:szCs w:val="20"/>
                <w:color w:val="auto"/>
              </w:rPr>
            </w:pPr>
            <w:r>
              <w:rPr>
                <w:rFonts w:ascii="Arial" w:cs="Arial" w:eastAsia="Arial" w:hAnsi="Arial"/>
                <w:sz w:val="16"/>
                <w:szCs w:val="16"/>
                <w:b w:val="1"/>
                <w:bCs w:val="1"/>
                <w:color w:val="auto"/>
              </w:rPr>
              <w:t>(32)</w:t>
            </w:r>
          </w:p>
        </w:tc>
        <w:tc>
          <w:tcPr>
            <w:tcW w:w="1240" w:type="dxa"/>
            <w:vAlign w:val="bottom"/>
          </w:tcPr>
          <w:p>
            <w:pPr>
              <w:jc w:val="right"/>
              <w:ind w:right="381"/>
              <w:spacing w:after="0"/>
              <w:rPr>
                <w:sz w:val="20"/>
                <w:szCs w:val="20"/>
                <w:color w:val="auto"/>
              </w:rPr>
            </w:pPr>
            <w:r>
              <w:rPr>
                <w:rFonts w:ascii="Arial" w:cs="Arial" w:eastAsia="Arial" w:hAnsi="Arial"/>
                <w:sz w:val="16"/>
                <w:szCs w:val="16"/>
                <w:color w:val="auto"/>
              </w:rPr>
              <w:t>558</w:t>
            </w:r>
          </w:p>
        </w:tc>
        <w:tc>
          <w:tcPr>
            <w:tcW w:w="900" w:type="dxa"/>
            <w:vAlign w:val="bottom"/>
          </w:tcPr>
          <w:p>
            <w:pPr>
              <w:jc w:val="right"/>
              <w:ind w:right="202"/>
              <w:spacing w:after="0"/>
              <w:rPr>
                <w:sz w:val="20"/>
                <w:szCs w:val="20"/>
                <w:color w:val="auto"/>
              </w:rPr>
            </w:pPr>
            <w:r>
              <w:rPr>
                <w:rFonts w:ascii="Arial" w:cs="Arial" w:eastAsia="Arial" w:hAnsi="Arial"/>
                <w:sz w:val="16"/>
                <w:szCs w:val="16"/>
                <w:b w:val="1"/>
                <w:bCs w:val="1"/>
                <w:color w:val="auto"/>
              </w:rPr>
              <w:t>51</w:t>
            </w:r>
          </w:p>
        </w:tc>
        <w:tc>
          <w:tcPr>
            <w:tcW w:w="1180" w:type="dxa"/>
            <w:vAlign w:val="bottom"/>
          </w:tcPr>
          <w:p>
            <w:pPr>
              <w:jc w:val="right"/>
              <w:ind w:right="281"/>
              <w:spacing w:after="0"/>
              <w:rPr>
                <w:sz w:val="20"/>
                <w:szCs w:val="20"/>
                <w:color w:val="auto"/>
              </w:rPr>
            </w:pPr>
            <w:r>
              <w:rPr>
                <w:rFonts w:ascii="Arial" w:cs="Arial" w:eastAsia="Arial" w:hAnsi="Arial"/>
                <w:sz w:val="16"/>
                <w:szCs w:val="16"/>
                <w:color w:val="auto"/>
              </w:rPr>
              <w:t>779</w:t>
            </w:r>
          </w:p>
        </w:tc>
      </w:tr>
      <w:tr>
        <w:trPr>
          <w:trHeight w:val="219"/>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9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(4)</w:t>
            </w:r>
          </w:p>
        </w:tc>
        <w:tc>
          <w:tcPr>
            <w:tcW w:w="12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231</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(4)</w:t>
            </w:r>
          </w:p>
        </w:tc>
        <w:tc>
          <w:tcPr>
            <w:tcW w:w="118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231</w:t>
            </w:r>
          </w:p>
        </w:tc>
      </w:tr>
      <w:tr>
        <w:trPr>
          <w:trHeight w:val="212"/>
        </w:trPr>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40" w:type="dxa"/>
            <w:vAlign w:val="bottom"/>
            <w:tcBorders>
              <w:bottom w:val="single" w:sz="8" w:color="auto"/>
            </w:tcBorders>
          </w:tcPr>
          <w:p>
            <w:pPr>
              <w:jc w:val="center"/>
              <w:ind w:right="22"/>
              <w:spacing w:after="0"/>
              <w:rPr>
                <w:sz w:val="20"/>
                <w:szCs w:val="20"/>
                <w:color w:val="auto"/>
              </w:rPr>
            </w:pPr>
            <w:r>
              <w:rPr>
                <w:rFonts w:ascii="Arial" w:cs="Arial" w:eastAsia="Arial" w:hAnsi="Arial"/>
                <w:sz w:val="16"/>
                <w:szCs w:val="16"/>
                <w:b w:val="1"/>
                <w:bCs w:val="1"/>
                <w:color w:val="auto"/>
              </w:rPr>
              <w:t>$899</w:t>
            </w:r>
          </w:p>
        </w:tc>
        <w:tc>
          <w:tcPr>
            <w:tcW w:w="12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$2,589</w:t>
            </w: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$1,383</w:t>
            </w:r>
          </w:p>
        </w:tc>
        <w:tc>
          <w:tcPr>
            <w:tcW w:w="11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$11,162</w:t>
            </w:r>
          </w:p>
        </w:tc>
      </w:tr>
    </w:tbl>
    <w:p>
      <w:pPr>
        <w:spacing w:after="0" w:line="202"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Products and services provided under long-term contracts represent a significant portion of sales in the Albany Engineered Composites segment and we account for these contracts using the percentage of completion (actual cost to estimated cost) method. That method requires significant judgment and estimation, which could be considerably different if the underlying circumstances were to change. When adjustments in estimated contract revenues or costs are required, any changes from prior estimates are included in earnings in the period the change occurs. In 2019, net adjustments to the estimated profitability of long-term contracts increased AEC operating income by $0.6 million in the first quarter, and $5.0 million in the second quarter. The amount recorded in the second quarter includes an immaterial out-of-period favorable adjustment of $1.8 million that the Company should have recorded in the first quarter of 2019. In 2018, net adjustments to the estimated profitability of long-term contracts had a negligible effect on AEC operating income in the first quarter, and reduced operating income by $1.6 million in the second quarter.</w:t>
      </w:r>
    </w:p>
    <w:p>
      <w:pPr>
        <w:spacing w:after="0" w:line="9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reporting units based on the timing of revenue recognition, and groupings used for internal review purposes.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disaggregates revenue for each reporting unit by timing of revenue recognition: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tcBorders>
              <w:top w:val="single" w:sz="8" w:color="auto"/>
            </w:tcBorders>
          </w:tcPr>
          <w:p>
            <w:pPr>
              <w:spacing w:after="0"/>
              <w:rPr>
                <w:sz w:val="17"/>
                <w:szCs w:val="17"/>
                <w:color w:val="auto"/>
              </w:rPr>
            </w:pPr>
          </w:p>
        </w:tc>
        <w:tc>
          <w:tcPr>
            <w:tcW w:w="414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For the three months ended June 30, 2019</w:t>
            </w:r>
          </w:p>
        </w:tc>
        <w:tc>
          <w:tcPr>
            <w:tcW w:w="1420" w:type="dxa"/>
            <w:vAlign w:val="bottom"/>
            <w:tcBorders>
              <w:top w:val="single" w:sz="8" w:color="auto"/>
            </w:tcBorders>
          </w:tcPr>
          <w:p>
            <w:pPr>
              <w:spacing w:after="0"/>
              <w:rPr>
                <w:sz w:val="17"/>
                <w:szCs w:val="17"/>
                <w:color w:val="auto"/>
              </w:rPr>
            </w:pPr>
          </w:p>
        </w:tc>
      </w:tr>
      <w:tr>
        <w:trPr>
          <w:trHeight w:val="156"/>
        </w:trPr>
        <w:tc>
          <w:tcPr>
            <w:tcW w:w="5860" w:type="dxa"/>
            <w:vAlign w:val="bottom"/>
          </w:tcPr>
          <w:p>
            <w:pPr>
              <w:spacing w:after="0"/>
              <w:rPr>
                <w:sz w:val="13"/>
                <w:szCs w:val="13"/>
                <w:color w:val="auto"/>
              </w:rPr>
            </w:pPr>
          </w:p>
        </w:tc>
        <w:tc>
          <w:tcPr>
            <w:tcW w:w="21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Point in Time Revenue</w:t>
            </w:r>
          </w:p>
        </w:tc>
        <w:tc>
          <w:tcPr>
            <w:tcW w:w="20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Over Time Revenue</w:t>
            </w:r>
          </w:p>
        </w:tc>
        <w:tc>
          <w:tcPr>
            <w:tcW w:w="1420" w:type="dxa"/>
            <w:vAlign w:val="bottom"/>
          </w:tcPr>
          <w:p>
            <w:pPr>
              <w:spacing w:after="0"/>
              <w:rPr>
                <w:sz w:val="13"/>
                <w:szCs w:val="13"/>
                <w:color w:val="auto"/>
              </w:rPr>
            </w:pPr>
          </w:p>
        </w:tc>
      </w:tr>
      <w:tr>
        <w:trPr>
          <w:trHeight w:val="18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Recognition</w:t>
            </w: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$154,216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800</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$155,016</w:t>
            </w:r>
          </w:p>
        </w:tc>
      </w:tr>
      <w:tr>
        <w:trPr>
          <w:trHeight w:val="393"/>
        </w:trPr>
        <w:tc>
          <w:tcPr>
            <w:tcW w:w="58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ASC</w:t>
            </w:r>
          </w:p>
        </w:tc>
        <w:tc>
          <w:tcPr>
            <w:tcW w:w="2120" w:type="dxa"/>
            <w:vAlign w:val="bottom"/>
          </w:tcPr>
          <w:p>
            <w:pPr>
              <w:jc w:val="right"/>
              <w:ind w:right="662"/>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spacing w:after="0"/>
              <w:rPr>
                <w:sz w:val="18"/>
                <w:szCs w:val="18"/>
                <w:color w:val="auto"/>
              </w:rPr>
            </w:pPr>
          </w:p>
        </w:tc>
        <w:tc>
          <w:tcPr>
            <w:tcW w:w="1220" w:type="dxa"/>
            <w:vAlign w:val="bottom"/>
          </w:tcPr>
          <w:p>
            <w:pPr>
              <w:jc w:val="right"/>
              <w:ind w:right="619"/>
              <w:spacing w:after="0"/>
              <w:rPr>
                <w:sz w:val="20"/>
                <w:szCs w:val="20"/>
                <w:color w:val="auto"/>
              </w:rPr>
            </w:pPr>
            <w:r>
              <w:rPr>
                <w:rFonts w:ascii="Arial" w:cs="Arial" w:eastAsia="Arial" w:hAnsi="Arial"/>
                <w:sz w:val="16"/>
                <w:szCs w:val="16"/>
                <w:b w:val="1"/>
                <w:bCs w:val="1"/>
                <w:color w:val="auto"/>
              </w:rPr>
              <w:t>58,694</w:t>
            </w:r>
          </w:p>
        </w:tc>
        <w:tc>
          <w:tcPr>
            <w:tcW w:w="1420" w:type="dxa"/>
            <w:vAlign w:val="bottom"/>
          </w:tcPr>
          <w:p>
            <w:pPr>
              <w:jc w:val="right"/>
              <w:ind w:right="300"/>
              <w:spacing w:after="0"/>
              <w:rPr>
                <w:sz w:val="20"/>
                <w:szCs w:val="20"/>
                <w:color w:val="auto"/>
              </w:rPr>
            </w:pPr>
            <w:r>
              <w:rPr>
                <w:rFonts w:ascii="Arial" w:cs="Arial" w:eastAsia="Arial" w:hAnsi="Arial"/>
                <w:sz w:val="16"/>
                <w:szCs w:val="16"/>
                <w:b w:val="1"/>
                <w:bCs w:val="1"/>
                <w:color w:val="auto"/>
              </w:rPr>
              <w:t>58,694</w:t>
            </w: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AEC</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9,897</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50,342</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60,239</w:t>
            </w:r>
          </w:p>
        </w:tc>
      </w:tr>
      <w:tr>
        <w:trPr>
          <w:trHeight w:val="212"/>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9,897</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109,036</w:t>
            </w:r>
          </w:p>
        </w:tc>
        <w:tc>
          <w:tcPr>
            <w:tcW w:w="14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118,933</w:t>
            </w:r>
          </w:p>
        </w:tc>
      </w:tr>
      <w:tr>
        <w:trPr>
          <w:trHeight w:val="183"/>
        </w:trPr>
        <w:tc>
          <w:tcPr>
            <w:tcW w:w="58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$164,113</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$109,836</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$273,949</w:t>
            </w:r>
          </w:p>
        </w:tc>
      </w:tr>
      <w:tr>
        <w:trPr>
          <w:trHeight w:val="156"/>
        </w:trPr>
        <w:tc>
          <w:tcPr>
            <w:tcW w:w="586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gridSpan w:val="3"/>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83"/>
        </w:trPr>
        <w:tc>
          <w:tcPr>
            <w:tcW w:w="5860" w:type="dxa"/>
            <w:vAlign w:val="bottom"/>
          </w:tcPr>
          <w:p>
            <w:pPr>
              <w:spacing w:after="0"/>
              <w:rPr>
                <w:sz w:val="15"/>
                <w:szCs w:val="15"/>
                <w:color w:val="auto"/>
              </w:rPr>
            </w:pPr>
          </w:p>
        </w:tc>
        <w:tc>
          <w:tcPr>
            <w:tcW w:w="4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For the six months ended June 30, 2019</w:t>
            </w:r>
          </w:p>
        </w:tc>
        <w:tc>
          <w:tcPr>
            <w:tcW w:w="1420" w:type="dxa"/>
            <w:vAlign w:val="bottom"/>
          </w:tcPr>
          <w:p>
            <w:pPr>
              <w:spacing w:after="0"/>
              <w:rPr>
                <w:sz w:val="15"/>
                <w:szCs w:val="15"/>
                <w:color w:val="auto"/>
              </w:rPr>
            </w:pPr>
          </w:p>
        </w:tc>
      </w:tr>
      <w:tr>
        <w:trPr>
          <w:trHeight w:val="156"/>
        </w:trPr>
        <w:tc>
          <w:tcPr>
            <w:tcW w:w="5860" w:type="dxa"/>
            <w:vAlign w:val="bottom"/>
          </w:tcPr>
          <w:p>
            <w:pPr>
              <w:spacing w:after="0"/>
              <w:rPr>
                <w:sz w:val="13"/>
                <w:szCs w:val="13"/>
                <w:color w:val="auto"/>
              </w:rPr>
            </w:pPr>
          </w:p>
        </w:tc>
        <w:tc>
          <w:tcPr>
            <w:tcW w:w="21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Point in Time Revenue</w:t>
            </w:r>
          </w:p>
        </w:tc>
        <w:tc>
          <w:tcPr>
            <w:tcW w:w="20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Over Time Revenue</w:t>
            </w:r>
          </w:p>
        </w:tc>
        <w:tc>
          <w:tcPr>
            <w:tcW w:w="1420" w:type="dxa"/>
            <w:vAlign w:val="bottom"/>
          </w:tcPr>
          <w:p>
            <w:pPr>
              <w:spacing w:after="0"/>
              <w:rPr>
                <w:sz w:val="13"/>
                <w:szCs w:val="13"/>
                <w:color w:val="auto"/>
              </w:rPr>
            </w:pPr>
          </w:p>
        </w:tc>
      </w:tr>
      <w:tr>
        <w:trPr>
          <w:trHeight w:val="18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Recognition</w:t>
            </w: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$297,749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1,600</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$299,349</w:t>
            </w:r>
          </w:p>
        </w:tc>
      </w:tr>
      <w:tr>
        <w:trPr>
          <w:trHeight w:val="393"/>
        </w:trPr>
        <w:tc>
          <w:tcPr>
            <w:tcW w:w="58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ASC</w:t>
            </w:r>
          </w:p>
        </w:tc>
        <w:tc>
          <w:tcPr>
            <w:tcW w:w="2120" w:type="dxa"/>
            <w:vAlign w:val="bottom"/>
          </w:tcPr>
          <w:p>
            <w:pPr>
              <w:jc w:val="right"/>
              <w:ind w:right="662"/>
              <w:spacing w:after="0"/>
              <w:rPr>
                <w:sz w:val="20"/>
                <w:szCs w:val="20"/>
                <w:color w:val="auto"/>
              </w:rPr>
            </w:pPr>
            <w:r>
              <w:rPr>
                <w:rFonts w:ascii="Arial" w:cs="Arial" w:eastAsia="Arial" w:hAnsi="Arial"/>
                <w:sz w:val="16"/>
                <w:szCs w:val="16"/>
                <w:b w:val="1"/>
                <w:bCs w:val="1"/>
                <w:color w:val="auto"/>
              </w:rPr>
              <w:t>—</w:t>
            </w:r>
          </w:p>
        </w:tc>
        <w:tc>
          <w:tcPr>
            <w:tcW w:w="2020" w:type="dxa"/>
            <w:vAlign w:val="bottom"/>
            <w:gridSpan w:val="2"/>
          </w:tcPr>
          <w:p>
            <w:pPr>
              <w:jc w:val="right"/>
              <w:ind w:right="619"/>
              <w:spacing w:after="0"/>
              <w:rPr>
                <w:sz w:val="20"/>
                <w:szCs w:val="20"/>
                <w:color w:val="auto"/>
              </w:rPr>
            </w:pPr>
            <w:r>
              <w:rPr>
                <w:rFonts w:ascii="Arial" w:cs="Arial" w:eastAsia="Arial" w:hAnsi="Arial"/>
                <w:sz w:val="16"/>
                <w:szCs w:val="16"/>
                <w:b w:val="1"/>
                <w:bCs w:val="1"/>
                <w:color w:val="auto"/>
              </w:rPr>
              <w:t>114,137</w:t>
            </w:r>
          </w:p>
        </w:tc>
        <w:tc>
          <w:tcPr>
            <w:tcW w:w="1420" w:type="dxa"/>
            <w:vAlign w:val="bottom"/>
          </w:tcPr>
          <w:p>
            <w:pPr>
              <w:jc w:val="right"/>
              <w:ind w:right="280"/>
              <w:spacing w:after="0"/>
              <w:rPr>
                <w:sz w:val="20"/>
                <w:szCs w:val="20"/>
                <w:color w:val="auto"/>
              </w:rPr>
            </w:pPr>
            <w:r>
              <w:rPr>
                <w:rFonts w:ascii="Arial" w:cs="Arial" w:eastAsia="Arial" w:hAnsi="Arial"/>
                <w:sz w:val="16"/>
                <w:szCs w:val="16"/>
                <w:b w:val="1"/>
                <w:bCs w:val="1"/>
                <w:color w:val="auto"/>
              </w:rPr>
              <w:t>114,137</w:t>
            </w: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AEC</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16,142</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95,693</w:t>
            </w:r>
          </w:p>
        </w:tc>
        <w:tc>
          <w:tcPr>
            <w:tcW w:w="142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111,835</w:t>
            </w:r>
          </w:p>
        </w:tc>
      </w:tr>
      <w:tr>
        <w:trPr>
          <w:trHeight w:val="212"/>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16,142</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209,830</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225,972</w:t>
            </w:r>
          </w:p>
        </w:tc>
      </w:tr>
      <w:tr>
        <w:trPr>
          <w:trHeight w:val="183"/>
        </w:trPr>
        <w:tc>
          <w:tcPr>
            <w:tcW w:w="58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r>
      <w:tr>
        <w:trPr>
          <w:trHeight w:val="20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b w:val="1"/>
                <w:bCs w:val="1"/>
                <w:color w:val="auto"/>
              </w:rPr>
              <w:t>$313,891</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$211,430</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$525,321</w:t>
            </w:r>
          </w:p>
        </w:tc>
      </w:tr>
      <w:tr>
        <w:trPr>
          <w:trHeight w:val="156"/>
        </w:trPr>
        <w:tc>
          <w:tcPr>
            <w:tcW w:w="586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gridSpan w:val="3"/>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83"/>
        </w:trPr>
        <w:tc>
          <w:tcPr>
            <w:tcW w:w="5860" w:type="dxa"/>
            <w:vAlign w:val="bottom"/>
          </w:tcPr>
          <w:p>
            <w:pPr>
              <w:spacing w:after="0"/>
              <w:rPr>
                <w:sz w:val="15"/>
                <w:szCs w:val="15"/>
                <w:color w:val="auto"/>
              </w:rPr>
            </w:pPr>
          </w:p>
        </w:tc>
        <w:tc>
          <w:tcPr>
            <w:tcW w:w="4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For the three months ended June 30, 2018</w:t>
            </w:r>
          </w:p>
        </w:tc>
        <w:tc>
          <w:tcPr>
            <w:tcW w:w="1420" w:type="dxa"/>
            <w:vAlign w:val="bottom"/>
          </w:tcPr>
          <w:p>
            <w:pPr>
              <w:spacing w:after="0"/>
              <w:rPr>
                <w:sz w:val="15"/>
                <w:szCs w:val="15"/>
                <w:color w:val="auto"/>
              </w:rPr>
            </w:pPr>
          </w:p>
        </w:tc>
      </w:tr>
      <w:tr>
        <w:trPr>
          <w:trHeight w:val="156"/>
        </w:trPr>
        <w:tc>
          <w:tcPr>
            <w:tcW w:w="5860" w:type="dxa"/>
            <w:vAlign w:val="bottom"/>
          </w:tcPr>
          <w:p>
            <w:pPr>
              <w:spacing w:after="0"/>
              <w:rPr>
                <w:sz w:val="13"/>
                <w:szCs w:val="13"/>
                <w:color w:val="auto"/>
              </w:rPr>
            </w:pPr>
          </w:p>
        </w:tc>
        <w:tc>
          <w:tcPr>
            <w:tcW w:w="21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Point in Time Revenue</w:t>
            </w:r>
          </w:p>
        </w:tc>
        <w:tc>
          <w:tcPr>
            <w:tcW w:w="20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Over Time Revenue</w:t>
            </w:r>
          </w:p>
        </w:tc>
        <w:tc>
          <w:tcPr>
            <w:tcW w:w="1420" w:type="dxa"/>
            <w:vAlign w:val="bottom"/>
          </w:tcPr>
          <w:p>
            <w:pPr>
              <w:spacing w:after="0"/>
              <w:rPr>
                <w:sz w:val="13"/>
                <w:szCs w:val="13"/>
                <w:color w:val="auto"/>
              </w:rPr>
            </w:pPr>
          </w:p>
        </w:tc>
      </w:tr>
      <w:tr>
        <w:trPr>
          <w:trHeight w:val="18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Recognition</w:t>
            </w: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0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$160,984</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800</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$161,784</w:t>
            </w:r>
          </w:p>
        </w:tc>
      </w:tr>
      <w:tr>
        <w:trPr>
          <w:trHeight w:val="396"/>
        </w:trPr>
        <w:tc>
          <w:tcPr>
            <w:tcW w:w="58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ASC</w:t>
            </w:r>
          </w:p>
        </w:tc>
        <w:tc>
          <w:tcPr>
            <w:tcW w:w="2120" w:type="dxa"/>
            <w:vAlign w:val="bottom"/>
          </w:tcPr>
          <w:p>
            <w:pPr>
              <w:jc w:val="right"/>
              <w:ind w:right="662"/>
              <w:spacing w:after="0"/>
              <w:rPr>
                <w:sz w:val="20"/>
                <w:szCs w:val="20"/>
                <w:color w:val="auto"/>
              </w:rPr>
            </w:pPr>
            <w:r>
              <w:rPr>
                <w:rFonts w:ascii="Arial" w:cs="Arial" w:eastAsia="Arial" w:hAnsi="Arial"/>
                <w:sz w:val="16"/>
                <w:szCs w:val="16"/>
                <w:b w:val="1"/>
                <w:bCs w:val="1"/>
                <w:color w:val="auto"/>
              </w:rPr>
              <w:t>—</w:t>
            </w:r>
          </w:p>
        </w:tc>
        <w:tc>
          <w:tcPr>
            <w:tcW w:w="2020" w:type="dxa"/>
            <w:vAlign w:val="bottom"/>
            <w:gridSpan w:val="2"/>
          </w:tcPr>
          <w:p>
            <w:pPr>
              <w:jc w:val="right"/>
              <w:ind w:right="659"/>
              <w:spacing w:after="0"/>
              <w:rPr>
                <w:sz w:val="20"/>
                <w:szCs w:val="20"/>
                <w:color w:val="auto"/>
              </w:rPr>
            </w:pPr>
            <w:r>
              <w:rPr>
                <w:rFonts w:ascii="Arial" w:cs="Arial" w:eastAsia="Arial" w:hAnsi="Arial"/>
                <w:sz w:val="16"/>
                <w:szCs w:val="16"/>
                <w:color w:val="auto"/>
              </w:rPr>
              <w:t>47,025</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47,025</w:t>
            </w: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AEC</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5,704</w:t>
            </w:r>
          </w:p>
        </w:tc>
        <w:tc>
          <w:tcPr>
            <w:tcW w:w="202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40,861</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46,565</w:t>
            </w: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5,704</w:t>
            </w:r>
          </w:p>
        </w:tc>
        <w:tc>
          <w:tcPr>
            <w:tcW w:w="202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87,886</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93,590</w:t>
            </w:r>
          </w:p>
        </w:tc>
      </w:tr>
      <w:tr>
        <w:trPr>
          <w:trHeight w:val="186"/>
        </w:trPr>
        <w:tc>
          <w:tcPr>
            <w:tcW w:w="58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0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$166,688</w:t>
            </w:r>
          </w:p>
        </w:tc>
        <w:tc>
          <w:tcPr>
            <w:tcW w:w="2020" w:type="dxa"/>
            <w:vAlign w:val="bottom"/>
            <w:tcBorders>
              <w:bottom w:val="single" w:sz="8" w:color="auto"/>
            </w:tcBorders>
            <w:gridSpan w:val="2"/>
          </w:tcPr>
          <w:p>
            <w:pPr>
              <w:jc w:val="right"/>
              <w:ind w:right="659"/>
              <w:spacing w:after="0"/>
              <w:rPr>
                <w:sz w:val="20"/>
                <w:szCs w:val="20"/>
                <w:color w:val="auto"/>
              </w:rPr>
            </w:pPr>
            <w:r>
              <w:rPr>
                <w:rFonts w:ascii="Arial" w:cs="Arial" w:eastAsia="Arial" w:hAnsi="Arial"/>
                <w:sz w:val="16"/>
                <w:szCs w:val="16"/>
                <w:color w:val="auto"/>
              </w:rPr>
              <w:t>$88,686</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$255,374</w:t>
            </w:r>
          </w:p>
        </w:tc>
      </w:tr>
      <w:tr>
        <w:trPr>
          <w:trHeight w:val="159"/>
        </w:trPr>
        <w:tc>
          <w:tcPr>
            <w:tcW w:w="5860" w:type="dxa"/>
            <w:vAlign w:val="bottom"/>
            <w:tcBorders>
              <w:bottom w:val="single" w:sz="8" w:color="auto"/>
            </w:tcBorders>
          </w:tcPr>
          <w:p>
            <w:pPr>
              <w:spacing w:after="0"/>
              <w:rPr>
                <w:sz w:val="13"/>
                <w:szCs w:val="13"/>
                <w:color w:val="auto"/>
              </w:rPr>
            </w:pPr>
          </w:p>
        </w:tc>
        <w:tc>
          <w:tcPr>
            <w:tcW w:w="4140" w:type="dxa"/>
            <w:vAlign w:val="bottom"/>
            <w:tcBorders>
              <w:bottom w:val="single" w:sz="8" w:color="auto"/>
            </w:tcBorders>
            <w:gridSpan w:val="3"/>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r>
      <w:tr>
        <w:trPr>
          <w:trHeight w:val="183"/>
        </w:trPr>
        <w:tc>
          <w:tcPr>
            <w:tcW w:w="5860" w:type="dxa"/>
            <w:vAlign w:val="bottom"/>
          </w:tcPr>
          <w:p>
            <w:pPr>
              <w:spacing w:after="0"/>
              <w:rPr>
                <w:sz w:val="15"/>
                <w:szCs w:val="15"/>
                <w:color w:val="auto"/>
              </w:rPr>
            </w:pPr>
          </w:p>
        </w:tc>
        <w:tc>
          <w:tcPr>
            <w:tcW w:w="4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For the six months ended June 30, 2018</w:t>
            </w:r>
          </w:p>
        </w:tc>
        <w:tc>
          <w:tcPr>
            <w:tcW w:w="1420" w:type="dxa"/>
            <w:vAlign w:val="bottom"/>
          </w:tcPr>
          <w:p>
            <w:pPr>
              <w:spacing w:after="0"/>
              <w:rPr>
                <w:sz w:val="15"/>
                <w:szCs w:val="15"/>
                <w:color w:val="auto"/>
              </w:rPr>
            </w:pPr>
          </w:p>
        </w:tc>
      </w:tr>
      <w:tr>
        <w:trPr>
          <w:trHeight w:val="156"/>
        </w:trPr>
        <w:tc>
          <w:tcPr>
            <w:tcW w:w="5860" w:type="dxa"/>
            <w:vAlign w:val="bottom"/>
          </w:tcPr>
          <w:p>
            <w:pPr>
              <w:spacing w:after="0"/>
              <w:rPr>
                <w:sz w:val="13"/>
                <w:szCs w:val="13"/>
                <w:color w:val="auto"/>
              </w:rPr>
            </w:pPr>
          </w:p>
        </w:tc>
        <w:tc>
          <w:tcPr>
            <w:tcW w:w="21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Point in Time Revenue</w:t>
            </w:r>
          </w:p>
        </w:tc>
        <w:tc>
          <w:tcPr>
            <w:tcW w:w="202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Over Time Revenue</w:t>
            </w:r>
          </w:p>
        </w:tc>
        <w:tc>
          <w:tcPr>
            <w:tcW w:w="1420" w:type="dxa"/>
            <w:vAlign w:val="bottom"/>
          </w:tcPr>
          <w:p>
            <w:pPr>
              <w:spacing w:after="0"/>
              <w:rPr>
                <w:sz w:val="13"/>
                <w:szCs w:val="13"/>
                <w:color w:val="auto"/>
              </w:rPr>
            </w:pPr>
          </w:p>
        </w:tc>
      </w:tr>
      <w:tr>
        <w:trPr>
          <w:trHeight w:val="18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Recognition</w:t>
            </w:r>
          </w:p>
        </w:tc>
        <w:tc>
          <w:tcPr>
            <w:tcW w:w="2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Recognition</w:t>
            </w:r>
          </w:p>
        </w:tc>
        <w:tc>
          <w:tcPr>
            <w:tcW w:w="14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Total</w:t>
            </w:r>
          </w:p>
        </w:tc>
      </w:tr>
      <w:tr>
        <w:trPr>
          <w:trHeight w:val="20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Machine Clothing</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$301,957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1,600</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$303,557</w:t>
            </w:r>
          </w:p>
        </w:tc>
      </w:tr>
      <w:tr>
        <w:trPr>
          <w:trHeight w:val="396"/>
        </w:trPr>
        <w:tc>
          <w:tcPr>
            <w:tcW w:w="58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16"/>
        </w:trPr>
        <w:tc>
          <w:tcPr>
            <w:tcW w:w="5860" w:type="dxa"/>
            <w:vAlign w:val="bottom"/>
          </w:tcPr>
          <w:p>
            <w:pPr>
              <w:ind w:left="20"/>
              <w:spacing w:after="0"/>
              <w:rPr>
                <w:sz w:val="20"/>
                <w:szCs w:val="20"/>
                <w:color w:val="auto"/>
              </w:rPr>
            </w:pPr>
            <w:r>
              <w:rPr>
                <w:rFonts w:ascii="Arial" w:cs="Arial" w:eastAsia="Arial" w:hAnsi="Arial"/>
                <w:sz w:val="16"/>
                <w:szCs w:val="16"/>
                <w:color w:val="auto"/>
              </w:rPr>
              <w:t>ASC</w:t>
            </w:r>
          </w:p>
        </w:tc>
        <w:tc>
          <w:tcPr>
            <w:tcW w:w="212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800" w:type="dxa"/>
            <w:vAlign w:val="bottom"/>
          </w:tcPr>
          <w:p>
            <w:pPr>
              <w:spacing w:after="0"/>
              <w:rPr>
                <w:sz w:val="18"/>
                <w:szCs w:val="18"/>
                <w:color w:val="auto"/>
              </w:rPr>
            </w:pPr>
          </w:p>
        </w:tc>
        <w:tc>
          <w:tcPr>
            <w:tcW w:w="1220" w:type="dxa"/>
            <w:vAlign w:val="bottom"/>
          </w:tcPr>
          <w:p>
            <w:pPr>
              <w:jc w:val="right"/>
              <w:ind w:right="619"/>
              <w:spacing w:after="0"/>
              <w:rPr>
                <w:sz w:val="20"/>
                <w:szCs w:val="20"/>
                <w:color w:val="auto"/>
              </w:rPr>
            </w:pPr>
            <w:r>
              <w:rPr>
                <w:rFonts w:ascii="Arial" w:cs="Arial" w:eastAsia="Arial" w:hAnsi="Arial"/>
                <w:sz w:val="16"/>
                <w:szCs w:val="16"/>
                <w:color w:val="auto"/>
              </w:rPr>
              <w:t>87,806</w:t>
            </w:r>
          </w:p>
        </w:tc>
        <w:tc>
          <w:tcPr>
            <w:tcW w:w="1420" w:type="dxa"/>
            <w:vAlign w:val="bottom"/>
          </w:tcPr>
          <w:p>
            <w:pPr>
              <w:jc w:val="right"/>
              <w:ind w:right="300"/>
              <w:spacing w:after="0"/>
              <w:rPr>
                <w:sz w:val="20"/>
                <w:szCs w:val="20"/>
                <w:color w:val="auto"/>
              </w:rPr>
            </w:pPr>
            <w:r>
              <w:rPr>
                <w:rFonts w:ascii="Arial" w:cs="Arial" w:eastAsia="Arial" w:hAnsi="Arial"/>
                <w:sz w:val="16"/>
                <w:szCs w:val="16"/>
                <w:color w:val="auto"/>
              </w:rPr>
              <w:t>87,806</w:t>
            </w:r>
          </w:p>
        </w:tc>
      </w:tr>
      <w:tr>
        <w:trPr>
          <w:trHeight w:val="219"/>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AEC</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11,744</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75,870</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87,614</w:t>
            </w:r>
          </w:p>
        </w:tc>
      </w:tr>
      <w:tr>
        <w:trPr>
          <w:trHeight w:val="21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Albany Engineered Composites</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11,744</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color w:val="auto"/>
              </w:rPr>
              <w:t>163,676</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175,420</w:t>
            </w:r>
          </w:p>
        </w:tc>
      </w:tr>
      <w:tr>
        <w:trPr>
          <w:trHeight w:val="186"/>
        </w:trPr>
        <w:tc>
          <w:tcPr>
            <w:tcW w:w="58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207"/>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revenue</w:t>
            </w:r>
          </w:p>
        </w:tc>
        <w:tc>
          <w:tcPr>
            <w:tcW w:w="2120" w:type="dxa"/>
            <w:vAlign w:val="bottom"/>
            <w:tcBorders>
              <w:bottom w:val="single" w:sz="8" w:color="auto"/>
            </w:tcBorders>
          </w:tcPr>
          <w:p>
            <w:pPr>
              <w:jc w:val="right"/>
              <w:ind w:right="662"/>
              <w:spacing w:after="0"/>
              <w:rPr>
                <w:sz w:val="20"/>
                <w:szCs w:val="20"/>
                <w:color w:val="auto"/>
              </w:rPr>
            </w:pPr>
            <w:r>
              <w:rPr>
                <w:rFonts w:ascii="Arial" w:cs="Arial" w:eastAsia="Arial" w:hAnsi="Arial"/>
                <w:sz w:val="16"/>
                <w:szCs w:val="16"/>
                <w:color w:val="auto"/>
              </w:rPr>
              <w:t>$313,701</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color w:val="auto"/>
              </w:rPr>
              <w:t>$165,276</w:t>
            </w:r>
          </w:p>
        </w:tc>
        <w:tc>
          <w:tcPr>
            <w:tcW w:w="142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color w:val="auto"/>
              </w:rPr>
              <w:t>$478,977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72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For the three months ended June</w:t>
            </w:r>
          </w:p>
        </w:tc>
        <w:tc>
          <w:tcPr>
            <w:tcW w:w="232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For the six months ended June</w:t>
            </w:r>
          </w:p>
        </w:tc>
      </w:tr>
      <w:tr>
        <w:trPr>
          <w:trHeight w:val="189"/>
        </w:trPr>
        <w:tc>
          <w:tcPr>
            <w:tcW w:w="4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022"/>
              <w:spacing w:after="0"/>
              <w:rPr>
                <w:sz w:val="20"/>
                <w:szCs w:val="20"/>
                <w:color w:val="auto"/>
              </w:rPr>
            </w:pPr>
            <w:r>
              <w:rPr>
                <w:rFonts w:ascii="Arial" w:cs="Arial" w:eastAsia="Arial" w:hAnsi="Arial"/>
                <w:sz w:val="14"/>
                <w:szCs w:val="14"/>
                <w:b w:val="1"/>
                <w:bCs w:val="1"/>
                <w:color w:val="auto"/>
              </w:rPr>
              <w:t>30,</w:t>
            </w: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002"/>
              <w:spacing w:after="0"/>
              <w:rPr>
                <w:sz w:val="20"/>
                <w:szCs w:val="20"/>
                <w:color w:val="auto"/>
              </w:rPr>
            </w:pPr>
            <w:r>
              <w:rPr>
                <w:rFonts w:ascii="Arial" w:cs="Arial" w:eastAsia="Arial" w:hAnsi="Arial"/>
                <w:sz w:val="14"/>
                <w:szCs w:val="14"/>
                <w:b w:val="1"/>
                <w:bCs w:val="1"/>
                <w:color w:val="auto"/>
              </w:rPr>
              <w:t>30,</w:t>
            </w:r>
          </w:p>
        </w:tc>
      </w:tr>
      <w:tr>
        <w:trPr>
          <w:trHeight w:val="18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2019</w:t>
            </w:r>
          </w:p>
        </w:tc>
        <w:tc>
          <w:tcPr>
            <w:tcW w:w="138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2018</w:t>
            </w:r>
          </w:p>
        </w:tc>
      </w:tr>
      <w:tr>
        <w:trPr>
          <w:trHeight w:val="205"/>
        </w:trPr>
        <w:tc>
          <w:tcPr>
            <w:tcW w:w="4720" w:type="dxa"/>
            <w:vAlign w:val="bottom"/>
          </w:tcPr>
          <w:p>
            <w:pPr>
              <w:ind w:left="20"/>
              <w:spacing w:after="0"/>
              <w:rPr>
                <w:sz w:val="20"/>
                <w:szCs w:val="20"/>
                <w:color w:val="auto"/>
              </w:rPr>
            </w:pPr>
            <w:r>
              <w:rPr>
                <w:rFonts w:ascii="Arial" w:cs="Arial" w:eastAsia="Arial" w:hAnsi="Arial"/>
                <w:sz w:val="16"/>
                <w:szCs w:val="16"/>
                <w:color w:val="auto"/>
              </w:rPr>
              <w:t>Americas PMC</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$ 81,583</w:t>
            </w:r>
          </w:p>
        </w:tc>
        <w:tc>
          <w:tcPr>
            <w:tcW w:w="1380" w:type="dxa"/>
            <w:vAlign w:val="bottom"/>
          </w:tcPr>
          <w:p>
            <w:pPr>
              <w:jc w:val="right"/>
              <w:ind w:right="202"/>
              <w:spacing w:after="0"/>
              <w:rPr>
                <w:sz w:val="20"/>
                <w:szCs w:val="20"/>
                <w:color w:val="auto"/>
              </w:rPr>
            </w:pPr>
            <w:r>
              <w:rPr>
                <w:rFonts w:ascii="Arial" w:cs="Arial" w:eastAsia="Arial" w:hAnsi="Arial"/>
                <w:sz w:val="16"/>
                <w:szCs w:val="16"/>
                <w:color w:val="auto"/>
              </w:rPr>
              <w:t>$ 82,197</w:t>
            </w: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$156,923</w:t>
            </w: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$149,826</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Eurasia PMC</w:t>
            </w:r>
          </w:p>
        </w:tc>
        <w:tc>
          <w:tcPr>
            <w:tcW w:w="1000" w:type="dxa"/>
            <w:vAlign w:val="bottom"/>
          </w:tcPr>
          <w:p>
            <w:pPr>
              <w:jc w:val="right"/>
              <w:ind w:right="2"/>
              <w:spacing w:after="0"/>
              <w:rPr>
                <w:sz w:val="20"/>
                <w:szCs w:val="20"/>
                <w:color w:val="auto"/>
              </w:rPr>
            </w:pPr>
            <w:r>
              <w:rPr>
                <w:rFonts w:ascii="Arial" w:cs="Arial" w:eastAsia="Arial" w:hAnsi="Arial"/>
                <w:sz w:val="16"/>
                <w:szCs w:val="16"/>
                <w:b w:val="1"/>
                <w:bCs w:val="1"/>
                <w:color w:val="auto"/>
              </w:rPr>
              <w:t>54,081</w:t>
            </w:r>
          </w:p>
        </w:tc>
        <w:tc>
          <w:tcPr>
            <w:tcW w:w="1380" w:type="dxa"/>
            <w:vAlign w:val="bottom"/>
          </w:tcPr>
          <w:p>
            <w:pPr>
              <w:jc w:val="right"/>
              <w:ind w:right="202"/>
              <w:spacing w:after="0"/>
              <w:rPr>
                <w:sz w:val="20"/>
                <w:szCs w:val="20"/>
                <w:color w:val="auto"/>
              </w:rPr>
            </w:pPr>
            <w:r>
              <w:rPr>
                <w:rFonts w:ascii="Arial" w:cs="Arial" w:eastAsia="Arial" w:hAnsi="Arial"/>
                <w:sz w:val="16"/>
                <w:szCs w:val="16"/>
                <w:color w:val="auto"/>
              </w:rPr>
              <w:t>59,543</w:t>
            </w:r>
          </w:p>
        </w:tc>
        <w:tc>
          <w:tcPr>
            <w:tcW w:w="980" w:type="dxa"/>
            <w:vAlign w:val="bottom"/>
          </w:tcPr>
          <w:p>
            <w:pPr>
              <w:jc w:val="right"/>
              <w:ind w:right="2"/>
              <w:spacing w:after="0"/>
              <w:rPr>
                <w:sz w:val="20"/>
                <w:szCs w:val="20"/>
                <w:color w:val="auto"/>
              </w:rPr>
            </w:pPr>
            <w:r>
              <w:rPr>
                <w:rFonts w:ascii="Arial" w:cs="Arial" w:eastAsia="Arial" w:hAnsi="Arial"/>
                <w:sz w:val="16"/>
                <w:szCs w:val="16"/>
                <w:b w:val="1"/>
                <w:bCs w:val="1"/>
                <w:color w:val="auto"/>
              </w:rPr>
              <w:t>105,519</w:t>
            </w:r>
          </w:p>
        </w:tc>
        <w:tc>
          <w:tcPr>
            <w:tcW w:w="1340" w:type="dxa"/>
            <w:vAlign w:val="bottom"/>
          </w:tcPr>
          <w:p>
            <w:pPr>
              <w:jc w:val="right"/>
              <w:ind w:right="162"/>
              <w:spacing w:after="0"/>
              <w:rPr>
                <w:sz w:val="20"/>
                <w:szCs w:val="20"/>
                <w:color w:val="auto"/>
              </w:rPr>
            </w:pPr>
            <w:r>
              <w:rPr>
                <w:rFonts w:ascii="Arial" w:cs="Arial" w:eastAsia="Arial" w:hAnsi="Arial"/>
                <w:sz w:val="16"/>
                <w:szCs w:val="16"/>
                <w:color w:val="auto"/>
              </w:rPr>
              <w:t>113,354</w:t>
            </w:r>
          </w:p>
        </w:tc>
      </w:tr>
      <w:tr>
        <w:trPr>
          <w:trHeight w:val="21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Engineered Fabrics</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19,352</w:t>
            </w: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20,044</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36,907</w:t>
            </w:r>
          </w:p>
        </w:tc>
        <w:tc>
          <w:tcPr>
            <w:tcW w:w="13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40,377</w:t>
            </w:r>
          </w:p>
        </w:tc>
      </w:tr>
      <w:tr>
        <w:trPr>
          <w:trHeight w:val="21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Machine Clothing Net sales</w:t>
            </w:r>
          </w:p>
        </w:tc>
        <w:tc>
          <w:tcPr>
            <w:tcW w:w="10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$155,016</w:t>
            </w:r>
          </w:p>
        </w:tc>
        <w:tc>
          <w:tcPr>
            <w:tcW w:w="138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color w:val="auto"/>
              </w:rPr>
              <w:t>$161,784</w:t>
            </w:r>
          </w:p>
        </w:tc>
        <w:tc>
          <w:tcPr>
            <w:tcW w:w="9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$299,349</w:t>
            </w:r>
          </w:p>
        </w:tc>
        <w:tc>
          <w:tcPr>
            <w:tcW w:w="134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$303,557</w:t>
            </w:r>
          </w:p>
        </w:tc>
      </w:tr>
    </w:tbl>
    <w:p>
      <w:pPr>
        <w:spacing w:after="0" w:line="202"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accordance with ASC 606,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$112 million and $105 million as of June 30, 2019 and 2018, respectively, and related primarily to firm contracts in the AEC segment. Of the remaining performance obligations as of June 30, 2019 we expect to recognize as revenue approximately $64 million during 2019, with the remainder to be recognized in between 2020 and 2021.</w:t>
      </w:r>
    </w:p>
    <w:p>
      <w:pPr>
        <w:spacing w:after="0" w:line="7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8"/>
          <w:szCs w:val="18"/>
          <w:color w:val="auto"/>
        </w:rPr>
        <w:t xml:space="preserve">At the January 1, 2019 date of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MC assets increased by $5.6 million, AEC assets increased by $0.5 million, and Corporate assets increased by $1.0 million.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 Leases</w:t>
      </w:r>
    </w:p>
    <w:p>
      <w:pPr>
        <w:spacing w:after="0" w:line="108"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Effective January 1, 2019, we adopted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effective date (or modified retrospective) approach for transition. Under this transition method, periods prior to 2019 have not been restated and the cumulative effect of initially applying the new standard was recorded as an adjustment to Retained earnings at January 1, 2019.</w:t>
      </w:r>
    </w:p>
    <w:p>
      <w:pPr>
        <w:spacing w:after="0" w:line="8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new standard is intended to increase transparency and comparability among organizations by requiring the recognition of right of use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applied the new accounting standard to leases existing at the date of initial application on January 1, 2019.</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elected the available package of practical expedients, which permitted us not to reassess under the new standard our prior conclusions about lease identification, lease classification and initial direct costs. We implemented processes and internal controls to enable the preparation of financial information on adoption.</w:t>
      </w:r>
    </w:p>
    <w:p>
      <w:pPr>
        <w:spacing w:after="0" w:line="9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most significant impact resulting from the adoption of the new standard was the recognition of ROU assets and lease liabilities for operating leases on our balance sheet for our real estate and automobile operating leases, in addition to the derecognition and reassessment of assets and liabilities related to our primary manufacturing facility in Salt Lake City, Utah (SLC lease), which had been accounted for as a build-to-suit lease with a failed sale leaseback. For that lease, transitional guidance required the derecognition of existing assets and liabilities and a reassessment of lease classification. We determined that the lease met the criteria for recording as a finance lease and we determined the January 1, 2019 values of the ROU asset and lease liability on the basis of that reassessment. The change in the SLC lease-related assets and liabilities resulted in a $0.3 million pre-tax reduction to retained earnings at the date of adoption.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the cumulative effect of changes made to our December 31, 2018 Balance Sheet as a result of the adoption of</w:t>
      </w:r>
    </w:p>
    <w:p>
      <w:pPr>
        <w:spacing w:after="0"/>
        <w:rPr>
          <w:sz w:val="20"/>
          <w:szCs w:val="20"/>
          <w:color w:val="auto"/>
        </w:rPr>
      </w:pPr>
      <w:r>
        <w:rPr>
          <w:rFonts w:ascii="Arial" w:cs="Arial" w:eastAsia="Arial" w:hAnsi="Arial"/>
          <w:sz w:val="18"/>
          <w:szCs w:val="18"/>
          <w:color w:val="auto"/>
        </w:rPr>
        <w:t xml:space="preserve">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line="234" w:lineRule="auto"/>
        <w:rPr>
          <w:sz w:val="20"/>
          <w:szCs w:val="20"/>
          <w:color w:val="auto"/>
        </w:rPr>
      </w:pPr>
      <w:r>
        <w:rPr>
          <w:rFonts w:ascii="Arial" w:cs="Arial" w:eastAsia="Arial" w:hAnsi="Arial"/>
          <w:sz w:val="18"/>
          <w:szCs w:val="18"/>
          <w:b w:val="1"/>
          <w:bCs w:val="1"/>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As previously</w:t>
            </w: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jc w:val="center"/>
              <w:ind w:right="439"/>
              <w:spacing w:after="0"/>
              <w:rPr>
                <w:sz w:val="20"/>
                <w:szCs w:val="20"/>
                <w:color w:val="auto"/>
              </w:rPr>
            </w:pPr>
            <w:r>
              <w:rPr>
                <w:rFonts w:ascii="Arial" w:cs="Arial" w:eastAsia="Arial" w:hAnsi="Arial"/>
                <w:sz w:val="14"/>
                <w:szCs w:val="14"/>
                <w:b w:val="1"/>
                <w:bCs w:val="1"/>
                <w:color w:val="auto"/>
              </w:rPr>
              <w:t>Opening</w:t>
            </w:r>
          </w:p>
        </w:tc>
      </w:tr>
      <w:tr>
        <w:trPr>
          <w:trHeight w:val="162"/>
        </w:trPr>
        <w:tc>
          <w:tcPr>
            <w:tcW w:w="69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reported at</w:t>
            </w:r>
          </w:p>
        </w:tc>
        <w:tc>
          <w:tcPr>
            <w:tcW w:w="1420" w:type="dxa"/>
            <w:vAlign w:val="bottom"/>
            <w:gridSpan w:val="2"/>
          </w:tcPr>
          <w:p>
            <w:pPr>
              <w:jc w:val="right"/>
              <w:ind w:right="199"/>
              <w:spacing w:after="0"/>
              <w:rPr>
                <w:sz w:val="20"/>
                <w:szCs w:val="20"/>
                <w:color w:val="auto"/>
              </w:rPr>
            </w:pPr>
            <w:r>
              <w:rPr>
                <w:rFonts w:ascii="Arial" w:cs="Arial" w:eastAsia="Arial" w:hAnsi="Arial"/>
                <w:sz w:val="14"/>
                <w:szCs w:val="14"/>
                <w:b w:val="1"/>
                <w:bCs w:val="1"/>
                <w:color w:val="auto"/>
              </w:rPr>
              <w:t>Adjustments</w:t>
            </w:r>
          </w:p>
        </w:tc>
        <w:tc>
          <w:tcPr>
            <w:tcW w:w="1620" w:type="dxa"/>
            <w:vAlign w:val="bottom"/>
            <w:gridSpan w:val="3"/>
          </w:tcPr>
          <w:p>
            <w:pPr>
              <w:ind w:left="420"/>
              <w:spacing w:after="0"/>
              <w:rPr>
                <w:sz w:val="20"/>
                <w:szCs w:val="20"/>
                <w:color w:val="auto"/>
              </w:rPr>
            </w:pPr>
            <w:r>
              <w:rPr>
                <w:rFonts w:ascii="Arial" w:cs="Arial" w:eastAsia="Arial" w:hAnsi="Arial"/>
                <w:sz w:val="14"/>
                <w:szCs w:val="14"/>
                <w:b w:val="1"/>
                <w:bCs w:val="1"/>
                <w:color w:val="auto"/>
              </w:rPr>
              <w:t>balance, as</w:t>
            </w:r>
          </w:p>
        </w:tc>
      </w:tr>
      <w:tr>
        <w:trPr>
          <w:trHeight w:val="162"/>
        </w:trPr>
        <w:tc>
          <w:tcPr>
            <w:tcW w:w="6920" w:type="dxa"/>
            <w:vAlign w:val="bottom"/>
          </w:tcPr>
          <w:p>
            <w:pPr>
              <w:spacing w:after="0"/>
              <w:rPr>
                <w:sz w:val="14"/>
                <w:szCs w:val="14"/>
                <w:color w:val="auto"/>
              </w:rPr>
            </w:pPr>
          </w:p>
        </w:tc>
        <w:tc>
          <w:tcPr>
            <w:tcW w:w="1460" w:type="dxa"/>
            <w:vAlign w:val="bottom"/>
            <w:gridSpan w:val="3"/>
          </w:tcPr>
          <w:p>
            <w:pPr>
              <w:jc w:val="center"/>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2"/>
          </w:tcPr>
          <w:p>
            <w:pPr>
              <w:ind w:left="400"/>
              <w:spacing w:after="0"/>
              <w:rPr>
                <w:sz w:val="20"/>
                <w:szCs w:val="20"/>
                <w:color w:val="auto"/>
              </w:rPr>
            </w:pPr>
            <w:r>
              <w:rPr>
                <w:rFonts w:ascii="Arial" w:cs="Arial" w:eastAsia="Arial" w:hAnsi="Arial"/>
                <w:sz w:val="14"/>
                <w:szCs w:val="14"/>
                <w:b w:val="1"/>
                <w:bCs w:val="1"/>
                <w:color w:val="auto"/>
              </w:rPr>
              <w:t>Increase/</w:t>
            </w:r>
          </w:p>
        </w:tc>
        <w:tc>
          <w:tcPr>
            <w:tcW w:w="500" w:type="dxa"/>
            <w:vAlign w:val="bottom"/>
          </w:tcPr>
          <w:p>
            <w:pPr>
              <w:spacing w:after="0"/>
              <w:rPr>
                <w:sz w:val="14"/>
                <w:szCs w:val="14"/>
                <w:color w:val="auto"/>
              </w:rPr>
            </w:pPr>
          </w:p>
        </w:tc>
        <w:tc>
          <w:tcPr>
            <w:tcW w:w="1120" w:type="dxa"/>
            <w:vAlign w:val="bottom"/>
            <w:gridSpan w:val="2"/>
          </w:tcPr>
          <w:p>
            <w:pPr>
              <w:jc w:val="center"/>
              <w:ind w:right="399"/>
              <w:spacing w:after="0"/>
              <w:rPr>
                <w:sz w:val="20"/>
                <w:szCs w:val="20"/>
                <w:color w:val="auto"/>
              </w:rPr>
            </w:pPr>
            <w:r>
              <w:rPr>
                <w:rFonts w:ascii="Arial" w:cs="Arial" w:eastAsia="Arial" w:hAnsi="Arial"/>
                <w:sz w:val="14"/>
                <w:szCs w:val="14"/>
                <w:b w:val="1"/>
                <w:bCs w:val="1"/>
                <w:color w:val="auto"/>
              </w:rPr>
              <w:t>adjusted,</w:t>
            </w:r>
          </w:p>
        </w:tc>
      </w:tr>
      <w:tr>
        <w:trPr>
          <w:trHeight w:val="189"/>
        </w:trPr>
        <w:tc>
          <w:tcPr>
            <w:tcW w:w="6920" w:type="dxa"/>
            <w:vAlign w:val="bottom"/>
            <w:tcBorders>
              <w:bottom w:val="single" w:sz="8" w:color="BFBFB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79"/>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gridSpan w:val="2"/>
          </w:tcPr>
          <w:p>
            <w:pPr>
              <w:jc w:val="right"/>
              <w:ind w:right="259"/>
              <w:spacing w:after="0"/>
              <w:rPr>
                <w:sz w:val="20"/>
                <w:szCs w:val="20"/>
                <w:color w:val="auto"/>
              </w:rPr>
            </w:pPr>
            <w:r>
              <w:rPr>
                <w:rFonts w:ascii="Arial" w:cs="Arial" w:eastAsia="Arial" w:hAnsi="Arial"/>
                <w:sz w:val="14"/>
                <w:szCs w:val="14"/>
                <w:b w:val="1"/>
                <w:bCs w:val="1"/>
                <w:color w:val="auto"/>
              </w:rPr>
              <w:t>(decrease)</w:t>
            </w: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January 1, 2019</w:t>
            </w:r>
          </w:p>
        </w:tc>
      </w:tr>
      <w:tr>
        <w:trPr>
          <w:trHeight w:val="196"/>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ASSETS</w:t>
            </w:r>
          </w:p>
        </w:tc>
        <w:tc>
          <w:tcPr>
            <w:tcW w:w="40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400" w:type="dxa"/>
            <w:vAlign w:val="bottom"/>
          </w:tcPr>
          <w:p>
            <w:pPr>
              <w:ind w:left="32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197,755</w:t>
            </w:r>
          </w:p>
        </w:tc>
        <w:tc>
          <w:tcPr>
            <w:tcW w:w="500" w:type="dxa"/>
            <w:vAlign w:val="bottom"/>
          </w:tcPr>
          <w:p>
            <w:pPr>
              <w:ind w:left="40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ind w:left="420"/>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197,755</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Accounts receivable, net</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223,176</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223,176</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57,447</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57,447</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Inventories</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85,904</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85,904</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Income taxes prepaid and receivable</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7,473</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7,473</w:t>
            </w:r>
          </w:p>
        </w:tc>
      </w:tr>
      <w:tr>
        <w:trPr>
          <w:trHeight w:val="216"/>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400" w:type="dxa"/>
            <w:vAlign w:val="bottom"/>
            <w:tcBorders>
              <w:bottom w:val="single" w:sz="8" w:color="auto"/>
            </w:tcBorders>
            <w:shd w:val="clear" w:color="auto" w:fill="BFBFBF"/>
          </w:tcPr>
          <w:p>
            <w:pPr>
              <w:spacing w:after="0"/>
              <w:rPr>
                <w:sz w:val="18"/>
                <w:szCs w:val="18"/>
                <w:color w:val="auto"/>
              </w:rPr>
            </w:pPr>
          </w:p>
        </w:tc>
        <w:tc>
          <w:tcPr>
            <w:tcW w:w="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259"/>
              <w:spacing w:after="0"/>
              <w:rPr>
                <w:sz w:val="20"/>
                <w:szCs w:val="20"/>
                <w:color w:val="auto"/>
              </w:rPr>
            </w:pPr>
            <w:r>
              <w:rPr>
                <w:rFonts w:ascii="Arial" w:cs="Arial" w:eastAsia="Arial" w:hAnsi="Arial"/>
                <w:sz w:val="16"/>
                <w:szCs w:val="16"/>
                <w:color w:val="auto"/>
              </w:rPr>
              <w:t>21,294</w:t>
            </w:r>
          </w:p>
        </w:tc>
        <w:tc>
          <w:tcPr>
            <w:tcW w:w="50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279"/>
              <w:spacing w:after="0"/>
              <w:rPr>
                <w:sz w:val="20"/>
                <w:szCs w:val="20"/>
                <w:color w:val="auto"/>
              </w:rPr>
            </w:pPr>
            <w:r>
              <w:rPr>
                <w:rFonts w:ascii="Arial" w:cs="Arial" w:eastAsia="Arial" w:hAnsi="Arial"/>
                <w:sz w:val="16"/>
                <w:szCs w:val="16"/>
                <w:color w:val="auto"/>
              </w:rPr>
              <w:t>(370)</w:t>
            </w: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20,924</w:t>
            </w:r>
          </w:p>
        </w:tc>
      </w:tr>
      <w:tr>
        <w:trPr>
          <w:trHeight w:val="210"/>
        </w:trPr>
        <w:tc>
          <w:tcPr>
            <w:tcW w:w="6920" w:type="dxa"/>
            <w:vAlign w:val="bottom"/>
          </w:tcPr>
          <w:p>
            <w:pPr>
              <w:ind w:left="120"/>
              <w:spacing w:after="0"/>
              <w:rPr>
                <w:sz w:val="20"/>
                <w:szCs w:val="20"/>
                <w:color w:val="auto"/>
              </w:rPr>
            </w:pPr>
            <w:r>
              <w:rPr>
                <w:rFonts w:ascii="Arial" w:cs="Arial" w:eastAsia="Arial" w:hAnsi="Arial"/>
                <w:sz w:val="16"/>
                <w:szCs w:val="16"/>
                <w:color w:val="auto"/>
              </w:rPr>
              <w:t>Total current assets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593,049</w:t>
            </w:r>
          </w:p>
        </w:tc>
        <w:tc>
          <w:tcPr>
            <w:tcW w:w="50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(370)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592,679</w:t>
            </w:r>
          </w:p>
        </w:tc>
      </w:tr>
      <w:tr>
        <w:trPr>
          <w:trHeight w:val="206"/>
        </w:trPr>
        <w:tc>
          <w:tcPr>
            <w:tcW w:w="6920" w:type="dxa"/>
            <w:vAlign w:val="bottom"/>
            <w:shd w:val="clear" w:color="auto" w:fill="BFBFBF"/>
          </w:tcPr>
          <w:p>
            <w:pPr>
              <w:spacing w:after="0"/>
              <w:rPr>
                <w:sz w:val="17"/>
                <w:szCs w:val="17"/>
                <w:color w:val="auto"/>
              </w:rPr>
            </w:pPr>
          </w:p>
        </w:tc>
        <w:tc>
          <w:tcPr>
            <w:tcW w:w="40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920" w:type="dxa"/>
            <w:vAlign w:val="bottom"/>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462,055</w:t>
            </w:r>
          </w:p>
        </w:tc>
        <w:tc>
          <w:tcPr>
            <w:tcW w:w="50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(6,144)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455,911</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Intangibles, net</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49,206</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49,206</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Goodwill</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164,382</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164,382</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Deferred income taxes</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62,622</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279"/>
              <w:spacing w:after="0"/>
              <w:rPr>
                <w:sz w:val="20"/>
                <w:szCs w:val="20"/>
                <w:color w:val="auto"/>
              </w:rPr>
            </w:pPr>
            <w:r>
              <w:rPr>
                <w:rFonts w:ascii="Arial" w:cs="Arial" w:eastAsia="Arial" w:hAnsi="Arial"/>
                <w:sz w:val="16"/>
                <w:szCs w:val="16"/>
                <w:color w:val="auto"/>
              </w:rPr>
              <w:t>(20)</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62,602</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Noncurrent receivables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45,061</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45,061</w:t>
            </w:r>
          </w:p>
        </w:tc>
      </w:tr>
      <w:tr>
        <w:trPr>
          <w:trHeight w:val="216"/>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Other assets</w:t>
            </w:r>
          </w:p>
        </w:tc>
        <w:tc>
          <w:tcPr>
            <w:tcW w:w="400" w:type="dxa"/>
            <w:vAlign w:val="bottom"/>
            <w:tcBorders>
              <w:bottom w:val="single" w:sz="8" w:color="auto"/>
            </w:tcBorders>
            <w:shd w:val="clear" w:color="auto" w:fill="BFBFBF"/>
          </w:tcPr>
          <w:p>
            <w:pPr>
              <w:spacing w:after="0"/>
              <w:rPr>
                <w:sz w:val="18"/>
                <w:szCs w:val="18"/>
                <w:color w:val="auto"/>
              </w:rPr>
            </w:pPr>
          </w:p>
        </w:tc>
        <w:tc>
          <w:tcPr>
            <w:tcW w:w="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259"/>
              <w:spacing w:after="0"/>
              <w:rPr>
                <w:sz w:val="20"/>
                <w:szCs w:val="20"/>
                <w:color w:val="auto"/>
              </w:rPr>
            </w:pPr>
            <w:r>
              <w:rPr>
                <w:rFonts w:ascii="Arial" w:cs="Arial" w:eastAsia="Arial" w:hAnsi="Arial"/>
                <w:sz w:val="16"/>
                <w:szCs w:val="16"/>
                <w:color w:val="auto"/>
              </w:rPr>
              <w:t>41,617</w:t>
            </w:r>
          </w:p>
        </w:tc>
        <w:tc>
          <w:tcPr>
            <w:tcW w:w="50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13,615</w:t>
            </w: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55,232</w:t>
            </w:r>
          </w:p>
        </w:tc>
      </w:tr>
      <w:tr>
        <w:trPr>
          <w:trHeight w:val="253"/>
        </w:trPr>
        <w:tc>
          <w:tcPr>
            <w:tcW w:w="6920" w:type="dxa"/>
            <w:vAlign w:val="bottom"/>
            <w:tcBorders>
              <w:bottom w:val="single" w:sz="8" w:color="BFBFBF"/>
            </w:tcBorders>
          </w:tcPr>
          <w:p>
            <w:pPr>
              <w:ind w:left="120"/>
              <w:spacing w:after="0"/>
              <w:rPr>
                <w:sz w:val="20"/>
                <w:szCs w:val="20"/>
                <w:color w:val="auto"/>
              </w:rPr>
            </w:pPr>
            <w:r>
              <w:rPr>
                <w:rFonts w:ascii="Arial" w:cs="Arial" w:eastAsia="Arial" w:hAnsi="Arial"/>
                <w:sz w:val="16"/>
                <w:szCs w:val="16"/>
                <w:color w:val="auto"/>
              </w:rPr>
              <w:t>Total assets</w:t>
            </w: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6"/>
                <w:szCs w:val="16"/>
                <w:color w:val="auto"/>
              </w:rPr>
              <w:t>1,417,992</w:t>
            </w:r>
          </w:p>
        </w:tc>
        <w:tc>
          <w:tcPr>
            <w:tcW w:w="500" w:type="dxa"/>
            <w:vAlign w:val="bottom"/>
            <w:tcBorders>
              <w:bottom w:val="single" w:sz="8" w:color="auto"/>
            </w:tcBorders>
          </w:tcPr>
          <w:p>
            <w:pPr>
              <w:ind w:left="4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7,081</w:t>
            </w:r>
          </w:p>
        </w:tc>
        <w:tc>
          <w:tcPr>
            <w:tcW w:w="500" w:type="dxa"/>
            <w:vAlign w:val="bottom"/>
            <w:tcBorders>
              <w:bottom w:val="single" w:sz="8" w:color="auto"/>
            </w:tcBorders>
          </w:tcPr>
          <w:p>
            <w:pPr>
              <w:ind w:left="42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tcPr>
          <w:p>
            <w:pPr>
              <w:jc w:val="right"/>
              <w:ind w:right="319"/>
              <w:spacing w:after="0"/>
              <w:rPr>
                <w:sz w:val="20"/>
                <w:szCs w:val="20"/>
                <w:color w:val="auto"/>
              </w:rPr>
            </w:pPr>
            <w:r>
              <w:rPr>
                <w:rFonts w:ascii="Arial" w:cs="Arial" w:eastAsia="Arial" w:hAnsi="Arial"/>
                <w:sz w:val="16"/>
                <w:szCs w:val="16"/>
                <w:color w:val="auto"/>
                <w:w w:val="98"/>
              </w:rPr>
              <w:t>1,425,073</w:t>
            </w:r>
          </w:p>
        </w:tc>
      </w:tr>
      <w:tr>
        <w:trPr>
          <w:trHeight w:val="183"/>
        </w:trPr>
        <w:tc>
          <w:tcPr>
            <w:tcW w:w="6920" w:type="dxa"/>
            <w:vAlign w:val="bottom"/>
            <w:shd w:val="clear" w:color="auto" w:fill="BFBFBF"/>
          </w:tcPr>
          <w:p>
            <w:pPr>
              <w:spacing w:after="0"/>
              <w:rPr>
                <w:sz w:val="15"/>
                <w:szCs w:val="15"/>
                <w:color w:val="auto"/>
              </w:rPr>
            </w:pPr>
          </w:p>
        </w:tc>
        <w:tc>
          <w:tcPr>
            <w:tcW w:w="400" w:type="dxa"/>
            <w:vAlign w:val="bottom"/>
            <w:shd w:val="clear" w:color="auto" w:fill="BFBFBF"/>
          </w:tcPr>
          <w:p>
            <w:pPr>
              <w:spacing w:after="0"/>
              <w:rPr>
                <w:sz w:val="15"/>
                <w:szCs w:val="15"/>
                <w:color w:val="auto"/>
              </w:rPr>
            </w:pPr>
          </w:p>
        </w:tc>
        <w:tc>
          <w:tcPr>
            <w:tcW w:w="40" w:type="dxa"/>
            <w:vAlign w:val="bottom"/>
            <w:shd w:val="clear" w:color="auto" w:fill="BFBFBF"/>
          </w:tcPr>
          <w:p>
            <w:pPr>
              <w:spacing w:after="0"/>
              <w:rPr>
                <w:sz w:val="15"/>
                <w:szCs w:val="15"/>
                <w:color w:val="auto"/>
              </w:rPr>
            </w:pPr>
          </w:p>
        </w:tc>
        <w:tc>
          <w:tcPr>
            <w:tcW w:w="1020" w:type="dxa"/>
            <w:vAlign w:val="bottom"/>
            <w:shd w:val="clear" w:color="auto" w:fill="BFBFBF"/>
          </w:tcPr>
          <w:p>
            <w:pPr>
              <w:spacing w:after="0"/>
              <w:rPr>
                <w:sz w:val="15"/>
                <w:szCs w:val="15"/>
                <w:color w:val="auto"/>
              </w:rPr>
            </w:pPr>
          </w:p>
        </w:tc>
        <w:tc>
          <w:tcPr>
            <w:tcW w:w="500" w:type="dxa"/>
            <w:vAlign w:val="bottom"/>
            <w:shd w:val="clear" w:color="auto" w:fill="BFBFBF"/>
          </w:tcPr>
          <w:p>
            <w:pPr>
              <w:spacing w:after="0"/>
              <w:rPr>
                <w:sz w:val="15"/>
                <w:szCs w:val="15"/>
                <w:color w:val="auto"/>
              </w:rPr>
            </w:pPr>
          </w:p>
        </w:tc>
        <w:tc>
          <w:tcPr>
            <w:tcW w:w="920" w:type="dxa"/>
            <w:vAlign w:val="bottom"/>
            <w:shd w:val="clear" w:color="auto" w:fill="BFBFBF"/>
          </w:tcPr>
          <w:p>
            <w:pPr>
              <w:spacing w:after="0"/>
              <w:rPr>
                <w:sz w:val="15"/>
                <w:szCs w:val="15"/>
                <w:color w:val="auto"/>
              </w:rPr>
            </w:pPr>
          </w:p>
        </w:tc>
        <w:tc>
          <w:tcPr>
            <w:tcW w:w="500" w:type="dxa"/>
            <w:vAlign w:val="bottom"/>
            <w:shd w:val="clear" w:color="auto" w:fill="BFBFBF"/>
          </w:tcPr>
          <w:p>
            <w:pPr>
              <w:spacing w:after="0"/>
              <w:rPr>
                <w:sz w:val="15"/>
                <w:szCs w:val="15"/>
                <w:color w:val="auto"/>
              </w:rPr>
            </w:pPr>
          </w:p>
        </w:tc>
        <w:tc>
          <w:tcPr>
            <w:tcW w:w="20" w:type="dxa"/>
            <w:vAlign w:val="bottom"/>
            <w:shd w:val="clear" w:color="auto" w:fill="BFBFBF"/>
          </w:tcPr>
          <w:p>
            <w:pPr>
              <w:spacing w:after="0"/>
              <w:rPr>
                <w:sz w:val="15"/>
                <w:szCs w:val="15"/>
                <w:color w:val="auto"/>
              </w:rPr>
            </w:pPr>
          </w:p>
        </w:tc>
        <w:tc>
          <w:tcPr>
            <w:tcW w:w="1100" w:type="dxa"/>
            <w:vAlign w:val="bottom"/>
            <w:shd w:val="clear" w:color="auto" w:fill="BFBFBF"/>
          </w:tcPr>
          <w:p>
            <w:pPr>
              <w:spacing w:after="0"/>
              <w:rPr>
                <w:sz w:val="15"/>
                <w:szCs w:val="15"/>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LIABILITIES AND SHAREHOLDERS' EQUITY</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Notes and loans payable</w:t>
            </w:r>
          </w:p>
        </w:tc>
        <w:tc>
          <w:tcPr>
            <w:tcW w:w="440" w:type="dxa"/>
            <w:vAlign w:val="bottom"/>
            <w:gridSpan w:val="2"/>
            <w:shd w:val="clear" w:color="auto" w:fill="BFBFBF"/>
          </w:tcPr>
          <w:p>
            <w:pPr>
              <w:ind w:left="3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ind w:left="400"/>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BFBFBF"/>
          </w:tcPr>
          <w:p>
            <w:pPr>
              <w:ind w:left="420"/>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52,246</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52,246</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Accrued liabilities</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129,030</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4,964</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133,994</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1,224</w:t>
            </w:r>
          </w:p>
        </w:tc>
        <w:tc>
          <w:tcPr>
            <w:tcW w:w="500" w:type="dxa"/>
            <w:vAlign w:val="bottom"/>
          </w:tcPr>
          <w:p>
            <w:pPr>
              <w:spacing w:after="0"/>
              <w:rPr>
                <w:sz w:val="18"/>
                <w:szCs w:val="18"/>
                <w:color w:val="auto"/>
              </w:rPr>
            </w:pPr>
          </w:p>
        </w:tc>
        <w:tc>
          <w:tcPr>
            <w:tcW w:w="920" w:type="dxa"/>
            <w:vAlign w:val="bottom"/>
          </w:tcPr>
          <w:p>
            <w:pPr>
              <w:jc w:val="right"/>
              <w:ind w:right="279"/>
              <w:spacing w:after="0"/>
              <w:rPr>
                <w:sz w:val="20"/>
                <w:szCs w:val="20"/>
                <w:color w:val="auto"/>
              </w:rPr>
            </w:pPr>
            <w:r>
              <w:rPr>
                <w:rFonts w:ascii="Arial" w:cs="Arial" w:eastAsia="Arial" w:hAnsi="Arial"/>
                <w:sz w:val="16"/>
                <w:szCs w:val="16"/>
                <w:color w:val="auto"/>
              </w:rPr>
              <w:t>(1,206)</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18</w:t>
            </w:r>
          </w:p>
        </w:tc>
      </w:tr>
      <w:tr>
        <w:trPr>
          <w:trHeight w:val="216"/>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Income taxes payable</w:t>
            </w:r>
          </w:p>
        </w:tc>
        <w:tc>
          <w:tcPr>
            <w:tcW w:w="400" w:type="dxa"/>
            <w:vAlign w:val="bottom"/>
            <w:tcBorders>
              <w:bottom w:val="single" w:sz="8" w:color="auto"/>
            </w:tcBorders>
            <w:shd w:val="clear" w:color="auto" w:fill="BFBFBF"/>
          </w:tcPr>
          <w:p>
            <w:pPr>
              <w:spacing w:after="0"/>
              <w:rPr>
                <w:sz w:val="18"/>
                <w:szCs w:val="18"/>
                <w:color w:val="auto"/>
              </w:rPr>
            </w:pPr>
          </w:p>
        </w:tc>
        <w:tc>
          <w:tcPr>
            <w:tcW w:w="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239"/>
              <w:spacing w:after="0"/>
              <w:rPr>
                <w:sz w:val="20"/>
                <w:szCs w:val="20"/>
                <w:color w:val="auto"/>
              </w:rPr>
            </w:pPr>
            <w:r>
              <w:rPr>
                <w:rFonts w:ascii="Arial" w:cs="Arial" w:eastAsia="Arial" w:hAnsi="Arial"/>
                <w:sz w:val="16"/>
                <w:szCs w:val="16"/>
                <w:color w:val="auto"/>
              </w:rPr>
              <w:t>6,806</w:t>
            </w:r>
          </w:p>
        </w:tc>
        <w:tc>
          <w:tcPr>
            <w:tcW w:w="50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6,806</w:t>
            </w:r>
          </w:p>
        </w:tc>
      </w:tr>
      <w:tr>
        <w:trPr>
          <w:trHeight w:val="210"/>
        </w:trPr>
        <w:tc>
          <w:tcPr>
            <w:tcW w:w="6920" w:type="dxa"/>
            <w:vAlign w:val="bottom"/>
          </w:tcPr>
          <w:p>
            <w:pPr>
              <w:ind w:left="120"/>
              <w:spacing w:after="0"/>
              <w:rPr>
                <w:sz w:val="20"/>
                <w:szCs w:val="20"/>
                <w:color w:val="auto"/>
              </w:rPr>
            </w:pPr>
            <w:r>
              <w:rPr>
                <w:rFonts w:ascii="Arial" w:cs="Arial" w:eastAsia="Arial" w:hAnsi="Arial"/>
                <w:sz w:val="16"/>
                <w:szCs w:val="16"/>
                <w:color w:val="auto"/>
              </w:rPr>
              <w:t>Total current liabilities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189,306</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3,758</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193,064</w:t>
            </w:r>
          </w:p>
        </w:tc>
      </w:tr>
      <w:tr>
        <w:trPr>
          <w:trHeight w:val="206"/>
        </w:trPr>
        <w:tc>
          <w:tcPr>
            <w:tcW w:w="6920" w:type="dxa"/>
            <w:vAlign w:val="bottom"/>
            <w:shd w:val="clear" w:color="auto" w:fill="BFBFBF"/>
          </w:tcPr>
          <w:p>
            <w:pPr>
              <w:spacing w:after="0"/>
              <w:rPr>
                <w:sz w:val="17"/>
                <w:szCs w:val="17"/>
                <w:color w:val="auto"/>
              </w:rPr>
            </w:pPr>
          </w:p>
        </w:tc>
        <w:tc>
          <w:tcPr>
            <w:tcW w:w="40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1420" w:type="dxa"/>
            <w:vAlign w:val="bottom"/>
            <w:gridSpan w:val="2"/>
            <w:shd w:val="clear" w:color="auto" w:fill="BFBFBF"/>
          </w:tcPr>
          <w:p>
            <w:pPr>
              <w:spacing w:after="0"/>
              <w:rPr>
                <w:sz w:val="17"/>
                <w:szCs w:val="17"/>
                <w:color w:val="auto"/>
              </w:rPr>
            </w:pPr>
          </w:p>
        </w:tc>
        <w:tc>
          <w:tcPr>
            <w:tcW w:w="5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spacing w:after="0"/>
              <w:rPr>
                <w:sz w:val="17"/>
                <w:szCs w:val="17"/>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523,707</w:t>
            </w:r>
          </w:p>
        </w:tc>
        <w:tc>
          <w:tcPr>
            <w:tcW w:w="1420" w:type="dxa"/>
            <w:vAlign w:val="bottom"/>
            <w:gridSpan w:val="2"/>
          </w:tcPr>
          <w:p>
            <w:pPr>
              <w:jc w:val="right"/>
              <w:ind w:right="279"/>
              <w:spacing w:after="0"/>
              <w:rPr>
                <w:sz w:val="20"/>
                <w:szCs w:val="20"/>
                <w:color w:val="auto"/>
              </w:rPr>
            </w:pPr>
            <w:r>
              <w:rPr>
                <w:rFonts w:ascii="Arial" w:cs="Arial" w:eastAsia="Arial" w:hAnsi="Arial"/>
                <w:sz w:val="16"/>
                <w:szCs w:val="16"/>
                <w:color w:val="auto"/>
              </w:rPr>
              <w:t>(24,680)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499,027</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Other noncurrent liabilities</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88,277</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27,968</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116,245</w:t>
            </w:r>
          </w:p>
        </w:tc>
      </w:tr>
      <w:tr>
        <w:trPr>
          <w:trHeight w:val="213"/>
        </w:trPr>
        <w:tc>
          <w:tcPr>
            <w:tcW w:w="692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Deferred taxes and other liabilities</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8,422</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8,422</w:t>
            </w:r>
          </w:p>
        </w:tc>
      </w:tr>
      <w:tr>
        <w:trPr>
          <w:trHeight w:val="210"/>
        </w:trPr>
        <w:tc>
          <w:tcPr>
            <w:tcW w:w="6920" w:type="dxa"/>
            <w:vAlign w:val="bottom"/>
            <w:shd w:val="clear" w:color="auto" w:fill="BFBFBF"/>
          </w:tcPr>
          <w:p>
            <w:pPr>
              <w:ind w:left="120"/>
              <w:spacing w:after="0"/>
              <w:rPr>
                <w:sz w:val="20"/>
                <w:szCs w:val="20"/>
                <w:color w:val="auto"/>
              </w:rPr>
            </w:pPr>
            <w:r>
              <w:rPr>
                <w:rFonts w:ascii="Arial" w:cs="Arial" w:eastAsia="Arial" w:hAnsi="Arial"/>
                <w:sz w:val="16"/>
                <w:szCs w:val="16"/>
                <w:color w:val="auto"/>
              </w:rPr>
              <w:t>Total liabilities</w:t>
            </w:r>
          </w:p>
        </w:tc>
        <w:tc>
          <w:tcPr>
            <w:tcW w:w="400" w:type="dxa"/>
            <w:vAlign w:val="bottom"/>
            <w:tcBorders>
              <w:bottom w:val="single" w:sz="8" w:color="auto"/>
            </w:tcBorders>
            <w:shd w:val="clear" w:color="auto" w:fill="BFBFBF"/>
          </w:tcPr>
          <w:p>
            <w:pPr>
              <w:spacing w:after="0"/>
              <w:rPr>
                <w:sz w:val="18"/>
                <w:szCs w:val="18"/>
                <w:color w:val="auto"/>
              </w:rPr>
            </w:pPr>
          </w:p>
        </w:tc>
        <w:tc>
          <w:tcPr>
            <w:tcW w:w="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259"/>
              <w:spacing w:after="0"/>
              <w:rPr>
                <w:sz w:val="20"/>
                <w:szCs w:val="20"/>
                <w:color w:val="auto"/>
              </w:rPr>
            </w:pPr>
            <w:r>
              <w:rPr>
                <w:rFonts w:ascii="Arial" w:cs="Arial" w:eastAsia="Arial" w:hAnsi="Arial"/>
                <w:sz w:val="16"/>
                <w:szCs w:val="16"/>
                <w:color w:val="auto"/>
              </w:rPr>
              <w:t>809,712</w:t>
            </w:r>
          </w:p>
        </w:tc>
        <w:tc>
          <w:tcPr>
            <w:tcW w:w="50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7,046</w:t>
            </w: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816,758</w:t>
            </w:r>
          </w:p>
        </w:tc>
      </w:tr>
      <w:tr>
        <w:trPr>
          <w:trHeight w:val="199"/>
        </w:trPr>
        <w:tc>
          <w:tcPr>
            <w:tcW w:w="6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SHAREHOLDERS' EQUITY</w:t>
            </w:r>
          </w:p>
        </w:tc>
        <w:tc>
          <w:tcPr>
            <w:tcW w:w="400" w:type="dxa"/>
            <w:vAlign w:val="bottom"/>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02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92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100" w:type="dxa"/>
            <w:vAlign w:val="bottom"/>
            <w:shd w:val="clear" w:color="auto" w:fill="BFBFBF"/>
          </w:tcPr>
          <w:p>
            <w:pPr>
              <w:spacing w:after="0"/>
              <w:rPr>
                <w:sz w:val="18"/>
                <w:szCs w:val="18"/>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Preferred stock, par value $5.00 per share; authorized 2,000,000 shares; none issued</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w:t>
            </w:r>
          </w:p>
        </w:tc>
      </w:tr>
      <w:tr>
        <w:trPr>
          <w:trHeight w:val="207"/>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Class A Common Stock, par value $.001 per share; authorized 100,000,000 shares; issued</w:t>
            </w:r>
          </w:p>
        </w:tc>
        <w:tc>
          <w:tcPr>
            <w:tcW w:w="400" w:type="dxa"/>
            <w:vAlign w:val="bottom"/>
            <w:shd w:val="clear" w:color="auto" w:fill="BFBFBF"/>
          </w:tcPr>
          <w:p>
            <w:pPr>
              <w:spacing w:after="0"/>
              <w:rPr>
                <w:sz w:val="18"/>
                <w:szCs w:val="18"/>
                <w:color w:val="auto"/>
              </w:rPr>
            </w:pPr>
          </w:p>
        </w:tc>
        <w:tc>
          <w:tcPr>
            <w:tcW w:w="40" w:type="dxa"/>
            <w:vAlign w:val="bottom"/>
            <w:shd w:val="clear" w:color="auto" w:fill="BFBFBF"/>
          </w:tcPr>
          <w:p>
            <w:pPr>
              <w:spacing w:after="0"/>
              <w:rPr>
                <w:sz w:val="18"/>
                <w:szCs w:val="18"/>
                <w:color w:val="auto"/>
              </w:rPr>
            </w:pPr>
          </w:p>
        </w:tc>
        <w:tc>
          <w:tcPr>
            <w:tcW w:w="102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920" w:type="dxa"/>
            <w:vAlign w:val="bottom"/>
            <w:shd w:val="clear" w:color="auto" w:fill="BFBFBF"/>
          </w:tcPr>
          <w:p>
            <w:pPr>
              <w:spacing w:after="0"/>
              <w:rPr>
                <w:sz w:val="18"/>
                <w:szCs w:val="18"/>
                <w:color w:val="auto"/>
              </w:rPr>
            </w:pPr>
          </w:p>
        </w:tc>
        <w:tc>
          <w:tcPr>
            <w:tcW w:w="500" w:type="dxa"/>
            <w:vAlign w:val="bottom"/>
            <w:shd w:val="clear" w:color="auto" w:fill="BFBFBF"/>
          </w:tcPr>
          <w:p>
            <w:pPr>
              <w:spacing w:after="0"/>
              <w:rPr>
                <w:sz w:val="18"/>
                <w:szCs w:val="18"/>
                <w:color w:val="auto"/>
              </w:rPr>
            </w:pPr>
          </w:p>
        </w:tc>
        <w:tc>
          <w:tcPr>
            <w:tcW w:w="20" w:type="dxa"/>
            <w:vAlign w:val="bottom"/>
            <w:shd w:val="clear" w:color="auto" w:fill="BFBFBF"/>
          </w:tcPr>
          <w:p>
            <w:pPr>
              <w:spacing w:after="0"/>
              <w:rPr>
                <w:sz w:val="18"/>
                <w:szCs w:val="18"/>
                <w:color w:val="auto"/>
              </w:rPr>
            </w:pPr>
          </w:p>
        </w:tc>
        <w:tc>
          <w:tcPr>
            <w:tcW w:w="1100" w:type="dxa"/>
            <w:vAlign w:val="bottom"/>
            <w:shd w:val="clear" w:color="auto" w:fill="BFBFBF"/>
          </w:tcPr>
          <w:p>
            <w:pPr>
              <w:spacing w:after="0"/>
              <w:rPr>
                <w:sz w:val="18"/>
                <w:szCs w:val="18"/>
                <w:color w:val="auto"/>
              </w:rPr>
            </w:pPr>
          </w:p>
        </w:tc>
      </w:tr>
      <w:tr>
        <w:trPr>
          <w:trHeight w:val="201"/>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37,450,329 in 2018 and 37,395,753 in 2017</w:t>
            </w:r>
          </w:p>
        </w:tc>
        <w:tc>
          <w:tcPr>
            <w:tcW w:w="400" w:type="dxa"/>
            <w:vAlign w:val="bottom"/>
            <w:shd w:val="clear" w:color="auto" w:fill="BFBFBF"/>
          </w:tcPr>
          <w:p>
            <w:pPr>
              <w:spacing w:after="0"/>
              <w:rPr>
                <w:sz w:val="17"/>
                <w:szCs w:val="17"/>
                <w:color w:val="auto"/>
              </w:rPr>
            </w:pPr>
          </w:p>
        </w:tc>
        <w:tc>
          <w:tcPr>
            <w:tcW w:w="40" w:type="dxa"/>
            <w:vAlign w:val="bottom"/>
            <w:shd w:val="clear" w:color="auto" w:fill="BFBFBF"/>
          </w:tcPr>
          <w:p>
            <w:pPr>
              <w:spacing w:after="0"/>
              <w:rPr>
                <w:sz w:val="17"/>
                <w:szCs w:val="17"/>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37</w:t>
            </w:r>
          </w:p>
        </w:tc>
        <w:tc>
          <w:tcPr>
            <w:tcW w:w="500" w:type="dxa"/>
            <w:vAlign w:val="bottom"/>
            <w:shd w:val="clear" w:color="auto" w:fill="BFBFBF"/>
          </w:tcPr>
          <w:p>
            <w:pPr>
              <w:spacing w:after="0"/>
              <w:rPr>
                <w:sz w:val="17"/>
                <w:szCs w:val="17"/>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37</w:t>
            </w:r>
          </w:p>
        </w:tc>
      </w:tr>
      <w:tr>
        <w:trPr>
          <w:trHeight w:val="204"/>
        </w:trPr>
        <w:tc>
          <w:tcPr>
            <w:tcW w:w="6920" w:type="dxa"/>
            <w:vAlign w:val="bottom"/>
          </w:tcPr>
          <w:p>
            <w:pPr>
              <w:ind w:left="20"/>
              <w:spacing w:after="0"/>
              <w:rPr>
                <w:sz w:val="20"/>
                <w:szCs w:val="20"/>
                <w:color w:val="auto"/>
              </w:rPr>
            </w:pPr>
            <w:r>
              <w:rPr>
                <w:rFonts w:ascii="Arial" w:cs="Arial" w:eastAsia="Arial" w:hAnsi="Arial"/>
                <w:sz w:val="16"/>
                <w:szCs w:val="16"/>
                <w:color w:val="auto"/>
              </w:rPr>
              <w:t>Class B Common Stock, par value $.001 per share; authorized 25,000,000 shares; issued and</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8"/>
        </w:trPr>
        <w:tc>
          <w:tcPr>
            <w:tcW w:w="6920" w:type="dxa"/>
            <w:vAlign w:val="bottom"/>
          </w:tcPr>
          <w:p>
            <w:pPr>
              <w:ind w:left="20"/>
              <w:spacing w:after="0"/>
              <w:rPr>
                <w:sz w:val="20"/>
                <w:szCs w:val="20"/>
                <w:color w:val="auto"/>
              </w:rPr>
            </w:pPr>
            <w:r>
              <w:rPr>
                <w:rFonts w:ascii="Arial" w:cs="Arial" w:eastAsia="Arial" w:hAnsi="Arial"/>
                <w:sz w:val="16"/>
                <w:szCs w:val="16"/>
                <w:color w:val="auto"/>
              </w:rPr>
              <w:t>outstanding 3,233,998 in 2018 and 2017</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3</w:t>
            </w:r>
          </w:p>
        </w:tc>
        <w:tc>
          <w:tcPr>
            <w:tcW w:w="500" w:type="dxa"/>
            <w:vAlign w:val="bottom"/>
          </w:tcPr>
          <w:p>
            <w:pPr>
              <w:spacing w:after="0"/>
              <w:rPr>
                <w:sz w:val="17"/>
                <w:szCs w:val="17"/>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3</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Additional paid in capital</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59"/>
              <w:spacing w:after="0"/>
              <w:rPr>
                <w:sz w:val="20"/>
                <w:szCs w:val="20"/>
                <w:color w:val="auto"/>
              </w:rPr>
            </w:pPr>
            <w:r>
              <w:rPr>
                <w:rFonts w:ascii="Arial" w:cs="Arial" w:eastAsia="Arial" w:hAnsi="Arial"/>
                <w:sz w:val="16"/>
                <w:szCs w:val="16"/>
                <w:color w:val="auto"/>
              </w:rPr>
              <w:t>430,555</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430,555</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Retained earnings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589,645</w:t>
            </w:r>
          </w:p>
        </w:tc>
        <w:tc>
          <w:tcPr>
            <w:tcW w:w="50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589,680</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Accumulated items of other comprehensive income:</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spacing w:after="0"/>
              <w:rPr>
                <w:sz w:val="19"/>
                <w:szCs w:val="19"/>
                <w:color w:val="auto"/>
              </w:rPr>
            </w:pP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spacing w:after="0"/>
              <w:rPr>
                <w:sz w:val="19"/>
                <w:szCs w:val="19"/>
                <w:color w:val="auto"/>
              </w:rPr>
            </w:pP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spacing w:after="0"/>
              <w:rPr>
                <w:sz w:val="19"/>
                <w:szCs w:val="19"/>
                <w:color w:val="auto"/>
              </w:rPr>
            </w:pP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Translation adjustments</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19"/>
              <w:spacing w:after="0"/>
              <w:rPr>
                <w:sz w:val="20"/>
                <w:szCs w:val="20"/>
                <w:color w:val="auto"/>
              </w:rPr>
            </w:pPr>
            <w:r>
              <w:rPr>
                <w:rFonts w:ascii="Arial" w:cs="Arial" w:eastAsia="Arial" w:hAnsi="Arial"/>
                <w:sz w:val="16"/>
                <w:szCs w:val="16"/>
                <w:color w:val="auto"/>
              </w:rPr>
              <w:t>(115,976)</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279"/>
              <w:spacing w:after="0"/>
              <w:rPr>
                <w:sz w:val="20"/>
                <w:szCs w:val="20"/>
                <w:color w:val="auto"/>
              </w:rPr>
            </w:pPr>
            <w:r>
              <w:rPr>
                <w:rFonts w:ascii="Arial" w:cs="Arial" w:eastAsia="Arial" w:hAnsi="Arial"/>
                <w:sz w:val="16"/>
                <w:szCs w:val="16"/>
                <w:color w:val="auto"/>
              </w:rPr>
              <w:t>(115,976)</w:t>
            </w:r>
          </w:p>
        </w:tc>
      </w:tr>
      <w:tr>
        <w:trPr>
          <w:trHeight w:val="219"/>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Pension and postretirement liability adjustments</w:t>
            </w:r>
          </w:p>
        </w:tc>
        <w:tc>
          <w:tcPr>
            <w:tcW w:w="400" w:type="dxa"/>
            <w:vAlign w:val="bottom"/>
            <w:shd w:val="clear" w:color="auto" w:fill="BFBFBF"/>
          </w:tcPr>
          <w:p>
            <w:pPr>
              <w:spacing w:after="0"/>
              <w:rPr>
                <w:sz w:val="19"/>
                <w:szCs w:val="19"/>
                <w:color w:val="auto"/>
              </w:rPr>
            </w:pPr>
          </w:p>
        </w:tc>
        <w:tc>
          <w:tcPr>
            <w:tcW w:w="40" w:type="dxa"/>
            <w:vAlign w:val="bottom"/>
            <w:shd w:val="clear" w:color="auto" w:fill="BFBFBF"/>
          </w:tcPr>
          <w:p>
            <w:pPr>
              <w:spacing w:after="0"/>
              <w:rPr>
                <w:sz w:val="19"/>
                <w:szCs w:val="19"/>
                <w:color w:val="auto"/>
              </w:rPr>
            </w:pPr>
          </w:p>
        </w:tc>
        <w:tc>
          <w:tcPr>
            <w:tcW w:w="1020" w:type="dxa"/>
            <w:vAlign w:val="bottom"/>
            <w:shd w:val="clear" w:color="auto" w:fill="BFBFBF"/>
          </w:tcPr>
          <w:p>
            <w:pPr>
              <w:jc w:val="right"/>
              <w:ind w:right="219"/>
              <w:spacing w:after="0"/>
              <w:rPr>
                <w:sz w:val="20"/>
                <w:szCs w:val="20"/>
                <w:color w:val="auto"/>
              </w:rPr>
            </w:pPr>
            <w:r>
              <w:rPr>
                <w:rFonts w:ascii="Arial" w:cs="Arial" w:eastAsia="Arial" w:hAnsi="Arial"/>
                <w:sz w:val="16"/>
                <w:szCs w:val="16"/>
                <w:color w:val="auto"/>
              </w:rPr>
              <w:t>(47,109)</w:t>
            </w:r>
          </w:p>
        </w:tc>
        <w:tc>
          <w:tcPr>
            <w:tcW w:w="500" w:type="dxa"/>
            <w:vAlign w:val="bottom"/>
            <w:shd w:val="clear" w:color="auto" w:fill="BFBFBF"/>
          </w:tcPr>
          <w:p>
            <w:pPr>
              <w:spacing w:after="0"/>
              <w:rPr>
                <w:sz w:val="19"/>
                <w:szCs w:val="19"/>
                <w:color w:val="auto"/>
              </w:rPr>
            </w:pPr>
          </w:p>
        </w:tc>
        <w:tc>
          <w:tcPr>
            <w:tcW w:w="920" w:type="dxa"/>
            <w:vAlign w:val="bottom"/>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shd w:val="clear" w:color="auto" w:fill="BFBFBF"/>
          </w:tcPr>
          <w:p>
            <w:pPr>
              <w:spacing w:after="0"/>
              <w:rPr>
                <w:sz w:val="19"/>
                <w:szCs w:val="19"/>
                <w:color w:val="auto"/>
              </w:rPr>
            </w:pPr>
          </w:p>
        </w:tc>
        <w:tc>
          <w:tcPr>
            <w:tcW w:w="20" w:type="dxa"/>
            <w:vAlign w:val="bottom"/>
            <w:shd w:val="clear" w:color="auto" w:fill="BFBFBF"/>
          </w:tcPr>
          <w:p>
            <w:pPr>
              <w:spacing w:after="0"/>
              <w:rPr>
                <w:sz w:val="19"/>
                <w:szCs w:val="19"/>
                <w:color w:val="auto"/>
              </w:rPr>
            </w:pPr>
          </w:p>
        </w:tc>
        <w:tc>
          <w:tcPr>
            <w:tcW w:w="1100" w:type="dxa"/>
            <w:vAlign w:val="bottom"/>
            <w:shd w:val="clear" w:color="auto" w:fill="BFBFBF"/>
          </w:tcPr>
          <w:p>
            <w:pPr>
              <w:jc w:val="right"/>
              <w:ind w:right="299"/>
              <w:spacing w:after="0"/>
              <w:rPr>
                <w:sz w:val="20"/>
                <w:szCs w:val="20"/>
                <w:color w:val="auto"/>
              </w:rPr>
            </w:pPr>
            <w:r>
              <w:rPr>
                <w:rFonts w:ascii="Arial" w:cs="Arial" w:eastAsia="Arial" w:hAnsi="Arial"/>
                <w:sz w:val="16"/>
                <w:szCs w:val="16"/>
                <w:color w:val="auto"/>
              </w:rPr>
              <w:t>(47,109)</w:t>
            </w:r>
          </w:p>
        </w:tc>
      </w:tr>
      <w:tr>
        <w:trPr>
          <w:trHeight w:val="213"/>
        </w:trPr>
        <w:tc>
          <w:tcPr>
            <w:tcW w:w="6920" w:type="dxa"/>
            <w:vAlign w:val="bottom"/>
          </w:tcPr>
          <w:p>
            <w:pPr>
              <w:ind w:left="20"/>
              <w:spacing w:after="0"/>
              <w:rPr>
                <w:sz w:val="20"/>
                <w:szCs w:val="20"/>
                <w:color w:val="auto"/>
              </w:rPr>
            </w:pPr>
            <w:r>
              <w:rPr>
                <w:rFonts w:ascii="Arial" w:cs="Arial" w:eastAsia="Arial" w:hAnsi="Arial"/>
                <w:sz w:val="16"/>
                <w:szCs w:val="16"/>
                <w:color w:val="auto"/>
              </w:rPr>
              <w:t>Derivative valuation adjustment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39"/>
              <w:spacing w:after="0"/>
              <w:rPr>
                <w:sz w:val="20"/>
                <w:szCs w:val="20"/>
                <w:color w:val="auto"/>
              </w:rPr>
            </w:pPr>
            <w:r>
              <w:rPr>
                <w:rFonts w:ascii="Arial" w:cs="Arial" w:eastAsia="Arial" w:hAnsi="Arial"/>
                <w:sz w:val="16"/>
                <w:szCs w:val="16"/>
                <w:color w:val="auto"/>
              </w:rPr>
              <w:t>4,697</w:t>
            </w:r>
          </w:p>
        </w:tc>
        <w:tc>
          <w:tcPr>
            <w:tcW w:w="50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4,697</w:t>
            </w:r>
          </w:p>
        </w:tc>
      </w:tr>
      <w:tr>
        <w:trPr>
          <w:trHeight w:val="216"/>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Treasury stock (Class A), at cost 8,418,620 shares in 2018 and 8,431,335 shares in 2017</w:t>
            </w:r>
          </w:p>
        </w:tc>
        <w:tc>
          <w:tcPr>
            <w:tcW w:w="400" w:type="dxa"/>
            <w:vAlign w:val="bottom"/>
            <w:tcBorders>
              <w:bottom w:val="single" w:sz="8" w:color="auto"/>
            </w:tcBorders>
            <w:shd w:val="clear" w:color="auto" w:fill="BFBFBF"/>
          </w:tcPr>
          <w:p>
            <w:pPr>
              <w:spacing w:after="0"/>
              <w:rPr>
                <w:sz w:val="18"/>
                <w:szCs w:val="18"/>
                <w:color w:val="auto"/>
              </w:rPr>
            </w:pPr>
          </w:p>
        </w:tc>
        <w:tc>
          <w:tcPr>
            <w:tcW w:w="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219"/>
              <w:spacing w:after="0"/>
              <w:rPr>
                <w:sz w:val="20"/>
                <w:szCs w:val="20"/>
                <w:color w:val="auto"/>
              </w:rPr>
            </w:pPr>
            <w:r>
              <w:rPr>
                <w:rFonts w:ascii="Arial" w:cs="Arial" w:eastAsia="Arial" w:hAnsi="Arial"/>
                <w:sz w:val="16"/>
                <w:szCs w:val="16"/>
                <w:color w:val="auto"/>
              </w:rPr>
              <w:t>(256,603)</w:t>
            </w:r>
          </w:p>
        </w:tc>
        <w:tc>
          <w:tcPr>
            <w:tcW w:w="50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299"/>
              <w:spacing w:after="0"/>
              <w:rPr>
                <w:sz w:val="20"/>
                <w:szCs w:val="20"/>
                <w:color w:val="auto"/>
              </w:rPr>
            </w:pPr>
            <w:r>
              <w:rPr>
                <w:rFonts w:ascii="Arial" w:cs="Arial" w:eastAsia="Arial" w:hAnsi="Arial"/>
                <w:sz w:val="16"/>
                <w:szCs w:val="16"/>
                <w:color w:val="auto"/>
              </w:rPr>
              <w:t>(256,603)</w:t>
            </w:r>
          </w:p>
        </w:tc>
      </w:tr>
      <w:tr>
        <w:trPr>
          <w:trHeight w:val="210"/>
        </w:trPr>
        <w:tc>
          <w:tcPr>
            <w:tcW w:w="6920" w:type="dxa"/>
            <w:vAlign w:val="bottom"/>
          </w:tcPr>
          <w:p>
            <w:pPr>
              <w:ind w:left="240"/>
              <w:spacing w:after="0"/>
              <w:rPr>
                <w:sz w:val="20"/>
                <w:szCs w:val="20"/>
                <w:color w:val="auto"/>
              </w:rPr>
            </w:pPr>
            <w:r>
              <w:rPr>
                <w:rFonts w:ascii="Arial" w:cs="Arial" w:eastAsia="Arial" w:hAnsi="Arial"/>
                <w:sz w:val="16"/>
                <w:szCs w:val="16"/>
                <w:color w:val="auto"/>
              </w:rPr>
              <w:t>Total Company shareholders' equity</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tcPr>
          <w:p>
            <w:pPr>
              <w:jc w:val="right"/>
              <w:ind w:right="259"/>
              <w:spacing w:after="0"/>
              <w:rPr>
                <w:sz w:val="20"/>
                <w:szCs w:val="20"/>
                <w:color w:val="auto"/>
              </w:rPr>
            </w:pPr>
            <w:r>
              <w:rPr>
                <w:rFonts w:ascii="Arial" w:cs="Arial" w:eastAsia="Arial" w:hAnsi="Arial"/>
                <w:sz w:val="16"/>
                <w:szCs w:val="16"/>
                <w:color w:val="auto"/>
              </w:rPr>
              <w:t>605,249</w:t>
            </w:r>
          </w:p>
        </w:tc>
        <w:tc>
          <w:tcPr>
            <w:tcW w:w="50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35</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jc w:val="right"/>
              <w:ind w:right="319"/>
              <w:spacing w:after="0"/>
              <w:rPr>
                <w:sz w:val="20"/>
                <w:szCs w:val="20"/>
                <w:color w:val="auto"/>
              </w:rPr>
            </w:pPr>
            <w:r>
              <w:rPr>
                <w:rFonts w:ascii="Arial" w:cs="Arial" w:eastAsia="Arial" w:hAnsi="Arial"/>
                <w:sz w:val="16"/>
                <w:szCs w:val="16"/>
                <w:color w:val="auto"/>
              </w:rPr>
              <w:t>605,284</w:t>
            </w:r>
          </w:p>
        </w:tc>
      </w:tr>
      <w:tr>
        <w:trPr>
          <w:trHeight w:val="216"/>
        </w:trPr>
        <w:tc>
          <w:tcPr>
            <w:tcW w:w="6920" w:type="dxa"/>
            <w:vAlign w:val="bottom"/>
            <w:shd w:val="clear" w:color="auto" w:fill="BFBFBF"/>
          </w:tcPr>
          <w:p>
            <w:pPr>
              <w:ind w:left="20"/>
              <w:spacing w:after="0"/>
              <w:rPr>
                <w:sz w:val="20"/>
                <w:szCs w:val="20"/>
                <w:color w:val="auto"/>
              </w:rPr>
            </w:pPr>
            <w:r>
              <w:rPr>
                <w:rFonts w:ascii="Arial" w:cs="Arial" w:eastAsia="Arial" w:hAnsi="Arial"/>
                <w:sz w:val="16"/>
                <w:szCs w:val="16"/>
                <w:color w:val="auto"/>
              </w:rPr>
              <w:t>Noncontrolling interest</w:t>
            </w:r>
          </w:p>
        </w:tc>
        <w:tc>
          <w:tcPr>
            <w:tcW w:w="400" w:type="dxa"/>
            <w:vAlign w:val="bottom"/>
            <w:tcBorders>
              <w:bottom w:val="single" w:sz="8" w:color="auto"/>
            </w:tcBorders>
            <w:shd w:val="clear" w:color="auto" w:fill="BFBFBF"/>
          </w:tcPr>
          <w:p>
            <w:pPr>
              <w:spacing w:after="0"/>
              <w:rPr>
                <w:sz w:val="18"/>
                <w:szCs w:val="18"/>
                <w:color w:val="auto"/>
              </w:rPr>
            </w:pPr>
          </w:p>
        </w:tc>
        <w:tc>
          <w:tcPr>
            <w:tcW w:w="40" w:type="dxa"/>
            <w:vAlign w:val="bottom"/>
            <w:tcBorders>
              <w:bottom w:val="single" w:sz="8" w:color="auto"/>
            </w:tcBorders>
            <w:shd w:val="clear" w:color="auto" w:fill="BFBFBF"/>
          </w:tcPr>
          <w:p>
            <w:pPr>
              <w:spacing w:after="0"/>
              <w:rPr>
                <w:sz w:val="18"/>
                <w:szCs w:val="18"/>
                <w:color w:val="auto"/>
              </w:rPr>
            </w:pPr>
          </w:p>
        </w:tc>
        <w:tc>
          <w:tcPr>
            <w:tcW w:w="1020" w:type="dxa"/>
            <w:vAlign w:val="bottom"/>
            <w:tcBorders>
              <w:bottom w:val="single" w:sz="8" w:color="auto"/>
            </w:tcBorders>
            <w:shd w:val="clear" w:color="auto" w:fill="BFBFBF"/>
          </w:tcPr>
          <w:p>
            <w:pPr>
              <w:jc w:val="right"/>
              <w:ind w:right="239"/>
              <w:spacing w:after="0"/>
              <w:rPr>
                <w:sz w:val="20"/>
                <w:szCs w:val="20"/>
                <w:color w:val="auto"/>
              </w:rPr>
            </w:pPr>
            <w:r>
              <w:rPr>
                <w:rFonts w:ascii="Arial" w:cs="Arial" w:eastAsia="Arial" w:hAnsi="Arial"/>
                <w:sz w:val="16"/>
                <w:szCs w:val="16"/>
                <w:color w:val="auto"/>
              </w:rPr>
              <w:t>3,031</w:t>
            </w:r>
          </w:p>
        </w:tc>
        <w:tc>
          <w:tcPr>
            <w:tcW w:w="500" w:type="dxa"/>
            <w:vAlign w:val="bottom"/>
            <w:tcBorders>
              <w:bottom w:val="single" w:sz="8" w:color="auto"/>
            </w:tcBorders>
            <w:shd w:val="clear" w:color="auto" w:fill="BFBFBF"/>
          </w:tcPr>
          <w:p>
            <w:pPr>
              <w:spacing w:after="0"/>
              <w:rPr>
                <w:sz w:val="18"/>
                <w:szCs w:val="18"/>
                <w:color w:val="auto"/>
              </w:rPr>
            </w:pP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BFBFBF"/>
          </w:tcPr>
          <w:p>
            <w:pPr>
              <w:spacing w:after="0"/>
              <w:rPr>
                <w:sz w:val="18"/>
                <w:szCs w:val="18"/>
                <w:color w:val="auto"/>
              </w:rPr>
            </w:pPr>
          </w:p>
        </w:tc>
        <w:tc>
          <w:tcPr>
            <w:tcW w:w="20" w:type="dxa"/>
            <w:vAlign w:val="bottom"/>
            <w:tcBorders>
              <w:bottom w:val="single" w:sz="8" w:color="auto"/>
            </w:tcBorders>
            <w:shd w:val="clear" w:color="auto" w:fill="BFBFBF"/>
          </w:tcPr>
          <w:p>
            <w:pPr>
              <w:spacing w:after="0"/>
              <w:rPr>
                <w:sz w:val="18"/>
                <w:szCs w:val="18"/>
                <w:color w:val="auto"/>
              </w:rPr>
            </w:pPr>
          </w:p>
        </w:tc>
        <w:tc>
          <w:tcPr>
            <w:tcW w:w="110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3,031</w:t>
            </w:r>
          </w:p>
        </w:tc>
      </w:tr>
      <w:tr>
        <w:trPr>
          <w:trHeight w:val="210"/>
        </w:trPr>
        <w:tc>
          <w:tcPr>
            <w:tcW w:w="6920" w:type="dxa"/>
            <w:vAlign w:val="bottom"/>
            <w:tcBorders>
              <w:bottom w:val="single" w:sz="8" w:color="BFBFBF"/>
            </w:tcBorders>
          </w:tcPr>
          <w:p>
            <w:pPr>
              <w:ind w:left="20"/>
              <w:spacing w:after="0"/>
              <w:rPr>
                <w:sz w:val="20"/>
                <w:szCs w:val="20"/>
                <w:color w:val="auto"/>
              </w:rPr>
            </w:pPr>
            <w:r>
              <w:rPr>
                <w:rFonts w:ascii="Arial" w:cs="Arial" w:eastAsia="Arial" w:hAnsi="Arial"/>
                <w:sz w:val="16"/>
                <w:szCs w:val="16"/>
                <w:color w:val="auto"/>
              </w:rPr>
              <w:t>Total equity</w:t>
            </w:r>
          </w:p>
        </w:tc>
        <w:tc>
          <w:tcPr>
            <w:tcW w:w="4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608,280</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35</w:t>
            </w:r>
          </w:p>
        </w:tc>
        <w:tc>
          <w:tcPr>
            <w:tcW w:w="5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608,315</w:t>
            </w:r>
          </w:p>
        </w:tc>
      </w:tr>
      <w:tr>
        <w:trPr>
          <w:trHeight w:val="213"/>
        </w:trPr>
        <w:tc>
          <w:tcPr>
            <w:tcW w:w="6920" w:type="dxa"/>
            <w:vAlign w:val="bottom"/>
            <w:tcBorders>
              <w:bottom w:val="single" w:sz="8" w:color="BFBFBF"/>
            </w:tcBorders>
            <w:shd w:val="clear" w:color="auto" w:fill="BFBFBF"/>
          </w:tcPr>
          <w:p>
            <w:pPr>
              <w:ind w:left="240"/>
              <w:spacing w:after="0"/>
              <w:rPr>
                <w:sz w:val="20"/>
                <w:szCs w:val="20"/>
                <w:color w:val="auto"/>
              </w:rPr>
            </w:pPr>
            <w:r>
              <w:rPr>
                <w:rFonts w:ascii="Arial" w:cs="Arial" w:eastAsia="Arial" w:hAnsi="Arial"/>
                <w:sz w:val="16"/>
                <w:szCs w:val="16"/>
                <w:color w:val="auto"/>
              </w:rPr>
              <w:t>Total liabilities and shareholders' equity</w:t>
            </w:r>
          </w:p>
        </w:tc>
        <w:tc>
          <w:tcPr>
            <w:tcW w:w="400" w:type="dxa"/>
            <w:vAlign w:val="bottom"/>
            <w:tcBorders>
              <w:bottom w:val="single" w:sz="8" w:color="auto"/>
            </w:tcBorders>
            <w:shd w:val="clear" w:color="auto" w:fill="BFBFBF"/>
          </w:tcPr>
          <w:p>
            <w:pPr>
              <w:ind w:left="320"/>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gridSpan w:val="2"/>
            <w:shd w:val="clear" w:color="auto" w:fill="BFBFBF"/>
          </w:tcPr>
          <w:p>
            <w:pPr>
              <w:jc w:val="right"/>
              <w:ind w:right="239"/>
              <w:spacing w:after="0"/>
              <w:rPr>
                <w:sz w:val="20"/>
                <w:szCs w:val="20"/>
                <w:color w:val="auto"/>
              </w:rPr>
            </w:pPr>
            <w:r>
              <w:rPr>
                <w:rFonts w:ascii="Arial" w:cs="Arial" w:eastAsia="Arial" w:hAnsi="Arial"/>
                <w:sz w:val="16"/>
                <w:szCs w:val="16"/>
                <w:color w:val="auto"/>
              </w:rPr>
              <w:t>1,417,992</w:t>
            </w:r>
          </w:p>
        </w:tc>
        <w:tc>
          <w:tcPr>
            <w:tcW w:w="500" w:type="dxa"/>
            <w:vAlign w:val="bottom"/>
            <w:tcBorders>
              <w:bottom w:val="single" w:sz="8" w:color="auto"/>
            </w:tcBorders>
            <w:shd w:val="clear" w:color="auto" w:fill="BFBFBF"/>
          </w:tcPr>
          <w:p>
            <w:pPr>
              <w:ind w:left="40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BFBFBF"/>
          </w:tcPr>
          <w:p>
            <w:pPr>
              <w:jc w:val="right"/>
              <w:ind w:right="319"/>
              <w:spacing w:after="0"/>
              <w:rPr>
                <w:sz w:val="20"/>
                <w:szCs w:val="20"/>
                <w:color w:val="auto"/>
              </w:rPr>
            </w:pPr>
            <w:r>
              <w:rPr>
                <w:rFonts w:ascii="Arial" w:cs="Arial" w:eastAsia="Arial" w:hAnsi="Arial"/>
                <w:sz w:val="16"/>
                <w:szCs w:val="16"/>
                <w:color w:val="auto"/>
              </w:rPr>
              <w:t>7,081</w:t>
            </w:r>
          </w:p>
        </w:tc>
        <w:tc>
          <w:tcPr>
            <w:tcW w:w="500" w:type="dxa"/>
            <w:vAlign w:val="bottom"/>
            <w:tcBorders>
              <w:bottom w:val="single" w:sz="8" w:color="auto"/>
            </w:tcBorders>
            <w:shd w:val="clear" w:color="auto" w:fill="BFBFBF"/>
          </w:tcPr>
          <w:p>
            <w:pPr>
              <w:ind w:left="420"/>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2"/>
            <w:shd w:val="clear" w:color="auto" w:fill="BFBFBF"/>
          </w:tcPr>
          <w:p>
            <w:pPr>
              <w:jc w:val="right"/>
              <w:ind w:right="319"/>
              <w:spacing w:after="0"/>
              <w:rPr>
                <w:sz w:val="20"/>
                <w:szCs w:val="20"/>
                <w:color w:val="auto"/>
              </w:rPr>
            </w:pPr>
            <w:r>
              <w:rPr>
                <w:rFonts w:ascii="Arial" w:cs="Arial" w:eastAsia="Arial" w:hAnsi="Arial"/>
                <w:sz w:val="16"/>
                <w:szCs w:val="16"/>
                <w:color w:val="auto"/>
                <w:w w:val="98"/>
              </w:rPr>
              <w:t>1,425,073</w:t>
            </w:r>
          </w:p>
        </w:tc>
      </w:tr>
      <w:tr>
        <w:trPr>
          <w:trHeight w:val="20"/>
        </w:trPr>
        <w:tc>
          <w:tcPr>
            <w:tcW w:w="69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Adoption of the standard had no impact to cash from or used in operating, investing, or financing activities in our Consolidated Statements of Cash Flows.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changes to our accounting policies as a result of adopting the new standard are discussed below.</w:t>
      </w:r>
    </w:p>
    <w:p>
      <w:pPr>
        <w:spacing w:after="0" w:line="10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assess whether:</w:t>
      </w:r>
    </w:p>
    <w:p>
      <w:pPr>
        <w:spacing w:after="0" w:line="54" w:lineRule="exact"/>
        <w:rPr>
          <w:sz w:val="20"/>
          <w:szCs w:val="20"/>
          <w:color w:val="auto"/>
        </w:rPr>
      </w:pPr>
    </w:p>
    <w:p>
      <w:pPr>
        <w:ind w:left="580" w:hanging="248"/>
        <w:spacing w:after="0" w:line="24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contract involves the use of an identified asset. This may be specified explicitly or implicitly, and should be physically distinct or represent substantially all of the capacity of a physically distinct asset,</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lessee has the right to obtain substantially all of the economic benefits from use of the asset throughout the period of use, and</w:t>
      </w:r>
    </w:p>
    <w:p>
      <w:pPr>
        <w:spacing w:after="0" w:line="49" w:lineRule="exact"/>
        <w:rPr>
          <w:rFonts w:ascii="Arial" w:cs="Arial" w:eastAsia="Arial" w:hAnsi="Arial"/>
          <w:sz w:val="18"/>
          <w:szCs w:val="18"/>
          <w:color w:val="auto"/>
        </w:rPr>
      </w:pPr>
    </w:p>
    <w:p>
      <w:pPr>
        <w:ind w:left="580" w:right="20" w:hanging="248"/>
        <w:spacing w:after="0" w:line="246" w:lineRule="auto"/>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lessee has the right to direct the use of the asset, which is demonstrated when the lessee has decision-making rights that are most relevant to changing how and for what purpose the asset is used.</w:t>
      </w:r>
    </w:p>
    <w:p>
      <w:pPr>
        <w:spacing w:after="0" w:line="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Judgement is required in the application of ASC 842, including the determination of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generally the lessee in our lease transactions. For periods ending after December 31, 2018, lessees are required to recognize a lease liability and an ROU asset for leases with terms greater than 12 months, in accordance with the practical expedient that is available for ongoing accounting.</w:t>
      </w:r>
    </w:p>
    <w:p>
      <w:pPr>
        <w:spacing w:after="0" w:line="95"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0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We have lease agreements with lease and non -lease components. For most leases, we account for the lease and non-lease components as a single lease component, in accordance with the practical expedient that is available for ongoing accounting. Additionally, for certain leases, such as for vehicles, we apply a portfolio approach. New leases will be classified as financing or operating, with classification affecting the pattern and classification of expense recognition in the income statement. Expenses related to operating leases will be recognized on a straight-line basis, while those determined to be financing leases will be recognized following a front-loaded expense profile, in which interest and amortization are presented separately in the income statement.</w:t>
      </w:r>
    </w:p>
    <w:p>
      <w:pPr>
        <w:spacing w:after="0" w:line="9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Operating lease ROU assets are included in Other assets in the Consolidated Balance Sheets and Operating lease liabilities are included in Accrued liabilities and Other noncurrent liabilities in the Consolidated Balance Sheets. Finance lease ROU assets are included in Property, plant, and equipment, net in the Consolidated Balance Sheets and Finance lease liabilities are included in Accrued liabilities and Other noncurrent liabilities in the Consolidated Balance Sheets.</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have operating and finance leases for offices, manufacturing facilities, warehouses, vehicles, and certain equipment. Our leases have remaining lease terms of 1 year to 11 years, some of which include options to extend the leases for up to 10 years, and some of which include options to terminate the leases within 1 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30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jc w:val="center"/>
              <w:ind w:left="1282"/>
              <w:spacing w:after="0"/>
              <w:rPr>
                <w:sz w:val="20"/>
                <w:szCs w:val="20"/>
                <w:color w:val="auto"/>
              </w:rPr>
            </w:pPr>
            <w:r>
              <w:rPr>
                <w:rFonts w:ascii="Arial" w:cs="Arial" w:eastAsia="Arial" w:hAnsi="Arial"/>
                <w:sz w:val="14"/>
                <w:szCs w:val="14"/>
                <w:b w:val="1"/>
                <w:bCs w:val="1"/>
                <w:color w:val="auto"/>
              </w:rPr>
              <w:t>For the three</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4300" w:type="dxa"/>
            <w:vAlign w:val="bottom"/>
          </w:tcPr>
          <w:p>
            <w:pPr>
              <w:spacing w:after="0"/>
              <w:rPr>
                <w:sz w:val="14"/>
                <w:szCs w:val="14"/>
                <w:color w:val="auto"/>
              </w:rPr>
            </w:pPr>
          </w:p>
        </w:tc>
        <w:tc>
          <w:tcPr>
            <w:tcW w:w="3240" w:type="dxa"/>
            <w:vAlign w:val="bottom"/>
          </w:tcPr>
          <w:p>
            <w:pPr>
              <w:jc w:val="center"/>
              <w:ind w:left="1302"/>
              <w:spacing w:after="0"/>
              <w:rPr>
                <w:sz w:val="20"/>
                <w:szCs w:val="20"/>
                <w:color w:val="auto"/>
              </w:rPr>
            </w:pPr>
            <w:r>
              <w:rPr>
                <w:rFonts w:ascii="Arial" w:cs="Arial" w:eastAsia="Arial" w:hAnsi="Arial"/>
                <w:sz w:val="14"/>
                <w:szCs w:val="14"/>
                <w:b w:val="1"/>
                <w:bCs w:val="1"/>
                <w:color w:val="auto"/>
              </w:rPr>
              <w:t>months ended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months ended</w:t>
            </w:r>
          </w:p>
        </w:tc>
      </w:tr>
      <w:tr>
        <w:trPr>
          <w:trHeight w:val="189"/>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240" w:type="dxa"/>
            <w:vAlign w:val="bottom"/>
            <w:tcBorders>
              <w:bottom w:val="single" w:sz="8" w:color="auto"/>
            </w:tcBorders>
          </w:tcPr>
          <w:p>
            <w:pPr>
              <w:jc w:val="center"/>
              <w:ind w:left="1302"/>
              <w:spacing w:after="0"/>
              <w:rPr>
                <w:sz w:val="20"/>
                <w:szCs w:val="20"/>
                <w:color w:val="auto"/>
              </w:rPr>
            </w:pPr>
            <w:r>
              <w:rPr>
                <w:rFonts w:ascii="Arial" w:cs="Arial" w:eastAsia="Arial" w:hAnsi="Arial"/>
                <w:sz w:val="14"/>
                <w:szCs w:val="14"/>
                <w:b w:val="1"/>
                <w:bCs w:val="1"/>
                <w:color w:val="auto"/>
              </w:rPr>
              <w:t>June 30, 2019</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r>
      <w:tr>
        <w:trPr>
          <w:trHeight w:val="204"/>
        </w:trPr>
        <w:tc>
          <w:tcPr>
            <w:tcW w:w="4300" w:type="dxa"/>
            <w:vAlign w:val="bottom"/>
          </w:tcPr>
          <w:p>
            <w:pPr>
              <w:ind w:left="20"/>
              <w:spacing w:after="0"/>
              <w:rPr>
                <w:sz w:val="20"/>
                <w:szCs w:val="20"/>
                <w:color w:val="auto"/>
              </w:rPr>
            </w:pPr>
            <w:r>
              <w:rPr>
                <w:rFonts w:ascii="Arial" w:cs="Arial" w:eastAsia="Arial" w:hAnsi="Arial"/>
                <w:sz w:val="16"/>
                <w:szCs w:val="16"/>
                <w:color w:val="auto"/>
              </w:rPr>
              <w:t>Finance lease</w:t>
            </w:r>
          </w:p>
        </w:tc>
        <w:tc>
          <w:tcPr>
            <w:tcW w:w="32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6"/>
                <w:szCs w:val="16"/>
                <w:color w:val="auto"/>
              </w:rPr>
              <w:t>Amortization of right-of-use asset</w:t>
            </w:r>
          </w:p>
        </w:tc>
        <w:tc>
          <w:tcPr>
            <w:tcW w:w="3240" w:type="dxa"/>
            <w:vAlign w:val="bottom"/>
          </w:tcPr>
          <w:p>
            <w:pPr>
              <w:jc w:val="right"/>
              <w:ind w:right="602"/>
              <w:spacing w:after="0"/>
              <w:rPr>
                <w:sz w:val="20"/>
                <w:szCs w:val="20"/>
                <w:color w:val="auto"/>
              </w:rPr>
            </w:pPr>
            <w:r>
              <w:rPr>
                <w:rFonts w:ascii="Arial" w:cs="Arial" w:eastAsia="Arial" w:hAnsi="Arial"/>
                <w:sz w:val="16"/>
                <w:szCs w:val="16"/>
                <w:color w:val="auto"/>
              </w:rPr>
              <w:t>$  246</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  499</w:t>
            </w:r>
          </w:p>
        </w:tc>
      </w:tr>
      <w:tr>
        <w:trPr>
          <w:trHeight w:val="216"/>
        </w:trPr>
        <w:tc>
          <w:tcPr>
            <w:tcW w:w="4300" w:type="dxa"/>
            <w:vAlign w:val="bottom"/>
          </w:tcPr>
          <w:p>
            <w:pPr>
              <w:ind w:left="120"/>
              <w:spacing w:after="0"/>
              <w:rPr>
                <w:sz w:val="20"/>
                <w:szCs w:val="20"/>
                <w:color w:val="auto"/>
              </w:rPr>
            </w:pPr>
            <w:r>
              <w:rPr>
                <w:rFonts w:ascii="Arial" w:cs="Arial" w:eastAsia="Arial" w:hAnsi="Arial"/>
                <w:sz w:val="16"/>
                <w:szCs w:val="16"/>
                <w:color w:val="auto"/>
              </w:rPr>
              <w:t>Interest on lease liabilities</w:t>
            </w:r>
          </w:p>
        </w:tc>
        <w:tc>
          <w:tcPr>
            <w:tcW w:w="3240" w:type="dxa"/>
            <w:vAlign w:val="bottom"/>
          </w:tcPr>
          <w:p>
            <w:pPr>
              <w:jc w:val="right"/>
              <w:ind w:right="622"/>
              <w:spacing w:after="0"/>
              <w:rPr>
                <w:sz w:val="20"/>
                <w:szCs w:val="20"/>
                <w:color w:val="auto"/>
              </w:rPr>
            </w:pPr>
            <w:r>
              <w:rPr>
                <w:rFonts w:ascii="Arial" w:cs="Arial" w:eastAsia="Arial" w:hAnsi="Arial"/>
                <w:sz w:val="16"/>
                <w:szCs w:val="16"/>
                <w:color w:val="auto"/>
              </w:rPr>
              <w:t>394</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793</w:t>
            </w:r>
          </w:p>
        </w:tc>
      </w:tr>
      <w:tr>
        <w:trPr>
          <w:trHeight w:val="216"/>
        </w:trPr>
        <w:tc>
          <w:tcPr>
            <w:tcW w:w="4300" w:type="dxa"/>
            <w:vAlign w:val="bottom"/>
          </w:tcPr>
          <w:p>
            <w:pPr>
              <w:ind w:left="20"/>
              <w:spacing w:after="0"/>
              <w:rPr>
                <w:sz w:val="20"/>
                <w:szCs w:val="20"/>
                <w:color w:val="auto"/>
              </w:rPr>
            </w:pPr>
            <w:r>
              <w:rPr>
                <w:rFonts w:ascii="Arial" w:cs="Arial" w:eastAsia="Arial" w:hAnsi="Arial"/>
                <w:sz w:val="16"/>
                <w:szCs w:val="16"/>
                <w:color w:val="auto"/>
              </w:rPr>
              <w:t>Operating lease</w:t>
            </w:r>
          </w:p>
        </w:tc>
        <w:tc>
          <w:tcPr>
            <w:tcW w:w="324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16"/>
        </w:trPr>
        <w:tc>
          <w:tcPr>
            <w:tcW w:w="4300" w:type="dxa"/>
            <w:vAlign w:val="bottom"/>
          </w:tcPr>
          <w:p>
            <w:pPr>
              <w:ind w:left="120"/>
              <w:spacing w:after="0"/>
              <w:rPr>
                <w:sz w:val="20"/>
                <w:szCs w:val="20"/>
                <w:color w:val="auto"/>
              </w:rPr>
            </w:pPr>
            <w:r>
              <w:rPr>
                <w:rFonts w:ascii="Arial" w:cs="Arial" w:eastAsia="Arial" w:hAnsi="Arial"/>
                <w:sz w:val="16"/>
                <w:szCs w:val="16"/>
                <w:color w:val="auto"/>
              </w:rPr>
              <w:t>Fixed lease cost</w:t>
            </w:r>
          </w:p>
        </w:tc>
        <w:tc>
          <w:tcPr>
            <w:tcW w:w="3240" w:type="dxa"/>
            <w:vAlign w:val="bottom"/>
          </w:tcPr>
          <w:p>
            <w:pPr>
              <w:jc w:val="right"/>
              <w:ind w:right="622"/>
              <w:spacing w:after="0"/>
              <w:rPr>
                <w:sz w:val="20"/>
                <w:szCs w:val="20"/>
                <w:color w:val="auto"/>
              </w:rPr>
            </w:pPr>
            <w:r>
              <w:rPr>
                <w:rFonts w:ascii="Arial" w:cs="Arial" w:eastAsia="Arial" w:hAnsi="Arial"/>
                <w:sz w:val="16"/>
                <w:szCs w:val="16"/>
                <w:color w:val="auto"/>
              </w:rPr>
              <w:t>1,208</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2,425</w:t>
            </w:r>
          </w:p>
        </w:tc>
      </w:tr>
      <w:tr>
        <w:trPr>
          <w:trHeight w:val="216"/>
        </w:trPr>
        <w:tc>
          <w:tcPr>
            <w:tcW w:w="4300" w:type="dxa"/>
            <w:vAlign w:val="bottom"/>
          </w:tcPr>
          <w:p>
            <w:pPr>
              <w:ind w:left="120"/>
              <w:spacing w:after="0"/>
              <w:rPr>
                <w:sz w:val="20"/>
                <w:szCs w:val="20"/>
                <w:color w:val="auto"/>
              </w:rPr>
            </w:pPr>
            <w:r>
              <w:rPr>
                <w:rFonts w:ascii="Arial" w:cs="Arial" w:eastAsia="Arial" w:hAnsi="Arial"/>
                <w:sz w:val="16"/>
                <w:szCs w:val="16"/>
                <w:color w:val="auto"/>
              </w:rPr>
              <w:t>Variable lease cost</w:t>
            </w:r>
          </w:p>
        </w:tc>
        <w:tc>
          <w:tcPr>
            <w:tcW w:w="3240" w:type="dxa"/>
            <w:vAlign w:val="bottom"/>
          </w:tcPr>
          <w:p>
            <w:pPr>
              <w:jc w:val="right"/>
              <w:ind w:right="622"/>
              <w:spacing w:after="0"/>
              <w:rPr>
                <w:sz w:val="20"/>
                <w:szCs w:val="20"/>
                <w:color w:val="auto"/>
              </w:rPr>
            </w:pPr>
            <w:r>
              <w:rPr>
                <w:rFonts w:ascii="Arial" w:cs="Arial" w:eastAsia="Arial" w:hAnsi="Arial"/>
                <w:sz w:val="16"/>
                <w:szCs w:val="16"/>
                <w:color w:val="auto"/>
              </w:rPr>
              <w:t>147</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204</w:t>
            </w:r>
          </w:p>
        </w:tc>
      </w:tr>
      <w:tr>
        <w:trPr>
          <w:trHeight w:val="219"/>
        </w:trPr>
        <w:tc>
          <w:tcPr>
            <w:tcW w:w="43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Short-term lease cost</w:t>
            </w:r>
          </w:p>
        </w:tc>
        <w:tc>
          <w:tcPr>
            <w:tcW w:w="32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340</w:t>
            </w:r>
          </w:p>
        </w:tc>
        <w:tc>
          <w:tcPr>
            <w:tcW w:w="188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672</w:t>
            </w:r>
          </w:p>
        </w:tc>
      </w:tr>
      <w:tr>
        <w:trPr>
          <w:trHeight w:val="212"/>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lease expense</w:t>
            </w:r>
          </w:p>
        </w:tc>
        <w:tc>
          <w:tcPr>
            <w:tcW w:w="3240" w:type="dxa"/>
            <w:vAlign w:val="bottom"/>
            <w:tcBorders>
              <w:bottom w:val="single" w:sz="8" w:color="auto"/>
            </w:tcBorders>
          </w:tcPr>
          <w:p>
            <w:pPr>
              <w:jc w:val="right"/>
              <w:ind w:right="602"/>
              <w:spacing w:after="0"/>
              <w:rPr>
                <w:sz w:val="20"/>
                <w:szCs w:val="20"/>
                <w:color w:val="auto"/>
              </w:rPr>
            </w:pPr>
            <w:r>
              <w:rPr>
                <w:rFonts w:ascii="Arial" w:cs="Arial" w:eastAsia="Arial" w:hAnsi="Arial"/>
                <w:sz w:val="16"/>
                <w:szCs w:val="16"/>
                <w:b w:val="1"/>
                <w:bCs w:val="1"/>
                <w:color w:val="auto"/>
              </w:rPr>
              <w:t>$2,335</w:t>
            </w:r>
          </w:p>
        </w:tc>
        <w:tc>
          <w:tcPr>
            <w:tcW w:w="188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$4,593</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Lease expense for the three and six month periods ended June 30, 2018 was $1.9 million and $4.0 million, respectively.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560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For the three</w:t>
            </w: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5600" w:type="dxa"/>
            <w:vAlign w:val="bottom"/>
          </w:tcPr>
          <w:p>
            <w:pPr>
              <w:spacing w:after="0"/>
              <w:rPr>
                <w:sz w:val="14"/>
                <w:szCs w:val="14"/>
                <w:color w:val="auto"/>
              </w:rPr>
            </w:pPr>
          </w:p>
        </w:tc>
        <w:tc>
          <w:tcPr>
            <w:tcW w:w="1940" w:type="dxa"/>
            <w:vAlign w:val="bottom"/>
          </w:tcPr>
          <w:p>
            <w:pPr>
              <w:jc w:val="center"/>
              <w:ind w:left="2"/>
              <w:spacing w:after="0"/>
              <w:rPr>
                <w:sz w:val="20"/>
                <w:szCs w:val="20"/>
                <w:color w:val="auto"/>
              </w:rPr>
            </w:pPr>
            <w:r>
              <w:rPr>
                <w:rFonts w:ascii="Arial" w:cs="Arial" w:eastAsia="Arial" w:hAnsi="Arial"/>
                <w:sz w:val="14"/>
                <w:szCs w:val="14"/>
                <w:b w:val="1"/>
                <w:bCs w:val="1"/>
                <w:color w:val="auto"/>
              </w:rPr>
              <w:t>months ended</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months ended</w:t>
            </w:r>
          </w:p>
        </w:tc>
      </w:tr>
      <w:tr>
        <w:trPr>
          <w:trHeight w:val="189"/>
        </w:trPr>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auto"/>
            </w:tcBorders>
          </w:tcPr>
          <w:p>
            <w:pPr>
              <w:jc w:val="center"/>
              <w:ind w:left="2"/>
              <w:spacing w:after="0"/>
              <w:rPr>
                <w:sz w:val="20"/>
                <w:szCs w:val="20"/>
                <w:color w:val="auto"/>
              </w:rPr>
            </w:pPr>
            <w:r>
              <w:rPr>
                <w:rFonts w:ascii="Arial" w:cs="Arial" w:eastAsia="Arial" w:hAnsi="Arial"/>
                <w:sz w:val="14"/>
                <w:szCs w:val="14"/>
                <w:b w:val="1"/>
                <w:bCs w:val="1"/>
                <w:color w:val="auto"/>
              </w:rPr>
              <w:t>June 30, 2019</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2019</w:t>
            </w:r>
          </w:p>
        </w:tc>
      </w:tr>
      <w:tr>
        <w:trPr>
          <w:trHeight w:val="204"/>
        </w:trPr>
        <w:tc>
          <w:tcPr>
            <w:tcW w:w="560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19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1940" w:type="dxa"/>
            <w:vAlign w:val="bottom"/>
          </w:tcPr>
          <w:p>
            <w:pPr>
              <w:jc w:val="right"/>
              <w:ind w:right="602"/>
              <w:spacing w:after="0"/>
              <w:rPr>
                <w:sz w:val="20"/>
                <w:szCs w:val="20"/>
                <w:color w:val="auto"/>
              </w:rPr>
            </w:pPr>
            <w:r>
              <w:rPr>
                <w:rFonts w:ascii="Arial" w:cs="Arial" w:eastAsia="Arial" w:hAnsi="Arial"/>
                <w:sz w:val="16"/>
                <w:szCs w:val="16"/>
                <w:color w:val="auto"/>
              </w:rPr>
              <w:t>$1,182</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$2,373</w:t>
            </w:r>
          </w:p>
        </w:tc>
      </w:tr>
      <w:tr>
        <w:trPr>
          <w:trHeight w:val="216"/>
        </w:trPr>
        <w:tc>
          <w:tcPr>
            <w:tcW w:w="5600" w:type="dxa"/>
            <w:vAlign w:val="bottom"/>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1940" w:type="dxa"/>
            <w:vAlign w:val="bottom"/>
          </w:tcPr>
          <w:p>
            <w:pPr>
              <w:jc w:val="right"/>
              <w:ind w:right="622"/>
              <w:spacing w:after="0"/>
              <w:rPr>
                <w:sz w:val="20"/>
                <w:szCs w:val="20"/>
                <w:color w:val="auto"/>
              </w:rPr>
            </w:pPr>
            <w:r>
              <w:rPr>
                <w:rFonts w:ascii="Arial" w:cs="Arial" w:eastAsia="Arial" w:hAnsi="Arial"/>
                <w:sz w:val="16"/>
                <w:szCs w:val="16"/>
                <w:color w:val="auto"/>
              </w:rPr>
              <w:t>394</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793</w:t>
            </w:r>
          </w:p>
        </w:tc>
      </w:tr>
      <w:tr>
        <w:trPr>
          <w:trHeight w:val="216"/>
        </w:trPr>
        <w:tc>
          <w:tcPr>
            <w:tcW w:w="560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1940" w:type="dxa"/>
            <w:vAlign w:val="bottom"/>
          </w:tcPr>
          <w:p>
            <w:pPr>
              <w:jc w:val="right"/>
              <w:ind w:right="622"/>
              <w:spacing w:after="0"/>
              <w:rPr>
                <w:sz w:val="20"/>
                <w:szCs w:val="20"/>
                <w:color w:val="auto"/>
              </w:rPr>
            </w:pPr>
            <w:r>
              <w:rPr>
                <w:rFonts w:ascii="Arial" w:cs="Arial" w:eastAsia="Arial" w:hAnsi="Arial"/>
                <w:sz w:val="16"/>
                <w:szCs w:val="16"/>
                <w:color w:val="auto"/>
              </w:rPr>
              <w:t>178</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578</w:t>
            </w:r>
          </w:p>
        </w:tc>
      </w:tr>
      <w:tr>
        <w:trPr>
          <w:trHeight w:val="405"/>
        </w:trPr>
        <w:tc>
          <w:tcPr>
            <w:tcW w:w="56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194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16"/>
        </w:trPr>
        <w:tc>
          <w:tcPr>
            <w:tcW w:w="5600" w:type="dxa"/>
            <w:vAlign w:val="bottom"/>
          </w:tcPr>
          <w:p>
            <w:pPr>
              <w:ind w:left="120"/>
              <w:spacing w:after="0"/>
              <w:rPr>
                <w:sz w:val="20"/>
                <w:szCs w:val="20"/>
                <w:color w:val="auto"/>
              </w:rPr>
            </w:pPr>
            <w:r>
              <w:rPr>
                <w:rFonts w:ascii="Arial" w:cs="Arial" w:eastAsia="Arial" w:hAnsi="Arial"/>
                <w:sz w:val="16"/>
                <w:szCs w:val="16"/>
                <w:color w:val="auto"/>
              </w:rPr>
              <w:t>Operating leases</w:t>
            </w:r>
          </w:p>
        </w:tc>
        <w:tc>
          <w:tcPr>
            <w:tcW w:w="1940" w:type="dxa"/>
            <w:vAlign w:val="bottom"/>
          </w:tcPr>
          <w:p>
            <w:pPr>
              <w:jc w:val="right"/>
              <w:ind w:right="602"/>
              <w:spacing w:after="0"/>
              <w:rPr>
                <w:sz w:val="20"/>
                <w:szCs w:val="20"/>
                <w:color w:val="auto"/>
              </w:rPr>
            </w:pPr>
            <w:r>
              <w:rPr>
                <w:rFonts w:ascii="Arial" w:cs="Arial" w:eastAsia="Arial" w:hAnsi="Arial"/>
                <w:sz w:val="16"/>
                <w:szCs w:val="16"/>
                <w:color w:val="auto"/>
              </w:rPr>
              <w:t>$2,590</w:t>
            </w:r>
          </w:p>
        </w:tc>
        <w:tc>
          <w:tcPr>
            <w:tcW w:w="1880" w:type="dxa"/>
            <w:vAlign w:val="bottom"/>
          </w:tcPr>
          <w:p>
            <w:pPr>
              <w:jc w:val="right"/>
              <w:ind w:right="622"/>
              <w:spacing w:after="0"/>
              <w:rPr>
                <w:sz w:val="20"/>
                <w:szCs w:val="20"/>
                <w:color w:val="auto"/>
              </w:rPr>
            </w:pPr>
            <w:r>
              <w:rPr>
                <w:rFonts w:ascii="Arial" w:cs="Arial" w:eastAsia="Arial" w:hAnsi="Arial"/>
                <w:sz w:val="16"/>
                <w:szCs w:val="16"/>
                <w:color w:val="auto"/>
              </w:rPr>
              <w:t>$3,002</w:t>
            </w:r>
          </w:p>
        </w:tc>
      </w:tr>
      <w:tr>
        <w:trPr>
          <w:trHeight w:val="219"/>
        </w:trPr>
        <w:tc>
          <w:tcPr>
            <w:tcW w:w="56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Finance leases</w:t>
            </w:r>
          </w:p>
        </w:tc>
        <w:tc>
          <w:tcPr>
            <w:tcW w:w="19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w:t>
            </w:r>
          </w:p>
        </w:tc>
        <w:tc>
          <w:tcPr>
            <w:tcW w:w="188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b w:val="1"/>
                <w:bCs w:val="1"/>
                <w:color w:val="auto"/>
              </w:rPr>
              <w:t>—</w:t>
            </w:r>
          </w:p>
        </w:tc>
      </w:tr>
    </w:tbl>
    <w:p>
      <w:pPr>
        <w:spacing w:after="0" w:line="202"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initial recognition of each ROU asset and lease liability at lease commencement is a noncash transaction that is excluded from amounts reported in the Consolidated Statements of Cash Flows.</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6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140" w:type="dxa"/>
            <w:vAlign w:val="bottom"/>
            <w:tcBorders>
              <w:top w:val="single" w:sz="8" w:color="auto"/>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June 30, 2019</w:t>
            </w:r>
          </w:p>
        </w:tc>
      </w:tr>
      <w:tr>
        <w:trPr>
          <w:trHeight w:val="208"/>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Operating leases</w:t>
            </w:r>
          </w:p>
        </w:tc>
        <w:tc>
          <w:tcPr>
            <w:tcW w:w="3140" w:type="dxa"/>
            <w:vAlign w:val="bottom"/>
          </w:tcPr>
          <w:p>
            <w:pPr>
              <w:spacing w:after="0"/>
              <w:rPr>
                <w:sz w:val="18"/>
                <w:szCs w:val="18"/>
                <w:color w:val="auto"/>
              </w:rPr>
            </w:pPr>
          </w:p>
        </w:tc>
      </w:tr>
      <w:tr>
        <w:trPr>
          <w:trHeight w:val="40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 of use assets included in Other assets</w:t>
            </w:r>
          </w:p>
        </w:tc>
        <w:tc>
          <w:tcPr>
            <w:tcW w:w="31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$14,443</w:t>
            </w:r>
          </w:p>
        </w:tc>
      </w:tr>
      <w:tr>
        <w:trPr>
          <w:trHeight w:val="207"/>
        </w:trPr>
        <w:tc>
          <w:tcPr>
            <w:tcW w:w="6280" w:type="dxa"/>
            <w:vAlign w:val="bottom"/>
          </w:tcPr>
          <w:p>
            <w:pPr>
              <w:ind w:left="20"/>
              <w:spacing w:after="0"/>
              <w:rPr>
                <w:sz w:val="20"/>
                <w:szCs w:val="20"/>
                <w:color w:val="auto"/>
              </w:rPr>
            </w:pPr>
            <w:r>
              <w:rPr>
                <w:rFonts w:ascii="Arial" w:cs="Arial" w:eastAsia="Arial" w:hAnsi="Arial"/>
                <w:sz w:val="16"/>
                <w:szCs w:val="16"/>
                <w:color w:val="auto"/>
              </w:rPr>
              <w:t>Lease liabilities included in</w:t>
            </w:r>
          </w:p>
        </w:tc>
        <w:tc>
          <w:tcPr>
            <w:tcW w:w="3140" w:type="dxa"/>
            <w:vAlign w:val="bottom"/>
          </w:tcPr>
          <w:p>
            <w:pPr>
              <w:spacing w:after="0"/>
              <w:rPr>
                <w:sz w:val="17"/>
                <w:szCs w:val="17"/>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3140" w:type="dxa"/>
            <w:vAlign w:val="bottom"/>
          </w:tcPr>
          <w:p>
            <w:pPr>
              <w:jc w:val="right"/>
              <w:ind w:right="780"/>
              <w:spacing w:after="0"/>
              <w:rPr>
                <w:sz w:val="20"/>
                <w:szCs w:val="20"/>
                <w:color w:val="auto"/>
              </w:rPr>
            </w:pPr>
            <w:r>
              <w:rPr>
                <w:rFonts w:ascii="Arial" w:cs="Arial" w:eastAsia="Arial" w:hAnsi="Arial"/>
                <w:sz w:val="16"/>
                <w:szCs w:val="16"/>
                <w:b w:val="1"/>
                <w:bCs w:val="1"/>
                <w:color w:val="auto"/>
              </w:rPr>
              <w:t>$ 3,854</w:t>
            </w:r>
          </w:p>
        </w:tc>
      </w:tr>
      <w:tr>
        <w:trPr>
          <w:trHeight w:val="219"/>
        </w:trPr>
        <w:tc>
          <w:tcPr>
            <w:tcW w:w="62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noncurrent liabilities</w:t>
            </w:r>
          </w:p>
        </w:tc>
        <w:tc>
          <w:tcPr>
            <w:tcW w:w="31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10,637</w:t>
            </w:r>
          </w:p>
        </w:tc>
      </w:tr>
      <w:tr>
        <w:trPr>
          <w:trHeight w:val="212"/>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operating lease liabilities</w:t>
            </w:r>
          </w:p>
        </w:tc>
        <w:tc>
          <w:tcPr>
            <w:tcW w:w="31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$14,491</w:t>
            </w:r>
          </w:p>
        </w:tc>
      </w:tr>
      <w:tr>
        <w:trPr>
          <w:trHeight w:val="209"/>
        </w:trPr>
        <w:tc>
          <w:tcPr>
            <w:tcW w:w="6280" w:type="dxa"/>
            <w:vAlign w:val="bottom"/>
          </w:tcPr>
          <w:p>
            <w:pPr>
              <w:ind w:left="20"/>
              <w:spacing w:after="0"/>
              <w:rPr>
                <w:sz w:val="20"/>
                <w:szCs w:val="20"/>
                <w:color w:val="auto"/>
              </w:rPr>
            </w:pPr>
            <w:r>
              <w:rPr>
                <w:rFonts w:ascii="Arial" w:cs="Arial" w:eastAsia="Arial" w:hAnsi="Arial"/>
                <w:sz w:val="16"/>
                <w:szCs w:val="16"/>
                <w:b w:val="1"/>
                <w:bCs w:val="1"/>
                <w:color w:val="auto"/>
              </w:rPr>
              <w:t>Finance leases</w:t>
            </w:r>
          </w:p>
        </w:tc>
        <w:tc>
          <w:tcPr>
            <w:tcW w:w="3140" w:type="dxa"/>
            <w:vAlign w:val="bottom"/>
          </w:tcPr>
          <w:p>
            <w:pPr>
              <w:spacing w:after="0"/>
              <w:rPr>
                <w:sz w:val="18"/>
                <w:szCs w:val="18"/>
                <w:color w:val="auto"/>
              </w:rPr>
            </w:pPr>
          </w:p>
        </w:tc>
      </w:tr>
      <w:tr>
        <w:trPr>
          <w:trHeight w:val="404"/>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Right of use assets included in Property, plant and equipment, net</w:t>
            </w:r>
          </w:p>
        </w:tc>
        <w:tc>
          <w:tcPr>
            <w:tcW w:w="31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$10,472</w:t>
            </w:r>
          </w:p>
        </w:tc>
      </w:tr>
      <w:tr>
        <w:trPr>
          <w:trHeight w:val="207"/>
        </w:trPr>
        <w:tc>
          <w:tcPr>
            <w:tcW w:w="6280" w:type="dxa"/>
            <w:vAlign w:val="bottom"/>
          </w:tcPr>
          <w:p>
            <w:pPr>
              <w:ind w:left="20"/>
              <w:spacing w:after="0"/>
              <w:rPr>
                <w:sz w:val="20"/>
                <w:szCs w:val="20"/>
                <w:color w:val="auto"/>
              </w:rPr>
            </w:pPr>
            <w:r>
              <w:rPr>
                <w:rFonts w:ascii="Arial" w:cs="Arial" w:eastAsia="Arial" w:hAnsi="Arial"/>
                <w:sz w:val="16"/>
                <w:szCs w:val="16"/>
                <w:color w:val="auto"/>
              </w:rPr>
              <w:t>Lease liabilities included in</w:t>
            </w:r>
          </w:p>
        </w:tc>
        <w:tc>
          <w:tcPr>
            <w:tcW w:w="3140" w:type="dxa"/>
            <w:vAlign w:val="bottom"/>
          </w:tcPr>
          <w:p>
            <w:pPr>
              <w:spacing w:after="0"/>
              <w:rPr>
                <w:sz w:val="17"/>
                <w:szCs w:val="17"/>
                <w:color w:val="auto"/>
              </w:rPr>
            </w:pPr>
          </w:p>
        </w:tc>
      </w:tr>
      <w:tr>
        <w:trPr>
          <w:trHeight w:val="216"/>
        </w:trPr>
        <w:tc>
          <w:tcPr>
            <w:tcW w:w="6280" w:type="dxa"/>
            <w:vAlign w:val="bottom"/>
          </w:tcPr>
          <w:p>
            <w:pPr>
              <w:ind w:left="120"/>
              <w:spacing w:after="0"/>
              <w:rPr>
                <w:sz w:val="20"/>
                <w:szCs w:val="20"/>
                <w:color w:val="auto"/>
              </w:rPr>
            </w:pPr>
            <w:r>
              <w:rPr>
                <w:rFonts w:ascii="Arial" w:cs="Arial" w:eastAsia="Arial" w:hAnsi="Arial"/>
                <w:sz w:val="16"/>
                <w:szCs w:val="16"/>
                <w:color w:val="auto"/>
              </w:rPr>
              <w:t>Accrued liabilities</w:t>
            </w:r>
          </w:p>
        </w:tc>
        <w:tc>
          <w:tcPr>
            <w:tcW w:w="3140" w:type="dxa"/>
            <w:vAlign w:val="bottom"/>
          </w:tcPr>
          <w:p>
            <w:pPr>
              <w:jc w:val="right"/>
              <w:ind w:right="780"/>
              <w:spacing w:after="0"/>
              <w:rPr>
                <w:sz w:val="20"/>
                <w:szCs w:val="20"/>
                <w:color w:val="auto"/>
              </w:rPr>
            </w:pPr>
            <w:r>
              <w:rPr>
                <w:rFonts w:ascii="Arial" w:cs="Arial" w:eastAsia="Arial" w:hAnsi="Arial"/>
                <w:sz w:val="16"/>
                <w:szCs w:val="16"/>
                <w:b w:val="1"/>
                <w:bCs w:val="1"/>
                <w:color w:val="auto"/>
              </w:rPr>
              <w:t>$ 1,252</w:t>
            </w:r>
          </w:p>
        </w:tc>
      </w:tr>
      <w:tr>
        <w:trPr>
          <w:trHeight w:val="219"/>
        </w:trPr>
        <w:tc>
          <w:tcPr>
            <w:tcW w:w="62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noncurrent liabilities</w:t>
            </w:r>
          </w:p>
        </w:tc>
        <w:tc>
          <w:tcPr>
            <w:tcW w:w="314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18,235</w:t>
            </w:r>
          </w:p>
        </w:tc>
      </w:tr>
      <w:tr>
        <w:trPr>
          <w:trHeight w:val="220"/>
        </w:trPr>
        <w:tc>
          <w:tcPr>
            <w:tcW w:w="6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finance lease liabilities</w:t>
            </w:r>
          </w:p>
        </w:tc>
        <w:tc>
          <w:tcPr>
            <w:tcW w:w="3140" w:type="dxa"/>
            <w:vAlign w:val="bottom"/>
            <w:tcBorders>
              <w:bottom w:val="single" w:sz="8" w:color="auto"/>
            </w:tcBorders>
          </w:tcPr>
          <w:p>
            <w:pPr>
              <w:jc w:val="right"/>
              <w:ind w:right="760"/>
              <w:spacing w:after="0"/>
              <w:rPr>
                <w:sz w:val="20"/>
                <w:szCs w:val="20"/>
                <w:color w:val="auto"/>
              </w:rPr>
            </w:pPr>
            <w:r>
              <w:rPr>
                <w:rFonts w:ascii="Arial" w:cs="Arial" w:eastAsia="Arial" w:hAnsi="Arial"/>
                <w:sz w:val="16"/>
                <w:szCs w:val="16"/>
                <w:b w:val="1"/>
                <w:bCs w:val="1"/>
                <w:color w:val="auto"/>
              </w:rPr>
              <w:t>$19,487</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for leases existing at June 30, 2019 was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25"/>
        </w:trPr>
        <w:tc>
          <w:tcPr>
            <w:tcW w:w="550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3920" w:type="dxa"/>
            <w:vAlign w:val="bottom"/>
            <w:tcBorders>
              <w:top w:val="single" w:sz="8" w:color="auto"/>
            </w:tcBorders>
          </w:tcPr>
          <w:p>
            <w:pPr>
              <w:spacing w:after="0"/>
              <w:rPr>
                <w:sz w:val="19"/>
                <w:szCs w:val="19"/>
                <w:color w:val="auto"/>
              </w:rPr>
            </w:pPr>
          </w:p>
        </w:tc>
      </w:tr>
      <w:tr>
        <w:trPr>
          <w:trHeight w:val="215"/>
        </w:trPr>
        <w:tc>
          <w:tcPr>
            <w:tcW w:w="55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920" w:type="dxa"/>
            <w:vAlign w:val="bottom"/>
          </w:tcPr>
          <w:p>
            <w:pPr>
              <w:jc w:val="center"/>
              <w:ind w:left="1479"/>
              <w:spacing w:after="0"/>
              <w:rPr>
                <w:sz w:val="20"/>
                <w:szCs w:val="20"/>
                <w:color w:val="auto"/>
              </w:rPr>
            </w:pPr>
            <w:r>
              <w:rPr>
                <w:rFonts w:ascii="Arial" w:cs="Arial" w:eastAsia="Arial" w:hAnsi="Arial"/>
                <w:sz w:val="16"/>
                <w:szCs w:val="16"/>
                <w:b w:val="1"/>
                <w:bCs w:val="1"/>
                <w:color w:val="auto"/>
              </w:rPr>
              <w:t>5 years</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Finance leases</w:t>
            </w:r>
          </w:p>
        </w:tc>
        <w:tc>
          <w:tcPr>
            <w:tcW w:w="3920" w:type="dxa"/>
            <w:vAlign w:val="bottom"/>
          </w:tcPr>
          <w:p>
            <w:pPr>
              <w:jc w:val="center"/>
              <w:ind w:left="1499"/>
              <w:spacing w:after="0"/>
              <w:rPr>
                <w:sz w:val="20"/>
                <w:szCs w:val="20"/>
                <w:color w:val="auto"/>
              </w:rPr>
            </w:pPr>
            <w:r>
              <w:rPr>
                <w:rFonts w:ascii="Arial" w:cs="Arial" w:eastAsia="Arial" w:hAnsi="Arial"/>
                <w:sz w:val="16"/>
                <w:szCs w:val="16"/>
                <w:b w:val="1"/>
                <w:bCs w:val="1"/>
                <w:color w:val="auto"/>
              </w:rPr>
              <w:t>11 years</w:t>
            </w: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3920" w:type="dxa"/>
            <w:vAlign w:val="bottom"/>
          </w:tcPr>
          <w:p>
            <w:pPr>
              <w:spacing w:after="0"/>
              <w:rPr>
                <w:sz w:val="18"/>
                <w:szCs w:val="18"/>
                <w:color w:val="auto"/>
              </w:rPr>
            </w:pPr>
          </w:p>
        </w:tc>
      </w:tr>
      <w:tr>
        <w:trPr>
          <w:trHeight w:val="216"/>
        </w:trPr>
        <w:tc>
          <w:tcPr>
            <w:tcW w:w="550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3920" w:type="dxa"/>
            <w:vAlign w:val="bottom"/>
          </w:tcPr>
          <w:p>
            <w:pPr>
              <w:jc w:val="center"/>
              <w:ind w:left="1499"/>
              <w:spacing w:after="0"/>
              <w:rPr>
                <w:sz w:val="20"/>
                <w:szCs w:val="20"/>
                <w:color w:val="auto"/>
              </w:rPr>
            </w:pPr>
            <w:r>
              <w:rPr>
                <w:rFonts w:ascii="Arial" w:cs="Arial" w:eastAsia="Arial" w:hAnsi="Arial"/>
                <w:sz w:val="16"/>
                <w:szCs w:val="16"/>
                <w:b w:val="1"/>
                <w:bCs w:val="1"/>
                <w:color w:val="auto"/>
              </w:rPr>
              <w:t>5.6%</w:t>
            </w:r>
          </w:p>
        </w:tc>
      </w:tr>
      <w:tr>
        <w:trPr>
          <w:trHeight w:val="21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Finance leases</w:t>
            </w:r>
          </w:p>
        </w:tc>
        <w:tc>
          <w:tcPr>
            <w:tcW w:w="3920" w:type="dxa"/>
            <w:vAlign w:val="bottom"/>
            <w:tcBorders>
              <w:bottom w:val="single" w:sz="8" w:color="auto"/>
            </w:tcBorders>
          </w:tcPr>
          <w:p>
            <w:pPr>
              <w:jc w:val="center"/>
              <w:ind w:left="1499"/>
              <w:spacing w:after="0"/>
              <w:rPr>
                <w:sz w:val="20"/>
                <w:szCs w:val="20"/>
                <w:color w:val="auto"/>
              </w:rPr>
            </w:pPr>
            <w:r>
              <w:rPr>
                <w:rFonts w:ascii="Arial" w:cs="Arial" w:eastAsia="Arial" w:hAnsi="Arial"/>
                <w:sz w:val="16"/>
                <w:szCs w:val="16"/>
                <w:b w:val="1"/>
                <w:bCs w:val="1"/>
                <w:color w:val="auto"/>
              </w:rPr>
              <w:t>8.0%</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Maturities of lease liabilities as of June 30, 2019 were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700" w:type="dxa"/>
            <w:vAlign w:val="bottom"/>
            <w:tcBorders>
              <w:top w:val="single" w:sz="8" w:color="auto"/>
              <w:bottom w:val="single" w:sz="8" w:color="auto"/>
            </w:tcBorders>
          </w:tcPr>
          <w:p>
            <w:pPr>
              <w:jc w:val="right"/>
              <w:ind w:right="100"/>
              <w:spacing w:after="0"/>
              <w:rPr>
                <w:sz w:val="20"/>
                <w:szCs w:val="20"/>
                <w:color w:val="auto"/>
              </w:rPr>
            </w:pPr>
            <w:r>
              <w:rPr>
                <w:rFonts w:ascii="Arial" w:cs="Arial" w:eastAsia="Arial" w:hAnsi="Arial"/>
                <w:sz w:val="14"/>
                <w:szCs w:val="14"/>
                <w:b w:val="1"/>
                <w:bCs w:val="1"/>
                <w:color w:val="auto"/>
              </w:rPr>
              <w:t>Operating leases</w:t>
            </w:r>
          </w:p>
        </w:tc>
        <w:tc>
          <w:tcPr>
            <w:tcW w:w="14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Finance lease</w:t>
            </w:r>
          </w:p>
        </w:tc>
      </w:tr>
      <w:tr>
        <w:trPr>
          <w:trHeight w:val="204"/>
        </w:trPr>
        <w:tc>
          <w:tcPr>
            <w:tcW w:w="428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370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2019</w:t>
            </w:r>
          </w:p>
        </w:tc>
        <w:tc>
          <w:tcPr>
            <w:tcW w:w="3700" w:type="dxa"/>
            <w:vAlign w:val="bottom"/>
          </w:tcPr>
          <w:p>
            <w:pPr>
              <w:jc w:val="right"/>
              <w:ind w:right="400"/>
              <w:spacing w:after="0"/>
              <w:rPr>
                <w:sz w:val="20"/>
                <w:szCs w:val="20"/>
                <w:color w:val="auto"/>
              </w:rPr>
            </w:pPr>
            <w:r>
              <w:rPr>
                <w:rFonts w:ascii="Arial" w:cs="Arial" w:eastAsia="Arial" w:hAnsi="Arial"/>
                <w:sz w:val="16"/>
                <w:szCs w:val="16"/>
                <w:b w:val="1"/>
                <w:bCs w:val="1"/>
                <w:color w:val="auto"/>
              </w:rPr>
              <w:t>$ 2,317</w:t>
            </w:r>
          </w:p>
        </w:tc>
        <w:tc>
          <w:tcPr>
            <w:tcW w:w="1440" w:type="dxa"/>
            <w:vAlign w:val="bottom"/>
          </w:tcPr>
          <w:p>
            <w:pPr>
              <w:jc w:val="right"/>
              <w:ind w:right="400"/>
              <w:spacing w:after="0"/>
              <w:rPr>
                <w:sz w:val="20"/>
                <w:szCs w:val="20"/>
                <w:color w:val="auto"/>
              </w:rPr>
            </w:pPr>
            <w:r>
              <w:rPr>
                <w:rFonts w:ascii="Arial" w:cs="Arial" w:eastAsia="Arial" w:hAnsi="Arial"/>
                <w:sz w:val="16"/>
                <w:szCs w:val="16"/>
                <w:b w:val="1"/>
                <w:bCs w:val="1"/>
                <w:color w:val="auto"/>
              </w:rPr>
              <w:t>$ 1,371</w:t>
            </w: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2020</w:t>
            </w:r>
          </w:p>
        </w:tc>
        <w:tc>
          <w:tcPr>
            <w:tcW w:w="3700" w:type="dxa"/>
            <w:vAlign w:val="bottom"/>
          </w:tcPr>
          <w:p>
            <w:pPr>
              <w:jc w:val="right"/>
              <w:ind w:right="400"/>
              <w:spacing w:after="0"/>
              <w:rPr>
                <w:sz w:val="20"/>
                <w:szCs w:val="20"/>
                <w:color w:val="auto"/>
              </w:rPr>
            </w:pPr>
            <w:r>
              <w:rPr>
                <w:rFonts w:ascii="Arial" w:cs="Arial" w:eastAsia="Arial" w:hAnsi="Arial"/>
                <w:sz w:val="16"/>
                <w:szCs w:val="16"/>
                <w:b w:val="1"/>
                <w:bCs w:val="1"/>
                <w:color w:val="auto"/>
              </w:rPr>
              <w:t>4,496</w:t>
            </w:r>
          </w:p>
        </w:tc>
        <w:tc>
          <w:tcPr>
            <w:tcW w:w="1440" w:type="dxa"/>
            <w:vAlign w:val="bottom"/>
          </w:tcPr>
          <w:p>
            <w:pPr>
              <w:jc w:val="right"/>
              <w:ind w:right="400"/>
              <w:spacing w:after="0"/>
              <w:rPr>
                <w:sz w:val="20"/>
                <w:szCs w:val="20"/>
                <w:color w:val="auto"/>
              </w:rPr>
            </w:pPr>
            <w:r>
              <w:rPr>
                <w:rFonts w:ascii="Arial" w:cs="Arial" w:eastAsia="Arial" w:hAnsi="Arial"/>
                <w:sz w:val="16"/>
                <w:szCs w:val="16"/>
                <w:b w:val="1"/>
                <w:bCs w:val="1"/>
                <w:color w:val="auto"/>
              </w:rPr>
              <w:t>2,790</w:t>
            </w: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2021</w:t>
            </w:r>
          </w:p>
        </w:tc>
        <w:tc>
          <w:tcPr>
            <w:tcW w:w="3700" w:type="dxa"/>
            <w:vAlign w:val="bottom"/>
          </w:tcPr>
          <w:p>
            <w:pPr>
              <w:jc w:val="right"/>
              <w:ind w:right="400"/>
              <w:spacing w:after="0"/>
              <w:rPr>
                <w:sz w:val="20"/>
                <w:szCs w:val="20"/>
                <w:color w:val="auto"/>
              </w:rPr>
            </w:pPr>
            <w:r>
              <w:rPr>
                <w:rFonts w:ascii="Arial" w:cs="Arial" w:eastAsia="Arial" w:hAnsi="Arial"/>
                <w:sz w:val="16"/>
                <w:szCs w:val="16"/>
                <w:b w:val="1"/>
                <w:bCs w:val="1"/>
                <w:color w:val="auto"/>
              </w:rPr>
              <w:t>3,304</w:t>
            </w:r>
          </w:p>
        </w:tc>
        <w:tc>
          <w:tcPr>
            <w:tcW w:w="1440" w:type="dxa"/>
            <w:vAlign w:val="bottom"/>
          </w:tcPr>
          <w:p>
            <w:pPr>
              <w:jc w:val="right"/>
              <w:ind w:right="400"/>
              <w:spacing w:after="0"/>
              <w:rPr>
                <w:sz w:val="20"/>
                <w:szCs w:val="20"/>
                <w:color w:val="auto"/>
              </w:rPr>
            </w:pPr>
            <w:r>
              <w:rPr>
                <w:rFonts w:ascii="Arial" w:cs="Arial" w:eastAsia="Arial" w:hAnsi="Arial"/>
                <w:sz w:val="16"/>
                <w:szCs w:val="16"/>
                <w:b w:val="1"/>
                <w:bCs w:val="1"/>
                <w:color w:val="auto"/>
              </w:rPr>
              <w:t>2,790</w:t>
            </w: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2022</w:t>
            </w:r>
          </w:p>
        </w:tc>
        <w:tc>
          <w:tcPr>
            <w:tcW w:w="3700" w:type="dxa"/>
            <w:vAlign w:val="bottom"/>
          </w:tcPr>
          <w:p>
            <w:pPr>
              <w:jc w:val="right"/>
              <w:ind w:right="400"/>
              <w:spacing w:after="0"/>
              <w:rPr>
                <w:sz w:val="20"/>
                <w:szCs w:val="20"/>
                <w:color w:val="auto"/>
              </w:rPr>
            </w:pPr>
            <w:r>
              <w:rPr>
                <w:rFonts w:ascii="Arial" w:cs="Arial" w:eastAsia="Arial" w:hAnsi="Arial"/>
                <w:sz w:val="16"/>
                <w:szCs w:val="16"/>
                <w:b w:val="1"/>
                <w:bCs w:val="1"/>
                <w:color w:val="auto"/>
              </w:rPr>
              <w:t>2,271</w:t>
            </w:r>
          </w:p>
        </w:tc>
        <w:tc>
          <w:tcPr>
            <w:tcW w:w="1440" w:type="dxa"/>
            <w:vAlign w:val="bottom"/>
          </w:tcPr>
          <w:p>
            <w:pPr>
              <w:jc w:val="right"/>
              <w:ind w:right="400"/>
              <w:spacing w:after="0"/>
              <w:rPr>
                <w:sz w:val="20"/>
                <w:szCs w:val="20"/>
                <w:color w:val="auto"/>
              </w:rPr>
            </w:pPr>
            <w:r>
              <w:rPr>
                <w:rFonts w:ascii="Arial" w:cs="Arial" w:eastAsia="Arial" w:hAnsi="Arial"/>
                <w:sz w:val="16"/>
                <w:szCs w:val="16"/>
                <w:b w:val="1"/>
                <w:bCs w:val="1"/>
                <w:color w:val="auto"/>
              </w:rPr>
              <w:t>2,838</w:t>
            </w:r>
          </w:p>
        </w:tc>
      </w:tr>
      <w:tr>
        <w:trPr>
          <w:trHeight w:val="216"/>
        </w:trPr>
        <w:tc>
          <w:tcPr>
            <w:tcW w:w="4280" w:type="dxa"/>
            <w:vAlign w:val="bottom"/>
          </w:tcPr>
          <w:p>
            <w:pPr>
              <w:ind w:left="20"/>
              <w:spacing w:after="0"/>
              <w:rPr>
                <w:sz w:val="20"/>
                <w:szCs w:val="20"/>
                <w:color w:val="auto"/>
              </w:rPr>
            </w:pPr>
            <w:r>
              <w:rPr>
                <w:rFonts w:ascii="Arial" w:cs="Arial" w:eastAsia="Arial" w:hAnsi="Arial"/>
                <w:sz w:val="16"/>
                <w:szCs w:val="16"/>
                <w:color w:val="auto"/>
              </w:rPr>
              <w:t>2023</w:t>
            </w:r>
          </w:p>
        </w:tc>
        <w:tc>
          <w:tcPr>
            <w:tcW w:w="3700" w:type="dxa"/>
            <w:vAlign w:val="bottom"/>
          </w:tcPr>
          <w:p>
            <w:pPr>
              <w:jc w:val="right"/>
              <w:ind w:right="400"/>
              <w:spacing w:after="0"/>
              <w:rPr>
                <w:sz w:val="20"/>
                <w:szCs w:val="20"/>
                <w:color w:val="auto"/>
              </w:rPr>
            </w:pPr>
            <w:r>
              <w:rPr>
                <w:rFonts w:ascii="Arial" w:cs="Arial" w:eastAsia="Arial" w:hAnsi="Arial"/>
                <w:sz w:val="16"/>
                <w:szCs w:val="16"/>
                <w:b w:val="1"/>
                <w:bCs w:val="1"/>
                <w:color w:val="auto"/>
              </w:rPr>
              <w:t>1,495</w:t>
            </w:r>
          </w:p>
        </w:tc>
        <w:tc>
          <w:tcPr>
            <w:tcW w:w="1440" w:type="dxa"/>
            <w:vAlign w:val="bottom"/>
          </w:tcPr>
          <w:p>
            <w:pPr>
              <w:jc w:val="right"/>
              <w:ind w:right="400"/>
              <w:spacing w:after="0"/>
              <w:rPr>
                <w:sz w:val="20"/>
                <w:szCs w:val="20"/>
                <w:color w:val="auto"/>
              </w:rPr>
            </w:pPr>
            <w:r>
              <w:rPr>
                <w:rFonts w:ascii="Arial" w:cs="Arial" w:eastAsia="Arial" w:hAnsi="Arial"/>
                <w:sz w:val="16"/>
                <w:szCs w:val="16"/>
                <w:b w:val="1"/>
                <w:bCs w:val="1"/>
                <w:color w:val="auto"/>
              </w:rPr>
              <w:t>3,004</w:t>
            </w:r>
          </w:p>
        </w:tc>
      </w:tr>
      <w:tr>
        <w:trPr>
          <w:trHeight w:val="219"/>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7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3,054</w:t>
            </w:r>
          </w:p>
        </w:tc>
        <w:tc>
          <w:tcPr>
            <w:tcW w:w="144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15,512</w:t>
            </w:r>
          </w:p>
        </w:tc>
      </w:tr>
      <w:tr>
        <w:trPr>
          <w:trHeight w:val="211"/>
        </w:trPr>
        <w:tc>
          <w:tcPr>
            <w:tcW w:w="4280" w:type="dxa"/>
            <w:vAlign w:val="bottom"/>
          </w:tcPr>
          <w:p>
            <w:pPr>
              <w:ind w:left="20"/>
              <w:spacing w:after="0"/>
              <w:rPr>
                <w:sz w:val="20"/>
                <w:szCs w:val="20"/>
                <w:color w:val="auto"/>
              </w:rPr>
            </w:pPr>
            <w:r>
              <w:rPr>
                <w:rFonts w:ascii="Arial" w:cs="Arial" w:eastAsia="Arial" w:hAnsi="Arial"/>
                <w:sz w:val="16"/>
                <w:szCs w:val="16"/>
                <w:color w:val="auto"/>
              </w:rPr>
              <w:t>Total lease payments</w:t>
            </w:r>
          </w:p>
        </w:tc>
        <w:tc>
          <w:tcPr>
            <w:tcW w:w="3700" w:type="dxa"/>
            <w:vAlign w:val="bottom"/>
          </w:tcPr>
          <w:p>
            <w:pPr>
              <w:jc w:val="right"/>
              <w:ind w:right="400"/>
              <w:spacing w:after="0"/>
              <w:rPr>
                <w:sz w:val="20"/>
                <w:szCs w:val="20"/>
                <w:color w:val="auto"/>
              </w:rPr>
            </w:pPr>
            <w:r>
              <w:rPr>
                <w:rFonts w:ascii="Arial" w:cs="Arial" w:eastAsia="Arial" w:hAnsi="Arial"/>
                <w:sz w:val="16"/>
                <w:szCs w:val="16"/>
                <w:b w:val="1"/>
                <w:bCs w:val="1"/>
                <w:color w:val="auto"/>
              </w:rPr>
              <w:t>16,937</w:t>
            </w:r>
          </w:p>
        </w:tc>
        <w:tc>
          <w:tcPr>
            <w:tcW w:w="1440" w:type="dxa"/>
            <w:vAlign w:val="bottom"/>
          </w:tcPr>
          <w:p>
            <w:pPr>
              <w:jc w:val="right"/>
              <w:ind w:right="400"/>
              <w:spacing w:after="0"/>
              <w:rPr>
                <w:sz w:val="20"/>
                <w:szCs w:val="20"/>
                <w:color w:val="auto"/>
              </w:rPr>
            </w:pPr>
            <w:r>
              <w:rPr>
                <w:rFonts w:ascii="Arial" w:cs="Arial" w:eastAsia="Arial" w:hAnsi="Arial"/>
                <w:sz w:val="16"/>
                <w:szCs w:val="16"/>
                <w:b w:val="1"/>
                <w:bCs w:val="1"/>
                <w:color w:val="auto"/>
              </w:rPr>
              <w:t>28,305</w:t>
            </w:r>
          </w:p>
        </w:tc>
      </w:tr>
      <w:tr>
        <w:trPr>
          <w:trHeight w:val="404"/>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imputed interest</w:t>
            </w:r>
          </w:p>
        </w:tc>
        <w:tc>
          <w:tcPr>
            <w:tcW w:w="37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(2,446)</w:t>
            </w:r>
          </w:p>
        </w:tc>
        <w:tc>
          <w:tcPr>
            <w:tcW w:w="14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(8,818)</w:t>
            </w:r>
          </w:p>
        </w:tc>
      </w:tr>
      <w:tr>
        <w:trPr>
          <w:trHeight w:val="220"/>
        </w:trPr>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7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$ 14,491</w:t>
            </w:r>
          </w:p>
        </w:tc>
        <w:tc>
          <w:tcPr>
            <w:tcW w:w="144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$ 19,487</w:t>
            </w:r>
          </w:p>
        </w:tc>
      </w:tr>
    </w:tbl>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finance lease liability includes the SLC lease described above, but excludes additional manufacturing space that was included in the September 2018 modification of that lease. We expect to take control of the additional space during the fourth quarter of 2019, which would be the commencement of this lease component, at which time the lease liability and ROU asset will be recorded. We will have control of the additional space through 2029 and the additional space will increase gross cash outflows during that period by $6.1 million.</w:t>
      </w:r>
    </w:p>
    <w:p>
      <w:pPr>
        <w:spacing w:after="0" w:line="9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As of December 31, 2018, future rental payments required under operating leases with initial or remaining non-cancelable lease terms in excess of one year, were: 2019, $4.6 million; 2020, $3.2 million; 2021, $2.1 million; 2022, $1.5 million; and 2023 and thereafter, $6.5 million.</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As of December 31, 2018, the following schedule presents future minimum annual payments under the SLC lease finance obligation, and the present value of the minimum payments:</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980" w:type="dxa"/>
            <w:vAlign w:val="bottom"/>
            <w:tcBorders>
              <w:top w:val="single" w:sz="8" w:color="auto"/>
              <w:bottom w:val="single" w:sz="8" w:color="auto"/>
            </w:tcBorders>
          </w:tcPr>
          <w:p>
            <w:pPr>
              <w:spacing w:after="0"/>
              <w:rPr>
                <w:sz w:val="17"/>
                <w:szCs w:val="17"/>
                <w:color w:val="auto"/>
              </w:rPr>
            </w:pPr>
          </w:p>
        </w:tc>
        <w:tc>
          <w:tcPr>
            <w:tcW w:w="444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(in thousands)</w:t>
            </w:r>
          </w:p>
        </w:tc>
      </w:tr>
      <w:tr>
        <w:trPr>
          <w:trHeight w:val="204"/>
        </w:trPr>
        <w:tc>
          <w:tcPr>
            <w:tcW w:w="4980" w:type="dxa"/>
            <w:vAlign w:val="bottom"/>
          </w:tcPr>
          <w:p>
            <w:pPr>
              <w:ind w:left="20"/>
              <w:spacing w:after="0"/>
              <w:rPr>
                <w:sz w:val="20"/>
                <w:szCs w:val="20"/>
                <w:color w:val="auto"/>
              </w:rPr>
            </w:pPr>
            <w:r>
              <w:rPr>
                <w:rFonts w:ascii="Arial" w:cs="Arial" w:eastAsia="Arial" w:hAnsi="Arial"/>
                <w:sz w:val="16"/>
                <w:szCs w:val="16"/>
                <w:color w:val="auto"/>
              </w:rPr>
              <w:t>Year ending December 31,</w:t>
            </w:r>
          </w:p>
        </w:tc>
        <w:tc>
          <w:tcPr>
            <w:tcW w:w="4440" w:type="dxa"/>
            <w:vAlign w:val="bottom"/>
          </w:tcPr>
          <w:p>
            <w:pPr>
              <w:spacing w:after="0"/>
              <w:rPr>
                <w:sz w:val="17"/>
                <w:szCs w:val="17"/>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2019</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$ 2,451</w:t>
            </w: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2020</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2,974</w:t>
            </w: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2021</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2,990</w:t>
            </w: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2022</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3,054</w:t>
            </w:r>
          </w:p>
        </w:tc>
      </w:tr>
      <w:tr>
        <w:trPr>
          <w:trHeight w:val="216"/>
        </w:trPr>
        <w:tc>
          <w:tcPr>
            <w:tcW w:w="4980" w:type="dxa"/>
            <w:vAlign w:val="bottom"/>
          </w:tcPr>
          <w:p>
            <w:pPr>
              <w:ind w:left="20"/>
              <w:spacing w:after="0"/>
              <w:rPr>
                <w:sz w:val="20"/>
                <w:szCs w:val="20"/>
                <w:color w:val="auto"/>
              </w:rPr>
            </w:pPr>
            <w:r>
              <w:rPr>
                <w:rFonts w:ascii="Arial" w:cs="Arial" w:eastAsia="Arial" w:hAnsi="Arial"/>
                <w:sz w:val="16"/>
                <w:szCs w:val="16"/>
                <w:color w:val="auto"/>
              </w:rPr>
              <w:t>2023</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3,277</w:t>
            </w:r>
          </w:p>
        </w:tc>
      </w:tr>
      <w:tr>
        <w:trPr>
          <w:trHeight w:val="219"/>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444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color w:val="auto"/>
              </w:rPr>
              <w:t>18,930</w:t>
            </w:r>
          </w:p>
        </w:tc>
      </w:tr>
      <w:tr>
        <w:trPr>
          <w:trHeight w:val="207"/>
        </w:trPr>
        <w:tc>
          <w:tcPr>
            <w:tcW w:w="4980" w:type="dxa"/>
            <w:vAlign w:val="bottom"/>
          </w:tcPr>
          <w:p>
            <w:pPr>
              <w:ind w:left="20"/>
              <w:spacing w:after="0"/>
              <w:rPr>
                <w:sz w:val="20"/>
                <w:szCs w:val="20"/>
                <w:color w:val="auto"/>
              </w:rPr>
            </w:pPr>
            <w:r>
              <w:rPr>
                <w:rFonts w:ascii="Arial" w:cs="Arial" w:eastAsia="Arial" w:hAnsi="Arial"/>
                <w:sz w:val="16"/>
                <w:szCs w:val="16"/>
                <w:color w:val="auto"/>
              </w:rPr>
              <w:t>Total minimum payments</w:t>
            </w:r>
          </w:p>
        </w:tc>
        <w:tc>
          <w:tcPr>
            <w:tcW w:w="4440" w:type="dxa"/>
            <w:vAlign w:val="bottom"/>
          </w:tcPr>
          <w:p>
            <w:pPr>
              <w:jc w:val="right"/>
              <w:ind w:right="520"/>
              <w:spacing w:after="0"/>
              <w:rPr>
                <w:sz w:val="20"/>
                <w:szCs w:val="20"/>
                <w:color w:val="auto"/>
              </w:rPr>
            </w:pPr>
            <w:r>
              <w:rPr>
                <w:rFonts w:ascii="Arial" w:cs="Arial" w:eastAsia="Arial" w:hAnsi="Arial"/>
                <w:sz w:val="16"/>
                <w:szCs w:val="16"/>
                <w:color w:val="auto"/>
              </w:rPr>
              <w:t>33,676</w:t>
            </w:r>
          </w:p>
        </w:tc>
      </w:tr>
      <w:tr>
        <w:trPr>
          <w:trHeight w:val="408"/>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imputed interest</w:t>
            </w:r>
          </w:p>
        </w:tc>
        <w:tc>
          <w:tcPr>
            <w:tcW w:w="44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(7,790)</w:t>
            </w:r>
          </w:p>
        </w:tc>
      </w:tr>
      <w:tr>
        <w:trPr>
          <w:trHeight w:val="220"/>
        </w:trPr>
        <w:tc>
          <w:tcPr>
            <w:tcW w:w="4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44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$ 25,886</w:t>
            </w:r>
          </w:p>
        </w:tc>
      </w:tr>
    </w:tbl>
    <w:p>
      <w:pPr>
        <w:spacing w:after="0" w:line="188"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As of December 31, 2018, the capitalized value associated with the SLC lease was included in Property, plant, and equipment, net at a value of $17.3 million, which included a gross cost of $20.8 million, and Accumulated depreciation of $3.5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ind w:right="7000" w:firstLine="8"/>
        <w:spacing w:after="0" w:line="372" w:lineRule="auto"/>
        <w:tabs>
          <w:tab w:leader="none" w:pos="20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Pensions and Other Postretirement Benefit Plans </w:t>
      </w:r>
      <w:r>
        <w:rPr>
          <w:rFonts w:ascii="Arial" w:cs="Arial" w:eastAsia="Arial" w:hAnsi="Arial"/>
          <w:sz w:val="18"/>
          <w:szCs w:val="18"/>
          <w:i w:val="1"/>
          <w:iCs w:val="1"/>
          <w:color w:val="auto"/>
        </w:rPr>
        <w:t>Pension Plans</w:t>
      </w:r>
    </w:p>
    <w:p>
      <w:pPr>
        <w:spacing w:after="0" w:line="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benefits accrued under this plan have been frozen since February 2009.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2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composition of the net periodic benefit cost for the six months ended June 30, 2019 and 2018, was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top w:val="single" w:sz="8" w:color="auto"/>
            </w:tcBorders>
          </w:tcPr>
          <w:p>
            <w:pPr>
              <w:spacing w:after="0"/>
              <w:rPr>
                <w:sz w:val="17"/>
                <w:szCs w:val="17"/>
                <w:color w:val="auto"/>
              </w:rPr>
            </w:pPr>
          </w:p>
        </w:tc>
        <w:tc>
          <w:tcPr>
            <w:tcW w:w="2700" w:type="dxa"/>
            <w:vAlign w:val="bottom"/>
            <w:tcBorders>
              <w:top w:val="single" w:sz="8" w:color="auto"/>
              <w:bottom w:val="single" w:sz="8" w:color="auto"/>
            </w:tcBorders>
            <w:gridSpan w:val="2"/>
          </w:tcPr>
          <w:p>
            <w:pPr>
              <w:jc w:val="right"/>
              <w:ind w:right="780"/>
              <w:spacing w:after="0"/>
              <w:rPr>
                <w:sz w:val="20"/>
                <w:szCs w:val="20"/>
                <w:color w:val="auto"/>
              </w:rPr>
            </w:pPr>
            <w:r>
              <w:rPr>
                <w:rFonts w:ascii="Arial" w:cs="Arial" w:eastAsia="Arial" w:hAnsi="Arial"/>
                <w:sz w:val="14"/>
                <w:szCs w:val="14"/>
                <w:b w:val="1"/>
                <w:bCs w:val="1"/>
                <w:color w:val="auto"/>
              </w:rPr>
              <w:t>Pension plans</w:t>
            </w:r>
          </w:p>
        </w:tc>
        <w:tc>
          <w:tcPr>
            <w:tcW w:w="2780" w:type="dxa"/>
            <w:vAlign w:val="bottom"/>
            <w:tcBorders>
              <w:top w:val="single" w:sz="8" w:color="auto"/>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rPr>
              <w:t>Other postretirement benefits</w:t>
            </w:r>
          </w:p>
        </w:tc>
      </w:tr>
      <w:tr>
        <w:trPr>
          <w:trHeight w:val="18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6"/>
              </w:rPr>
              <w:t>2018</w:t>
            </w:r>
          </w:p>
        </w:tc>
      </w:tr>
      <w:tr>
        <w:trPr>
          <w:trHeight w:val="204"/>
        </w:trPr>
        <w:tc>
          <w:tcPr>
            <w:tcW w:w="5940" w:type="dxa"/>
            <w:vAlign w:val="bottom"/>
          </w:tcPr>
          <w:p>
            <w:pPr>
              <w:ind w:left="20"/>
              <w:spacing w:after="0"/>
              <w:rPr>
                <w:sz w:val="20"/>
                <w:szCs w:val="20"/>
                <w:color w:val="auto"/>
              </w:rPr>
            </w:pPr>
            <w:r>
              <w:rPr>
                <w:rFonts w:ascii="Arial" w:cs="Arial" w:eastAsia="Arial" w:hAnsi="Arial"/>
                <w:sz w:val="16"/>
                <w:szCs w:val="16"/>
                <w:color w:val="auto"/>
              </w:rPr>
              <w:t>Components of net periodic benefit cost:</w:t>
            </w: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Service cost</w:t>
            </w:r>
          </w:p>
        </w:tc>
        <w:tc>
          <w:tcPr>
            <w:tcW w:w="1360" w:type="dxa"/>
            <w:vAlign w:val="bottom"/>
          </w:tcPr>
          <w:p>
            <w:pPr>
              <w:jc w:val="right"/>
              <w:ind w:right="341"/>
              <w:spacing w:after="0"/>
              <w:rPr>
                <w:sz w:val="20"/>
                <w:szCs w:val="20"/>
                <w:color w:val="auto"/>
              </w:rPr>
            </w:pPr>
            <w:r>
              <w:rPr>
                <w:rFonts w:ascii="Arial" w:cs="Arial" w:eastAsia="Arial" w:hAnsi="Arial"/>
                <w:sz w:val="16"/>
                <w:szCs w:val="16"/>
                <w:b w:val="1"/>
                <w:bCs w:val="1"/>
                <w:color w:val="auto"/>
              </w:rPr>
              <w:t>$ 1,261</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$ 1,391</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95</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116</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360" w:type="dxa"/>
            <w:vAlign w:val="bottom"/>
          </w:tcPr>
          <w:p>
            <w:pPr>
              <w:jc w:val="right"/>
              <w:ind w:right="341"/>
              <w:spacing w:after="0"/>
              <w:rPr>
                <w:sz w:val="20"/>
                <w:szCs w:val="20"/>
                <w:color w:val="auto"/>
              </w:rPr>
            </w:pPr>
            <w:r>
              <w:rPr>
                <w:rFonts w:ascii="Arial" w:cs="Arial" w:eastAsia="Arial" w:hAnsi="Arial"/>
                <w:sz w:val="16"/>
                <w:szCs w:val="16"/>
                <w:b w:val="1"/>
                <w:bCs w:val="1"/>
                <w:color w:val="auto"/>
              </w:rPr>
              <w:t>3,578</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3,621</w:t>
            </w:r>
          </w:p>
        </w:tc>
        <w:tc>
          <w:tcPr>
            <w:tcW w:w="500" w:type="dxa"/>
            <w:vAlign w:val="bottom"/>
          </w:tcPr>
          <w:p>
            <w:pPr>
              <w:spacing w:after="0"/>
              <w:rPr>
                <w:sz w:val="18"/>
                <w:szCs w:val="18"/>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1,057</w:t>
            </w:r>
          </w:p>
        </w:tc>
        <w:tc>
          <w:tcPr>
            <w:tcW w:w="520" w:type="dxa"/>
            <w:vAlign w:val="bottom"/>
          </w:tcPr>
          <w:p>
            <w:pPr>
              <w:spacing w:after="0"/>
              <w:rPr>
                <w:sz w:val="18"/>
                <w:szCs w:val="18"/>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1,013</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Expected return on assets</w:t>
            </w:r>
          </w:p>
        </w:tc>
        <w:tc>
          <w:tcPr>
            <w:tcW w:w="1360" w:type="dxa"/>
            <w:vAlign w:val="bottom"/>
          </w:tcPr>
          <w:p>
            <w:pPr>
              <w:jc w:val="right"/>
              <w:ind w:right="321"/>
              <w:spacing w:after="0"/>
              <w:rPr>
                <w:sz w:val="20"/>
                <w:szCs w:val="20"/>
                <w:color w:val="auto"/>
              </w:rPr>
            </w:pPr>
            <w:r>
              <w:rPr>
                <w:rFonts w:ascii="Arial" w:cs="Arial" w:eastAsia="Arial" w:hAnsi="Arial"/>
                <w:sz w:val="16"/>
                <w:szCs w:val="16"/>
                <w:b w:val="1"/>
                <w:bCs w:val="1"/>
                <w:color w:val="auto"/>
              </w:rPr>
              <w:t>(4,102)</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(4,470)</w:t>
            </w:r>
          </w:p>
        </w:tc>
        <w:tc>
          <w:tcPr>
            <w:tcW w:w="500" w:type="dxa"/>
            <w:vAlign w:val="bottom"/>
          </w:tcPr>
          <w:p>
            <w:pPr>
              <w:spacing w:after="0"/>
              <w:rPr>
                <w:sz w:val="18"/>
                <w:szCs w:val="18"/>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8"/>
                <w:szCs w:val="18"/>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Curtailment gain</w:t>
            </w:r>
          </w:p>
        </w:tc>
        <w:tc>
          <w:tcPr>
            <w:tcW w:w="1360" w:type="dxa"/>
            <w:vAlign w:val="bottom"/>
          </w:tcPr>
          <w:p>
            <w:pPr>
              <w:jc w:val="right"/>
              <w:ind w:right="341"/>
              <w:spacing w:after="0"/>
              <w:rPr>
                <w:sz w:val="20"/>
                <w:szCs w:val="20"/>
                <w:color w:val="auto"/>
              </w:rPr>
            </w:pPr>
            <w:r>
              <w:rPr>
                <w:rFonts w:ascii="Arial" w:cs="Arial" w:eastAsia="Arial" w:hAnsi="Arial"/>
                <w:sz w:val="16"/>
                <w:szCs w:val="16"/>
                <w:b w:val="1"/>
                <w:bCs w:val="1"/>
                <w:color w:val="auto"/>
              </w:rPr>
              <w:t>—</w:t>
            </w:r>
          </w:p>
        </w:tc>
        <w:tc>
          <w:tcPr>
            <w:tcW w:w="1340" w:type="dxa"/>
            <w:vAlign w:val="bottom"/>
          </w:tcPr>
          <w:p>
            <w:pPr>
              <w:jc w:val="right"/>
              <w:ind w:right="300"/>
              <w:spacing w:after="0"/>
              <w:rPr>
                <w:sz w:val="20"/>
                <w:szCs w:val="20"/>
                <w:color w:val="auto"/>
              </w:rPr>
            </w:pPr>
            <w:r>
              <w:rPr>
                <w:rFonts w:ascii="Arial" w:cs="Arial" w:eastAsia="Arial" w:hAnsi="Arial"/>
                <w:sz w:val="16"/>
                <w:szCs w:val="16"/>
                <w:color w:val="auto"/>
              </w:rPr>
              <w:t>(518)</w:t>
            </w:r>
          </w:p>
        </w:tc>
        <w:tc>
          <w:tcPr>
            <w:tcW w:w="500" w:type="dxa"/>
            <w:vAlign w:val="bottom"/>
          </w:tcPr>
          <w:p>
            <w:pPr>
              <w:spacing w:after="0"/>
              <w:rPr>
                <w:sz w:val="18"/>
                <w:szCs w:val="18"/>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spacing w:after="0"/>
              <w:rPr>
                <w:sz w:val="18"/>
                <w:szCs w:val="18"/>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Amortization of prior service cost/(credit)</w:t>
            </w:r>
          </w:p>
        </w:tc>
        <w:tc>
          <w:tcPr>
            <w:tcW w:w="1360" w:type="dxa"/>
            <w:vAlign w:val="bottom"/>
          </w:tcPr>
          <w:p>
            <w:pPr>
              <w:jc w:val="right"/>
              <w:ind w:right="341"/>
              <w:spacing w:after="0"/>
              <w:rPr>
                <w:sz w:val="20"/>
                <w:szCs w:val="20"/>
                <w:color w:val="auto"/>
              </w:rPr>
            </w:pPr>
            <w:r>
              <w:rPr>
                <w:rFonts w:ascii="Arial" w:cs="Arial" w:eastAsia="Arial" w:hAnsi="Arial"/>
                <w:sz w:val="16"/>
                <w:szCs w:val="16"/>
                <w:b w:val="1"/>
                <w:bCs w:val="1"/>
                <w:color w:val="auto"/>
              </w:rPr>
              <w:t>34</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17</w:t>
            </w:r>
          </w:p>
        </w:tc>
        <w:tc>
          <w:tcPr>
            <w:tcW w:w="138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(2,244)</w:t>
            </w:r>
          </w:p>
        </w:tc>
        <w:tc>
          <w:tcPr>
            <w:tcW w:w="1400" w:type="dxa"/>
            <w:vAlign w:val="bottom"/>
            <w:gridSpan w:val="2"/>
          </w:tcPr>
          <w:p>
            <w:pPr>
              <w:jc w:val="right"/>
              <w:ind w:right="340"/>
              <w:spacing w:after="0"/>
              <w:rPr>
                <w:sz w:val="20"/>
                <w:szCs w:val="20"/>
                <w:color w:val="auto"/>
              </w:rPr>
            </w:pPr>
            <w:r>
              <w:rPr>
                <w:rFonts w:ascii="Arial" w:cs="Arial" w:eastAsia="Arial" w:hAnsi="Arial"/>
                <w:sz w:val="16"/>
                <w:szCs w:val="16"/>
                <w:color w:val="auto"/>
              </w:rPr>
              <w:t>(2,244)</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Amortization of net actuarial loss</w:t>
            </w:r>
          </w:p>
        </w:tc>
        <w:tc>
          <w:tcPr>
            <w:tcW w:w="1360" w:type="dxa"/>
            <w:vAlign w:val="bottom"/>
          </w:tcPr>
          <w:p>
            <w:pPr>
              <w:jc w:val="right"/>
              <w:ind w:right="341"/>
              <w:spacing w:after="0"/>
              <w:rPr>
                <w:sz w:val="20"/>
                <w:szCs w:val="20"/>
                <w:color w:val="auto"/>
              </w:rPr>
            </w:pPr>
            <w:r>
              <w:rPr>
                <w:rFonts w:ascii="Arial" w:cs="Arial" w:eastAsia="Arial" w:hAnsi="Arial"/>
                <w:sz w:val="16"/>
                <w:szCs w:val="16"/>
                <w:b w:val="1"/>
                <w:bCs w:val="1"/>
                <w:color w:val="auto"/>
              </w:rPr>
              <w:t>1,125</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1,110</w:t>
            </w:r>
          </w:p>
        </w:tc>
        <w:tc>
          <w:tcPr>
            <w:tcW w:w="500" w:type="dxa"/>
            <w:vAlign w:val="bottom"/>
          </w:tcPr>
          <w:p>
            <w:pPr>
              <w:spacing w:after="0"/>
              <w:rPr>
                <w:sz w:val="18"/>
                <w:szCs w:val="18"/>
                <w:color w:val="auto"/>
              </w:rPr>
            </w:pPr>
          </w:p>
        </w:tc>
        <w:tc>
          <w:tcPr>
            <w:tcW w:w="880" w:type="dxa"/>
            <w:vAlign w:val="bottom"/>
          </w:tcPr>
          <w:p>
            <w:pPr>
              <w:jc w:val="right"/>
              <w:ind w:right="340"/>
              <w:spacing w:after="0"/>
              <w:rPr>
                <w:sz w:val="20"/>
                <w:szCs w:val="20"/>
                <w:color w:val="auto"/>
              </w:rPr>
            </w:pPr>
            <w:r>
              <w:rPr>
                <w:rFonts w:ascii="Arial" w:cs="Arial" w:eastAsia="Arial" w:hAnsi="Arial"/>
                <w:sz w:val="16"/>
                <w:szCs w:val="16"/>
                <w:b w:val="1"/>
                <w:bCs w:val="1"/>
                <w:color w:val="auto"/>
              </w:rPr>
              <w:t>1,114</w:t>
            </w:r>
          </w:p>
        </w:tc>
        <w:tc>
          <w:tcPr>
            <w:tcW w:w="520" w:type="dxa"/>
            <w:vAlign w:val="bottom"/>
          </w:tcPr>
          <w:p>
            <w:pPr>
              <w:spacing w:after="0"/>
              <w:rPr>
                <w:sz w:val="18"/>
                <w:szCs w:val="18"/>
                <w:color w:val="auto"/>
              </w:rPr>
            </w:pP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1,478</w:t>
            </w: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periodic benefit cost</w:t>
            </w:r>
          </w:p>
        </w:tc>
        <w:tc>
          <w:tcPr>
            <w:tcW w:w="13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$ 1,896</w:t>
            </w:r>
          </w:p>
        </w:tc>
        <w:tc>
          <w:tcPr>
            <w:tcW w:w="13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$ 1,151</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b w:val="1"/>
                <w:bCs w:val="1"/>
                <w:color w:val="auto"/>
              </w:rPr>
              <w:t>22</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363</w:t>
            </w:r>
          </w:p>
        </w:tc>
      </w:tr>
    </w:tbl>
    <w:p>
      <w:pPr>
        <w:spacing w:after="0" w:line="202" w:lineRule="exact"/>
        <w:rPr>
          <w:sz w:val="20"/>
          <w:szCs w:val="20"/>
          <w:color w:val="auto"/>
        </w:rPr>
      </w:pPr>
    </w:p>
    <w:p>
      <w:pPr>
        <w:jc w:val="both"/>
        <w:ind w:right="20" w:firstLine="324"/>
        <w:spacing w:after="0" w:line="275" w:lineRule="auto"/>
        <w:rPr>
          <w:sz w:val="20"/>
          <w:szCs w:val="20"/>
          <w:color w:val="auto"/>
        </w:rPr>
      </w:pPr>
      <w:r>
        <w:rPr>
          <w:rFonts w:ascii="Arial" w:cs="Arial" w:eastAsia="Arial" w:hAnsi="Arial"/>
          <w:sz w:val="17"/>
          <w:szCs w:val="17"/>
          <w:color w:val="auto"/>
        </w:rPr>
        <w:t>The amount of net periodic pension cost is determined at the beginning of each year and generally only varies from quarter to quarter when a significant event occurs, such as a curtailment or a settlement occurs. There were no such events in the first six months of 2019 or 2018.</w:t>
      </w:r>
    </w:p>
    <w:p>
      <w:pPr>
        <w:spacing w:after="0" w:line="6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or items as other compensation costs arising from services rendered by the pertinent employees during the period. Other components of net periodic benefit cost are presented in the income statement separately from the service cost component and outside a subtotal of income from operations, in the line item Other (income)/expense, net in the Consolidated Statements of Income.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26"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MC restructuring charges include expenses for the first six months of 2019 and 2018 principally related to discontinued operations at its MC production facility in Sélestat, France. In 2018, the plan was approved by the French Labor Ministry which led to restructuring expense of $8.6 million in the first six months of 2018 for severance and outplacement costs for the approximately 50 positions that were terminated under this plan. In the first six months of 2019, restructuring charges were $0.8 million. Since 2017, we have recorded $12.5 million of restructuring charges related to this action.</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AEC restructuring charges include expenses for the first six months of 2019 and 2018 related to work force reductions in AEC locations in Salt Lake City, Utah and Rochester, New Hampshire.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720" w:type="dxa"/>
            <w:vAlign w:val="bottom"/>
            <w:tcBorders>
              <w:top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tcBorders>
              <w:top w:val="single" w:sz="8" w:color="auto"/>
              <w:bottom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5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32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2019</w:t>
            </w:r>
          </w:p>
        </w:tc>
        <w:tc>
          <w:tcPr>
            <w:tcW w:w="9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05"/>
        </w:trPr>
        <w:tc>
          <w:tcPr>
            <w:tcW w:w="47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900" w:type="dxa"/>
            <w:vAlign w:val="bottom"/>
          </w:tcPr>
          <w:p>
            <w:pPr>
              <w:jc w:val="right"/>
              <w:ind w:right="62"/>
              <w:spacing w:after="0"/>
              <w:rPr>
                <w:sz w:val="20"/>
                <w:szCs w:val="20"/>
                <w:color w:val="auto"/>
              </w:rPr>
            </w:pPr>
            <w:r>
              <w:rPr>
                <w:rFonts w:ascii="Arial" w:cs="Arial" w:eastAsia="Arial" w:hAnsi="Arial"/>
                <w:sz w:val="16"/>
                <w:szCs w:val="16"/>
                <w:b w:val="1"/>
                <w:bCs w:val="1"/>
                <w:color w:val="auto"/>
              </w:rPr>
              <w:t>$935</w:t>
            </w:r>
          </w:p>
        </w:tc>
        <w:tc>
          <w:tcPr>
            <w:tcW w:w="1500" w:type="dxa"/>
            <w:vAlign w:val="bottom"/>
          </w:tcPr>
          <w:p>
            <w:pPr>
              <w:jc w:val="right"/>
              <w:ind w:right="301"/>
              <w:spacing w:after="0"/>
              <w:rPr>
                <w:sz w:val="20"/>
                <w:szCs w:val="20"/>
                <w:color w:val="auto"/>
              </w:rPr>
            </w:pPr>
            <w:r>
              <w:rPr>
                <w:rFonts w:ascii="Arial" w:cs="Arial" w:eastAsia="Arial" w:hAnsi="Arial"/>
                <w:sz w:val="16"/>
                <w:szCs w:val="16"/>
                <w:color w:val="auto"/>
              </w:rPr>
              <w:t>$1,800</w:t>
            </w:r>
          </w:p>
        </w:tc>
        <w:tc>
          <w:tcPr>
            <w:tcW w:w="1320" w:type="dxa"/>
            <w:vAlign w:val="bottom"/>
          </w:tcPr>
          <w:p>
            <w:pPr>
              <w:jc w:val="right"/>
              <w:ind w:right="462"/>
              <w:spacing w:after="0"/>
              <w:rPr>
                <w:sz w:val="20"/>
                <w:szCs w:val="20"/>
                <w:color w:val="auto"/>
              </w:rPr>
            </w:pPr>
            <w:r>
              <w:rPr>
                <w:rFonts w:ascii="Arial" w:cs="Arial" w:eastAsia="Arial" w:hAnsi="Arial"/>
                <w:sz w:val="16"/>
                <w:szCs w:val="16"/>
                <w:b w:val="1"/>
                <w:bCs w:val="1"/>
                <w:color w:val="auto"/>
              </w:rPr>
              <w:t>$1,336</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$10,152</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900" w:type="dxa"/>
            <w:vAlign w:val="bottom"/>
          </w:tcPr>
          <w:p>
            <w:pPr>
              <w:jc w:val="right"/>
              <w:ind w:right="22"/>
              <w:spacing w:after="0"/>
              <w:rPr>
                <w:sz w:val="20"/>
                <w:szCs w:val="20"/>
                <w:color w:val="auto"/>
              </w:rPr>
            </w:pPr>
            <w:r>
              <w:rPr>
                <w:rFonts w:ascii="Arial" w:cs="Arial" w:eastAsia="Arial" w:hAnsi="Arial"/>
                <w:sz w:val="16"/>
                <w:szCs w:val="16"/>
                <w:b w:val="1"/>
                <w:bCs w:val="1"/>
                <w:color w:val="auto"/>
              </w:rPr>
              <w:t>(32)</w:t>
            </w:r>
          </w:p>
        </w:tc>
        <w:tc>
          <w:tcPr>
            <w:tcW w:w="1500" w:type="dxa"/>
            <w:vAlign w:val="bottom"/>
          </w:tcPr>
          <w:p>
            <w:pPr>
              <w:jc w:val="right"/>
              <w:ind w:right="321"/>
              <w:spacing w:after="0"/>
              <w:rPr>
                <w:sz w:val="20"/>
                <w:szCs w:val="20"/>
                <w:color w:val="auto"/>
              </w:rPr>
            </w:pPr>
            <w:r>
              <w:rPr>
                <w:rFonts w:ascii="Arial" w:cs="Arial" w:eastAsia="Arial" w:hAnsi="Arial"/>
                <w:sz w:val="16"/>
                <w:szCs w:val="16"/>
                <w:color w:val="auto"/>
              </w:rPr>
              <w:t>558</w:t>
            </w:r>
          </w:p>
        </w:tc>
        <w:tc>
          <w:tcPr>
            <w:tcW w:w="1320" w:type="dxa"/>
            <w:vAlign w:val="bottom"/>
          </w:tcPr>
          <w:p>
            <w:pPr>
              <w:jc w:val="right"/>
              <w:ind w:right="462"/>
              <w:spacing w:after="0"/>
              <w:rPr>
                <w:sz w:val="20"/>
                <w:szCs w:val="20"/>
                <w:color w:val="auto"/>
              </w:rPr>
            </w:pPr>
            <w:r>
              <w:rPr>
                <w:rFonts w:ascii="Arial" w:cs="Arial" w:eastAsia="Arial" w:hAnsi="Arial"/>
                <w:sz w:val="16"/>
                <w:szCs w:val="16"/>
                <w:b w:val="1"/>
                <w:bCs w:val="1"/>
                <w:color w:val="auto"/>
              </w:rPr>
              <w:t>51</w:t>
            </w:r>
          </w:p>
        </w:tc>
        <w:tc>
          <w:tcPr>
            <w:tcW w:w="980" w:type="dxa"/>
            <w:vAlign w:val="bottom"/>
          </w:tcPr>
          <w:p>
            <w:pPr>
              <w:jc w:val="right"/>
              <w:ind w:right="221"/>
              <w:spacing w:after="0"/>
              <w:rPr>
                <w:sz w:val="20"/>
                <w:szCs w:val="20"/>
                <w:color w:val="auto"/>
              </w:rPr>
            </w:pPr>
            <w:r>
              <w:rPr>
                <w:rFonts w:ascii="Arial" w:cs="Arial" w:eastAsia="Arial" w:hAnsi="Arial"/>
                <w:sz w:val="16"/>
                <w:szCs w:val="16"/>
                <w:color w:val="auto"/>
              </w:rPr>
              <w:t>779</w:t>
            </w:r>
          </w:p>
        </w:tc>
      </w:tr>
      <w:tr>
        <w:trPr>
          <w:trHeight w:val="21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90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(4)</w:t>
            </w:r>
          </w:p>
        </w:tc>
        <w:tc>
          <w:tcPr>
            <w:tcW w:w="15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231</w:t>
            </w:r>
          </w:p>
        </w:tc>
        <w:tc>
          <w:tcPr>
            <w:tcW w:w="132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(4)</w:t>
            </w: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231</w:t>
            </w:r>
          </w:p>
        </w:tc>
      </w:tr>
      <w:tr>
        <w:trPr>
          <w:trHeight w:val="212"/>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$899</w:t>
            </w:r>
          </w:p>
        </w:tc>
        <w:tc>
          <w:tcPr>
            <w:tcW w:w="150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$2,589</w:t>
            </w:r>
          </w:p>
        </w:tc>
        <w:tc>
          <w:tcPr>
            <w:tcW w:w="1320" w:type="dxa"/>
            <w:vAlign w:val="bottom"/>
            <w:tcBorders>
              <w:bottom w:val="single" w:sz="8" w:color="auto"/>
            </w:tcBorders>
          </w:tcPr>
          <w:p>
            <w:pPr>
              <w:jc w:val="right"/>
              <w:ind w:right="462"/>
              <w:spacing w:after="0"/>
              <w:rPr>
                <w:sz w:val="20"/>
                <w:szCs w:val="20"/>
                <w:color w:val="auto"/>
              </w:rPr>
            </w:pPr>
            <w:r>
              <w:rPr>
                <w:rFonts w:ascii="Arial" w:cs="Arial" w:eastAsia="Arial" w:hAnsi="Arial"/>
                <w:sz w:val="16"/>
                <w:szCs w:val="16"/>
                <w:b w:val="1"/>
                <w:bCs w:val="1"/>
                <w:color w:val="auto"/>
              </w:rPr>
              <w:t>$1,383</w:t>
            </w:r>
          </w:p>
        </w:tc>
        <w:tc>
          <w:tcPr>
            <w:tcW w:w="9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$11,162</w:t>
            </w:r>
          </w:p>
        </w:tc>
      </w:tr>
      <w:tr>
        <w:trPr>
          <w:trHeight w:val="156"/>
        </w:trPr>
        <w:tc>
          <w:tcPr>
            <w:tcW w:w="47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6"/>
        </w:trPr>
        <w:tc>
          <w:tcPr>
            <w:tcW w:w="4720" w:type="dxa"/>
            <w:vAlign w:val="bottom"/>
          </w:tcPr>
          <w:p>
            <w:pPr>
              <w:ind w:left="20"/>
              <w:spacing w:after="0" w:line="156" w:lineRule="exact"/>
              <w:rPr>
                <w:sz w:val="20"/>
                <w:szCs w:val="20"/>
                <w:color w:val="auto"/>
              </w:rPr>
            </w:pPr>
            <w:r>
              <w:rPr>
                <w:rFonts w:ascii="Arial" w:cs="Arial" w:eastAsia="Arial" w:hAnsi="Arial"/>
                <w:sz w:val="14"/>
                <w:szCs w:val="14"/>
                <w:b w:val="1"/>
                <w:bCs w:val="1"/>
                <w:color w:val="auto"/>
              </w:rPr>
              <w:t>Six months ended June 30, 2019</w:t>
            </w:r>
          </w:p>
        </w:tc>
        <w:tc>
          <w:tcPr>
            <w:tcW w:w="900" w:type="dxa"/>
            <w:vAlign w:val="bottom"/>
          </w:tcPr>
          <w:p>
            <w:pPr>
              <w:spacing w:after="0"/>
              <w:rPr>
                <w:sz w:val="13"/>
                <w:szCs w:val="13"/>
                <w:color w:val="auto"/>
              </w:rPr>
            </w:pPr>
          </w:p>
        </w:tc>
        <w:tc>
          <w:tcPr>
            <w:tcW w:w="1500" w:type="dxa"/>
            <w:vAlign w:val="bottom"/>
          </w:tcPr>
          <w:p>
            <w:pPr>
              <w:jc w:val="right"/>
              <w:ind w:right="41"/>
              <w:spacing w:after="0" w:line="156" w:lineRule="exact"/>
              <w:rPr>
                <w:sz w:val="20"/>
                <w:szCs w:val="20"/>
                <w:color w:val="auto"/>
              </w:rPr>
            </w:pPr>
            <w:r>
              <w:rPr>
                <w:rFonts w:ascii="Arial" w:cs="Arial" w:eastAsia="Arial" w:hAnsi="Arial"/>
                <w:sz w:val="14"/>
                <w:szCs w:val="14"/>
                <w:b w:val="1"/>
                <w:bCs w:val="1"/>
                <w:color w:val="auto"/>
              </w:rPr>
              <w:t>Total restructuring</w:t>
            </w:r>
          </w:p>
        </w:tc>
        <w:tc>
          <w:tcPr>
            <w:tcW w:w="1320" w:type="dxa"/>
            <w:vAlign w:val="bottom"/>
          </w:tcPr>
          <w:p>
            <w:pPr>
              <w:jc w:val="right"/>
              <w:ind w:right="22"/>
              <w:spacing w:after="0" w:line="156" w:lineRule="exact"/>
              <w:rPr>
                <w:sz w:val="20"/>
                <w:szCs w:val="20"/>
                <w:color w:val="auto"/>
              </w:rPr>
            </w:pPr>
            <w:r>
              <w:rPr>
                <w:rFonts w:ascii="Arial" w:cs="Arial" w:eastAsia="Arial" w:hAnsi="Arial"/>
                <w:sz w:val="14"/>
                <w:szCs w:val="14"/>
                <w:b w:val="1"/>
                <w:bCs w:val="1"/>
                <w:color w:val="auto"/>
              </w:rPr>
              <w:t>Termination and</w:t>
            </w:r>
          </w:p>
        </w:tc>
        <w:tc>
          <w:tcPr>
            <w:tcW w:w="980" w:type="dxa"/>
            <w:vAlign w:val="bottom"/>
          </w:tcPr>
          <w:p>
            <w:pPr>
              <w:jc w:val="right"/>
              <w:ind w:right="1"/>
              <w:spacing w:after="0" w:line="156" w:lineRule="exact"/>
              <w:rPr>
                <w:sz w:val="20"/>
                <w:szCs w:val="20"/>
                <w:color w:val="auto"/>
              </w:rPr>
            </w:pPr>
            <w:r>
              <w:rPr>
                <w:rFonts w:ascii="Arial" w:cs="Arial" w:eastAsia="Arial" w:hAnsi="Arial"/>
                <w:sz w:val="14"/>
                <w:szCs w:val="14"/>
                <w:b w:val="1"/>
                <w:bCs w:val="1"/>
                <w:color w:val="auto"/>
              </w:rPr>
              <w:t>Impairment</w:t>
            </w:r>
          </w:p>
        </w:tc>
      </w:tr>
      <w:tr>
        <w:trPr>
          <w:trHeight w:val="18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costs incurred</w:t>
            </w:r>
          </w:p>
        </w:tc>
        <w:tc>
          <w:tcPr>
            <w:tcW w:w="13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other costs</w:t>
            </w: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of assets</w:t>
            </w:r>
          </w:p>
        </w:tc>
      </w:tr>
      <w:tr>
        <w:trPr>
          <w:trHeight w:val="204"/>
        </w:trPr>
        <w:tc>
          <w:tcPr>
            <w:tcW w:w="472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900" w:type="dxa"/>
            <w:vAlign w:val="bottom"/>
          </w:tcPr>
          <w:p>
            <w:pPr>
              <w:spacing w:after="0"/>
              <w:rPr>
                <w:sz w:val="17"/>
                <w:szCs w:val="17"/>
                <w:color w:val="auto"/>
              </w:rPr>
            </w:pPr>
          </w:p>
        </w:tc>
        <w:tc>
          <w:tcPr>
            <w:tcW w:w="1500" w:type="dxa"/>
            <w:vAlign w:val="bottom"/>
          </w:tcPr>
          <w:p>
            <w:pPr>
              <w:jc w:val="right"/>
              <w:ind w:right="421"/>
              <w:spacing w:after="0"/>
              <w:rPr>
                <w:sz w:val="20"/>
                <w:szCs w:val="20"/>
                <w:color w:val="auto"/>
              </w:rPr>
            </w:pPr>
            <w:r>
              <w:rPr>
                <w:rFonts w:ascii="Arial" w:cs="Arial" w:eastAsia="Arial" w:hAnsi="Arial"/>
                <w:sz w:val="16"/>
                <w:szCs w:val="16"/>
                <w:color w:val="auto"/>
              </w:rPr>
              <w:t>$1,336</w:t>
            </w:r>
          </w:p>
        </w:tc>
        <w:tc>
          <w:tcPr>
            <w:tcW w:w="1320" w:type="dxa"/>
            <w:vAlign w:val="bottom"/>
          </w:tcPr>
          <w:p>
            <w:pPr>
              <w:jc w:val="right"/>
              <w:ind w:right="322"/>
              <w:spacing w:after="0"/>
              <w:rPr>
                <w:sz w:val="20"/>
                <w:szCs w:val="20"/>
                <w:color w:val="auto"/>
              </w:rPr>
            </w:pPr>
            <w:r>
              <w:rPr>
                <w:rFonts w:ascii="Arial" w:cs="Arial" w:eastAsia="Arial" w:hAnsi="Arial"/>
                <w:sz w:val="16"/>
                <w:szCs w:val="16"/>
                <w:color w:val="auto"/>
              </w:rPr>
              <w:t>$1,309</w:t>
            </w:r>
          </w:p>
        </w:tc>
        <w:tc>
          <w:tcPr>
            <w:tcW w:w="980" w:type="dxa"/>
            <w:vAlign w:val="bottom"/>
          </w:tcPr>
          <w:p>
            <w:pPr>
              <w:jc w:val="right"/>
              <w:ind w:right="261"/>
              <w:spacing w:after="0"/>
              <w:rPr>
                <w:sz w:val="20"/>
                <w:szCs w:val="20"/>
                <w:color w:val="auto"/>
              </w:rPr>
            </w:pPr>
            <w:r>
              <w:rPr>
                <w:rFonts w:ascii="Arial" w:cs="Arial" w:eastAsia="Arial" w:hAnsi="Arial"/>
                <w:sz w:val="16"/>
                <w:szCs w:val="16"/>
                <w:color w:val="auto"/>
              </w:rPr>
              <w:t>$27</w:t>
            </w: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900" w:type="dxa"/>
            <w:vAlign w:val="bottom"/>
          </w:tcPr>
          <w:p>
            <w:pPr>
              <w:spacing w:after="0"/>
              <w:rPr>
                <w:sz w:val="18"/>
                <w:szCs w:val="18"/>
                <w:color w:val="auto"/>
              </w:rPr>
            </w:pPr>
          </w:p>
        </w:tc>
        <w:tc>
          <w:tcPr>
            <w:tcW w:w="1500" w:type="dxa"/>
            <w:vAlign w:val="bottom"/>
          </w:tcPr>
          <w:p>
            <w:pPr>
              <w:jc w:val="right"/>
              <w:ind w:right="421"/>
              <w:spacing w:after="0"/>
              <w:rPr>
                <w:sz w:val="20"/>
                <w:szCs w:val="20"/>
                <w:color w:val="auto"/>
              </w:rPr>
            </w:pPr>
            <w:r>
              <w:rPr>
                <w:rFonts w:ascii="Arial" w:cs="Arial" w:eastAsia="Arial" w:hAnsi="Arial"/>
                <w:sz w:val="16"/>
                <w:szCs w:val="16"/>
                <w:color w:val="auto"/>
              </w:rPr>
              <w:t>51</w:t>
            </w:r>
          </w:p>
        </w:tc>
        <w:tc>
          <w:tcPr>
            <w:tcW w:w="1320" w:type="dxa"/>
            <w:vAlign w:val="bottom"/>
          </w:tcPr>
          <w:p>
            <w:pPr>
              <w:jc w:val="right"/>
              <w:ind w:right="322"/>
              <w:spacing w:after="0"/>
              <w:rPr>
                <w:sz w:val="20"/>
                <w:szCs w:val="20"/>
                <w:color w:val="auto"/>
              </w:rPr>
            </w:pPr>
            <w:r>
              <w:rPr>
                <w:rFonts w:ascii="Arial" w:cs="Arial" w:eastAsia="Arial" w:hAnsi="Arial"/>
                <w:sz w:val="16"/>
                <w:szCs w:val="16"/>
                <w:color w:val="auto"/>
              </w:rPr>
              <w:t>51</w:t>
            </w:r>
          </w:p>
        </w:tc>
        <w:tc>
          <w:tcPr>
            <w:tcW w:w="980" w:type="dxa"/>
            <w:vAlign w:val="bottom"/>
          </w:tcPr>
          <w:p>
            <w:pPr>
              <w:jc w:val="right"/>
              <w:ind w:right="261"/>
              <w:spacing w:after="0"/>
              <w:rPr>
                <w:sz w:val="20"/>
                <w:szCs w:val="20"/>
                <w:color w:val="auto"/>
              </w:rPr>
            </w:pPr>
            <w:r>
              <w:rPr>
                <w:rFonts w:ascii="Arial" w:cs="Arial" w:eastAsia="Arial" w:hAnsi="Arial"/>
                <w:sz w:val="16"/>
                <w:szCs w:val="16"/>
                <w:color w:val="auto"/>
              </w:rPr>
              <w:t>—</w:t>
            </w:r>
          </w:p>
        </w:tc>
      </w:tr>
      <w:tr>
        <w:trPr>
          <w:trHeight w:val="21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9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color w:val="auto"/>
              </w:rPr>
              <w:t>(4)</w:t>
            </w:r>
          </w:p>
        </w:tc>
        <w:tc>
          <w:tcPr>
            <w:tcW w:w="13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(4)</w:t>
            </w: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r>
      <w:tr>
        <w:trPr>
          <w:trHeight w:val="210"/>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9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color w:val="auto"/>
              </w:rPr>
              <w:t>$1,383</w:t>
            </w:r>
          </w:p>
        </w:tc>
        <w:tc>
          <w:tcPr>
            <w:tcW w:w="132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$1,356</w:t>
            </w:r>
          </w:p>
        </w:tc>
        <w:tc>
          <w:tcPr>
            <w:tcW w:w="98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$27</w:t>
            </w:r>
          </w:p>
        </w:tc>
      </w:tr>
    </w:tbl>
    <w:p>
      <w:pPr>
        <w:spacing w:after="0" w:line="142"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36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3420" w:type="dxa"/>
            <w:vAlign w:val="bottom"/>
            <w:tcBorders>
              <w:top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Total restructuring</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Termination and other</w:t>
            </w:r>
          </w:p>
        </w:tc>
      </w:tr>
      <w:tr>
        <w:trPr>
          <w:trHeight w:val="18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42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auto"/>
              </w:rPr>
              <w:t>costs incurred</w:t>
            </w:r>
          </w:p>
        </w:tc>
        <w:tc>
          <w:tcPr>
            <w:tcW w:w="16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costs</w:t>
            </w:r>
          </w:p>
        </w:tc>
      </w:tr>
      <w:tr>
        <w:trPr>
          <w:trHeight w:val="204"/>
        </w:trPr>
        <w:tc>
          <w:tcPr>
            <w:tcW w:w="436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3420" w:type="dxa"/>
            <w:vAlign w:val="bottom"/>
          </w:tcPr>
          <w:p>
            <w:pPr>
              <w:jc w:val="right"/>
              <w:ind w:right="342"/>
              <w:spacing w:after="0"/>
              <w:rPr>
                <w:sz w:val="20"/>
                <w:szCs w:val="20"/>
                <w:color w:val="auto"/>
              </w:rPr>
            </w:pPr>
            <w:r>
              <w:rPr>
                <w:rFonts w:ascii="Arial" w:cs="Arial" w:eastAsia="Arial" w:hAnsi="Arial"/>
                <w:sz w:val="16"/>
                <w:szCs w:val="16"/>
                <w:color w:val="auto"/>
              </w:rPr>
              <w:t>$10,152</w:t>
            </w:r>
          </w:p>
        </w:tc>
        <w:tc>
          <w:tcPr>
            <w:tcW w:w="1640" w:type="dxa"/>
            <w:vAlign w:val="bottom"/>
          </w:tcPr>
          <w:p>
            <w:pPr>
              <w:jc w:val="right"/>
              <w:ind w:right="422"/>
              <w:spacing w:after="0"/>
              <w:rPr>
                <w:sz w:val="20"/>
                <w:szCs w:val="20"/>
                <w:color w:val="auto"/>
              </w:rPr>
            </w:pPr>
            <w:r>
              <w:rPr>
                <w:rFonts w:ascii="Arial" w:cs="Arial" w:eastAsia="Arial" w:hAnsi="Arial"/>
                <w:sz w:val="16"/>
                <w:szCs w:val="16"/>
                <w:color w:val="auto"/>
              </w:rPr>
              <w:t>$10,152</w:t>
            </w:r>
          </w:p>
        </w:tc>
      </w:tr>
      <w:tr>
        <w:trPr>
          <w:trHeight w:val="216"/>
        </w:trPr>
        <w:tc>
          <w:tcPr>
            <w:tcW w:w="436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3420" w:type="dxa"/>
            <w:vAlign w:val="bottom"/>
          </w:tcPr>
          <w:p>
            <w:pPr>
              <w:jc w:val="right"/>
              <w:ind w:right="362"/>
              <w:spacing w:after="0"/>
              <w:rPr>
                <w:sz w:val="20"/>
                <w:szCs w:val="20"/>
                <w:color w:val="auto"/>
              </w:rPr>
            </w:pPr>
            <w:r>
              <w:rPr>
                <w:rFonts w:ascii="Arial" w:cs="Arial" w:eastAsia="Arial" w:hAnsi="Arial"/>
                <w:sz w:val="16"/>
                <w:szCs w:val="16"/>
                <w:color w:val="auto"/>
              </w:rPr>
              <w:t>779</w:t>
            </w:r>
          </w:p>
        </w:tc>
        <w:tc>
          <w:tcPr>
            <w:tcW w:w="1640" w:type="dxa"/>
            <w:vAlign w:val="bottom"/>
          </w:tcPr>
          <w:p>
            <w:pPr>
              <w:jc w:val="right"/>
              <w:ind w:right="422"/>
              <w:spacing w:after="0"/>
              <w:rPr>
                <w:sz w:val="20"/>
                <w:szCs w:val="20"/>
                <w:color w:val="auto"/>
              </w:rPr>
            </w:pPr>
            <w:r>
              <w:rPr>
                <w:rFonts w:ascii="Arial" w:cs="Arial" w:eastAsia="Arial" w:hAnsi="Arial"/>
                <w:sz w:val="16"/>
                <w:szCs w:val="16"/>
                <w:color w:val="auto"/>
              </w:rPr>
              <w:t>779</w:t>
            </w:r>
          </w:p>
        </w:tc>
      </w:tr>
      <w:tr>
        <w:trPr>
          <w:trHeight w:val="21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342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color w:val="auto"/>
              </w:rPr>
              <w:t>231</w:t>
            </w:r>
          </w:p>
        </w:tc>
        <w:tc>
          <w:tcPr>
            <w:tcW w:w="1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231</w:t>
            </w:r>
          </w:p>
        </w:tc>
      </w:tr>
      <w:tr>
        <w:trPr>
          <w:trHeight w:val="21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42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color w:val="auto"/>
              </w:rPr>
              <w:t>$11,162</w:t>
            </w:r>
          </w:p>
        </w:tc>
        <w:tc>
          <w:tcPr>
            <w:tcW w:w="16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color w:val="auto"/>
              </w:rPr>
              <w:t>$11,162</w:t>
            </w:r>
          </w:p>
        </w:tc>
      </w:tr>
    </w:tbl>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expect that approximately $2.3 million of Accrued liabilities for restructuring at June 30, 2019 will be paid within one year and approximately $ 1.2 million will be paid the following year. The table below presents the year-to-date changes in restructuring liabilities for 2019 and 2018, all of which related to termination costs: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180" w:type="dxa"/>
            <w:vAlign w:val="bottom"/>
            <w:tcBorders>
              <w:top w:val="single" w:sz="8" w:color="auto"/>
            </w:tcBorders>
          </w:tcPr>
          <w:p>
            <w:pPr>
              <w:spacing w:after="0"/>
              <w:rPr>
                <w:sz w:val="15"/>
                <w:szCs w:val="15"/>
                <w:color w:val="auto"/>
              </w:rPr>
            </w:pPr>
          </w:p>
        </w:tc>
        <w:tc>
          <w:tcPr>
            <w:tcW w:w="2300" w:type="dxa"/>
            <w:vAlign w:val="bottom"/>
            <w:tcBorders>
              <w:top w:val="single" w:sz="8" w:color="auto"/>
            </w:tcBorders>
          </w:tcPr>
          <w:p>
            <w:pPr>
              <w:spacing w:after="0"/>
              <w:rPr>
                <w:sz w:val="15"/>
                <w:szCs w:val="15"/>
                <w:color w:val="auto"/>
              </w:rPr>
            </w:pPr>
          </w:p>
        </w:tc>
        <w:tc>
          <w:tcPr>
            <w:tcW w:w="18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jc w:val="center"/>
              <w:ind w:right="46"/>
              <w:spacing w:after="0"/>
              <w:rPr>
                <w:sz w:val="20"/>
                <w:szCs w:val="20"/>
                <w:color w:val="auto"/>
              </w:rPr>
            </w:pPr>
            <w:r>
              <w:rPr>
                <w:rFonts w:ascii="Arial" w:cs="Arial" w:eastAsia="Arial" w:hAnsi="Arial"/>
                <w:sz w:val="14"/>
                <w:szCs w:val="14"/>
                <w:b w:val="1"/>
                <w:bCs w:val="1"/>
                <w:color w:val="auto"/>
              </w:rPr>
              <w:t>Currency</w:t>
            </w:r>
          </w:p>
        </w:tc>
        <w:tc>
          <w:tcPr>
            <w:tcW w:w="1720" w:type="dxa"/>
            <w:vAlign w:val="bottom"/>
            <w:tcBorders>
              <w:top w:val="single" w:sz="8" w:color="auto"/>
            </w:tcBorders>
          </w:tcPr>
          <w:p>
            <w:pPr>
              <w:spacing w:after="0"/>
              <w:rPr>
                <w:sz w:val="15"/>
                <w:szCs w:val="15"/>
                <w:color w:val="auto"/>
              </w:rPr>
            </w:pPr>
          </w:p>
        </w:tc>
      </w:tr>
      <w:tr>
        <w:trPr>
          <w:trHeight w:val="162"/>
        </w:trPr>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Restructuring charges</w:t>
            </w:r>
          </w:p>
        </w:tc>
        <w:tc>
          <w:tcPr>
            <w:tcW w:w="1040" w:type="dxa"/>
            <w:vAlign w:val="bottom"/>
          </w:tcPr>
          <w:p>
            <w:pPr>
              <w:spacing w:after="0"/>
              <w:rPr>
                <w:sz w:val="14"/>
                <w:szCs w:val="14"/>
                <w:color w:val="auto"/>
              </w:rPr>
            </w:pPr>
          </w:p>
        </w:tc>
        <w:tc>
          <w:tcPr>
            <w:tcW w:w="1300" w:type="dxa"/>
            <w:vAlign w:val="bottom"/>
          </w:tcPr>
          <w:p>
            <w:pPr>
              <w:jc w:val="center"/>
              <w:ind w:right="46"/>
              <w:spacing w:after="0"/>
              <w:rPr>
                <w:sz w:val="20"/>
                <w:szCs w:val="20"/>
                <w:color w:val="auto"/>
              </w:rPr>
            </w:pPr>
            <w:r>
              <w:rPr>
                <w:rFonts w:ascii="Arial" w:cs="Arial" w:eastAsia="Arial" w:hAnsi="Arial"/>
                <w:sz w:val="14"/>
                <w:szCs w:val="14"/>
                <w:b w:val="1"/>
                <w:bCs w:val="1"/>
                <w:color w:val="auto"/>
              </w:rPr>
              <w:t>translation</w:t>
            </w:r>
          </w:p>
        </w:tc>
        <w:tc>
          <w:tcPr>
            <w:tcW w:w="1720" w:type="dxa"/>
            <w:vAlign w:val="bottom"/>
          </w:tcPr>
          <w:p>
            <w:pPr>
              <w:spacing w:after="0"/>
              <w:rPr>
                <w:sz w:val="14"/>
                <w:szCs w:val="14"/>
                <w:color w:val="auto"/>
              </w:rPr>
            </w:pPr>
          </w:p>
        </w:tc>
      </w:tr>
      <w:tr>
        <w:trPr>
          <w:trHeight w:val="18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jc w:val="center"/>
              <w:ind w:left="563"/>
              <w:spacing w:after="0"/>
              <w:rPr>
                <w:sz w:val="20"/>
                <w:szCs w:val="20"/>
                <w:color w:val="auto"/>
              </w:rPr>
            </w:pPr>
            <w:r>
              <w:rPr>
                <w:rFonts w:ascii="Arial" w:cs="Arial" w:eastAsia="Arial" w:hAnsi="Arial"/>
                <w:sz w:val="14"/>
                <w:szCs w:val="14"/>
                <w:b w:val="1"/>
                <w:bCs w:val="1"/>
                <w:color w:val="auto"/>
              </w:rPr>
              <w:t>December 31, 2018</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accrued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c>
          <w:tcPr>
            <w:tcW w:w="13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/other</w:t>
            </w:r>
          </w:p>
        </w:tc>
        <w:tc>
          <w:tcPr>
            <w:tcW w:w="17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June 30, 2019</w:t>
            </w:r>
          </w:p>
        </w:tc>
      </w:tr>
      <w:tr>
        <w:trPr>
          <w:trHeight w:val="207"/>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termination and other costs</w:t>
            </w:r>
          </w:p>
        </w:tc>
        <w:tc>
          <w:tcPr>
            <w:tcW w:w="2300" w:type="dxa"/>
            <w:vAlign w:val="bottom"/>
            <w:tcBorders>
              <w:bottom w:val="single" w:sz="8" w:color="auto"/>
            </w:tcBorders>
          </w:tcPr>
          <w:p>
            <w:pPr>
              <w:jc w:val="center"/>
              <w:ind w:left="563"/>
              <w:spacing w:after="0"/>
              <w:rPr>
                <w:sz w:val="20"/>
                <w:szCs w:val="20"/>
                <w:color w:val="auto"/>
              </w:rPr>
            </w:pPr>
            <w:r>
              <w:rPr>
                <w:rFonts w:ascii="Arial" w:cs="Arial" w:eastAsia="Arial" w:hAnsi="Arial"/>
                <w:sz w:val="16"/>
                <w:szCs w:val="16"/>
                <w:color w:val="auto"/>
              </w:rPr>
              <w:t>$5,570</w:t>
            </w:r>
          </w:p>
        </w:tc>
        <w:tc>
          <w:tcPr>
            <w:tcW w:w="1880" w:type="dxa"/>
            <w:vAlign w:val="bottom"/>
            <w:tcBorders>
              <w:bottom w:val="single" w:sz="8" w:color="auto"/>
            </w:tcBorders>
          </w:tcPr>
          <w:p>
            <w:pPr>
              <w:jc w:val="right"/>
              <w:ind w:right="625"/>
              <w:spacing w:after="0"/>
              <w:rPr>
                <w:sz w:val="20"/>
                <w:szCs w:val="20"/>
                <w:color w:val="auto"/>
              </w:rPr>
            </w:pPr>
            <w:r>
              <w:rPr>
                <w:rFonts w:ascii="Arial" w:cs="Arial" w:eastAsia="Arial" w:hAnsi="Arial"/>
                <w:sz w:val="16"/>
                <w:szCs w:val="16"/>
                <w:color w:val="auto"/>
              </w:rPr>
              <w:t>$1,356</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$(3,129)</w:t>
            </w:r>
          </w:p>
        </w:tc>
        <w:tc>
          <w:tcPr>
            <w:tcW w:w="1300" w:type="dxa"/>
            <w:vAlign w:val="bottom"/>
            <w:tcBorders>
              <w:bottom w:val="single" w:sz="8" w:color="auto"/>
            </w:tcBorders>
          </w:tcPr>
          <w:p>
            <w:pPr>
              <w:jc w:val="center"/>
              <w:ind w:right="46"/>
              <w:spacing w:after="0"/>
              <w:rPr>
                <w:sz w:val="20"/>
                <w:szCs w:val="20"/>
                <w:color w:val="auto"/>
              </w:rPr>
            </w:pPr>
            <w:r>
              <w:rPr>
                <w:rFonts w:ascii="Arial" w:cs="Arial" w:eastAsia="Arial" w:hAnsi="Arial"/>
                <w:sz w:val="16"/>
                <w:szCs w:val="16"/>
                <w:color w:val="auto"/>
                <w:w w:val="99"/>
              </w:rPr>
              <w:t>$(290)</w:t>
            </w:r>
          </w:p>
        </w:tc>
        <w:tc>
          <w:tcPr>
            <w:tcW w:w="172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color w:val="auto"/>
              </w:rPr>
              <w:t>$3,507</w:t>
            </w:r>
          </w:p>
        </w:tc>
      </w:tr>
      <w:tr>
        <w:trPr>
          <w:trHeight w:val="159"/>
        </w:trPr>
        <w:tc>
          <w:tcPr>
            <w:tcW w:w="318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r>
      <w:tr>
        <w:trPr>
          <w:trHeight w:val="156"/>
        </w:trPr>
        <w:tc>
          <w:tcPr>
            <w:tcW w:w="31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00" w:type="dxa"/>
            <w:vAlign w:val="bottom"/>
          </w:tcPr>
          <w:p>
            <w:pPr>
              <w:jc w:val="center"/>
              <w:ind w:right="46"/>
              <w:spacing w:after="0" w:line="156" w:lineRule="exact"/>
              <w:rPr>
                <w:sz w:val="20"/>
                <w:szCs w:val="20"/>
                <w:color w:val="auto"/>
              </w:rPr>
            </w:pPr>
            <w:r>
              <w:rPr>
                <w:rFonts w:ascii="Arial" w:cs="Arial" w:eastAsia="Arial" w:hAnsi="Arial"/>
                <w:sz w:val="14"/>
                <w:szCs w:val="14"/>
                <w:b w:val="1"/>
                <w:bCs w:val="1"/>
                <w:color w:val="auto"/>
              </w:rPr>
              <w:t>Currency</w:t>
            </w:r>
          </w:p>
        </w:tc>
        <w:tc>
          <w:tcPr>
            <w:tcW w:w="1720" w:type="dxa"/>
            <w:vAlign w:val="bottom"/>
          </w:tcPr>
          <w:p>
            <w:pPr>
              <w:spacing w:after="0"/>
              <w:rPr>
                <w:sz w:val="13"/>
                <w:szCs w:val="13"/>
                <w:color w:val="auto"/>
              </w:rPr>
            </w:pPr>
          </w:p>
        </w:tc>
      </w:tr>
      <w:tr>
        <w:trPr>
          <w:trHeight w:val="162"/>
        </w:trPr>
        <w:tc>
          <w:tcPr>
            <w:tcW w:w="318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Restructuring charges</w:t>
            </w:r>
          </w:p>
        </w:tc>
        <w:tc>
          <w:tcPr>
            <w:tcW w:w="1040" w:type="dxa"/>
            <w:vAlign w:val="bottom"/>
          </w:tcPr>
          <w:p>
            <w:pPr>
              <w:spacing w:after="0"/>
              <w:rPr>
                <w:sz w:val="14"/>
                <w:szCs w:val="14"/>
                <w:color w:val="auto"/>
              </w:rPr>
            </w:pPr>
          </w:p>
        </w:tc>
        <w:tc>
          <w:tcPr>
            <w:tcW w:w="1300" w:type="dxa"/>
            <w:vAlign w:val="bottom"/>
          </w:tcPr>
          <w:p>
            <w:pPr>
              <w:jc w:val="center"/>
              <w:ind w:right="46"/>
              <w:spacing w:after="0"/>
              <w:rPr>
                <w:sz w:val="20"/>
                <w:szCs w:val="20"/>
                <w:color w:val="auto"/>
              </w:rPr>
            </w:pPr>
            <w:r>
              <w:rPr>
                <w:rFonts w:ascii="Arial" w:cs="Arial" w:eastAsia="Arial" w:hAnsi="Arial"/>
                <w:sz w:val="14"/>
                <w:szCs w:val="14"/>
                <w:b w:val="1"/>
                <w:bCs w:val="1"/>
                <w:color w:val="auto"/>
              </w:rPr>
              <w:t>translation/</w:t>
            </w:r>
          </w:p>
        </w:tc>
        <w:tc>
          <w:tcPr>
            <w:tcW w:w="1720" w:type="dxa"/>
            <w:vAlign w:val="bottom"/>
          </w:tcPr>
          <w:p>
            <w:pPr>
              <w:spacing w:after="0"/>
              <w:rPr>
                <w:sz w:val="14"/>
                <w:szCs w:val="14"/>
                <w:color w:val="auto"/>
              </w:rPr>
            </w:pPr>
          </w:p>
        </w:tc>
      </w:tr>
      <w:tr>
        <w:trPr>
          <w:trHeight w:val="189"/>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jc w:val="center"/>
              <w:ind w:left="563"/>
              <w:spacing w:after="0"/>
              <w:rPr>
                <w:sz w:val="20"/>
                <w:szCs w:val="20"/>
                <w:color w:val="auto"/>
              </w:rPr>
            </w:pPr>
            <w:r>
              <w:rPr>
                <w:rFonts w:ascii="Arial" w:cs="Arial" w:eastAsia="Arial" w:hAnsi="Arial"/>
                <w:sz w:val="14"/>
                <w:szCs w:val="14"/>
                <w:b w:val="1"/>
                <w:bCs w:val="1"/>
                <w:color w:val="auto"/>
              </w:rPr>
              <w:t>December 31, 2017</w:t>
            </w: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accrued</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Payments</w:t>
            </w:r>
          </w:p>
        </w:tc>
        <w:tc>
          <w:tcPr>
            <w:tcW w:w="130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other</w:t>
            </w:r>
          </w:p>
        </w:tc>
        <w:tc>
          <w:tcPr>
            <w:tcW w:w="17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rPr>
              <w:t>June 30, 2018</w:t>
            </w:r>
          </w:p>
        </w:tc>
      </w:tr>
      <w:tr>
        <w:trPr>
          <w:trHeight w:val="207"/>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termination and other costs</w:t>
            </w:r>
          </w:p>
        </w:tc>
        <w:tc>
          <w:tcPr>
            <w:tcW w:w="2300" w:type="dxa"/>
            <w:vAlign w:val="bottom"/>
            <w:tcBorders>
              <w:bottom w:val="single" w:sz="8" w:color="auto"/>
            </w:tcBorders>
          </w:tcPr>
          <w:p>
            <w:pPr>
              <w:jc w:val="center"/>
              <w:ind w:left="563"/>
              <w:spacing w:after="0"/>
              <w:rPr>
                <w:sz w:val="20"/>
                <w:szCs w:val="20"/>
                <w:color w:val="auto"/>
              </w:rPr>
            </w:pPr>
            <w:r>
              <w:rPr>
                <w:rFonts w:ascii="Arial" w:cs="Arial" w:eastAsia="Arial" w:hAnsi="Arial"/>
                <w:sz w:val="16"/>
                <w:szCs w:val="16"/>
                <w:color w:val="auto"/>
              </w:rPr>
              <w:t>$3,326</w:t>
            </w:r>
          </w:p>
        </w:tc>
        <w:tc>
          <w:tcPr>
            <w:tcW w:w="1880" w:type="dxa"/>
            <w:vAlign w:val="bottom"/>
            <w:tcBorders>
              <w:bottom w:val="single" w:sz="8" w:color="auto"/>
            </w:tcBorders>
          </w:tcPr>
          <w:p>
            <w:pPr>
              <w:jc w:val="right"/>
              <w:ind w:right="585"/>
              <w:spacing w:after="0"/>
              <w:rPr>
                <w:sz w:val="20"/>
                <w:szCs w:val="20"/>
                <w:color w:val="auto"/>
              </w:rPr>
            </w:pPr>
            <w:r>
              <w:rPr>
                <w:rFonts w:ascii="Arial" w:cs="Arial" w:eastAsia="Arial" w:hAnsi="Arial"/>
                <w:sz w:val="16"/>
                <w:szCs w:val="16"/>
                <w:color w:val="auto"/>
              </w:rPr>
              <w:t>$11,162</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$(5,323)</w:t>
            </w:r>
          </w:p>
        </w:tc>
        <w:tc>
          <w:tcPr>
            <w:tcW w:w="1300" w:type="dxa"/>
            <w:vAlign w:val="bottom"/>
            <w:tcBorders>
              <w:bottom w:val="single" w:sz="8" w:color="auto"/>
            </w:tcBorders>
          </w:tcPr>
          <w:p>
            <w:pPr>
              <w:jc w:val="center"/>
              <w:ind w:right="46"/>
              <w:spacing w:after="0"/>
              <w:rPr>
                <w:sz w:val="20"/>
                <w:szCs w:val="20"/>
                <w:color w:val="auto"/>
              </w:rPr>
            </w:pPr>
            <w:r>
              <w:rPr>
                <w:rFonts w:ascii="Arial" w:cs="Arial" w:eastAsia="Arial" w:hAnsi="Arial"/>
                <w:sz w:val="16"/>
                <w:szCs w:val="16"/>
                <w:color w:val="auto"/>
                <w:w w:val="99"/>
              </w:rPr>
              <w:t>$(378)</w:t>
            </w:r>
          </w:p>
        </w:tc>
        <w:tc>
          <w:tcPr>
            <w:tcW w:w="1720" w:type="dxa"/>
            <w:vAlign w:val="bottom"/>
            <w:tcBorders>
              <w:bottom w:val="single" w:sz="8" w:color="auto"/>
            </w:tcBorders>
          </w:tcPr>
          <w:p>
            <w:pPr>
              <w:jc w:val="center"/>
              <w:ind w:right="63"/>
              <w:spacing w:after="0"/>
              <w:rPr>
                <w:sz w:val="20"/>
                <w:szCs w:val="20"/>
                <w:color w:val="auto"/>
              </w:rPr>
            </w:pPr>
            <w:r>
              <w:rPr>
                <w:rFonts w:ascii="Arial" w:cs="Arial" w:eastAsia="Arial" w:hAnsi="Arial"/>
                <w:sz w:val="16"/>
                <w:szCs w:val="16"/>
                <w:color w:val="auto"/>
              </w:rPr>
              <w:t>$8,787</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Other (Income)/Expense, net are: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spacing w:after="0"/>
              <w:rPr>
                <w:sz w:val="15"/>
                <w:szCs w:val="15"/>
                <w:color w:val="auto"/>
              </w:rPr>
            </w:pPr>
          </w:p>
        </w:tc>
        <w:tc>
          <w:tcPr>
            <w:tcW w:w="51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820" w:type="dxa"/>
            <w:vAlign w:val="bottom"/>
            <w:tcBorders>
              <w:top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Six months ended June</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ind w:right="103"/>
              <w:spacing w:after="0"/>
              <w:rPr>
                <w:sz w:val="20"/>
                <w:szCs w:val="20"/>
                <w:color w:val="auto"/>
              </w:rPr>
            </w:pPr>
            <w:r>
              <w:rPr>
                <w:rFonts w:ascii="Arial" w:cs="Arial" w:eastAsia="Arial" w:hAnsi="Arial"/>
                <w:sz w:val="14"/>
                <w:szCs w:val="14"/>
                <w:b w:val="1"/>
                <w:bCs w:val="1"/>
                <w:color w:val="auto"/>
                <w:w w:val="92"/>
              </w:rPr>
              <w:t>30,</w:t>
            </w:r>
          </w:p>
        </w:tc>
        <w:tc>
          <w:tcPr>
            <w:tcW w:w="58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00" w:type="dxa"/>
            <w:vAlign w:val="bottom"/>
          </w:tcPr>
          <w:p>
            <w:pPr>
              <w:spacing w:after="0"/>
              <w:rPr>
                <w:sz w:val="15"/>
                <w:szCs w:val="15"/>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960" w:type="dxa"/>
            <w:vAlign w:val="bottom"/>
            <w:tcBorders>
              <w:bottom w:val="single" w:sz="8" w:color="auto"/>
            </w:tcBorders>
            <w:gridSpan w:val="2"/>
          </w:tcPr>
          <w:p>
            <w:pPr>
              <w:jc w:val="right"/>
              <w:ind w:right="179"/>
              <w:spacing w:after="0"/>
              <w:rPr>
                <w:sz w:val="20"/>
                <w:szCs w:val="20"/>
                <w:color w:val="auto"/>
              </w:rPr>
            </w:pPr>
            <w:r>
              <w:rPr>
                <w:rFonts w:ascii="Arial" w:cs="Arial" w:eastAsia="Arial" w:hAnsi="Arial"/>
                <w:sz w:val="14"/>
                <w:szCs w:val="14"/>
                <w:b w:val="1"/>
                <w:bCs w:val="1"/>
                <w:color w:val="auto"/>
              </w:rPr>
              <w:t>2018</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000" w:type="dxa"/>
            <w:vAlign w:val="bottom"/>
          </w:tcPr>
          <w:p>
            <w:pPr>
              <w:spacing w:after="0"/>
              <w:rPr>
                <w:sz w:val="17"/>
                <w:szCs w:val="17"/>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Currency transaction (gains)/losses</w:t>
            </w:r>
          </w:p>
        </w:tc>
        <w:tc>
          <w:tcPr>
            <w:tcW w:w="1260" w:type="dxa"/>
            <w:vAlign w:val="bottom"/>
          </w:tcPr>
          <w:p>
            <w:pPr>
              <w:jc w:val="right"/>
              <w:ind w:right="362"/>
              <w:spacing w:after="0"/>
              <w:rPr>
                <w:sz w:val="20"/>
                <w:szCs w:val="20"/>
                <w:color w:val="auto"/>
              </w:rPr>
            </w:pPr>
            <w:r>
              <w:rPr>
                <w:rFonts w:ascii="Arial" w:cs="Arial" w:eastAsia="Arial" w:hAnsi="Arial"/>
                <w:sz w:val="16"/>
                <w:szCs w:val="16"/>
                <w:b w:val="1"/>
                <w:bCs w:val="1"/>
                <w:color w:val="auto"/>
              </w:rPr>
              <w:t>$342</w:t>
            </w:r>
          </w:p>
        </w:tc>
        <w:tc>
          <w:tcPr>
            <w:tcW w:w="1180" w:type="dxa"/>
            <w:vAlign w:val="bottom"/>
          </w:tcPr>
          <w:p>
            <w:pPr>
              <w:jc w:val="right"/>
              <w:ind w:right="240"/>
              <w:spacing w:after="0"/>
              <w:rPr>
                <w:sz w:val="20"/>
                <w:szCs w:val="20"/>
                <w:color w:val="auto"/>
              </w:rPr>
            </w:pPr>
            <w:r>
              <w:rPr>
                <w:rFonts w:ascii="Arial" w:cs="Arial" w:eastAsia="Arial" w:hAnsi="Arial"/>
                <w:sz w:val="16"/>
                <w:szCs w:val="16"/>
                <w:color w:val="auto"/>
              </w:rPr>
              <w:t>$  (9)</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w w:val="94"/>
              </w:rPr>
              <w:t>(1,696)</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681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0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Bank fees and amortization of debt issuance costs</w:t>
            </w:r>
          </w:p>
        </w:tc>
        <w:tc>
          <w:tcPr>
            <w:tcW w:w="1260" w:type="dxa"/>
            <w:vAlign w:val="bottom"/>
          </w:tcPr>
          <w:p>
            <w:pPr>
              <w:jc w:val="right"/>
              <w:ind w:right="362"/>
              <w:spacing w:after="0"/>
              <w:rPr>
                <w:sz w:val="20"/>
                <w:szCs w:val="20"/>
                <w:color w:val="auto"/>
              </w:rPr>
            </w:pPr>
            <w:r>
              <w:rPr>
                <w:rFonts w:ascii="Arial" w:cs="Arial" w:eastAsia="Arial" w:hAnsi="Arial"/>
                <w:sz w:val="16"/>
                <w:szCs w:val="16"/>
                <w:b w:val="1"/>
                <w:bCs w:val="1"/>
                <w:color w:val="auto"/>
              </w:rPr>
              <w:t>72</w:t>
            </w:r>
          </w:p>
        </w:tc>
        <w:tc>
          <w:tcPr>
            <w:tcW w:w="1180" w:type="dxa"/>
            <w:vAlign w:val="bottom"/>
          </w:tcPr>
          <w:p>
            <w:pPr>
              <w:jc w:val="right"/>
              <w:ind w:right="260"/>
              <w:spacing w:after="0"/>
              <w:rPr>
                <w:sz w:val="20"/>
                <w:szCs w:val="20"/>
                <w:color w:val="auto"/>
              </w:rPr>
            </w:pPr>
            <w:r>
              <w:rPr>
                <w:rFonts w:ascii="Arial" w:cs="Arial" w:eastAsia="Arial" w:hAnsi="Arial"/>
                <w:sz w:val="16"/>
                <w:szCs w:val="16"/>
                <w:color w:val="auto"/>
              </w:rPr>
              <w:t>96</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380" w:type="dxa"/>
            <w:vAlign w:val="bottom"/>
          </w:tcPr>
          <w:p>
            <w:pPr>
              <w:spacing w:after="0"/>
              <w:rPr>
                <w:sz w:val="18"/>
                <w:szCs w:val="18"/>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204</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Components of net periodic pension and postretirement cost other than</w:t>
            </w:r>
          </w:p>
        </w:tc>
        <w:tc>
          <w:tcPr>
            <w:tcW w:w="1260" w:type="dxa"/>
            <w:vAlign w:val="bottom"/>
            <w:vMerge w:val="restart"/>
          </w:tcPr>
          <w:p>
            <w:pPr>
              <w:jc w:val="right"/>
              <w:ind w:right="362"/>
              <w:spacing w:after="0"/>
              <w:rPr>
                <w:sz w:val="20"/>
                <w:szCs w:val="20"/>
                <w:color w:val="auto"/>
              </w:rPr>
            </w:pPr>
            <w:r>
              <w:rPr>
                <w:rFonts w:ascii="Arial" w:cs="Arial" w:eastAsia="Arial" w:hAnsi="Arial"/>
                <w:sz w:val="16"/>
                <w:szCs w:val="16"/>
                <w:b w:val="1"/>
                <w:bCs w:val="1"/>
                <w:color w:val="auto"/>
              </w:rPr>
              <w:t>281</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562</w:t>
            </w: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000" w:type="dxa"/>
            <w:vAlign w:val="bottom"/>
          </w:tcPr>
          <w:p>
            <w:pPr>
              <w:spacing w:after="0"/>
              <w:rPr>
                <w:sz w:val="16"/>
                <w:szCs w:val="16"/>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service</w:t>
            </w:r>
          </w:p>
        </w:tc>
        <w:tc>
          <w:tcPr>
            <w:tcW w:w="1260" w:type="dxa"/>
            <w:vAlign w:val="bottom"/>
            <w:vMerge w:val="continue"/>
          </w:tcPr>
          <w:p>
            <w:pPr>
              <w:spacing w:after="0"/>
              <w:rPr>
                <w:sz w:val="16"/>
                <w:szCs w:val="16"/>
                <w:color w:val="auto"/>
              </w:rPr>
            </w:pPr>
          </w:p>
        </w:tc>
        <w:tc>
          <w:tcPr>
            <w:tcW w:w="1180" w:type="dxa"/>
            <w:vAlign w:val="bottom"/>
          </w:tcPr>
          <w:p>
            <w:pPr>
              <w:jc w:val="right"/>
              <w:ind w:right="260"/>
              <w:spacing w:after="0"/>
              <w:rPr>
                <w:sz w:val="20"/>
                <w:szCs w:val="20"/>
                <w:color w:val="auto"/>
              </w:rPr>
            </w:pPr>
            <w:r>
              <w:rPr>
                <w:rFonts w:ascii="Arial" w:cs="Arial" w:eastAsia="Arial" w:hAnsi="Arial"/>
                <w:sz w:val="16"/>
                <w:szCs w:val="16"/>
                <w:color w:val="auto"/>
              </w:rPr>
              <w:t>259</w:t>
            </w:r>
          </w:p>
        </w:tc>
        <w:tc>
          <w:tcPr>
            <w:tcW w:w="340" w:type="dxa"/>
            <w:vAlign w:val="bottom"/>
          </w:tcPr>
          <w:p>
            <w:pPr>
              <w:spacing w:after="0"/>
              <w:rPr>
                <w:sz w:val="16"/>
                <w:szCs w:val="16"/>
                <w:color w:val="auto"/>
              </w:rPr>
            </w:pPr>
          </w:p>
        </w:tc>
        <w:tc>
          <w:tcPr>
            <w:tcW w:w="52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Pr>
          <w:p>
            <w:pPr>
              <w:jc w:val="right"/>
              <w:ind w:right="99"/>
              <w:spacing w:after="0"/>
              <w:rPr>
                <w:sz w:val="20"/>
                <w:szCs w:val="20"/>
                <w:color w:val="auto"/>
              </w:rPr>
            </w:pPr>
            <w:r>
              <w:rPr>
                <w:rFonts w:ascii="Arial" w:cs="Arial" w:eastAsia="Arial" w:hAnsi="Arial"/>
                <w:sz w:val="16"/>
                <w:szCs w:val="16"/>
                <w:color w:val="auto"/>
              </w:rPr>
              <w:t>525</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000" w:type="dxa"/>
            <w:vAlign w:val="bottom"/>
          </w:tcPr>
          <w:p>
            <w:pPr>
              <w:spacing w:after="0"/>
              <w:rPr>
                <w:sz w:val="19"/>
                <w:szCs w:val="19"/>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2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235</w:t>
            </w: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380</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675</w:t>
            </w: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768</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1000" w:type="dxa"/>
            <w:vAlign w:val="bottom"/>
          </w:tcPr>
          <w:p>
            <w:pPr>
              <w:spacing w:after="0"/>
              <w:rPr>
                <w:sz w:val="18"/>
                <w:szCs w:val="18"/>
                <w:color w:val="auto"/>
              </w:rPr>
            </w:pP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2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$930</w:t>
            </w:r>
          </w:p>
        </w:tc>
        <w:tc>
          <w:tcPr>
            <w:tcW w:w="11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$726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94"/>
              </w:rPr>
              <w:t>2,178</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1000" w:type="dxa"/>
            <w:vAlign w:val="bottom"/>
          </w:tcPr>
          <w:p>
            <w:pPr>
              <w:spacing w:after="0"/>
              <w:rPr>
                <w:sz w:val="24"/>
                <w:szCs w:val="24"/>
                <w:color w:val="auto"/>
              </w:rPr>
            </w:pPr>
          </w:p>
        </w:tc>
        <w:tc>
          <w:tcPr>
            <w:tcW w:w="5160" w:type="dxa"/>
            <w:vAlign w:val="bottom"/>
          </w:tcPr>
          <w:p>
            <w:pPr>
              <w:ind w:left="4620"/>
              <w:spacing w:after="0"/>
              <w:rPr>
                <w:sz w:val="20"/>
                <w:szCs w:val="20"/>
                <w:color w:val="auto"/>
              </w:rPr>
            </w:pPr>
            <w:r>
              <w:rPr>
                <w:rFonts w:ascii="Arial" w:cs="Arial" w:eastAsia="Arial" w:hAnsi="Arial"/>
                <w:sz w:val="18"/>
                <w:szCs w:val="18"/>
                <w:color w:val="auto"/>
              </w:rPr>
              <w:t>16</w:t>
            </w: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000" w:type="dxa"/>
            <w:vAlign w:val="bottom"/>
            <w:tcBorders>
              <w:bottom w:val="single" w:sz="8" w:color="EEEEEE"/>
            </w:tcBorders>
          </w:tcPr>
          <w:p>
            <w:pPr>
              <w:spacing w:after="0"/>
              <w:rPr>
                <w:sz w:val="10"/>
                <w:szCs w:val="10"/>
                <w:color w:val="auto"/>
              </w:rPr>
            </w:pPr>
          </w:p>
        </w:tc>
        <w:tc>
          <w:tcPr>
            <w:tcW w:w="5160" w:type="dxa"/>
            <w:vAlign w:val="bottom"/>
            <w:tcBorders>
              <w:bottom w:val="single" w:sz="8" w:color="EEEEEE"/>
            </w:tcBorders>
          </w:tcPr>
          <w:p>
            <w:pPr>
              <w:spacing w:after="0"/>
              <w:rPr>
                <w:sz w:val="10"/>
                <w:szCs w:val="10"/>
                <w:color w:val="auto"/>
              </w:rPr>
            </w:pPr>
          </w:p>
        </w:tc>
        <w:tc>
          <w:tcPr>
            <w:tcW w:w="1260" w:type="dxa"/>
            <w:vAlign w:val="bottom"/>
            <w:tcBorders>
              <w:bottom w:val="single" w:sz="8" w:color="EEEEEE"/>
            </w:tcBorders>
          </w:tcPr>
          <w:p>
            <w:pPr>
              <w:spacing w:after="0"/>
              <w:rPr>
                <w:sz w:val="10"/>
                <w:szCs w:val="10"/>
                <w:color w:val="auto"/>
              </w:rPr>
            </w:pPr>
          </w:p>
        </w:tc>
        <w:tc>
          <w:tcPr>
            <w:tcW w:w="1180" w:type="dxa"/>
            <w:vAlign w:val="bottom"/>
            <w:tcBorders>
              <w:bottom w:val="single" w:sz="8" w:color="EEEEEE"/>
            </w:tcBorders>
          </w:tcPr>
          <w:p>
            <w:pPr>
              <w:spacing w:after="0"/>
              <w:rPr>
                <w:sz w:val="10"/>
                <w:szCs w:val="10"/>
                <w:color w:val="auto"/>
              </w:rPr>
            </w:pPr>
          </w:p>
        </w:tc>
        <w:tc>
          <w:tcPr>
            <w:tcW w:w="340" w:type="dxa"/>
            <w:vAlign w:val="bottom"/>
            <w:tcBorders>
              <w:bottom w:val="single" w:sz="8" w:color="EEEEEE"/>
            </w:tcBorders>
          </w:tcPr>
          <w:p>
            <w:pPr>
              <w:spacing w:after="0"/>
              <w:rPr>
                <w:sz w:val="10"/>
                <w:szCs w:val="10"/>
                <w:color w:val="auto"/>
              </w:rPr>
            </w:pPr>
          </w:p>
        </w:tc>
        <w:tc>
          <w:tcPr>
            <w:tcW w:w="520" w:type="dxa"/>
            <w:vAlign w:val="bottom"/>
            <w:tcBorders>
              <w:bottom w:val="single" w:sz="8" w:color="EEEEEE"/>
            </w:tcBorders>
          </w:tcPr>
          <w:p>
            <w:pPr>
              <w:spacing w:after="0"/>
              <w:rPr>
                <w:sz w:val="10"/>
                <w:szCs w:val="10"/>
                <w:color w:val="auto"/>
              </w:rPr>
            </w:pPr>
          </w:p>
        </w:tc>
        <w:tc>
          <w:tcPr>
            <w:tcW w:w="380" w:type="dxa"/>
            <w:vAlign w:val="bottom"/>
            <w:tcBorders>
              <w:bottom w:val="single" w:sz="8" w:color="EEEEEE"/>
            </w:tcBorders>
          </w:tcPr>
          <w:p>
            <w:pPr>
              <w:spacing w:after="0"/>
              <w:rPr>
                <w:sz w:val="10"/>
                <w:szCs w:val="10"/>
                <w:color w:val="auto"/>
              </w:rPr>
            </w:pPr>
          </w:p>
        </w:tc>
        <w:tc>
          <w:tcPr>
            <w:tcW w:w="580" w:type="dxa"/>
            <w:vAlign w:val="bottom"/>
            <w:tcBorders>
              <w:bottom w:val="single" w:sz="8" w:color="EEEEEE"/>
            </w:tcBorders>
          </w:tcPr>
          <w:p>
            <w:pPr>
              <w:spacing w:after="0"/>
              <w:rPr>
                <w:sz w:val="10"/>
                <w:szCs w:val="10"/>
                <w:color w:val="auto"/>
              </w:rPr>
            </w:pPr>
          </w:p>
        </w:tc>
        <w:tc>
          <w:tcPr>
            <w:tcW w:w="980" w:type="dxa"/>
            <w:vAlign w:val="bottom"/>
            <w:tcBorders>
              <w:bottom w:val="single" w:sz="8" w:color="EEEEEE"/>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7202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components of income tax expense for the three and six months ended June 30, 2019 and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top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Three months ended June 30,</w:t>
            </w:r>
          </w:p>
        </w:tc>
        <w:tc>
          <w:tcPr>
            <w:tcW w:w="2760" w:type="dxa"/>
            <w:vAlign w:val="bottom"/>
            <w:tcBorders>
              <w:top w:val="single" w:sz="8" w:color="auto"/>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3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8"/>
        </w:trPr>
        <w:tc>
          <w:tcPr>
            <w:tcW w:w="5940" w:type="dxa"/>
            <w:vAlign w:val="bottom"/>
          </w:tcPr>
          <w:p>
            <w:pPr>
              <w:ind w:left="20"/>
              <w:spacing w:after="0"/>
              <w:rPr>
                <w:sz w:val="20"/>
                <w:szCs w:val="20"/>
                <w:color w:val="auto"/>
              </w:rPr>
            </w:pPr>
            <w:r>
              <w:rPr>
                <w:rFonts w:ascii="Arial" w:cs="Arial" w:eastAsia="Arial" w:hAnsi="Arial"/>
                <w:sz w:val="16"/>
                <w:szCs w:val="16"/>
                <w:color w:val="auto"/>
              </w:rPr>
              <w:t>Income tax based on income from continuing operations, at estimated tax rates of</w:t>
            </w:r>
          </w:p>
        </w:tc>
        <w:tc>
          <w:tcPr>
            <w:tcW w:w="1360" w:type="dxa"/>
            <w:vAlign w:val="bottom"/>
            <w:vMerge w:val="restart"/>
          </w:tcPr>
          <w:p>
            <w:pPr>
              <w:jc w:val="right"/>
              <w:ind w:right="320"/>
              <w:spacing w:after="0"/>
              <w:rPr>
                <w:sz w:val="20"/>
                <w:szCs w:val="20"/>
                <w:color w:val="auto"/>
              </w:rPr>
            </w:pPr>
            <w:r>
              <w:rPr>
                <w:rFonts w:ascii="Arial" w:cs="Arial" w:eastAsia="Arial" w:hAnsi="Arial"/>
                <w:sz w:val="16"/>
                <w:szCs w:val="16"/>
                <w:b w:val="1"/>
                <w:bCs w:val="1"/>
                <w:color w:val="auto"/>
              </w:rPr>
              <w:t>$13,821</w:t>
            </w:r>
          </w:p>
        </w:tc>
        <w:tc>
          <w:tcPr>
            <w:tcW w:w="1360" w:type="dxa"/>
            <w:vAlign w:val="bottom"/>
          </w:tcPr>
          <w:p>
            <w:pPr>
              <w:spacing w:after="0"/>
              <w:rPr>
                <w:sz w:val="17"/>
                <w:szCs w:val="17"/>
                <w:color w:val="auto"/>
              </w:rPr>
            </w:pPr>
          </w:p>
        </w:tc>
        <w:tc>
          <w:tcPr>
            <w:tcW w:w="136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$24,668</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6"/>
                <w:szCs w:val="16"/>
                <w:color w:val="auto"/>
              </w:rPr>
              <w:t>28.4% and 30.1%, respectively</w:t>
            </w:r>
          </w:p>
        </w:tc>
        <w:tc>
          <w:tcPr>
            <w:tcW w:w="1360" w:type="dxa"/>
            <w:vAlign w:val="bottom"/>
            <w:vMerge w:val="continue"/>
          </w:tcPr>
          <w:p>
            <w:pPr>
              <w:spacing w:after="0"/>
              <w:rPr>
                <w:sz w:val="16"/>
                <w:szCs w:val="16"/>
                <w:color w:val="auto"/>
              </w:rPr>
            </w:pP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$11,080</w:t>
            </w:r>
          </w:p>
        </w:tc>
        <w:tc>
          <w:tcPr>
            <w:tcW w:w="1360" w:type="dxa"/>
            <w:vAlign w:val="bottom"/>
            <w:vMerge w:val="continue"/>
          </w:tcPr>
          <w:p>
            <w:pPr>
              <w:spacing w:after="0"/>
              <w:rPr>
                <w:sz w:val="16"/>
                <w:szCs w:val="16"/>
                <w:color w:val="auto"/>
              </w:rPr>
            </w:pP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$14,736</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provision for change in estimated tax rate</w:t>
            </w:r>
          </w:p>
        </w:tc>
        <w:tc>
          <w:tcPr>
            <w:tcW w:w="1360" w:type="dxa"/>
            <w:vAlign w:val="bottom"/>
          </w:tcPr>
          <w:p>
            <w:pPr>
              <w:jc w:val="right"/>
              <w:ind w:right="300"/>
              <w:spacing w:after="0"/>
              <w:rPr>
                <w:sz w:val="20"/>
                <w:szCs w:val="20"/>
                <w:color w:val="auto"/>
              </w:rPr>
            </w:pPr>
            <w:r>
              <w:rPr>
                <w:rFonts w:ascii="Arial" w:cs="Arial" w:eastAsia="Arial" w:hAnsi="Arial"/>
                <w:sz w:val="16"/>
                <w:szCs w:val="16"/>
                <w:b w:val="1"/>
                <w:bCs w:val="1"/>
                <w:color w:val="auto"/>
              </w:rPr>
              <w:t>(382)</w:t>
            </w: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(266)</w:t>
            </w:r>
          </w:p>
        </w:tc>
        <w:tc>
          <w:tcPr>
            <w:tcW w:w="1360" w:type="dxa"/>
            <w:vAlign w:val="bottom"/>
          </w:tcPr>
          <w:p>
            <w:pPr>
              <w:jc w:val="right"/>
              <w:ind w:right="300"/>
              <w:spacing w:after="0"/>
              <w:rPr>
                <w:sz w:val="20"/>
                <w:szCs w:val="20"/>
                <w:color w:val="auto"/>
              </w:rPr>
            </w:pPr>
            <w:r>
              <w:rPr>
                <w:rFonts w:ascii="Arial" w:cs="Arial" w:eastAsia="Arial" w:hAnsi="Arial"/>
                <w:sz w:val="16"/>
                <w:szCs w:val="16"/>
                <w:b w:val="1"/>
                <w:bCs w:val="1"/>
                <w:color w:val="auto"/>
              </w:rPr>
              <w:t>(382)</w:t>
            </w:r>
          </w:p>
        </w:tc>
        <w:tc>
          <w:tcPr>
            <w:tcW w:w="1400" w:type="dxa"/>
            <w:vAlign w:val="bottom"/>
          </w:tcPr>
          <w:p>
            <w:pPr>
              <w:jc w:val="right"/>
              <w:ind w:right="320"/>
              <w:spacing w:after="0"/>
              <w:rPr>
                <w:sz w:val="20"/>
                <w:szCs w:val="20"/>
                <w:color w:val="auto"/>
              </w:rPr>
            </w:pPr>
            <w:r>
              <w:rPr>
                <w:rFonts w:ascii="Arial" w:cs="Arial" w:eastAsia="Arial" w:hAnsi="Arial"/>
                <w:sz w:val="16"/>
                <w:szCs w:val="16"/>
                <w:color w:val="auto"/>
              </w:rPr>
              <w:t>(266)</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Income tax before discrete items</w:t>
            </w:r>
          </w:p>
        </w:tc>
        <w:tc>
          <w:tcPr>
            <w:tcW w:w="1360" w:type="dxa"/>
            <w:vAlign w:val="bottom"/>
          </w:tcPr>
          <w:p>
            <w:pPr>
              <w:jc w:val="right"/>
              <w:ind w:right="320"/>
              <w:spacing w:after="0"/>
              <w:rPr>
                <w:sz w:val="20"/>
                <w:szCs w:val="20"/>
                <w:color w:val="auto"/>
              </w:rPr>
            </w:pPr>
            <w:r>
              <w:rPr>
                <w:rFonts w:ascii="Arial" w:cs="Arial" w:eastAsia="Arial" w:hAnsi="Arial"/>
                <w:sz w:val="16"/>
                <w:szCs w:val="16"/>
                <w:b w:val="1"/>
                <w:bCs w:val="1"/>
                <w:color w:val="auto"/>
              </w:rPr>
              <w:t>13,439</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10,814</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24,286</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14,470</w:t>
            </w:r>
          </w:p>
        </w:tc>
        <w:tc>
          <w:tcPr>
            <w:tcW w:w="0" w:type="dxa"/>
            <w:vAlign w:val="bottom"/>
          </w:tcPr>
          <w:p>
            <w:pPr>
              <w:spacing w:after="0"/>
              <w:rPr>
                <w:sz w:val="1"/>
                <w:szCs w:val="1"/>
                <w:color w:val="auto"/>
              </w:rPr>
            </w:pPr>
          </w:p>
        </w:tc>
      </w:tr>
      <w:tr>
        <w:trPr>
          <w:trHeight w:val="405"/>
        </w:trPr>
        <w:tc>
          <w:tcPr>
            <w:tcW w:w="5940" w:type="dxa"/>
            <w:vAlign w:val="bottom"/>
          </w:tcPr>
          <w:p>
            <w:pPr>
              <w:ind w:left="20"/>
              <w:spacing w:after="0"/>
              <w:rPr>
                <w:sz w:val="20"/>
                <w:szCs w:val="20"/>
                <w:color w:val="auto"/>
              </w:rPr>
            </w:pPr>
            <w:r>
              <w:rPr>
                <w:rFonts w:ascii="Arial" w:cs="Arial" w:eastAsia="Arial" w:hAnsi="Arial"/>
                <w:sz w:val="16"/>
                <w:szCs w:val="16"/>
                <w:color w:val="auto"/>
              </w:rPr>
              <w:t>Discrete tax expense:</w:t>
            </w: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940" w:type="dxa"/>
            <w:vAlign w:val="bottom"/>
          </w:tcPr>
          <w:p>
            <w:pPr>
              <w:ind w:left="20"/>
              <w:spacing w:after="0"/>
              <w:rPr>
                <w:sz w:val="20"/>
                <w:szCs w:val="20"/>
                <w:color w:val="auto"/>
              </w:rPr>
            </w:pPr>
            <w:r>
              <w:rPr>
                <w:rFonts w:ascii="Arial" w:cs="Arial" w:eastAsia="Arial" w:hAnsi="Arial"/>
                <w:sz w:val="16"/>
                <w:szCs w:val="16"/>
                <w:color w:val="auto"/>
              </w:rPr>
              <w:t>Exercise of U.S. Stock Options</w:t>
            </w:r>
          </w:p>
        </w:tc>
        <w:tc>
          <w:tcPr>
            <w:tcW w:w="1360" w:type="dxa"/>
            <w:vAlign w:val="bottom"/>
          </w:tcPr>
          <w:p>
            <w:pPr>
              <w:jc w:val="right"/>
              <w:ind w:right="300"/>
              <w:spacing w:after="0"/>
              <w:rPr>
                <w:sz w:val="20"/>
                <w:szCs w:val="20"/>
                <w:color w:val="auto"/>
              </w:rPr>
            </w:pPr>
            <w:r>
              <w:rPr>
                <w:rFonts w:ascii="Arial" w:cs="Arial" w:eastAsia="Arial" w:hAnsi="Arial"/>
                <w:sz w:val="16"/>
                <w:szCs w:val="16"/>
                <w:b w:val="1"/>
                <w:bCs w:val="1"/>
                <w:color w:val="auto"/>
              </w:rPr>
              <w:t>(6)</w:t>
            </w: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(3)</w:t>
            </w:r>
          </w:p>
        </w:tc>
        <w:tc>
          <w:tcPr>
            <w:tcW w:w="1360" w:type="dxa"/>
            <w:vAlign w:val="bottom"/>
          </w:tcPr>
          <w:p>
            <w:pPr>
              <w:jc w:val="right"/>
              <w:ind w:right="300"/>
              <w:spacing w:after="0"/>
              <w:rPr>
                <w:sz w:val="20"/>
                <w:szCs w:val="20"/>
                <w:color w:val="auto"/>
              </w:rPr>
            </w:pPr>
            <w:r>
              <w:rPr>
                <w:rFonts w:ascii="Arial" w:cs="Arial" w:eastAsia="Arial" w:hAnsi="Arial"/>
                <w:sz w:val="16"/>
                <w:szCs w:val="16"/>
                <w:b w:val="1"/>
                <w:bCs w:val="1"/>
                <w:color w:val="auto"/>
              </w:rPr>
              <w:t>(56)</w:t>
            </w:r>
          </w:p>
        </w:tc>
        <w:tc>
          <w:tcPr>
            <w:tcW w:w="1400" w:type="dxa"/>
            <w:vAlign w:val="bottom"/>
          </w:tcPr>
          <w:p>
            <w:pPr>
              <w:jc w:val="right"/>
              <w:ind w:right="320"/>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Impact of Mandatory Repatriation</w:t>
            </w:r>
          </w:p>
        </w:tc>
        <w:tc>
          <w:tcPr>
            <w:tcW w:w="136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(1,099)</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w:t>
            </w:r>
          </w:p>
        </w:tc>
        <w:tc>
          <w:tcPr>
            <w:tcW w:w="1400" w:type="dxa"/>
            <w:vAlign w:val="bottom"/>
          </w:tcPr>
          <w:p>
            <w:pPr>
              <w:jc w:val="right"/>
              <w:ind w:right="320"/>
              <w:spacing w:after="0"/>
              <w:rPr>
                <w:sz w:val="20"/>
                <w:szCs w:val="20"/>
                <w:color w:val="auto"/>
              </w:rPr>
            </w:pPr>
            <w:r>
              <w:rPr>
                <w:rFonts w:ascii="Arial" w:cs="Arial" w:eastAsia="Arial" w:hAnsi="Arial"/>
                <w:sz w:val="16"/>
                <w:szCs w:val="16"/>
                <w:color w:val="auto"/>
              </w:rPr>
              <w:t>(1,099)</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Adjustments to prior period tax liabilities</w:t>
            </w:r>
          </w:p>
        </w:tc>
        <w:tc>
          <w:tcPr>
            <w:tcW w:w="1360" w:type="dxa"/>
            <w:vAlign w:val="bottom"/>
          </w:tcPr>
          <w:p>
            <w:pPr>
              <w:jc w:val="right"/>
              <w:ind w:right="320"/>
              <w:spacing w:after="0"/>
              <w:rPr>
                <w:sz w:val="20"/>
                <w:szCs w:val="20"/>
                <w:color w:val="auto"/>
              </w:rPr>
            </w:pPr>
            <w:r>
              <w:rPr>
                <w:rFonts w:ascii="Arial" w:cs="Arial" w:eastAsia="Arial" w:hAnsi="Arial"/>
                <w:sz w:val="16"/>
                <w:szCs w:val="16"/>
                <w:b w:val="1"/>
                <w:bCs w:val="1"/>
                <w:color w:val="auto"/>
              </w:rPr>
              <w:t>153</w:t>
            </w: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(206)</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347</w:t>
            </w:r>
          </w:p>
        </w:tc>
        <w:tc>
          <w:tcPr>
            <w:tcW w:w="1400" w:type="dxa"/>
            <w:vAlign w:val="bottom"/>
          </w:tcPr>
          <w:p>
            <w:pPr>
              <w:jc w:val="right"/>
              <w:ind w:right="320"/>
              <w:spacing w:after="0"/>
              <w:rPr>
                <w:sz w:val="20"/>
                <w:szCs w:val="20"/>
                <w:color w:val="auto"/>
              </w:rPr>
            </w:pPr>
            <w:r>
              <w:rPr>
                <w:rFonts w:ascii="Arial" w:cs="Arial" w:eastAsia="Arial" w:hAnsi="Arial"/>
                <w:sz w:val="16"/>
                <w:szCs w:val="16"/>
                <w:color w:val="auto"/>
              </w:rPr>
              <w:t>(252)</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Provision for/resolution of tax audits and contingencies, net</w:t>
            </w:r>
          </w:p>
        </w:tc>
        <w:tc>
          <w:tcPr>
            <w:tcW w:w="1360" w:type="dxa"/>
            <w:vAlign w:val="bottom"/>
          </w:tcPr>
          <w:p>
            <w:pPr>
              <w:jc w:val="right"/>
              <w:ind w:right="320"/>
              <w:spacing w:after="0"/>
              <w:rPr>
                <w:sz w:val="20"/>
                <w:szCs w:val="20"/>
                <w:color w:val="auto"/>
              </w:rPr>
            </w:pPr>
            <w:r>
              <w:rPr>
                <w:rFonts w:ascii="Arial" w:cs="Arial" w:eastAsia="Arial" w:hAnsi="Arial"/>
                <w:sz w:val="16"/>
                <w:szCs w:val="16"/>
                <w:b w:val="1"/>
                <w:bCs w:val="1"/>
                <w:color w:val="auto"/>
              </w:rPr>
              <w:t>5</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2,443</w:t>
            </w:r>
          </w:p>
        </w:tc>
        <w:tc>
          <w:tcPr>
            <w:tcW w:w="1360" w:type="dxa"/>
            <w:vAlign w:val="bottom"/>
          </w:tcPr>
          <w:p>
            <w:pPr>
              <w:jc w:val="right"/>
              <w:ind w:right="300"/>
              <w:spacing w:after="0"/>
              <w:rPr>
                <w:sz w:val="20"/>
                <w:szCs w:val="20"/>
                <w:color w:val="auto"/>
              </w:rPr>
            </w:pPr>
            <w:r>
              <w:rPr>
                <w:rFonts w:ascii="Arial" w:cs="Arial" w:eastAsia="Arial" w:hAnsi="Arial"/>
                <w:sz w:val="16"/>
                <w:szCs w:val="16"/>
                <w:b w:val="1"/>
                <w:bCs w:val="1"/>
                <w:color w:val="auto"/>
              </w:rPr>
              <w:t>(2,227)</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2,448</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Adjustment related to prior period change in opening valuation allowance</w:t>
            </w:r>
          </w:p>
        </w:tc>
        <w:tc>
          <w:tcPr>
            <w:tcW w:w="1360" w:type="dxa"/>
            <w:vAlign w:val="bottom"/>
          </w:tcPr>
          <w:p>
            <w:pPr>
              <w:jc w:val="right"/>
              <w:ind w:right="320"/>
              <w:spacing w:after="0"/>
              <w:rPr>
                <w:sz w:val="20"/>
                <w:szCs w:val="20"/>
                <w:color w:val="auto"/>
              </w:rPr>
            </w:pPr>
            <w:r>
              <w:rPr>
                <w:rFonts w:ascii="Arial" w:cs="Arial" w:eastAsia="Arial" w:hAnsi="Arial"/>
                <w:sz w:val="16"/>
                <w:szCs w:val="16"/>
                <w:b w:val="1"/>
                <w:bCs w:val="1"/>
                <w:color w:val="auto"/>
              </w:rPr>
              <w:t>—</w:t>
            </w:r>
          </w:p>
        </w:tc>
        <w:tc>
          <w:tcPr>
            <w:tcW w:w="1360" w:type="dxa"/>
            <w:vAlign w:val="bottom"/>
          </w:tcPr>
          <w:p>
            <w:pPr>
              <w:jc w:val="right"/>
              <w:ind w:right="32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00"/>
              <w:spacing w:after="0"/>
              <w:rPr>
                <w:sz w:val="20"/>
                <w:szCs w:val="20"/>
                <w:color w:val="auto"/>
              </w:rPr>
            </w:pPr>
            <w:r>
              <w:rPr>
                <w:rFonts w:ascii="Arial" w:cs="Arial" w:eastAsia="Arial" w:hAnsi="Arial"/>
                <w:sz w:val="16"/>
                <w:szCs w:val="16"/>
                <w:b w:val="1"/>
                <w:bCs w:val="1"/>
                <w:color w:val="auto"/>
              </w:rPr>
              <w:t>(1,346)</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Other changes in valuation allowances</w:t>
            </w:r>
          </w:p>
        </w:tc>
        <w:tc>
          <w:tcPr>
            <w:tcW w:w="1360" w:type="dxa"/>
            <w:vAlign w:val="bottom"/>
          </w:tcPr>
          <w:p>
            <w:pPr>
              <w:jc w:val="right"/>
              <w:ind w:right="320"/>
              <w:spacing w:after="0"/>
              <w:rPr>
                <w:sz w:val="20"/>
                <w:szCs w:val="20"/>
                <w:color w:val="auto"/>
              </w:rPr>
            </w:pPr>
            <w:r>
              <w:rPr>
                <w:rFonts w:ascii="Arial" w:cs="Arial" w:eastAsia="Arial" w:hAnsi="Arial"/>
                <w:sz w:val="16"/>
                <w:szCs w:val="16"/>
                <w:b w:val="1"/>
                <w:bCs w:val="1"/>
                <w:color w:val="auto"/>
              </w:rPr>
              <w:t>841</w:t>
            </w:r>
          </w:p>
        </w:tc>
        <w:tc>
          <w:tcPr>
            <w:tcW w:w="1360" w:type="dxa"/>
            <w:vAlign w:val="bottom"/>
          </w:tcPr>
          <w:p>
            <w:pPr>
              <w:jc w:val="right"/>
              <w:ind w:right="300"/>
              <w:spacing w:after="0"/>
              <w:rPr>
                <w:sz w:val="20"/>
                <w:szCs w:val="20"/>
                <w:color w:val="auto"/>
              </w:rPr>
            </w:pPr>
            <w:r>
              <w:rPr>
                <w:rFonts w:ascii="Arial" w:cs="Arial" w:eastAsia="Arial" w:hAnsi="Arial"/>
                <w:sz w:val="16"/>
                <w:szCs w:val="16"/>
                <w:color w:val="auto"/>
              </w:rPr>
              <w:t>(4,986)</w:t>
            </w:r>
          </w:p>
        </w:tc>
        <w:tc>
          <w:tcPr>
            <w:tcW w:w="1360" w:type="dxa"/>
            <w:vAlign w:val="bottom"/>
          </w:tcPr>
          <w:p>
            <w:pPr>
              <w:jc w:val="right"/>
              <w:ind w:right="340"/>
              <w:spacing w:after="0"/>
              <w:rPr>
                <w:sz w:val="20"/>
                <w:szCs w:val="20"/>
                <w:color w:val="auto"/>
              </w:rPr>
            </w:pPr>
            <w:r>
              <w:rPr>
                <w:rFonts w:ascii="Arial" w:cs="Arial" w:eastAsia="Arial" w:hAnsi="Arial"/>
                <w:sz w:val="16"/>
                <w:szCs w:val="16"/>
                <w:b w:val="1"/>
                <w:bCs w:val="1"/>
                <w:color w:val="auto"/>
              </w:rPr>
              <w:t>841</w:t>
            </w:r>
          </w:p>
        </w:tc>
        <w:tc>
          <w:tcPr>
            <w:tcW w:w="1400" w:type="dxa"/>
            <w:vAlign w:val="bottom"/>
          </w:tcPr>
          <w:p>
            <w:pPr>
              <w:jc w:val="right"/>
              <w:ind w:right="320"/>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(27)</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3</w:t>
            </w: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36</w:t>
            </w:r>
          </w:p>
        </w:tc>
        <w:tc>
          <w:tcPr>
            <w:tcW w:w="140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income tax expense</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$14,405</w:t>
            </w:r>
          </w:p>
        </w:tc>
        <w:tc>
          <w:tcPr>
            <w:tcW w:w="13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$ 6,966</w:t>
            </w:r>
          </w:p>
        </w:tc>
        <w:tc>
          <w:tcPr>
            <w:tcW w:w="13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$21,881</w:t>
            </w: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second-quarter estimated annual effective tax rate on continuing operations was 28.4 percent in 2019, compared to 30.1 percent for the same period in 2018.</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$153.2 million of current year and prior year earnings of the Company’s foreign operations. If these earnings were distributed, the Company would be subject to foreign withholding taxes of $3.9 million and state income taxes of $3.2 million which have already been recorded.</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2019. The Company is currently under audit in non-U.S. tax jurisdictions, including but not limited to Italy and Canada.</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the first quarter of 2019, the Company recorded a net benefit of $2.2 million for tax audit settlements with Canada. The Canadian Revenue Agency agreed to accept the Company’s appeal of all protested issues. The Company has begun to receive refunds from the Canadian Revenue Agency and Ontario for taxes that were pre-paid at the time of protests. As such, during the first quarter, the Company had determined that it was more likely than not that the liability for unrecognized tax benefits of $2.2 million that was recorded as of December 31, 2018 was no longer warranted and thus it was reduced in the first quarter of 2019, resulting in a $2.2 million discrete tax benefit.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In the second quarter of 2019, the Company recorded a valuation allowance of $0.8 million related to a non-U.S. subsidiary. In the first quarter of 2019, the Company recorded a $1.3 million out-of-period immaterial adjustment related to a German tax valuation allowance. In the second quarter of 2018, income tax expense was reduced $5.0 million as the Company reversed a previously-established valuation allowance for its subsidiary in Germany.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top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4"/>
          </w:tcPr>
          <w:p>
            <w:pPr>
              <w:jc w:val="right"/>
              <w:ind w:right="281"/>
              <w:spacing w:after="0"/>
              <w:rPr>
                <w:sz w:val="20"/>
                <w:szCs w:val="20"/>
                <w:color w:val="auto"/>
              </w:rPr>
            </w:pPr>
            <w:r>
              <w:rPr>
                <w:rFonts w:ascii="Arial" w:cs="Arial" w:eastAsia="Arial" w:hAnsi="Arial"/>
                <w:sz w:val="14"/>
                <w:szCs w:val="14"/>
                <w:b w:val="1"/>
                <w:bCs w:val="1"/>
                <w:color w:val="auto"/>
              </w:rPr>
              <w:t>Three months ended June 30,</w:t>
            </w:r>
          </w:p>
        </w:tc>
        <w:tc>
          <w:tcPr>
            <w:tcW w:w="2760" w:type="dxa"/>
            <w:vAlign w:val="bottom"/>
            <w:tcBorders>
              <w:top w:val="single" w:sz="8" w:color="auto"/>
              <w:bottom w:val="single" w:sz="8" w:color="auto"/>
            </w:tcBorders>
            <w:gridSpan w:val="4"/>
          </w:tcPr>
          <w:p>
            <w:pPr>
              <w:jc w:val="right"/>
              <w:ind w:right="38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market price and earnings per share)</w:t>
            </w:r>
          </w:p>
        </w:tc>
        <w:tc>
          <w:tcPr>
            <w:tcW w:w="5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Company</w:t>
            </w:r>
          </w:p>
        </w:tc>
        <w:tc>
          <w:tcPr>
            <w:tcW w:w="1340" w:type="dxa"/>
            <w:vAlign w:val="bottom"/>
            <w:tcBorders>
              <w:bottom w:val="single" w:sz="8" w:color="auto"/>
            </w:tcBorders>
            <w:gridSpan w:val="2"/>
          </w:tcPr>
          <w:p>
            <w:pPr>
              <w:jc w:val="right"/>
              <w:ind w:right="301"/>
              <w:spacing w:after="0"/>
              <w:rPr>
                <w:sz w:val="20"/>
                <w:szCs w:val="20"/>
                <w:color w:val="auto"/>
              </w:rPr>
            </w:pPr>
            <w:r>
              <w:rPr>
                <w:rFonts w:ascii="Arial" w:cs="Arial" w:eastAsia="Arial" w:hAnsi="Arial"/>
                <w:sz w:val="16"/>
                <w:szCs w:val="16"/>
                <w:b w:val="1"/>
                <w:bCs w:val="1"/>
                <w:color w:val="auto"/>
              </w:rPr>
              <w:t>$34,054</w:t>
            </w:r>
          </w:p>
        </w:tc>
        <w:tc>
          <w:tcPr>
            <w:tcW w:w="138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6"/>
                <w:szCs w:val="16"/>
                <w:color w:val="auto"/>
              </w:rPr>
              <w:t>$29,902</w:t>
            </w:r>
          </w:p>
        </w:tc>
        <w:tc>
          <w:tcPr>
            <w:tcW w:w="134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6"/>
                <w:szCs w:val="16"/>
                <w:b w:val="1"/>
                <w:bCs w:val="1"/>
                <w:color w:val="auto"/>
              </w:rPr>
              <w:t>$63,244</w:t>
            </w:r>
          </w:p>
        </w:tc>
        <w:tc>
          <w:tcPr>
            <w:tcW w:w="142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color w:val="auto"/>
              </w:rPr>
              <w:t>$37,564</w:t>
            </w:r>
          </w:p>
        </w:tc>
        <w:tc>
          <w:tcPr>
            <w:tcW w:w="0" w:type="dxa"/>
            <w:vAlign w:val="bottom"/>
          </w:tcPr>
          <w:p>
            <w:pPr>
              <w:spacing w:after="0"/>
              <w:rPr>
                <w:sz w:val="1"/>
                <w:szCs w:val="1"/>
                <w:color w:val="auto"/>
              </w:rPr>
            </w:pPr>
          </w:p>
        </w:tc>
      </w:tr>
      <w:tr>
        <w:trPr>
          <w:trHeight w:val="209"/>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Weighted average number of shares: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40" w:type="dxa"/>
            <w:vAlign w:val="bottom"/>
          </w:tcPr>
          <w:p>
            <w:pPr>
              <w:ind w:left="120"/>
              <w:spacing w:after="0"/>
              <w:rPr>
                <w:sz w:val="20"/>
                <w:szCs w:val="20"/>
                <w:color w:val="auto"/>
              </w:rPr>
            </w:pPr>
            <w:r>
              <w:rPr>
                <w:rFonts w:ascii="Arial" w:cs="Arial" w:eastAsia="Arial" w:hAnsi="Arial"/>
                <w:sz w:val="16"/>
                <w:szCs w:val="16"/>
                <w:color w:val="auto"/>
              </w:rPr>
              <w:t>Weighted average number of shares used in calculating basic net income per</w:t>
            </w:r>
          </w:p>
        </w:tc>
        <w:tc>
          <w:tcPr>
            <w:tcW w:w="1340" w:type="dxa"/>
            <w:vAlign w:val="bottom"/>
            <w:gridSpan w:val="2"/>
            <w:vMerge w:val="restart"/>
          </w:tcPr>
          <w:p>
            <w:pPr>
              <w:jc w:val="right"/>
              <w:ind w:right="301"/>
              <w:spacing w:after="0"/>
              <w:rPr>
                <w:sz w:val="20"/>
                <w:szCs w:val="20"/>
                <w:color w:val="auto"/>
              </w:rPr>
            </w:pPr>
            <w:r>
              <w:rPr>
                <w:rFonts w:ascii="Arial" w:cs="Arial" w:eastAsia="Arial" w:hAnsi="Arial"/>
                <w:sz w:val="16"/>
                <w:szCs w:val="16"/>
                <w:b w:val="1"/>
                <w:bCs w:val="1"/>
                <w:color w:val="auto"/>
              </w:rPr>
              <w:t>32,299</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2"/>
            <w:vMerge w:val="restart"/>
          </w:tcPr>
          <w:p>
            <w:pPr>
              <w:jc w:val="right"/>
              <w:ind w:right="321"/>
              <w:spacing w:after="0"/>
              <w:rPr>
                <w:sz w:val="20"/>
                <w:szCs w:val="20"/>
                <w:color w:val="auto"/>
              </w:rPr>
            </w:pPr>
            <w:r>
              <w:rPr>
                <w:rFonts w:ascii="Arial" w:cs="Arial" w:eastAsia="Arial" w:hAnsi="Arial"/>
                <w:sz w:val="16"/>
                <w:szCs w:val="16"/>
                <w:b w:val="1"/>
                <w:bCs w:val="1"/>
                <w:color w:val="auto"/>
              </w:rPr>
              <w:t>32,286</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940" w:type="dxa"/>
            <w:vAlign w:val="bottom"/>
          </w:tcPr>
          <w:p>
            <w:pPr>
              <w:ind w:left="20"/>
              <w:spacing w:after="0"/>
              <w:rPr>
                <w:sz w:val="20"/>
                <w:szCs w:val="20"/>
                <w:color w:val="auto"/>
              </w:rPr>
            </w:pPr>
            <w:r>
              <w:rPr>
                <w:rFonts w:ascii="Arial" w:cs="Arial" w:eastAsia="Arial" w:hAnsi="Arial"/>
                <w:sz w:val="16"/>
                <w:szCs w:val="16"/>
                <w:color w:val="auto"/>
              </w:rPr>
              <w:t>share</w:t>
            </w:r>
          </w:p>
        </w:tc>
        <w:tc>
          <w:tcPr>
            <w:tcW w:w="1340" w:type="dxa"/>
            <w:vAlign w:val="bottom"/>
            <w:gridSpan w:val="2"/>
            <w:vMerge w:val="continue"/>
          </w:tcPr>
          <w:p>
            <w:pPr>
              <w:spacing w:after="0"/>
              <w:rPr>
                <w:sz w:val="16"/>
                <w:szCs w:val="16"/>
                <w:color w:val="auto"/>
              </w:rPr>
            </w:pPr>
          </w:p>
        </w:tc>
        <w:tc>
          <w:tcPr>
            <w:tcW w:w="1380" w:type="dxa"/>
            <w:vAlign w:val="bottom"/>
            <w:gridSpan w:val="2"/>
          </w:tcPr>
          <w:p>
            <w:pPr>
              <w:jc w:val="right"/>
              <w:ind w:right="321"/>
              <w:spacing w:after="0"/>
              <w:rPr>
                <w:sz w:val="20"/>
                <w:szCs w:val="20"/>
                <w:color w:val="auto"/>
              </w:rPr>
            </w:pPr>
            <w:r>
              <w:rPr>
                <w:rFonts w:ascii="Arial" w:cs="Arial" w:eastAsia="Arial" w:hAnsi="Arial"/>
                <w:sz w:val="16"/>
                <w:szCs w:val="16"/>
                <w:color w:val="auto"/>
              </w:rPr>
              <w:t>32,257</w:t>
            </w:r>
          </w:p>
        </w:tc>
        <w:tc>
          <w:tcPr>
            <w:tcW w:w="1340" w:type="dxa"/>
            <w:vAlign w:val="bottom"/>
            <w:gridSpan w:val="2"/>
            <w:vMerge w:val="continue"/>
          </w:tcPr>
          <w:p>
            <w:pPr>
              <w:spacing w:after="0"/>
              <w:rPr>
                <w:sz w:val="16"/>
                <w:szCs w:val="16"/>
                <w:color w:val="auto"/>
              </w:rPr>
            </w:pPr>
          </w:p>
        </w:tc>
        <w:tc>
          <w:tcPr>
            <w:tcW w:w="1420" w:type="dxa"/>
            <w:vAlign w:val="bottom"/>
            <w:gridSpan w:val="2"/>
          </w:tcPr>
          <w:p>
            <w:pPr>
              <w:jc w:val="right"/>
              <w:ind w:right="341"/>
              <w:spacing w:after="0"/>
              <w:rPr>
                <w:sz w:val="20"/>
                <w:szCs w:val="20"/>
                <w:color w:val="auto"/>
              </w:rPr>
            </w:pPr>
            <w:r>
              <w:rPr>
                <w:rFonts w:ascii="Arial" w:cs="Arial" w:eastAsia="Arial" w:hAnsi="Arial"/>
                <w:sz w:val="16"/>
                <w:szCs w:val="16"/>
                <w:color w:val="auto"/>
              </w:rPr>
              <w:t>32,239</w:t>
            </w: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Effect of dilutive stock-based compensation plans:</w:t>
            </w: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Stock options</w:t>
            </w: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12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16</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12</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1"/>
        </w:trPr>
        <w:tc>
          <w:tcPr>
            <w:tcW w:w="5940" w:type="dxa"/>
            <w:vAlign w:val="bottom"/>
          </w:tcPr>
          <w:p>
            <w:pPr>
              <w:ind w:left="120"/>
              <w:spacing w:after="0"/>
              <w:rPr>
                <w:sz w:val="20"/>
                <w:szCs w:val="20"/>
                <w:color w:val="auto"/>
              </w:rPr>
            </w:pPr>
            <w:r>
              <w:rPr>
                <w:rFonts w:ascii="Arial" w:cs="Arial" w:eastAsia="Arial" w:hAnsi="Arial"/>
                <w:sz w:val="16"/>
                <w:szCs w:val="16"/>
                <w:color w:val="auto"/>
              </w:rPr>
              <w:t>Weighted average number of shares used in calculating diluted net income per</w:t>
            </w:r>
          </w:p>
        </w:tc>
        <w:tc>
          <w:tcPr>
            <w:tcW w:w="1340" w:type="dxa"/>
            <w:vAlign w:val="bottom"/>
            <w:gridSpan w:val="2"/>
            <w:vMerge w:val="restart"/>
          </w:tcPr>
          <w:p>
            <w:pPr>
              <w:jc w:val="right"/>
              <w:ind w:right="301"/>
              <w:spacing w:after="0"/>
              <w:rPr>
                <w:sz w:val="20"/>
                <w:szCs w:val="20"/>
                <w:color w:val="auto"/>
              </w:rPr>
            </w:pPr>
            <w:r>
              <w:rPr>
                <w:rFonts w:ascii="Arial" w:cs="Arial" w:eastAsia="Arial" w:hAnsi="Arial"/>
                <w:sz w:val="16"/>
                <w:szCs w:val="16"/>
                <w:b w:val="1"/>
                <w:bCs w:val="1"/>
                <w:color w:val="auto"/>
              </w:rPr>
              <w:t>32,311</w:t>
            </w: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2"/>
            <w:vMerge w:val="restart"/>
          </w:tcPr>
          <w:p>
            <w:pPr>
              <w:jc w:val="right"/>
              <w:ind w:right="321"/>
              <w:spacing w:after="0"/>
              <w:rPr>
                <w:sz w:val="20"/>
                <w:szCs w:val="20"/>
                <w:color w:val="auto"/>
              </w:rPr>
            </w:pPr>
            <w:r>
              <w:rPr>
                <w:rFonts w:ascii="Arial" w:cs="Arial" w:eastAsia="Arial" w:hAnsi="Arial"/>
                <w:sz w:val="16"/>
                <w:szCs w:val="16"/>
                <w:b w:val="1"/>
                <w:bCs w:val="1"/>
                <w:color w:val="auto"/>
              </w:rPr>
              <w:t>32,298</w:t>
            </w: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w:t>
            </w:r>
          </w:p>
        </w:tc>
        <w:tc>
          <w:tcPr>
            <w:tcW w:w="1340" w:type="dxa"/>
            <w:vAlign w:val="bottom"/>
            <w:tcBorders>
              <w:bottom w:val="single" w:sz="8" w:color="auto"/>
            </w:tcBorders>
            <w:gridSpan w:val="2"/>
            <w:vMerge w:val="continue"/>
          </w:tcPr>
          <w:p>
            <w:pPr>
              <w:spacing w:after="0"/>
              <w:rPr>
                <w:sz w:val="17"/>
                <w:szCs w:val="17"/>
                <w:color w:val="auto"/>
              </w:rPr>
            </w:pPr>
          </w:p>
        </w:tc>
        <w:tc>
          <w:tcPr>
            <w:tcW w:w="1380" w:type="dxa"/>
            <w:vAlign w:val="bottom"/>
            <w:tcBorders>
              <w:bottom w:val="single" w:sz="8" w:color="auto"/>
            </w:tcBorders>
            <w:gridSpan w:val="2"/>
          </w:tcPr>
          <w:p>
            <w:pPr>
              <w:jc w:val="right"/>
              <w:ind w:right="321"/>
              <w:spacing w:after="0"/>
              <w:rPr>
                <w:sz w:val="20"/>
                <w:szCs w:val="20"/>
                <w:color w:val="auto"/>
              </w:rPr>
            </w:pPr>
            <w:r>
              <w:rPr>
                <w:rFonts w:ascii="Arial" w:cs="Arial" w:eastAsia="Arial" w:hAnsi="Arial"/>
                <w:sz w:val="16"/>
                <w:szCs w:val="16"/>
                <w:color w:val="auto"/>
              </w:rPr>
              <w:t>32,273</w:t>
            </w:r>
          </w:p>
        </w:tc>
        <w:tc>
          <w:tcPr>
            <w:tcW w:w="1340" w:type="dxa"/>
            <w:vAlign w:val="bottom"/>
            <w:tcBorders>
              <w:bottom w:val="single" w:sz="8" w:color="auto"/>
            </w:tcBorders>
            <w:gridSpan w:val="2"/>
            <w:vMerge w:val="continue"/>
          </w:tcPr>
          <w:p>
            <w:pPr>
              <w:spacing w:after="0"/>
              <w:rPr>
                <w:sz w:val="17"/>
                <w:szCs w:val="17"/>
                <w:color w:val="auto"/>
              </w:rPr>
            </w:pPr>
          </w:p>
        </w:tc>
        <w:tc>
          <w:tcPr>
            <w:tcW w:w="1420" w:type="dxa"/>
            <w:vAlign w:val="bottom"/>
            <w:tcBorders>
              <w:bottom w:val="single" w:sz="8" w:color="auto"/>
            </w:tcBorders>
            <w:gridSpan w:val="2"/>
          </w:tcPr>
          <w:p>
            <w:pPr>
              <w:jc w:val="right"/>
              <w:ind w:right="341"/>
              <w:spacing w:after="0"/>
              <w:rPr>
                <w:sz w:val="20"/>
                <w:szCs w:val="20"/>
                <w:color w:val="auto"/>
              </w:rPr>
            </w:pPr>
            <w:r>
              <w:rPr>
                <w:rFonts w:ascii="Arial" w:cs="Arial" w:eastAsia="Arial" w:hAnsi="Arial"/>
                <w:sz w:val="16"/>
                <w:szCs w:val="16"/>
                <w:color w:val="auto"/>
              </w:rPr>
              <w:t>32,255</w:t>
            </w:r>
          </w:p>
        </w:tc>
        <w:tc>
          <w:tcPr>
            <w:tcW w:w="0" w:type="dxa"/>
            <w:vAlign w:val="bottom"/>
          </w:tcPr>
          <w:p>
            <w:pPr>
              <w:spacing w:after="0"/>
              <w:rPr>
                <w:sz w:val="1"/>
                <w:szCs w:val="1"/>
                <w:color w:val="auto"/>
              </w:rPr>
            </w:pPr>
          </w:p>
        </w:tc>
      </w:tr>
      <w:tr>
        <w:trPr>
          <w:trHeight w:val="212"/>
        </w:trPr>
        <w:tc>
          <w:tcPr>
            <w:tcW w:w="5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Average market price of common stock used for calculation of dilutive shares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74.86</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61.86</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73.08</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62.83</w:t>
            </w:r>
          </w:p>
        </w:tc>
        <w:tc>
          <w:tcPr>
            <w:tcW w:w="0" w:type="dxa"/>
            <w:vAlign w:val="bottom"/>
          </w:tcPr>
          <w:p>
            <w:pPr>
              <w:spacing w:after="0"/>
              <w:rPr>
                <w:sz w:val="1"/>
                <w:szCs w:val="1"/>
                <w:color w:val="auto"/>
              </w:rPr>
            </w:pPr>
          </w:p>
        </w:tc>
      </w:tr>
      <w:tr>
        <w:trPr>
          <w:trHeight w:val="393"/>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the Company per share:</w:t>
            </w: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Arial" w:cs="Arial" w:eastAsia="Arial" w:hAnsi="Arial"/>
                <w:sz w:val="16"/>
                <w:szCs w:val="16"/>
                <w:color w:val="auto"/>
              </w:rPr>
              <w:t>Basic</w:t>
            </w:r>
          </w:p>
        </w:tc>
        <w:tc>
          <w:tcPr>
            <w:tcW w:w="5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Pr>
          <w:p>
            <w:pPr>
              <w:jc w:val="right"/>
              <w:ind w:right="301"/>
              <w:spacing w:after="0"/>
              <w:rPr>
                <w:sz w:val="20"/>
                <w:szCs w:val="20"/>
                <w:color w:val="auto"/>
              </w:rPr>
            </w:pPr>
            <w:r>
              <w:rPr>
                <w:rFonts w:ascii="Arial" w:cs="Arial" w:eastAsia="Arial" w:hAnsi="Arial"/>
                <w:sz w:val="16"/>
                <w:szCs w:val="16"/>
                <w:b w:val="1"/>
                <w:bCs w:val="1"/>
                <w:color w:val="auto"/>
              </w:rPr>
              <w:t>1.05</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21"/>
              <w:spacing w:after="0"/>
              <w:rPr>
                <w:sz w:val="20"/>
                <w:szCs w:val="20"/>
                <w:color w:val="auto"/>
              </w:rPr>
            </w:pPr>
            <w:r>
              <w:rPr>
                <w:rFonts w:ascii="Arial" w:cs="Arial" w:eastAsia="Arial" w:hAnsi="Arial"/>
                <w:sz w:val="16"/>
                <w:szCs w:val="16"/>
                <w:color w:val="auto"/>
              </w:rPr>
              <w:t>0.93</w:t>
            </w:r>
          </w:p>
        </w:tc>
        <w:tc>
          <w:tcPr>
            <w:tcW w:w="4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ind w:right="321"/>
              <w:spacing w:after="0"/>
              <w:rPr>
                <w:sz w:val="20"/>
                <w:szCs w:val="20"/>
                <w:color w:val="auto"/>
              </w:rPr>
            </w:pPr>
            <w:r>
              <w:rPr>
                <w:rFonts w:ascii="Arial" w:cs="Arial" w:eastAsia="Arial" w:hAnsi="Arial"/>
                <w:sz w:val="16"/>
                <w:szCs w:val="16"/>
                <w:b w:val="1"/>
                <w:bCs w:val="1"/>
                <w:color w:val="auto"/>
              </w:rPr>
              <w:t>1.96</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41"/>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Diluted</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1.05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0.93</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1.96</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2018 to June 30,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Pension and post</w:t>
            </w:r>
          </w:p>
        </w:tc>
        <w:tc>
          <w:tcPr>
            <w:tcW w:w="1180" w:type="dxa"/>
            <w:vAlign w:val="bottom"/>
            <w:tcBorders>
              <w:top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Derivative</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980" w:type="dxa"/>
            <w:vAlign w:val="bottom"/>
          </w:tcPr>
          <w:p>
            <w:pPr>
              <w:spacing w:after="0"/>
              <w:rPr>
                <w:sz w:val="14"/>
                <w:szCs w:val="14"/>
                <w:color w:val="auto"/>
              </w:rPr>
            </w:pPr>
          </w:p>
        </w:tc>
        <w:tc>
          <w:tcPr>
            <w:tcW w:w="1200" w:type="dxa"/>
            <w:vAlign w:val="bottom"/>
          </w:tcPr>
          <w:p>
            <w:pPr>
              <w:jc w:val="right"/>
              <w:ind w:right="101"/>
              <w:spacing w:after="0"/>
              <w:rPr>
                <w:sz w:val="20"/>
                <w:szCs w:val="20"/>
                <w:color w:val="auto"/>
              </w:rPr>
            </w:pPr>
            <w:r>
              <w:rPr>
                <w:rFonts w:ascii="Arial" w:cs="Arial" w:eastAsia="Arial" w:hAnsi="Arial"/>
                <w:sz w:val="14"/>
                <w:szCs w:val="14"/>
                <w:b w:val="1"/>
                <w:bCs w:val="1"/>
                <w:color w:val="auto"/>
              </w:rPr>
              <w:t>Translation</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retirement liability</w:t>
            </w:r>
          </w:p>
        </w:tc>
        <w:tc>
          <w:tcPr>
            <w:tcW w:w="1180" w:type="dxa"/>
            <w:vAlign w:val="bottom"/>
          </w:tcPr>
          <w:p>
            <w:pPr>
              <w:jc w:val="center"/>
              <w:ind w:right="2"/>
              <w:spacing w:after="0"/>
              <w:rPr>
                <w:sz w:val="20"/>
                <w:szCs w:val="20"/>
                <w:color w:val="auto"/>
              </w:rPr>
            </w:pPr>
            <w:r>
              <w:rPr>
                <w:rFonts w:ascii="Arial" w:cs="Arial" w:eastAsia="Arial" w:hAnsi="Arial"/>
                <w:sz w:val="14"/>
                <w:szCs w:val="14"/>
                <w:b w:val="1"/>
                <w:bCs w:val="1"/>
                <w:color w:val="auto"/>
              </w:rPr>
              <w:t>valuation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r>
      <w:tr>
        <w:trPr>
          <w:trHeight w:val="18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adjustments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adjustment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20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2018</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$(115,976)</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$(47,109)</w:t>
            </w:r>
          </w:p>
        </w:tc>
        <w:tc>
          <w:tcPr>
            <w:tcW w:w="11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$ 4,697</w:t>
            </w:r>
          </w:p>
        </w:tc>
        <w:tc>
          <w:tcPr>
            <w:tcW w:w="14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$(158,388)</w:t>
            </w:r>
          </w:p>
        </w:tc>
      </w:tr>
      <w:tr>
        <w:trPr>
          <w:trHeight w:val="204"/>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w:t>
            </w: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(655)</w:t>
            </w:r>
          </w:p>
        </w:tc>
        <w:tc>
          <w:tcPr>
            <w:tcW w:w="1580" w:type="dxa"/>
            <w:vAlign w:val="bottom"/>
          </w:tcPr>
          <w:p>
            <w:pPr>
              <w:jc w:val="right"/>
              <w:ind w:right="382"/>
              <w:spacing w:after="0"/>
              <w:rPr>
                <w:sz w:val="20"/>
                <w:szCs w:val="20"/>
                <w:color w:val="auto"/>
              </w:rPr>
            </w:pPr>
            <w:r>
              <w:rPr>
                <w:rFonts w:ascii="Arial" w:cs="Arial" w:eastAsia="Arial" w:hAnsi="Arial"/>
                <w:sz w:val="16"/>
                <w:szCs w:val="16"/>
                <w:color w:val="auto"/>
              </w:rPr>
              <w:t>(201)</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(6,897)</w:t>
            </w:r>
          </w:p>
        </w:tc>
        <w:tc>
          <w:tcPr>
            <w:tcW w:w="1480" w:type="dxa"/>
            <w:vAlign w:val="bottom"/>
          </w:tcPr>
          <w:p>
            <w:pPr>
              <w:jc w:val="right"/>
              <w:ind w:right="242"/>
              <w:spacing w:after="0"/>
              <w:rPr>
                <w:sz w:val="20"/>
                <w:szCs w:val="20"/>
                <w:color w:val="auto"/>
              </w:rPr>
            </w:pPr>
            <w:r>
              <w:rPr>
                <w:rFonts w:ascii="Arial" w:cs="Arial" w:eastAsia="Arial" w:hAnsi="Arial"/>
                <w:sz w:val="16"/>
                <w:szCs w:val="16"/>
                <w:color w:val="auto"/>
              </w:rPr>
              <w:t>(7,753)</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Interest expense related to swaps reclassified to the Consolidated Statements of</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5980" w:type="dxa"/>
            <w:vAlign w:val="bottom"/>
          </w:tcPr>
          <w:p>
            <w:pPr>
              <w:ind w:left="20"/>
              <w:spacing w:after="0"/>
              <w:rPr>
                <w:sz w:val="20"/>
                <w:szCs w:val="20"/>
                <w:color w:val="auto"/>
              </w:rPr>
            </w:pPr>
            <w:r>
              <w:rPr>
                <w:rFonts w:ascii="Arial" w:cs="Arial" w:eastAsia="Arial" w:hAnsi="Arial"/>
                <w:sz w:val="16"/>
                <w:szCs w:val="16"/>
                <w:color w:val="auto"/>
              </w:rPr>
              <w:t>Income, net of tax</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42"/>
              <w:spacing w:after="0"/>
              <w:rPr>
                <w:sz w:val="20"/>
                <w:szCs w:val="20"/>
                <w:color w:val="auto"/>
              </w:rPr>
            </w:pPr>
            <w:r>
              <w:rPr>
                <w:rFonts w:ascii="Arial" w:cs="Arial" w:eastAsia="Arial" w:hAnsi="Arial"/>
                <w:sz w:val="16"/>
                <w:szCs w:val="16"/>
                <w:color w:val="auto"/>
              </w:rPr>
              <w:t>(649)</w:t>
            </w:r>
          </w:p>
        </w:tc>
        <w:tc>
          <w:tcPr>
            <w:tcW w:w="1480" w:type="dxa"/>
            <w:vAlign w:val="bottom"/>
          </w:tcPr>
          <w:p>
            <w:pPr>
              <w:jc w:val="right"/>
              <w:ind w:right="242"/>
              <w:spacing w:after="0"/>
              <w:rPr>
                <w:sz w:val="20"/>
                <w:szCs w:val="20"/>
                <w:color w:val="auto"/>
              </w:rPr>
            </w:pPr>
            <w:r>
              <w:rPr>
                <w:rFonts w:ascii="Arial" w:cs="Arial" w:eastAsia="Arial" w:hAnsi="Arial"/>
                <w:sz w:val="16"/>
                <w:szCs w:val="16"/>
                <w:color w:val="auto"/>
              </w:rPr>
              <w:t>(649)</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 Consolidated</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598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2"/>
              <w:spacing w:after="0"/>
              <w:rPr>
                <w:sz w:val="20"/>
                <w:szCs w:val="20"/>
                <w:color w:val="auto"/>
              </w:rPr>
            </w:pPr>
            <w:r>
              <w:rPr>
                <w:rFonts w:ascii="Arial" w:cs="Arial" w:eastAsia="Arial" w:hAnsi="Arial"/>
                <w:sz w:val="16"/>
                <w:szCs w:val="16"/>
                <w:color w:val="auto"/>
              </w:rPr>
              <w:t>20</w:t>
            </w:r>
          </w:p>
        </w:tc>
        <w:tc>
          <w:tcPr>
            <w:tcW w:w="1180" w:type="dxa"/>
            <w:vAlign w:val="bottom"/>
          </w:tcPr>
          <w:p>
            <w:pPr>
              <w:jc w:val="right"/>
              <w:ind w:right="282"/>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82"/>
              <w:spacing w:after="0"/>
              <w:rPr>
                <w:sz w:val="20"/>
                <w:szCs w:val="20"/>
                <w:color w:val="auto"/>
              </w:rPr>
            </w:pPr>
            <w:r>
              <w:rPr>
                <w:rFonts w:ascii="Arial" w:cs="Arial" w:eastAsia="Arial" w:hAnsi="Arial"/>
                <w:sz w:val="16"/>
                <w:szCs w:val="16"/>
                <w:color w:val="auto"/>
              </w:rPr>
              <w:t>20</w:t>
            </w:r>
          </w:p>
        </w:tc>
      </w:tr>
      <w:tr>
        <w:trPr>
          <w:trHeight w:val="21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Adjustment related to prior period change in opening valuation allowance</w:t>
            </w:r>
          </w:p>
        </w:tc>
        <w:tc>
          <w:tcPr>
            <w:tcW w:w="12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(1,346)</w:t>
            </w:r>
          </w:p>
        </w:tc>
        <w:tc>
          <w:tcPr>
            <w:tcW w:w="118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(1,346)</w:t>
            </w:r>
          </w:p>
        </w:tc>
      </w:tr>
      <w:tr>
        <w:trPr>
          <w:trHeight w:val="21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(655)</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color w:val="auto"/>
              </w:rPr>
              <w:t>(1,527)</w:t>
            </w:r>
          </w:p>
        </w:tc>
        <w:tc>
          <w:tcPr>
            <w:tcW w:w="1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(7,546)</w:t>
            </w:r>
          </w:p>
        </w:tc>
        <w:tc>
          <w:tcPr>
            <w:tcW w:w="14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(9,728)</w:t>
            </w:r>
          </w:p>
        </w:tc>
      </w:tr>
      <w:tr>
        <w:trPr>
          <w:trHeight w:val="21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2019</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$(116,631)</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$(48,636)</w:t>
            </w:r>
          </w:p>
        </w:tc>
        <w:tc>
          <w:tcPr>
            <w:tcW w:w="11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$(2,849)</w:t>
            </w:r>
          </w:p>
        </w:tc>
        <w:tc>
          <w:tcPr>
            <w:tcW w:w="14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$(168,116)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changes in the components of AOCI for the period December 31, 2017 to June 30, 2018: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9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Pension and post</w:t>
            </w:r>
          </w:p>
        </w:tc>
        <w:tc>
          <w:tcPr>
            <w:tcW w:w="1180" w:type="dxa"/>
            <w:vAlign w:val="bottom"/>
            <w:tcBorders>
              <w:top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Derivative</w:t>
            </w: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Total Other</w:t>
            </w:r>
          </w:p>
        </w:tc>
      </w:tr>
      <w:tr>
        <w:trPr>
          <w:trHeight w:val="162"/>
        </w:trPr>
        <w:tc>
          <w:tcPr>
            <w:tcW w:w="5980" w:type="dxa"/>
            <w:vAlign w:val="bottom"/>
          </w:tcPr>
          <w:p>
            <w:pPr>
              <w:spacing w:after="0"/>
              <w:rPr>
                <w:sz w:val="14"/>
                <w:szCs w:val="14"/>
                <w:color w:val="auto"/>
              </w:rPr>
            </w:pPr>
          </w:p>
        </w:tc>
        <w:tc>
          <w:tcPr>
            <w:tcW w:w="1200" w:type="dxa"/>
            <w:vAlign w:val="bottom"/>
          </w:tcPr>
          <w:p>
            <w:pPr>
              <w:jc w:val="right"/>
              <w:ind w:right="101"/>
              <w:spacing w:after="0"/>
              <w:rPr>
                <w:sz w:val="20"/>
                <w:szCs w:val="20"/>
                <w:color w:val="auto"/>
              </w:rPr>
            </w:pPr>
            <w:r>
              <w:rPr>
                <w:rFonts w:ascii="Arial" w:cs="Arial" w:eastAsia="Arial" w:hAnsi="Arial"/>
                <w:sz w:val="14"/>
                <w:szCs w:val="14"/>
                <w:b w:val="1"/>
                <w:bCs w:val="1"/>
                <w:color w:val="auto"/>
              </w:rPr>
              <w:t>Translation</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retirement liability</w:t>
            </w:r>
          </w:p>
        </w:tc>
        <w:tc>
          <w:tcPr>
            <w:tcW w:w="1180" w:type="dxa"/>
            <w:vAlign w:val="bottom"/>
          </w:tcPr>
          <w:p>
            <w:pPr>
              <w:jc w:val="center"/>
              <w:ind w:right="2"/>
              <w:spacing w:after="0"/>
              <w:rPr>
                <w:sz w:val="20"/>
                <w:szCs w:val="20"/>
                <w:color w:val="auto"/>
              </w:rPr>
            </w:pPr>
            <w:r>
              <w:rPr>
                <w:rFonts w:ascii="Arial" w:cs="Arial" w:eastAsia="Arial" w:hAnsi="Arial"/>
                <w:sz w:val="14"/>
                <w:szCs w:val="14"/>
                <w:b w:val="1"/>
                <w:bCs w:val="1"/>
                <w:color w:val="auto"/>
              </w:rPr>
              <w:t>valuation</w:t>
            </w: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rPr>
              <w:t>Comprehensive</w:t>
            </w:r>
          </w:p>
        </w:tc>
      </w:tr>
      <w:tr>
        <w:trPr>
          <w:trHeight w:val="18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adjustments</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adjustments</w:t>
            </w:r>
          </w:p>
        </w:tc>
        <w:tc>
          <w:tcPr>
            <w:tcW w:w="118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rPr>
              <w:t>adjustment</w:t>
            </w: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Income</w:t>
            </w:r>
          </w:p>
        </w:tc>
      </w:tr>
      <w:tr>
        <w:trPr>
          <w:trHeight w:val="20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December 31, 2017</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 (87,318)</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$(50,536)</w:t>
            </w: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$1,953</w:t>
            </w:r>
          </w:p>
        </w:tc>
        <w:tc>
          <w:tcPr>
            <w:tcW w:w="14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$(135,901)</w:t>
            </w:r>
          </w:p>
        </w:tc>
      </w:tr>
      <w:tr>
        <w:trPr>
          <w:trHeight w:val="204"/>
        </w:trPr>
        <w:tc>
          <w:tcPr>
            <w:tcW w:w="5980" w:type="dxa"/>
            <w:vAlign w:val="bottom"/>
          </w:tcPr>
          <w:p>
            <w:pPr>
              <w:ind w:left="20"/>
              <w:spacing w:after="0"/>
              <w:rPr>
                <w:sz w:val="20"/>
                <w:szCs w:val="20"/>
                <w:color w:val="auto"/>
              </w:rPr>
            </w:pPr>
            <w:r>
              <w:rPr>
                <w:rFonts w:ascii="Arial" w:cs="Arial" w:eastAsia="Arial" w:hAnsi="Arial"/>
                <w:sz w:val="16"/>
                <w:szCs w:val="16"/>
                <w:color w:val="auto"/>
              </w:rPr>
              <w:t>Other comprehensive income/(loss) before reclassifications</w:t>
            </w:r>
          </w:p>
        </w:tc>
        <w:tc>
          <w:tcPr>
            <w:tcW w:w="1200" w:type="dxa"/>
            <w:vAlign w:val="bottom"/>
          </w:tcPr>
          <w:p>
            <w:pPr>
              <w:jc w:val="right"/>
              <w:ind w:right="101"/>
              <w:spacing w:after="0"/>
              <w:rPr>
                <w:sz w:val="20"/>
                <w:szCs w:val="20"/>
                <w:color w:val="auto"/>
              </w:rPr>
            </w:pPr>
            <w:r>
              <w:rPr>
                <w:rFonts w:ascii="Arial" w:cs="Arial" w:eastAsia="Arial" w:hAnsi="Arial"/>
                <w:sz w:val="16"/>
                <w:szCs w:val="16"/>
                <w:color w:val="auto"/>
              </w:rPr>
              <w:t>(15,570)</w:t>
            </w:r>
          </w:p>
        </w:tc>
        <w:tc>
          <w:tcPr>
            <w:tcW w:w="1580" w:type="dxa"/>
            <w:vAlign w:val="bottom"/>
          </w:tcPr>
          <w:p>
            <w:pPr>
              <w:jc w:val="right"/>
              <w:ind w:right="402"/>
              <w:spacing w:after="0"/>
              <w:rPr>
                <w:sz w:val="20"/>
                <w:szCs w:val="20"/>
                <w:color w:val="auto"/>
              </w:rPr>
            </w:pPr>
            <w:r>
              <w:rPr>
                <w:rFonts w:ascii="Arial" w:cs="Arial" w:eastAsia="Arial" w:hAnsi="Arial"/>
                <w:sz w:val="16"/>
                <w:szCs w:val="16"/>
                <w:color w:val="auto"/>
              </w:rPr>
              <w:t>2,224</w:t>
            </w:r>
          </w:p>
        </w:tc>
        <w:tc>
          <w:tcPr>
            <w:tcW w:w="1180" w:type="dxa"/>
            <w:vAlign w:val="bottom"/>
          </w:tcPr>
          <w:p>
            <w:pPr>
              <w:jc w:val="right"/>
              <w:ind w:right="302"/>
              <w:spacing w:after="0"/>
              <w:rPr>
                <w:sz w:val="20"/>
                <w:szCs w:val="20"/>
                <w:color w:val="auto"/>
              </w:rPr>
            </w:pPr>
            <w:r>
              <w:rPr>
                <w:rFonts w:ascii="Arial" w:cs="Arial" w:eastAsia="Arial" w:hAnsi="Arial"/>
                <w:sz w:val="16"/>
                <w:szCs w:val="16"/>
                <w:color w:val="auto"/>
              </w:rPr>
              <w:t>6,024</w:t>
            </w:r>
          </w:p>
        </w:tc>
        <w:tc>
          <w:tcPr>
            <w:tcW w:w="1480" w:type="dxa"/>
            <w:vAlign w:val="bottom"/>
          </w:tcPr>
          <w:p>
            <w:pPr>
              <w:jc w:val="right"/>
              <w:ind w:right="242"/>
              <w:spacing w:after="0"/>
              <w:rPr>
                <w:sz w:val="20"/>
                <w:szCs w:val="20"/>
                <w:color w:val="auto"/>
              </w:rPr>
            </w:pPr>
            <w:r>
              <w:rPr>
                <w:rFonts w:ascii="Arial" w:cs="Arial" w:eastAsia="Arial" w:hAnsi="Arial"/>
                <w:sz w:val="16"/>
                <w:szCs w:val="16"/>
                <w:color w:val="auto"/>
              </w:rPr>
              <w:t>(7,322)</w:t>
            </w:r>
          </w:p>
        </w:tc>
      </w:tr>
      <w:tr>
        <w:trPr>
          <w:trHeight w:val="216"/>
        </w:trPr>
        <w:tc>
          <w:tcPr>
            <w:tcW w:w="5980" w:type="dxa"/>
            <w:vAlign w:val="bottom"/>
          </w:tcPr>
          <w:p>
            <w:pPr>
              <w:ind w:left="20"/>
              <w:spacing w:after="0"/>
              <w:rPr>
                <w:sz w:val="20"/>
                <w:szCs w:val="20"/>
                <w:color w:val="auto"/>
              </w:rPr>
            </w:pPr>
            <w:r>
              <w:rPr>
                <w:rFonts w:ascii="Arial" w:cs="Arial" w:eastAsia="Arial" w:hAnsi="Arial"/>
                <w:sz w:val="16"/>
                <w:szCs w:val="16"/>
                <w:color w:val="auto"/>
              </w:rPr>
              <w:t>Pension/post retirement curtailment gain, net of tax</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382"/>
              <w:spacing w:after="0"/>
              <w:rPr>
                <w:sz w:val="20"/>
                <w:szCs w:val="20"/>
                <w:color w:val="auto"/>
              </w:rPr>
            </w:pPr>
            <w:r>
              <w:rPr>
                <w:rFonts w:ascii="Arial" w:cs="Arial" w:eastAsia="Arial" w:hAnsi="Arial"/>
                <w:sz w:val="16"/>
                <w:szCs w:val="16"/>
                <w:color w:val="auto"/>
              </w:rPr>
              <w:t>(363)</w:t>
            </w:r>
          </w:p>
        </w:tc>
        <w:tc>
          <w:tcPr>
            <w:tcW w:w="118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42"/>
              <w:spacing w:after="0"/>
              <w:rPr>
                <w:sz w:val="20"/>
                <w:szCs w:val="20"/>
                <w:color w:val="auto"/>
              </w:rPr>
            </w:pPr>
            <w:r>
              <w:rPr>
                <w:rFonts w:ascii="Arial" w:cs="Arial" w:eastAsia="Arial" w:hAnsi="Arial"/>
                <w:sz w:val="16"/>
                <w:szCs w:val="16"/>
                <w:color w:val="auto"/>
              </w:rPr>
              <w:t>(363)</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Interest expense related to swaps reclassified to the Consolidated Statements of</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5980" w:type="dxa"/>
            <w:vAlign w:val="bottom"/>
          </w:tcPr>
          <w:p>
            <w:pPr>
              <w:ind w:left="20"/>
              <w:spacing w:after="0"/>
              <w:rPr>
                <w:sz w:val="20"/>
                <w:szCs w:val="20"/>
                <w:color w:val="auto"/>
              </w:rPr>
            </w:pPr>
            <w:r>
              <w:rPr>
                <w:rFonts w:ascii="Arial" w:cs="Arial" w:eastAsia="Arial" w:hAnsi="Arial"/>
                <w:sz w:val="16"/>
                <w:szCs w:val="16"/>
                <w:color w:val="auto"/>
              </w:rPr>
              <w:t>Income, net of tax</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2"/>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02"/>
              <w:spacing w:after="0"/>
              <w:rPr>
                <w:sz w:val="20"/>
                <w:szCs w:val="20"/>
                <w:color w:val="auto"/>
              </w:rPr>
            </w:pPr>
            <w:r>
              <w:rPr>
                <w:rFonts w:ascii="Arial" w:cs="Arial" w:eastAsia="Arial" w:hAnsi="Arial"/>
                <w:sz w:val="16"/>
                <w:szCs w:val="16"/>
                <w:color w:val="auto"/>
              </w:rPr>
              <w:t>178</w:t>
            </w:r>
          </w:p>
        </w:tc>
        <w:tc>
          <w:tcPr>
            <w:tcW w:w="1480" w:type="dxa"/>
            <w:vAlign w:val="bottom"/>
          </w:tcPr>
          <w:p>
            <w:pPr>
              <w:jc w:val="right"/>
              <w:ind w:right="282"/>
              <w:spacing w:after="0"/>
              <w:rPr>
                <w:sz w:val="20"/>
                <w:szCs w:val="20"/>
                <w:color w:val="auto"/>
              </w:rPr>
            </w:pPr>
            <w:r>
              <w:rPr>
                <w:rFonts w:ascii="Arial" w:cs="Arial" w:eastAsia="Arial" w:hAnsi="Arial"/>
                <w:sz w:val="16"/>
                <w:szCs w:val="16"/>
                <w:color w:val="auto"/>
              </w:rPr>
              <w:t>178</w:t>
            </w:r>
          </w:p>
        </w:tc>
      </w:tr>
      <w:tr>
        <w:trPr>
          <w:trHeight w:val="210"/>
        </w:trPr>
        <w:tc>
          <w:tcPr>
            <w:tcW w:w="5980" w:type="dxa"/>
            <w:vAlign w:val="bottom"/>
          </w:tcPr>
          <w:p>
            <w:pPr>
              <w:ind w:left="20"/>
              <w:spacing w:after="0"/>
              <w:rPr>
                <w:sz w:val="20"/>
                <w:szCs w:val="20"/>
                <w:color w:val="auto"/>
              </w:rPr>
            </w:pPr>
            <w:r>
              <w:rPr>
                <w:rFonts w:ascii="Arial" w:cs="Arial" w:eastAsia="Arial" w:hAnsi="Arial"/>
                <w:sz w:val="16"/>
                <w:szCs w:val="16"/>
                <w:color w:val="auto"/>
              </w:rPr>
              <w:t>Pension and postretirement liability adjustments reclassified to Consolidated</w:t>
            </w:r>
          </w:p>
        </w:tc>
        <w:tc>
          <w:tcPr>
            <w:tcW w:w="1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195"/>
        </w:trPr>
        <w:tc>
          <w:tcPr>
            <w:tcW w:w="5980" w:type="dxa"/>
            <w:vAlign w:val="bottom"/>
          </w:tcPr>
          <w:p>
            <w:pPr>
              <w:ind w:left="20"/>
              <w:spacing w:after="0"/>
              <w:rPr>
                <w:sz w:val="20"/>
                <w:szCs w:val="20"/>
                <w:color w:val="auto"/>
              </w:rPr>
            </w:pPr>
            <w:r>
              <w:rPr>
                <w:rFonts w:ascii="Arial" w:cs="Arial" w:eastAsia="Arial" w:hAnsi="Arial"/>
                <w:sz w:val="16"/>
                <w:szCs w:val="16"/>
                <w:color w:val="auto"/>
              </w:rPr>
              <w:t>Statements of Income, net of tax</w:t>
            </w:r>
          </w:p>
        </w:tc>
        <w:tc>
          <w:tcPr>
            <w:tcW w:w="120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2"/>
              <w:spacing w:after="0"/>
              <w:rPr>
                <w:sz w:val="20"/>
                <w:szCs w:val="20"/>
                <w:color w:val="auto"/>
              </w:rPr>
            </w:pPr>
            <w:r>
              <w:rPr>
                <w:rFonts w:ascii="Arial" w:cs="Arial" w:eastAsia="Arial" w:hAnsi="Arial"/>
                <w:sz w:val="16"/>
                <w:szCs w:val="16"/>
                <w:color w:val="auto"/>
              </w:rPr>
              <w:t>253</w:t>
            </w:r>
          </w:p>
        </w:tc>
        <w:tc>
          <w:tcPr>
            <w:tcW w:w="1180" w:type="dxa"/>
            <w:vAlign w:val="bottom"/>
          </w:tcPr>
          <w:p>
            <w:pPr>
              <w:jc w:val="right"/>
              <w:ind w:right="302"/>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282"/>
              <w:spacing w:after="0"/>
              <w:rPr>
                <w:sz w:val="20"/>
                <w:szCs w:val="20"/>
                <w:color w:val="auto"/>
              </w:rPr>
            </w:pPr>
            <w:r>
              <w:rPr>
                <w:rFonts w:ascii="Arial" w:cs="Arial" w:eastAsia="Arial" w:hAnsi="Arial"/>
                <w:sz w:val="16"/>
                <w:szCs w:val="16"/>
                <w:color w:val="auto"/>
              </w:rPr>
              <w:t>253</w:t>
            </w:r>
          </w:p>
        </w:tc>
      </w:tr>
      <w:tr>
        <w:trPr>
          <w:trHeight w:val="219"/>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current period other comprehensive income</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(15,570)</w:t>
            </w:r>
          </w:p>
        </w:tc>
        <w:tc>
          <w:tcPr>
            <w:tcW w:w="158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color w:val="auto"/>
              </w:rPr>
              <w:t>2,114</w:t>
            </w: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6,202</w:t>
            </w:r>
          </w:p>
        </w:tc>
        <w:tc>
          <w:tcPr>
            <w:tcW w:w="14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color w:val="auto"/>
              </w:rPr>
              <w:t>(7,254)</w:t>
            </w:r>
          </w:p>
        </w:tc>
      </w:tr>
      <w:tr>
        <w:trPr>
          <w:trHeight w:val="212"/>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2018</w:t>
            </w: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$(102,888)</w:t>
            </w:r>
          </w:p>
        </w:tc>
        <w:tc>
          <w:tcPr>
            <w:tcW w:w="1580" w:type="dxa"/>
            <w:vAlign w:val="bottom"/>
            <w:tcBorders>
              <w:bottom w:val="single" w:sz="8" w:color="auto"/>
            </w:tcBorders>
          </w:tcPr>
          <w:p>
            <w:pPr>
              <w:jc w:val="right"/>
              <w:ind w:right="382"/>
              <w:spacing w:after="0"/>
              <w:rPr>
                <w:sz w:val="20"/>
                <w:szCs w:val="20"/>
                <w:color w:val="auto"/>
              </w:rPr>
            </w:pPr>
            <w:r>
              <w:rPr>
                <w:rFonts w:ascii="Arial" w:cs="Arial" w:eastAsia="Arial" w:hAnsi="Arial"/>
                <w:sz w:val="16"/>
                <w:szCs w:val="16"/>
                <w:b w:val="1"/>
                <w:bCs w:val="1"/>
                <w:color w:val="auto"/>
              </w:rPr>
              <w:t>$(48,422)</w:t>
            </w:r>
          </w:p>
        </w:tc>
        <w:tc>
          <w:tcPr>
            <w:tcW w:w="118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$8,155</w:t>
            </w:r>
          </w:p>
        </w:tc>
        <w:tc>
          <w:tcPr>
            <w:tcW w:w="148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$(143,155)</w:t>
            </w:r>
          </w:p>
        </w:tc>
      </w:tr>
    </w:tbl>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three and six months ended June 30, 2019 and 2018:</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top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 June 30,</w:t>
            </w:r>
          </w:p>
        </w:tc>
        <w:tc>
          <w:tcPr>
            <w:tcW w:w="2760" w:type="dxa"/>
            <w:vAlign w:val="bottom"/>
            <w:tcBorders>
              <w:top w:val="single" w:sz="8" w:color="auto"/>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3"/>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w w:val="96"/>
              </w:rPr>
              <w:t>2018</w:t>
            </w:r>
          </w:p>
        </w:tc>
        <w:tc>
          <w:tcPr>
            <w:tcW w:w="4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178"/>
        </w:trPr>
        <w:tc>
          <w:tcPr>
            <w:tcW w:w="5940" w:type="dxa"/>
            <w:vAlign w:val="bottom"/>
          </w:tcPr>
          <w:p>
            <w:pPr>
              <w:ind w:left="20"/>
              <w:spacing w:after="0" w:line="178" w:lineRule="exact"/>
              <w:rPr>
                <w:sz w:val="20"/>
                <w:szCs w:val="20"/>
                <w:color w:val="auto"/>
              </w:rPr>
            </w:pPr>
            <w:r>
              <w:rPr>
                <w:rFonts w:ascii="Arial" w:cs="Arial" w:eastAsia="Arial" w:hAnsi="Arial"/>
                <w:sz w:val="16"/>
                <w:szCs w:val="16"/>
                <w:b w:val="1"/>
                <w:bCs w:val="1"/>
                <w:color w:val="auto"/>
              </w:rPr>
              <w:t>Pretax Derivative valuation reclassified from Accumulated Other</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40" w:type="dxa"/>
            <w:vAlign w:val="bottom"/>
          </w:tcPr>
          <w:p>
            <w:pPr>
              <w:ind w:left="120"/>
              <w:spacing w:after="0"/>
              <w:rPr>
                <w:sz w:val="20"/>
                <w:szCs w:val="20"/>
                <w:color w:val="auto"/>
              </w:rPr>
            </w:pPr>
            <w:r>
              <w:rPr>
                <w:rFonts w:ascii="Arial" w:cs="Arial" w:eastAsia="Arial" w:hAnsi="Arial"/>
                <w:sz w:val="16"/>
                <w:szCs w:val="16"/>
                <w:color w:val="auto"/>
              </w:rPr>
              <w:t>Expense related to interest rate swaps included in Income</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(420)</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(872)</w:t>
            </w: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940" w:type="dxa"/>
            <w:vAlign w:val="bottom"/>
          </w:tcPr>
          <w:p>
            <w:pPr>
              <w:ind w:left="120"/>
              <w:spacing w:after="0"/>
              <w:rPr>
                <w:sz w:val="20"/>
                <w:szCs w:val="20"/>
                <w:color w:val="auto"/>
              </w:rPr>
            </w:pPr>
            <w:r>
              <w:rPr>
                <w:rFonts w:ascii="Arial" w:cs="Arial" w:eastAsia="Arial" w:hAnsi="Arial"/>
                <w:sz w:val="16"/>
                <w:szCs w:val="16"/>
                <w:color w:val="auto"/>
              </w:rPr>
              <w:t>before taxes(a)</w:t>
            </w:r>
          </w:p>
        </w:tc>
        <w:tc>
          <w:tcPr>
            <w:tcW w:w="50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360"/>
              <w:spacing w:after="0"/>
              <w:rPr>
                <w:sz w:val="20"/>
                <w:szCs w:val="20"/>
                <w:color w:val="auto"/>
              </w:rPr>
            </w:pPr>
            <w:r>
              <w:rPr>
                <w:rFonts w:ascii="Arial" w:cs="Arial" w:eastAsia="Arial" w:hAnsi="Arial"/>
                <w:sz w:val="16"/>
                <w:szCs w:val="16"/>
                <w:color w:val="auto"/>
              </w:rPr>
              <w:t>54</w:t>
            </w:r>
          </w:p>
        </w:tc>
        <w:tc>
          <w:tcPr>
            <w:tcW w:w="48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360"/>
              <w:spacing w:after="0"/>
              <w:rPr>
                <w:sz w:val="20"/>
                <w:szCs w:val="20"/>
                <w:color w:val="auto"/>
              </w:rPr>
            </w:pPr>
            <w:r>
              <w:rPr>
                <w:rFonts w:ascii="Arial" w:cs="Arial" w:eastAsia="Arial" w:hAnsi="Arial"/>
                <w:sz w:val="16"/>
                <w:szCs w:val="16"/>
                <w:color w:val="auto"/>
              </w:rPr>
              <w:t>234</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Income tax effect</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107</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(13)</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223</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01"/>
        </w:trPr>
        <w:tc>
          <w:tcPr>
            <w:tcW w:w="594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(313)</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300"/>
              <w:spacing w:after="0"/>
              <w:rPr>
                <w:sz w:val="20"/>
                <w:szCs w:val="20"/>
                <w:color w:val="auto"/>
              </w:rPr>
            </w:pPr>
            <w:r>
              <w:rPr>
                <w:rFonts w:ascii="Arial" w:cs="Arial" w:eastAsia="Arial" w:hAnsi="Arial"/>
                <w:sz w:val="16"/>
                <w:szCs w:val="16"/>
                <w:b w:val="1"/>
                <w:bCs w:val="1"/>
                <w:color w:val="auto"/>
              </w:rPr>
              <w:t>(649)</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5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41</w:t>
            </w:r>
          </w:p>
        </w:tc>
        <w:tc>
          <w:tcPr>
            <w:tcW w:w="4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1"/>
        </w:trPr>
        <w:tc>
          <w:tcPr>
            <w:tcW w:w="5940" w:type="dxa"/>
            <w:vAlign w:val="bottom"/>
          </w:tcPr>
          <w:p>
            <w:pPr>
              <w:ind w:left="20"/>
              <w:spacing w:after="0" w:line="181" w:lineRule="exact"/>
              <w:rPr>
                <w:sz w:val="20"/>
                <w:szCs w:val="20"/>
                <w:color w:val="auto"/>
              </w:rPr>
            </w:pPr>
            <w:r>
              <w:rPr>
                <w:rFonts w:ascii="Arial" w:cs="Arial" w:eastAsia="Arial" w:hAnsi="Arial"/>
                <w:sz w:val="16"/>
                <w:szCs w:val="16"/>
                <w:b w:val="1"/>
                <w:bCs w:val="1"/>
                <w:color w:val="auto"/>
              </w:rPr>
              <w:t>Pretax pension and postretirement liabilities reclassified from Accumulated</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Pension/postretirement curtailment</w:t>
            </w:r>
          </w:p>
        </w:tc>
        <w:tc>
          <w:tcPr>
            <w:tcW w:w="50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Arial" w:cs="Arial" w:eastAsia="Arial" w:hAnsi="Arial"/>
                <w:sz w:val="16"/>
                <w:szCs w:val="16"/>
                <w:b w:val="1"/>
                <w:bCs w:val="1"/>
                <w:color w:val="auto"/>
              </w:rPr>
              <w:t>—</w:t>
            </w:r>
          </w:p>
        </w:tc>
        <w:tc>
          <w:tcPr>
            <w:tcW w:w="500" w:type="dxa"/>
            <w:vAlign w:val="bottom"/>
          </w:tcPr>
          <w:p>
            <w:pPr>
              <w:spacing w:after="0"/>
              <w:rPr>
                <w:sz w:val="18"/>
                <w:szCs w:val="18"/>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(518)</w:t>
            </w:r>
          </w:p>
        </w:tc>
        <w:tc>
          <w:tcPr>
            <w:tcW w:w="48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spacing w:after="0"/>
              <w:rPr>
                <w:sz w:val="18"/>
                <w:szCs w:val="18"/>
                <w:color w:val="auto"/>
              </w:rPr>
            </w:pPr>
          </w:p>
        </w:tc>
        <w:tc>
          <w:tcPr>
            <w:tcW w:w="880" w:type="dxa"/>
            <w:vAlign w:val="bottom"/>
          </w:tcPr>
          <w:p>
            <w:pPr>
              <w:jc w:val="right"/>
              <w:ind w:right="340"/>
              <w:spacing w:after="0"/>
              <w:rPr>
                <w:sz w:val="20"/>
                <w:szCs w:val="20"/>
                <w:color w:val="auto"/>
              </w:rPr>
            </w:pPr>
            <w:r>
              <w:rPr>
                <w:rFonts w:ascii="Arial" w:cs="Arial" w:eastAsia="Arial" w:hAnsi="Arial"/>
                <w:sz w:val="16"/>
                <w:szCs w:val="16"/>
                <w:color w:val="auto"/>
              </w:rPr>
              <w:t>(518)</w:t>
            </w:r>
          </w:p>
        </w:tc>
        <w:tc>
          <w:tcPr>
            <w:tcW w:w="0" w:type="dxa"/>
            <w:vAlign w:val="bottom"/>
          </w:tcPr>
          <w:p>
            <w:pPr>
              <w:spacing w:after="0"/>
              <w:rPr>
                <w:sz w:val="1"/>
                <w:szCs w:val="1"/>
                <w:color w:val="auto"/>
              </w:rPr>
            </w:pPr>
          </w:p>
        </w:tc>
      </w:tr>
      <w:tr>
        <w:trPr>
          <w:trHeight w:val="216"/>
        </w:trPr>
        <w:tc>
          <w:tcPr>
            <w:tcW w:w="5940" w:type="dxa"/>
            <w:vAlign w:val="bottom"/>
          </w:tcPr>
          <w:p>
            <w:pPr>
              <w:ind w:left="120"/>
              <w:spacing w:after="0"/>
              <w:rPr>
                <w:sz w:val="20"/>
                <w:szCs w:val="20"/>
                <w:color w:val="auto"/>
              </w:rPr>
            </w:pPr>
            <w:r>
              <w:rPr>
                <w:rFonts w:ascii="Arial" w:cs="Arial" w:eastAsia="Arial" w:hAnsi="Arial"/>
                <w:sz w:val="16"/>
                <w:szCs w:val="16"/>
                <w:color w:val="auto"/>
              </w:rPr>
              <w:t>Amortization of prior service credit</w:t>
            </w:r>
          </w:p>
        </w:tc>
        <w:tc>
          <w:tcPr>
            <w:tcW w:w="13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(1,105)</w:t>
            </w: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(1,113)</w:t>
            </w:r>
          </w:p>
        </w:tc>
        <w:tc>
          <w:tcPr>
            <w:tcW w:w="134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(2,210)</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(2,227)</w:t>
            </w:r>
          </w:p>
        </w:tc>
        <w:tc>
          <w:tcPr>
            <w:tcW w:w="0" w:type="dxa"/>
            <w:vAlign w:val="bottom"/>
          </w:tcPr>
          <w:p>
            <w:pPr>
              <w:spacing w:after="0"/>
              <w:rPr>
                <w:sz w:val="1"/>
                <w:szCs w:val="1"/>
                <w:color w:val="auto"/>
              </w:rPr>
            </w:pPr>
          </w:p>
        </w:tc>
      </w:tr>
      <w:tr>
        <w:trPr>
          <w:trHeight w:val="219"/>
        </w:trPr>
        <w:tc>
          <w:tcPr>
            <w:tcW w:w="5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Amortization of net actuarial loss</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1,118</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w w:val="99"/>
              </w:rPr>
              <w:t>1,291</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2,239</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color w:val="auto"/>
              </w:rPr>
              <w:t>Total pretax amount reclassified(b)</w:t>
            </w:r>
          </w:p>
        </w:tc>
        <w:tc>
          <w:tcPr>
            <w:tcW w:w="50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Arial" w:cs="Arial" w:eastAsia="Arial" w:hAnsi="Arial"/>
                <w:sz w:val="16"/>
                <w:szCs w:val="16"/>
                <w:b w:val="1"/>
                <w:bCs w:val="1"/>
                <w:color w:val="auto"/>
              </w:rPr>
              <w:t>13</w:t>
            </w:r>
          </w:p>
        </w:tc>
        <w:tc>
          <w:tcPr>
            <w:tcW w:w="500" w:type="dxa"/>
            <w:vAlign w:val="bottom"/>
          </w:tcPr>
          <w:p>
            <w:pPr>
              <w:spacing w:after="0"/>
              <w:rPr>
                <w:sz w:val="18"/>
                <w:szCs w:val="18"/>
                <w:color w:val="auto"/>
              </w:rPr>
            </w:pPr>
          </w:p>
        </w:tc>
        <w:tc>
          <w:tcPr>
            <w:tcW w:w="860" w:type="dxa"/>
            <w:vAlign w:val="bottom"/>
          </w:tcPr>
          <w:p>
            <w:pPr>
              <w:jc w:val="right"/>
              <w:ind w:right="320"/>
              <w:spacing w:after="0"/>
              <w:rPr>
                <w:sz w:val="20"/>
                <w:szCs w:val="20"/>
                <w:color w:val="auto"/>
              </w:rPr>
            </w:pPr>
            <w:r>
              <w:rPr>
                <w:rFonts w:ascii="Arial" w:cs="Arial" w:eastAsia="Arial" w:hAnsi="Arial"/>
                <w:sz w:val="16"/>
                <w:szCs w:val="16"/>
                <w:color w:val="auto"/>
              </w:rPr>
              <w:t>(340)</w:t>
            </w:r>
          </w:p>
        </w:tc>
        <w:tc>
          <w:tcPr>
            <w:tcW w:w="480" w:type="dxa"/>
            <w:vAlign w:val="bottom"/>
          </w:tcPr>
          <w:p>
            <w:pPr>
              <w:spacing w:after="0"/>
              <w:rPr>
                <w:sz w:val="18"/>
                <w:szCs w:val="18"/>
                <w:color w:val="auto"/>
              </w:rPr>
            </w:pPr>
          </w:p>
        </w:tc>
        <w:tc>
          <w:tcPr>
            <w:tcW w:w="860" w:type="dxa"/>
            <w:vAlign w:val="bottom"/>
          </w:tcPr>
          <w:p>
            <w:pPr>
              <w:jc w:val="right"/>
              <w:ind w:right="340"/>
              <w:spacing w:after="0"/>
              <w:rPr>
                <w:sz w:val="20"/>
                <w:szCs w:val="20"/>
                <w:color w:val="auto"/>
              </w:rPr>
            </w:pPr>
            <w:r>
              <w:rPr>
                <w:rFonts w:ascii="Arial" w:cs="Arial" w:eastAsia="Arial" w:hAnsi="Arial"/>
                <w:sz w:val="16"/>
                <w:szCs w:val="16"/>
                <w:b w:val="1"/>
                <w:bCs w:val="1"/>
                <w:color w:val="auto"/>
              </w:rPr>
              <w:t>29</w:t>
            </w:r>
          </w:p>
        </w:tc>
        <w:tc>
          <w:tcPr>
            <w:tcW w:w="540" w:type="dxa"/>
            <w:vAlign w:val="bottom"/>
          </w:tcPr>
          <w:p>
            <w:pPr>
              <w:spacing w:after="0"/>
              <w:rPr>
                <w:sz w:val="18"/>
                <w:szCs w:val="18"/>
                <w:color w:val="auto"/>
              </w:rPr>
            </w:pPr>
          </w:p>
        </w:tc>
        <w:tc>
          <w:tcPr>
            <w:tcW w:w="880" w:type="dxa"/>
            <w:vAlign w:val="bottom"/>
          </w:tcPr>
          <w:p>
            <w:pPr>
              <w:jc w:val="right"/>
              <w:ind w:right="340"/>
              <w:spacing w:after="0"/>
              <w:rPr>
                <w:sz w:val="20"/>
                <w:szCs w:val="20"/>
                <w:color w:val="auto"/>
              </w:rPr>
            </w:pPr>
            <w:r>
              <w:rPr>
                <w:rFonts w:ascii="Arial" w:cs="Arial" w:eastAsia="Arial" w:hAnsi="Arial"/>
                <w:sz w:val="16"/>
                <w:szCs w:val="16"/>
                <w:color w:val="auto"/>
              </w:rPr>
              <w:t>(157)</w:t>
            </w:r>
          </w:p>
        </w:tc>
        <w:tc>
          <w:tcPr>
            <w:tcW w:w="0" w:type="dxa"/>
            <w:vAlign w:val="bottom"/>
          </w:tcPr>
          <w:p>
            <w:pPr>
              <w:spacing w:after="0"/>
              <w:rPr>
                <w:sz w:val="1"/>
                <w:szCs w:val="1"/>
                <w:color w:val="auto"/>
              </w:rPr>
            </w:pPr>
          </w:p>
        </w:tc>
      </w:tr>
      <w:tr>
        <w:trPr>
          <w:trHeight w:val="21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effect</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(4)</w:t>
            </w: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102</w:t>
            </w: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0"/>
              <w:spacing w:after="0"/>
              <w:rPr>
                <w:sz w:val="20"/>
                <w:szCs w:val="20"/>
                <w:color w:val="auto"/>
              </w:rPr>
            </w:pPr>
            <w:r>
              <w:rPr>
                <w:rFonts w:ascii="Arial" w:cs="Arial" w:eastAsia="Arial" w:hAnsi="Arial"/>
                <w:sz w:val="16"/>
                <w:szCs w:val="16"/>
                <w:b w:val="1"/>
                <w:bCs w:val="1"/>
                <w:color w:val="auto"/>
              </w:rPr>
              <w:t>(9)</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1"/>
        </w:trPr>
        <w:tc>
          <w:tcPr>
            <w:tcW w:w="5940" w:type="dxa"/>
            <w:vAlign w:val="bottom"/>
          </w:tcPr>
          <w:p>
            <w:pPr>
              <w:ind w:left="20"/>
              <w:spacing w:after="0"/>
              <w:rPr>
                <w:sz w:val="20"/>
                <w:szCs w:val="20"/>
                <w:color w:val="auto"/>
              </w:rPr>
            </w:pPr>
            <w:r>
              <w:rPr>
                <w:rFonts w:ascii="Arial" w:cs="Arial" w:eastAsia="Arial" w:hAnsi="Arial"/>
                <w:sz w:val="16"/>
                <w:szCs w:val="16"/>
                <w:color w:val="auto"/>
              </w:rPr>
              <w:t>Effect on net income due to items reclassified from Accumulated Other</w:t>
            </w: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9</w:t>
            </w: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ind w:right="340"/>
              <w:spacing w:after="0"/>
              <w:rPr>
                <w:sz w:val="20"/>
                <w:szCs w:val="20"/>
                <w:color w:val="auto"/>
              </w:rPr>
            </w:pPr>
            <w:r>
              <w:rPr>
                <w:rFonts w:ascii="Arial" w:cs="Arial" w:eastAsia="Arial" w:hAnsi="Arial"/>
                <w:sz w:val="16"/>
                <w:szCs w:val="16"/>
                <w:b w:val="1"/>
                <w:bCs w:val="1"/>
                <w:color w:val="auto"/>
              </w:rPr>
              <w:t>20</w:t>
            </w:r>
          </w:p>
        </w:tc>
        <w:tc>
          <w:tcPr>
            <w:tcW w:w="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w:t>
            </w:r>
          </w:p>
        </w:tc>
        <w:tc>
          <w:tcPr>
            <w:tcW w:w="5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(238)</w:t>
            </w:r>
          </w:p>
        </w:tc>
        <w:tc>
          <w:tcPr>
            <w:tcW w:w="48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40" w:hanging="318"/>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Included in Interest expense, net, are payments related to the interest rate swap agreements and amortization of swap buyouts (see Notes 15 and 16).</w:t>
      </w:r>
    </w:p>
    <w:p>
      <w:pPr>
        <w:spacing w:after="0" w:line="32" w:lineRule="exact"/>
        <w:rPr>
          <w:rFonts w:ascii="Arial" w:cs="Arial" w:eastAsia="Arial" w:hAnsi="Arial"/>
          <w:sz w:val="16"/>
          <w:szCs w:val="16"/>
          <w:color w:val="auto"/>
        </w:rPr>
      </w:pPr>
    </w:p>
    <w:p>
      <w:pPr>
        <w:ind w:left="340" w:hanging="318"/>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These accumulated other comprehensive income components are included in the computation of net periodic cost (see Note 4).</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Noncontrolling Interest</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7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89"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 Company’s subsidiary Albany Safran Composites,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91440</wp:posOffset>
            </wp:positionV>
            <wp:extent cx="5977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138" w:lineRule="exact"/>
        <w:rPr>
          <w:sz w:val="20"/>
          <w:szCs w:val="20"/>
          <w:color w:val="auto"/>
        </w:rPr>
      </w:pPr>
    </w:p>
    <w:p>
      <w:pPr>
        <w:ind w:left="7920"/>
        <w:spacing w:after="0"/>
        <w:rPr>
          <w:sz w:val="20"/>
          <w:szCs w:val="20"/>
          <w:color w:val="auto"/>
        </w:rPr>
      </w:pPr>
      <w:r>
        <w:rPr>
          <w:rFonts w:ascii="Arial" w:cs="Arial" w:eastAsia="Arial" w:hAnsi="Arial"/>
          <w:sz w:val="14"/>
          <w:szCs w:val="14"/>
          <w:b w:val="1"/>
          <w:bCs w:val="1"/>
          <w:color w:val="auto"/>
        </w:rPr>
        <w:t>Six months ended June 30,</w:t>
      </w:r>
    </w:p>
    <w:p>
      <w:pPr>
        <w:spacing w:after="0" w:line="28" w:lineRule="exact"/>
        <w:rPr>
          <w:sz w:val="20"/>
          <w:szCs w:val="20"/>
          <w:color w:val="auto"/>
        </w:rPr>
      </w:pPr>
    </w:p>
    <w:tbl>
      <w:tblPr>
        <w:tblLayout w:type="fixed"/>
        <w:tblInd w:w="1000" w:type="dxa"/>
        <w:tblCellMar>
          <w:top w:w="0" w:type="dxa"/>
          <w:left w:w="0" w:type="dxa"/>
          <w:bottom w:w="0" w:type="dxa"/>
          <w:right w:w="0" w:type="dxa"/>
        </w:tblCellMar>
      </w:tblPr>
      <w:tr>
        <w:trPr>
          <w:trHeight w:val="183"/>
        </w:trPr>
        <w:tc>
          <w:tcPr>
            <w:tcW w:w="6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2019</w:t>
            </w:r>
          </w:p>
        </w:tc>
        <w:tc>
          <w:tcPr>
            <w:tcW w:w="1540" w:type="dxa"/>
            <w:vAlign w:val="bottom"/>
            <w:tcBorders>
              <w:top w:val="single" w:sz="8" w:color="auto"/>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rPr>
              <w:t>2018</w:t>
            </w:r>
          </w:p>
        </w:tc>
      </w:tr>
      <w:tr>
        <w:trPr>
          <w:trHeight w:val="205"/>
        </w:trPr>
        <w:tc>
          <w:tcPr>
            <w:tcW w:w="6220" w:type="dxa"/>
            <w:vAlign w:val="bottom"/>
          </w:tcPr>
          <w:p>
            <w:pPr>
              <w:ind w:left="20"/>
              <w:spacing w:after="0"/>
              <w:rPr>
                <w:sz w:val="20"/>
                <w:szCs w:val="20"/>
                <w:color w:val="auto"/>
              </w:rPr>
            </w:pPr>
            <w:r>
              <w:rPr>
                <w:rFonts w:ascii="Arial" w:cs="Arial" w:eastAsia="Arial" w:hAnsi="Arial"/>
                <w:sz w:val="16"/>
                <w:szCs w:val="16"/>
                <w:color w:val="auto"/>
              </w:rPr>
              <w:t>Net income of Albany Safran Composites (ASC)</w:t>
            </w:r>
          </w:p>
        </w:tc>
        <w:tc>
          <w:tcPr>
            <w:tcW w:w="1660" w:type="dxa"/>
            <w:vAlign w:val="bottom"/>
          </w:tcPr>
          <w:p>
            <w:pPr>
              <w:jc w:val="right"/>
              <w:ind w:right="500"/>
              <w:spacing w:after="0"/>
              <w:rPr>
                <w:sz w:val="20"/>
                <w:szCs w:val="20"/>
                <w:color w:val="auto"/>
              </w:rPr>
            </w:pPr>
            <w:r>
              <w:rPr>
                <w:rFonts w:ascii="Arial" w:cs="Arial" w:eastAsia="Arial" w:hAnsi="Arial"/>
                <w:sz w:val="16"/>
                <w:szCs w:val="16"/>
                <w:b w:val="1"/>
                <w:bCs w:val="1"/>
                <w:color w:val="auto"/>
              </w:rPr>
              <w:t>$4,884</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59"/>
              <w:spacing w:after="0"/>
              <w:rPr>
                <w:sz w:val="20"/>
                <w:szCs w:val="20"/>
                <w:color w:val="auto"/>
              </w:rPr>
            </w:pPr>
            <w:r>
              <w:rPr>
                <w:rFonts w:ascii="Arial" w:cs="Arial" w:eastAsia="Arial" w:hAnsi="Arial"/>
                <w:sz w:val="16"/>
                <w:szCs w:val="16"/>
                <w:color w:val="auto"/>
                <w:w w:val="94"/>
              </w:rPr>
              <w:t>2,419</w:t>
            </w:r>
          </w:p>
        </w:tc>
      </w:tr>
      <w:tr>
        <w:trPr>
          <w:trHeight w:val="21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Return attributable to the Company's preferred holding</w:t>
            </w:r>
          </w:p>
        </w:tc>
        <w:tc>
          <w:tcPr>
            <w:tcW w:w="16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652</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635</w:t>
            </w:r>
          </w:p>
        </w:tc>
      </w:tr>
      <w:tr>
        <w:trPr>
          <w:trHeight w:val="208"/>
        </w:trPr>
        <w:tc>
          <w:tcPr>
            <w:tcW w:w="6220" w:type="dxa"/>
            <w:vAlign w:val="bottom"/>
          </w:tcPr>
          <w:p>
            <w:pPr>
              <w:ind w:left="20"/>
              <w:spacing w:after="0"/>
              <w:rPr>
                <w:sz w:val="20"/>
                <w:szCs w:val="20"/>
                <w:color w:val="auto"/>
              </w:rPr>
            </w:pPr>
            <w:r>
              <w:rPr>
                <w:rFonts w:ascii="Arial" w:cs="Arial" w:eastAsia="Arial" w:hAnsi="Arial"/>
                <w:sz w:val="16"/>
                <w:szCs w:val="16"/>
                <w:color w:val="auto"/>
              </w:rPr>
              <w:t>Net income of ASC available for common ownership</w:t>
            </w:r>
          </w:p>
        </w:tc>
        <w:tc>
          <w:tcPr>
            <w:tcW w:w="1660" w:type="dxa"/>
            <w:vAlign w:val="bottom"/>
          </w:tcPr>
          <w:p>
            <w:pPr>
              <w:jc w:val="right"/>
              <w:ind w:right="500"/>
              <w:spacing w:after="0"/>
              <w:rPr>
                <w:sz w:val="20"/>
                <w:szCs w:val="20"/>
                <w:color w:val="auto"/>
              </w:rPr>
            </w:pPr>
            <w:r>
              <w:rPr>
                <w:rFonts w:ascii="Arial" w:cs="Arial" w:eastAsia="Arial" w:hAnsi="Arial"/>
                <w:sz w:val="16"/>
                <w:szCs w:val="16"/>
                <w:b w:val="1"/>
                <w:bCs w:val="1"/>
                <w:color w:val="auto"/>
              </w:rPr>
              <w:t>$4,232</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59"/>
              <w:spacing w:after="0"/>
              <w:rPr>
                <w:sz w:val="20"/>
                <w:szCs w:val="20"/>
                <w:color w:val="auto"/>
              </w:rPr>
            </w:pPr>
            <w:r>
              <w:rPr>
                <w:rFonts w:ascii="Arial" w:cs="Arial" w:eastAsia="Arial" w:hAnsi="Arial"/>
                <w:sz w:val="16"/>
                <w:szCs w:val="16"/>
                <w:color w:val="auto"/>
                <w:w w:val="94"/>
              </w:rPr>
              <w:t>1,784</w:t>
            </w:r>
          </w:p>
        </w:tc>
      </w:tr>
      <w:tr>
        <w:trPr>
          <w:trHeight w:val="218"/>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Ownership percentage of noncontrolling shareholder</w:t>
            </w:r>
          </w:p>
        </w:tc>
        <w:tc>
          <w:tcPr>
            <w:tcW w:w="166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10%</w:t>
            </w:r>
          </w:p>
        </w:tc>
        <w:tc>
          <w:tcPr>
            <w:tcW w:w="6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10%</w:t>
            </w:r>
          </w:p>
        </w:tc>
      </w:tr>
      <w:tr>
        <w:trPr>
          <w:trHeight w:val="21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6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  423</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178</w:t>
            </w:r>
          </w:p>
        </w:tc>
      </w:tr>
      <w:tr>
        <w:trPr>
          <w:trHeight w:val="393"/>
        </w:trPr>
        <w:tc>
          <w:tcPr>
            <w:tcW w:w="6220" w:type="dxa"/>
            <w:vAlign w:val="bottom"/>
          </w:tcPr>
          <w:p>
            <w:pPr>
              <w:ind w:left="20"/>
              <w:spacing w:after="0"/>
              <w:rPr>
                <w:sz w:val="20"/>
                <w:szCs w:val="20"/>
                <w:color w:val="auto"/>
              </w:rPr>
            </w:pPr>
            <w:r>
              <w:rPr>
                <w:rFonts w:ascii="Arial" w:cs="Arial" w:eastAsia="Arial" w:hAnsi="Arial"/>
                <w:sz w:val="16"/>
                <w:szCs w:val="16"/>
                <w:color w:val="auto"/>
              </w:rPr>
              <w:t>Noncontrolling interest, beginning of year</w:t>
            </w:r>
          </w:p>
        </w:tc>
        <w:tc>
          <w:tcPr>
            <w:tcW w:w="1660" w:type="dxa"/>
            <w:vAlign w:val="bottom"/>
          </w:tcPr>
          <w:p>
            <w:pPr>
              <w:jc w:val="right"/>
              <w:ind w:right="500"/>
              <w:spacing w:after="0"/>
              <w:rPr>
                <w:sz w:val="20"/>
                <w:szCs w:val="20"/>
                <w:color w:val="auto"/>
              </w:rPr>
            </w:pPr>
            <w:r>
              <w:rPr>
                <w:rFonts w:ascii="Arial" w:cs="Arial" w:eastAsia="Arial" w:hAnsi="Arial"/>
                <w:sz w:val="16"/>
                <w:szCs w:val="16"/>
                <w:b w:val="1"/>
                <w:bCs w:val="1"/>
                <w:color w:val="auto"/>
              </w:rPr>
              <w:t>$3,031</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459"/>
              <w:spacing w:after="0"/>
              <w:rPr>
                <w:sz w:val="20"/>
                <w:szCs w:val="20"/>
                <w:color w:val="auto"/>
              </w:rPr>
            </w:pPr>
            <w:r>
              <w:rPr>
                <w:rFonts w:ascii="Arial" w:cs="Arial" w:eastAsia="Arial" w:hAnsi="Arial"/>
                <w:sz w:val="16"/>
                <w:szCs w:val="16"/>
                <w:color w:val="auto"/>
                <w:w w:val="94"/>
              </w:rPr>
              <w:t>3,247</w:t>
            </w: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color w:val="auto"/>
              </w:rPr>
              <w:t>Decrease attributable to 2018 adoption of ASC 606</w:t>
            </w:r>
          </w:p>
        </w:tc>
        <w:tc>
          <w:tcPr>
            <w:tcW w:w="1660" w:type="dxa"/>
            <w:vAlign w:val="bottom"/>
          </w:tcPr>
          <w:p>
            <w:pPr>
              <w:jc w:val="right"/>
              <w:ind w:right="50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spacing w:after="0"/>
              <w:rPr>
                <w:sz w:val="18"/>
                <w:szCs w:val="18"/>
                <w:color w:val="auto"/>
              </w:rPr>
            </w:pPr>
          </w:p>
        </w:tc>
        <w:tc>
          <w:tcPr>
            <w:tcW w:w="940" w:type="dxa"/>
            <w:vAlign w:val="bottom"/>
          </w:tcPr>
          <w:p>
            <w:pPr>
              <w:jc w:val="right"/>
              <w:ind w:right="439"/>
              <w:spacing w:after="0"/>
              <w:rPr>
                <w:sz w:val="20"/>
                <w:szCs w:val="20"/>
                <w:color w:val="auto"/>
              </w:rPr>
            </w:pPr>
            <w:r>
              <w:rPr>
                <w:rFonts w:ascii="Arial" w:cs="Arial" w:eastAsia="Arial" w:hAnsi="Arial"/>
                <w:sz w:val="16"/>
                <w:szCs w:val="16"/>
                <w:color w:val="auto"/>
              </w:rPr>
              <w:t>(327)</w:t>
            </w:r>
          </w:p>
        </w:tc>
      </w:tr>
      <w:tr>
        <w:trPr>
          <w:trHeight w:val="216"/>
        </w:trPr>
        <w:tc>
          <w:tcPr>
            <w:tcW w:w="6220" w:type="dxa"/>
            <w:vAlign w:val="bottom"/>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660" w:type="dxa"/>
            <w:vAlign w:val="bottom"/>
          </w:tcPr>
          <w:p>
            <w:pPr>
              <w:jc w:val="right"/>
              <w:ind w:right="500"/>
              <w:spacing w:after="0"/>
              <w:rPr>
                <w:sz w:val="20"/>
                <w:szCs w:val="20"/>
                <w:color w:val="auto"/>
              </w:rPr>
            </w:pPr>
            <w:r>
              <w:rPr>
                <w:rFonts w:ascii="Arial" w:cs="Arial" w:eastAsia="Arial" w:hAnsi="Arial"/>
                <w:sz w:val="16"/>
                <w:szCs w:val="16"/>
                <w:b w:val="1"/>
                <w:bCs w:val="1"/>
                <w:color w:val="auto"/>
              </w:rPr>
              <w:t>423</w:t>
            </w:r>
          </w:p>
        </w:tc>
        <w:tc>
          <w:tcPr>
            <w:tcW w:w="600" w:type="dxa"/>
            <w:vAlign w:val="bottom"/>
          </w:tcPr>
          <w:p>
            <w:pPr>
              <w:spacing w:after="0"/>
              <w:rPr>
                <w:sz w:val="18"/>
                <w:szCs w:val="18"/>
                <w:color w:val="auto"/>
              </w:rPr>
            </w:pPr>
          </w:p>
        </w:tc>
        <w:tc>
          <w:tcPr>
            <w:tcW w:w="940" w:type="dxa"/>
            <w:vAlign w:val="bottom"/>
          </w:tcPr>
          <w:p>
            <w:pPr>
              <w:jc w:val="right"/>
              <w:ind w:right="459"/>
              <w:spacing w:after="0"/>
              <w:rPr>
                <w:sz w:val="20"/>
                <w:szCs w:val="20"/>
                <w:color w:val="auto"/>
              </w:rPr>
            </w:pPr>
            <w:r>
              <w:rPr>
                <w:rFonts w:ascii="Arial" w:cs="Arial" w:eastAsia="Arial" w:hAnsi="Arial"/>
                <w:sz w:val="16"/>
                <w:szCs w:val="16"/>
                <w:color w:val="auto"/>
              </w:rPr>
              <w:t>178</w:t>
            </w:r>
          </w:p>
        </w:tc>
      </w:tr>
      <w:tr>
        <w:trPr>
          <w:trHeight w:val="219"/>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Changes in other comprehensive income attributable to noncontrolling interest</w:t>
            </w:r>
          </w:p>
        </w:tc>
        <w:tc>
          <w:tcPr>
            <w:tcW w:w="16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(6)</w:t>
            </w: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4</w:t>
            </w:r>
          </w:p>
        </w:tc>
      </w:tr>
      <w:tr>
        <w:trPr>
          <w:trHeight w:val="212"/>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Noncontrolling interest</w:t>
            </w:r>
          </w:p>
        </w:tc>
        <w:tc>
          <w:tcPr>
            <w:tcW w:w="16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$3,448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94"/>
              </w:rPr>
              <w:t>3,102</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 includes trade receivables.</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connection with certain sales in Asia, the Company accepts a bank promissory note as customer payment. The notes may be presented for payment at maturity, which is less than one year.</w:t>
      </w:r>
    </w:p>
    <w:p>
      <w:pPr>
        <w:spacing w:after="0" w:line="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 also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and December 31, 2018, Accounts receivable consisted of the following:</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0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June 30, 2019</w:t>
            </w:r>
          </w:p>
        </w:tc>
        <w:tc>
          <w:tcPr>
            <w:tcW w:w="19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December 31, 2018</w:t>
            </w:r>
          </w:p>
        </w:tc>
      </w:tr>
      <w:tr>
        <w:trPr>
          <w:trHeight w:val="205"/>
        </w:trPr>
        <w:tc>
          <w:tcPr>
            <w:tcW w:w="4440" w:type="dxa"/>
            <w:vAlign w:val="bottom"/>
          </w:tcPr>
          <w:p>
            <w:pPr>
              <w:ind w:left="20"/>
              <w:spacing w:after="0"/>
              <w:rPr>
                <w:sz w:val="20"/>
                <w:szCs w:val="20"/>
                <w:color w:val="auto"/>
              </w:rPr>
            </w:pPr>
            <w:r>
              <w:rPr>
                <w:rFonts w:ascii="Arial" w:cs="Arial" w:eastAsia="Arial" w:hAnsi="Arial"/>
                <w:sz w:val="16"/>
                <w:szCs w:val="16"/>
                <w:color w:val="auto"/>
              </w:rPr>
              <w:t>Trade and other accounts receivable</w:t>
            </w:r>
          </w:p>
        </w:tc>
        <w:tc>
          <w:tcPr>
            <w:tcW w:w="3040" w:type="dxa"/>
            <w:vAlign w:val="bottom"/>
          </w:tcPr>
          <w:p>
            <w:pPr>
              <w:jc w:val="right"/>
              <w:ind w:right="361"/>
              <w:spacing w:after="0"/>
              <w:rPr>
                <w:sz w:val="20"/>
                <w:szCs w:val="20"/>
                <w:color w:val="auto"/>
              </w:rPr>
            </w:pPr>
            <w:r>
              <w:rPr>
                <w:rFonts w:ascii="Arial" w:cs="Arial" w:eastAsia="Arial" w:hAnsi="Arial"/>
                <w:sz w:val="16"/>
                <w:szCs w:val="16"/>
                <w:b w:val="1"/>
                <w:bCs w:val="1"/>
                <w:color w:val="auto"/>
              </w:rPr>
              <w:t>$214,045</w:t>
            </w:r>
          </w:p>
        </w:tc>
        <w:tc>
          <w:tcPr>
            <w:tcW w:w="1940" w:type="dxa"/>
            <w:vAlign w:val="bottom"/>
          </w:tcPr>
          <w:p>
            <w:pPr>
              <w:jc w:val="right"/>
              <w:ind w:right="561"/>
              <w:spacing w:after="0"/>
              <w:rPr>
                <w:sz w:val="20"/>
                <w:szCs w:val="20"/>
                <w:color w:val="auto"/>
              </w:rPr>
            </w:pPr>
            <w:r>
              <w:rPr>
                <w:rFonts w:ascii="Arial" w:cs="Arial" w:eastAsia="Arial" w:hAnsi="Arial"/>
                <w:sz w:val="16"/>
                <w:szCs w:val="16"/>
                <w:color w:val="auto"/>
              </w:rPr>
              <w:t>$211,244</w:t>
            </w:r>
          </w:p>
        </w:tc>
      </w:tr>
      <w:tr>
        <w:trPr>
          <w:trHeight w:val="215"/>
        </w:trPr>
        <w:tc>
          <w:tcPr>
            <w:tcW w:w="4440" w:type="dxa"/>
            <w:vAlign w:val="bottom"/>
          </w:tcPr>
          <w:p>
            <w:pPr>
              <w:ind w:left="20"/>
              <w:spacing w:after="0"/>
              <w:rPr>
                <w:sz w:val="20"/>
                <w:szCs w:val="20"/>
                <w:color w:val="auto"/>
              </w:rPr>
            </w:pPr>
            <w:r>
              <w:rPr>
                <w:rFonts w:ascii="Arial" w:cs="Arial" w:eastAsia="Arial" w:hAnsi="Arial"/>
                <w:sz w:val="16"/>
                <w:szCs w:val="16"/>
                <w:color w:val="auto"/>
              </w:rPr>
              <w:t>Bank promissory notes</w:t>
            </w:r>
          </w:p>
        </w:tc>
        <w:tc>
          <w:tcPr>
            <w:tcW w:w="3040" w:type="dxa"/>
            <w:vAlign w:val="bottom"/>
          </w:tcPr>
          <w:p>
            <w:pPr>
              <w:jc w:val="right"/>
              <w:ind w:right="361"/>
              <w:spacing w:after="0"/>
              <w:rPr>
                <w:sz w:val="20"/>
                <w:szCs w:val="20"/>
                <w:color w:val="auto"/>
              </w:rPr>
            </w:pPr>
            <w:r>
              <w:rPr>
                <w:rFonts w:ascii="Arial" w:cs="Arial" w:eastAsia="Arial" w:hAnsi="Arial"/>
                <w:sz w:val="16"/>
                <w:szCs w:val="16"/>
                <w:b w:val="1"/>
                <w:bCs w:val="1"/>
                <w:color w:val="auto"/>
              </w:rPr>
              <w:t>14,680</w:t>
            </w:r>
          </w:p>
        </w:tc>
        <w:tc>
          <w:tcPr>
            <w:tcW w:w="1940" w:type="dxa"/>
            <w:vAlign w:val="bottom"/>
          </w:tcPr>
          <w:p>
            <w:pPr>
              <w:jc w:val="right"/>
              <w:ind w:right="561"/>
              <w:spacing w:after="0"/>
              <w:rPr>
                <w:sz w:val="20"/>
                <w:szCs w:val="20"/>
                <w:color w:val="auto"/>
              </w:rPr>
            </w:pPr>
            <w:r>
              <w:rPr>
                <w:rFonts w:ascii="Arial" w:cs="Arial" w:eastAsia="Arial" w:hAnsi="Arial"/>
                <w:sz w:val="16"/>
                <w:szCs w:val="16"/>
                <w:color w:val="auto"/>
              </w:rPr>
              <w:t>19,269</w:t>
            </w:r>
          </w:p>
        </w:tc>
      </w:tr>
      <w:tr>
        <w:trPr>
          <w:trHeight w:val="219"/>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doubtful accounts</w:t>
            </w:r>
          </w:p>
        </w:tc>
        <w:tc>
          <w:tcPr>
            <w:tcW w:w="30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(8,141)</w:t>
            </w:r>
          </w:p>
        </w:tc>
        <w:tc>
          <w:tcPr>
            <w:tcW w:w="194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color w:val="auto"/>
              </w:rPr>
              <w:t>(7,337)</w:t>
            </w:r>
          </w:p>
        </w:tc>
      </w:tr>
      <w:tr>
        <w:trPr>
          <w:trHeight w:val="212"/>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Accounts receivable, net</w:t>
            </w:r>
          </w:p>
        </w:tc>
        <w:tc>
          <w:tcPr>
            <w:tcW w:w="304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$220,584</w:t>
            </w:r>
          </w:p>
        </w:tc>
        <w:tc>
          <w:tcPr>
            <w:tcW w:w="194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color w:val="auto"/>
              </w:rPr>
              <w:t>$223,176</w:t>
            </w:r>
          </w:p>
        </w:tc>
      </w:tr>
    </w:tbl>
    <w:p>
      <w:pPr>
        <w:spacing w:after="0" w:line="202"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with 2% interest, over a 10-year period starting in 2020.</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and December 31, 2018, Noncurrent receivables consisted of the following:</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8"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9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520" w:type="dxa"/>
            <w:vAlign w:val="bottom"/>
            <w:tcBorders>
              <w:top w:val="single" w:sz="8" w:color="auto"/>
              <w:bottom w:val="single" w:sz="8" w:color="auto"/>
            </w:tcBorders>
          </w:tcPr>
          <w:p>
            <w:pPr>
              <w:jc w:val="center"/>
              <w:ind w:left="1903"/>
              <w:spacing w:after="0"/>
              <w:rPr>
                <w:sz w:val="20"/>
                <w:szCs w:val="20"/>
                <w:color w:val="auto"/>
              </w:rPr>
            </w:pPr>
            <w:r>
              <w:rPr>
                <w:rFonts w:ascii="Arial" w:cs="Arial" w:eastAsia="Arial" w:hAnsi="Arial"/>
                <w:sz w:val="14"/>
                <w:szCs w:val="14"/>
                <w:b w:val="1"/>
                <w:bCs w:val="1"/>
                <w:color w:val="auto"/>
              </w:rPr>
              <w:t>June 30, 2019</w:t>
            </w: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December 31, 2018</w:t>
            </w:r>
          </w:p>
        </w:tc>
      </w:tr>
      <w:tr>
        <w:trPr>
          <w:trHeight w:val="209"/>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receivables</w:t>
            </w:r>
          </w:p>
        </w:tc>
        <w:tc>
          <w:tcPr>
            <w:tcW w:w="3520" w:type="dxa"/>
            <w:vAlign w:val="bottom"/>
            <w:tcBorders>
              <w:bottom w:val="single" w:sz="8" w:color="auto"/>
            </w:tcBorders>
          </w:tcPr>
          <w:p>
            <w:pPr>
              <w:jc w:val="right"/>
              <w:ind w:right="403"/>
              <w:spacing w:after="0"/>
              <w:rPr>
                <w:sz w:val="20"/>
                <w:szCs w:val="20"/>
                <w:color w:val="auto"/>
              </w:rPr>
            </w:pPr>
            <w:r>
              <w:rPr>
                <w:rFonts w:ascii="Arial" w:cs="Arial" w:eastAsia="Arial" w:hAnsi="Arial"/>
                <w:sz w:val="16"/>
                <w:szCs w:val="16"/>
                <w:b w:val="1"/>
                <w:bCs w:val="1"/>
                <w:color w:val="auto"/>
              </w:rPr>
              <w:t>$45,651</w:t>
            </w:r>
          </w:p>
        </w:tc>
        <w:tc>
          <w:tcPr>
            <w:tcW w:w="1940" w:type="dxa"/>
            <w:vAlign w:val="bottom"/>
            <w:tcBorders>
              <w:bottom w:val="single" w:sz="8" w:color="auto"/>
            </w:tcBorders>
          </w:tcPr>
          <w:p>
            <w:pPr>
              <w:jc w:val="right"/>
              <w:ind w:right="623"/>
              <w:spacing w:after="0"/>
              <w:rPr>
                <w:sz w:val="20"/>
                <w:szCs w:val="20"/>
                <w:color w:val="auto"/>
              </w:rPr>
            </w:pPr>
            <w:r>
              <w:rPr>
                <w:rFonts w:ascii="Arial" w:cs="Arial" w:eastAsia="Arial" w:hAnsi="Arial"/>
                <w:sz w:val="16"/>
                <w:szCs w:val="16"/>
                <w:color w:val="auto"/>
              </w:rPr>
              <w:t>$45,061</w:t>
            </w:r>
          </w:p>
        </w:tc>
      </w:tr>
    </w:tbl>
    <w:p>
      <w:pPr>
        <w:spacing w:after="0" w:line="200" w:lineRule="exact"/>
        <w:rPr>
          <w:sz w:val="20"/>
          <w:szCs w:val="20"/>
          <w:color w:val="auto"/>
        </w:rPr>
      </w:pP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0420"/>
          </w:cols>
          <w:pgMar w:left="240" w:top="269" w:right="1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94"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 As of June 30, 2019 and December 31, 2018 Contract assets and Contract liabilities consisted of the following:</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7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720" w:type="dxa"/>
            <w:vAlign w:val="bottom"/>
            <w:tcBorders>
              <w:top w:val="single" w:sz="8" w:color="auto"/>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June 30, 2019</w:t>
            </w:r>
          </w:p>
        </w:tc>
        <w:tc>
          <w:tcPr>
            <w:tcW w:w="1940" w:type="dxa"/>
            <w:vAlign w:val="bottom"/>
            <w:tcBorders>
              <w:top w:val="single" w:sz="8" w:color="auto"/>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December 31, 2018</w:t>
            </w:r>
          </w:p>
        </w:tc>
      </w:tr>
      <w:tr>
        <w:trPr>
          <w:trHeight w:val="209"/>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assets</w:t>
            </w:r>
          </w:p>
        </w:tc>
        <w:tc>
          <w:tcPr>
            <w:tcW w:w="37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$54,431</w:t>
            </w:r>
          </w:p>
        </w:tc>
        <w:tc>
          <w:tcPr>
            <w:tcW w:w="19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$57,447</w:t>
            </w:r>
          </w:p>
        </w:tc>
      </w:tr>
      <w:tr>
        <w:trPr>
          <w:trHeight w:val="210"/>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Contract liabilities</w:t>
            </w:r>
          </w:p>
        </w:tc>
        <w:tc>
          <w:tcPr>
            <w:tcW w:w="3720" w:type="dxa"/>
            <w:vAlign w:val="bottom"/>
            <w:tcBorders>
              <w:bottom w:val="single" w:sz="8" w:color="auto"/>
            </w:tcBorders>
          </w:tcPr>
          <w:p>
            <w:pPr>
              <w:jc w:val="right"/>
              <w:ind w:right="402"/>
              <w:spacing w:after="0"/>
              <w:rPr>
                <w:sz w:val="20"/>
                <w:szCs w:val="20"/>
                <w:color w:val="auto"/>
              </w:rPr>
            </w:pPr>
            <w:r>
              <w:rPr>
                <w:rFonts w:ascii="Arial" w:cs="Arial" w:eastAsia="Arial" w:hAnsi="Arial"/>
                <w:sz w:val="16"/>
                <w:szCs w:val="16"/>
                <w:b w:val="1"/>
                <w:bCs w:val="1"/>
                <w:color w:val="auto"/>
              </w:rPr>
              <w:t>6,824</w:t>
            </w:r>
          </w:p>
        </w:tc>
        <w:tc>
          <w:tcPr>
            <w:tcW w:w="1940" w:type="dxa"/>
            <w:vAlign w:val="bottom"/>
            <w:tcBorders>
              <w:bottom w:val="single" w:sz="8" w:color="auto"/>
            </w:tcBorders>
          </w:tcPr>
          <w:p>
            <w:pPr>
              <w:jc w:val="right"/>
              <w:ind w:right="622"/>
              <w:spacing w:after="0"/>
              <w:rPr>
                <w:sz w:val="20"/>
                <w:szCs w:val="20"/>
                <w:color w:val="auto"/>
              </w:rPr>
            </w:pPr>
            <w:r>
              <w:rPr>
                <w:rFonts w:ascii="Arial" w:cs="Arial" w:eastAsia="Arial" w:hAnsi="Arial"/>
                <w:sz w:val="16"/>
                <w:szCs w:val="16"/>
                <w:color w:val="auto"/>
              </w:rPr>
              <w:t>9,025</w:t>
            </w:r>
          </w:p>
        </w:tc>
      </w:tr>
    </w:tbl>
    <w:p>
      <w:pPr>
        <w:spacing w:after="0" w:line="20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Contract assets decreased approximately $3 million during the six month period ended June 30, 2019. The decrease was primarily due to invoicing to customers exceeding revenue recognized for satisfied performance obligations for contracts that were in a contract asset position. There were no impairment losses related to our Contract assets during the three and six month periods ended June 30, 2019.</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Contract liabilities decreased approximately $ 2 million during the six month period ended June 30, 2019, primarily due to revenue recognized from satisfied performance obligations exceeding amounts invoiced to customers for contracts that were in a contract liability position. Revenue recognized for the six month period ended June 30, 2019, that was included in the Contract liability balance as of December 31, 2018 was $5 million, and included revenue in the MC and AEC segments.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and December 31, 2018, Inventories consisted of the following:</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376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June 30, 2019</w:t>
            </w:r>
          </w:p>
        </w:tc>
        <w:tc>
          <w:tcPr>
            <w:tcW w:w="1940" w:type="dxa"/>
            <w:vAlign w:val="bottom"/>
            <w:tcBorders>
              <w:top w:val="single" w:sz="8" w:color="auto"/>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December 31, 2018</w:t>
            </w:r>
          </w:p>
        </w:tc>
      </w:tr>
      <w:tr>
        <w:trPr>
          <w:trHeight w:val="205"/>
        </w:trPr>
        <w:tc>
          <w:tcPr>
            <w:tcW w:w="3720" w:type="dxa"/>
            <w:vAlign w:val="bottom"/>
          </w:tcPr>
          <w:p>
            <w:pPr>
              <w:ind w:left="20"/>
              <w:spacing w:after="0"/>
              <w:rPr>
                <w:sz w:val="20"/>
                <w:szCs w:val="20"/>
                <w:color w:val="auto"/>
              </w:rPr>
            </w:pPr>
            <w:r>
              <w:rPr>
                <w:rFonts w:ascii="Arial" w:cs="Arial" w:eastAsia="Arial" w:hAnsi="Arial"/>
                <w:sz w:val="16"/>
                <w:szCs w:val="16"/>
                <w:color w:val="auto"/>
              </w:rPr>
              <w:t>Raw materials</w:t>
            </w:r>
          </w:p>
        </w:tc>
        <w:tc>
          <w:tcPr>
            <w:tcW w:w="3760" w:type="dxa"/>
            <w:vAlign w:val="bottom"/>
          </w:tcPr>
          <w:p>
            <w:pPr>
              <w:jc w:val="right"/>
              <w:ind w:right="361"/>
              <w:spacing w:after="0"/>
              <w:rPr>
                <w:sz w:val="20"/>
                <w:szCs w:val="20"/>
                <w:color w:val="auto"/>
              </w:rPr>
            </w:pPr>
            <w:r>
              <w:rPr>
                <w:rFonts w:ascii="Arial" w:cs="Arial" w:eastAsia="Arial" w:hAnsi="Arial"/>
                <w:sz w:val="16"/>
                <w:szCs w:val="16"/>
                <w:b w:val="1"/>
                <w:bCs w:val="1"/>
                <w:color w:val="auto"/>
              </w:rPr>
              <w:t>$ 48,405</w:t>
            </w:r>
          </w:p>
        </w:tc>
        <w:tc>
          <w:tcPr>
            <w:tcW w:w="1940" w:type="dxa"/>
            <w:vAlign w:val="bottom"/>
          </w:tcPr>
          <w:p>
            <w:pPr>
              <w:jc w:val="right"/>
              <w:ind w:right="621"/>
              <w:spacing w:after="0"/>
              <w:rPr>
                <w:sz w:val="20"/>
                <w:szCs w:val="20"/>
                <w:color w:val="auto"/>
              </w:rPr>
            </w:pPr>
            <w:r>
              <w:rPr>
                <w:rFonts w:ascii="Arial" w:cs="Arial" w:eastAsia="Arial" w:hAnsi="Arial"/>
                <w:sz w:val="16"/>
                <w:szCs w:val="16"/>
                <w:color w:val="auto"/>
              </w:rPr>
              <w:t>$40,489</w:t>
            </w:r>
          </w:p>
        </w:tc>
      </w:tr>
      <w:tr>
        <w:trPr>
          <w:trHeight w:val="215"/>
        </w:trPr>
        <w:tc>
          <w:tcPr>
            <w:tcW w:w="372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3760" w:type="dxa"/>
            <w:vAlign w:val="bottom"/>
          </w:tcPr>
          <w:p>
            <w:pPr>
              <w:jc w:val="right"/>
              <w:ind w:right="361"/>
              <w:spacing w:after="0"/>
              <w:rPr>
                <w:sz w:val="20"/>
                <w:szCs w:val="20"/>
                <w:color w:val="auto"/>
              </w:rPr>
            </w:pPr>
            <w:r>
              <w:rPr>
                <w:rFonts w:ascii="Arial" w:cs="Arial" w:eastAsia="Arial" w:hAnsi="Arial"/>
                <w:sz w:val="16"/>
                <w:szCs w:val="16"/>
                <w:b w:val="1"/>
                <w:bCs w:val="1"/>
                <w:color w:val="auto"/>
              </w:rPr>
              <w:t>39,704</w:t>
            </w:r>
          </w:p>
        </w:tc>
        <w:tc>
          <w:tcPr>
            <w:tcW w:w="1940" w:type="dxa"/>
            <w:vAlign w:val="bottom"/>
          </w:tcPr>
          <w:p>
            <w:pPr>
              <w:jc w:val="right"/>
              <w:ind w:right="621"/>
              <w:spacing w:after="0"/>
              <w:rPr>
                <w:sz w:val="20"/>
                <w:szCs w:val="20"/>
                <w:color w:val="auto"/>
              </w:rPr>
            </w:pPr>
            <w:r>
              <w:rPr>
                <w:rFonts w:ascii="Arial" w:cs="Arial" w:eastAsia="Arial" w:hAnsi="Arial"/>
                <w:sz w:val="16"/>
                <w:szCs w:val="16"/>
                <w:color w:val="auto"/>
              </w:rPr>
              <w:t>33,181</w:t>
            </w:r>
          </w:p>
        </w:tc>
      </w:tr>
      <w:tr>
        <w:trPr>
          <w:trHeight w:val="219"/>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Finished goods</w:t>
            </w:r>
          </w:p>
        </w:tc>
        <w:tc>
          <w:tcPr>
            <w:tcW w:w="37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16,145</w:t>
            </w:r>
          </w:p>
        </w:tc>
        <w:tc>
          <w:tcPr>
            <w:tcW w:w="194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12,234</w:t>
            </w:r>
          </w:p>
        </w:tc>
      </w:tr>
      <w:tr>
        <w:trPr>
          <w:trHeight w:val="212"/>
        </w:trPr>
        <w:tc>
          <w:tcPr>
            <w:tcW w:w="3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inventories</w:t>
            </w:r>
          </w:p>
        </w:tc>
        <w:tc>
          <w:tcPr>
            <w:tcW w:w="37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b w:val="1"/>
                <w:bCs w:val="1"/>
                <w:color w:val="auto"/>
              </w:rPr>
              <w:t>$104,254</w:t>
            </w:r>
          </w:p>
        </w:tc>
        <w:tc>
          <w:tcPr>
            <w:tcW w:w="1940" w:type="dxa"/>
            <w:vAlign w:val="bottom"/>
            <w:tcBorders>
              <w:bottom w:val="single" w:sz="8" w:color="auto"/>
            </w:tcBorders>
          </w:tcPr>
          <w:p>
            <w:pPr>
              <w:jc w:val="right"/>
              <w:ind w:right="621"/>
              <w:spacing w:after="0"/>
              <w:rPr>
                <w:sz w:val="20"/>
                <w:szCs w:val="20"/>
                <w:color w:val="auto"/>
              </w:rPr>
            </w:pPr>
            <w:r>
              <w:rPr>
                <w:rFonts w:ascii="Arial" w:cs="Arial" w:eastAsia="Arial" w:hAnsi="Arial"/>
                <w:sz w:val="16"/>
                <w:szCs w:val="16"/>
                <w:color w:val="auto"/>
              </w:rPr>
              <w:t>$85,904</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the second quarter of 2019, the Company applied the qualitative assessment approach in performing its annual evaluation of goodwill and concluded that no impairment provision was required. There were no amounts at risk due to the large spread between the fair and carrying values of each reporting unit.</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June 30, 2019 and December 31, 2018, were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360" w:type="dxa"/>
            <w:vAlign w:val="bottom"/>
            <w:tcBorders>
              <w:top w:val="single" w:sz="8" w:color="auto"/>
            </w:tcBorders>
          </w:tcPr>
          <w:p>
            <w:pPr>
              <w:spacing w:after="0"/>
              <w:rPr>
                <w:sz w:val="15"/>
                <w:szCs w:val="15"/>
                <w:color w:val="auto"/>
              </w:rPr>
            </w:pPr>
          </w:p>
        </w:tc>
        <w:tc>
          <w:tcPr>
            <w:tcW w:w="2980" w:type="dxa"/>
            <w:vAlign w:val="bottom"/>
            <w:tcBorders>
              <w:top w:val="single" w:sz="8" w:color="auto"/>
            </w:tcBorders>
          </w:tcPr>
          <w:p>
            <w:pPr>
              <w:jc w:val="center"/>
              <w:ind w:left="1442"/>
              <w:spacing w:after="0"/>
              <w:rPr>
                <w:sz w:val="20"/>
                <w:szCs w:val="20"/>
                <w:color w:val="auto"/>
              </w:rPr>
            </w:pPr>
            <w:r>
              <w:rPr>
                <w:rFonts w:ascii="Arial" w:cs="Arial" w:eastAsia="Arial" w:hAnsi="Arial"/>
                <w:sz w:val="14"/>
                <w:szCs w:val="14"/>
                <w:b w:val="1"/>
                <w:bCs w:val="1"/>
                <w:color w:val="auto"/>
              </w:rPr>
              <w:t>Weighted average</w:t>
            </w: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r>
      <w:tr>
        <w:trPr>
          <w:trHeight w:val="162"/>
        </w:trPr>
        <w:tc>
          <w:tcPr>
            <w:tcW w:w="4360" w:type="dxa"/>
            <w:vAlign w:val="bottom"/>
          </w:tcPr>
          <w:p>
            <w:pPr>
              <w:spacing w:after="0"/>
              <w:rPr>
                <w:sz w:val="14"/>
                <w:szCs w:val="14"/>
                <w:color w:val="auto"/>
              </w:rPr>
            </w:pPr>
          </w:p>
        </w:tc>
        <w:tc>
          <w:tcPr>
            <w:tcW w:w="2980" w:type="dxa"/>
            <w:vAlign w:val="bottom"/>
          </w:tcPr>
          <w:p>
            <w:pPr>
              <w:jc w:val="center"/>
              <w:ind w:left="1442"/>
              <w:spacing w:after="0"/>
              <w:rPr>
                <w:sz w:val="20"/>
                <w:szCs w:val="20"/>
                <w:color w:val="auto"/>
              </w:rPr>
            </w:pPr>
            <w:r>
              <w:rPr>
                <w:rFonts w:ascii="Arial" w:cs="Arial" w:eastAsia="Arial" w:hAnsi="Arial"/>
                <w:sz w:val="14"/>
                <w:szCs w:val="14"/>
                <w:b w:val="1"/>
                <w:bCs w:val="1"/>
                <w:color w:val="auto"/>
              </w:rPr>
              <w:t>amortization life in</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carrying</w:t>
            </w:r>
          </w:p>
        </w:tc>
        <w:tc>
          <w:tcPr>
            <w:tcW w:w="122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June 30, 2019 (in thousands)</w:t>
            </w:r>
          </w:p>
        </w:tc>
        <w:tc>
          <w:tcPr>
            <w:tcW w:w="2980" w:type="dxa"/>
            <w:vAlign w:val="bottom"/>
            <w:tcBorders>
              <w:bottom w:val="single" w:sz="8" w:color="auto"/>
            </w:tcBorders>
          </w:tcPr>
          <w:p>
            <w:pPr>
              <w:jc w:val="center"/>
              <w:ind w:left="1442"/>
              <w:spacing w:after="0"/>
              <w:rPr>
                <w:sz w:val="20"/>
                <w:szCs w:val="20"/>
                <w:color w:val="auto"/>
              </w:rPr>
            </w:pPr>
            <w:r>
              <w:rPr>
                <w:rFonts w:ascii="Arial" w:cs="Arial" w:eastAsia="Arial" w:hAnsi="Arial"/>
                <w:sz w:val="14"/>
                <w:szCs w:val="14"/>
                <w:b w:val="1"/>
                <w:bCs w:val="1"/>
                <w:color w:val="auto"/>
              </w:rPr>
              <w:t>years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amount</w:t>
            </w:r>
          </w:p>
        </w:tc>
        <w:tc>
          <w:tcPr>
            <w:tcW w:w="12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auto"/>
              </w:rPr>
              <w:t>amortization</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carrying amount</w:t>
            </w:r>
          </w:p>
        </w:tc>
      </w:tr>
      <w:tr>
        <w:trPr>
          <w:trHeight w:val="204"/>
        </w:trPr>
        <w:tc>
          <w:tcPr>
            <w:tcW w:w="43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AEC trade names</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140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(131)</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9</w:t>
            </w: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AEC technology</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370</w:t>
            </w:r>
          </w:p>
        </w:tc>
        <w:tc>
          <w:tcPr>
            <w:tcW w:w="4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(327)</w:t>
            </w:r>
          </w:p>
        </w:tc>
        <w:tc>
          <w:tcPr>
            <w:tcW w:w="6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43</w:t>
            </w: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48,421</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(10,497)</w:t>
            </w:r>
          </w:p>
        </w:tc>
        <w:tc>
          <w:tcPr>
            <w:tcW w:w="6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37,924</w:t>
            </w: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Customer contracts</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17,471</w:t>
            </w:r>
          </w:p>
        </w:tc>
        <w:tc>
          <w:tcPr>
            <w:tcW w:w="4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(9,471)</w:t>
            </w:r>
          </w:p>
        </w:tc>
        <w:tc>
          <w:tcPr>
            <w:tcW w:w="6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8,000</w:t>
            </w:r>
          </w:p>
        </w:tc>
      </w:tr>
      <w:tr>
        <w:trPr>
          <w:trHeight w:val="219"/>
        </w:trPr>
        <w:tc>
          <w:tcPr>
            <w:tcW w:w="4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intangibles</w:t>
            </w:r>
          </w:p>
        </w:tc>
        <w:tc>
          <w:tcPr>
            <w:tcW w:w="298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322</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113</w:t>
            </w:r>
          </w:p>
        </w:tc>
      </w:tr>
      <w:tr>
        <w:trPr>
          <w:trHeight w:val="21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amortized intangible assets</w:t>
            </w:r>
          </w:p>
        </w:tc>
        <w:tc>
          <w:tcPr>
            <w:tcW w:w="2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$ 66,724</w:t>
            </w:r>
          </w:p>
        </w:tc>
        <w:tc>
          <w:tcPr>
            <w:tcW w:w="12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$(20,635)</w:t>
            </w:r>
          </w:p>
        </w:tc>
        <w:tc>
          <w:tcPr>
            <w:tcW w:w="15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$ 46,089</w:t>
            </w:r>
          </w:p>
        </w:tc>
      </w:tr>
      <w:tr>
        <w:trPr>
          <w:trHeight w:val="396"/>
        </w:trPr>
        <w:tc>
          <w:tcPr>
            <w:tcW w:w="436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MC Goodwill</w:t>
            </w:r>
          </w:p>
        </w:tc>
        <w:tc>
          <w:tcPr>
            <w:tcW w:w="2980" w:type="dxa"/>
            <w:vAlign w:val="bottom"/>
          </w:tcPr>
          <w:p>
            <w:pPr>
              <w:spacing w:after="0"/>
              <w:rPr>
                <w:sz w:val="18"/>
                <w:szCs w:val="18"/>
                <w:color w:val="auto"/>
              </w:rPr>
            </w:pPr>
          </w:p>
        </w:tc>
        <w:tc>
          <w:tcPr>
            <w:tcW w:w="1320" w:type="dxa"/>
            <w:vAlign w:val="bottom"/>
            <w:gridSpan w:val="2"/>
          </w:tcPr>
          <w:p>
            <w:pPr>
              <w:jc w:val="right"/>
              <w:ind w:right="279"/>
              <w:spacing w:after="0"/>
              <w:rPr>
                <w:sz w:val="20"/>
                <w:szCs w:val="20"/>
                <w:color w:val="auto"/>
              </w:rPr>
            </w:pPr>
            <w:r>
              <w:rPr>
                <w:rFonts w:ascii="Arial" w:cs="Arial" w:eastAsia="Arial" w:hAnsi="Arial"/>
                <w:sz w:val="16"/>
                <w:szCs w:val="16"/>
                <w:color w:val="auto"/>
              </w:rPr>
              <w:t>$ 68,353</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99"/>
              <w:spacing w:after="0"/>
              <w:rPr>
                <w:sz w:val="20"/>
                <w:szCs w:val="20"/>
                <w:color w:val="auto"/>
              </w:rPr>
            </w:pPr>
            <w:r>
              <w:rPr>
                <w:rFonts w:ascii="Arial" w:cs="Arial" w:eastAsia="Arial" w:hAnsi="Arial"/>
                <w:sz w:val="16"/>
                <w:szCs w:val="16"/>
                <w:color w:val="auto"/>
              </w:rPr>
              <w:t>$ 68,353</w:t>
            </w:r>
          </w:p>
        </w:tc>
      </w:tr>
      <w:tr>
        <w:trPr>
          <w:trHeight w:val="219"/>
        </w:trPr>
        <w:tc>
          <w:tcPr>
            <w:tcW w:w="4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Goodwill</w:t>
            </w:r>
          </w:p>
        </w:tc>
        <w:tc>
          <w:tcPr>
            <w:tcW w:w="2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95,730</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95,730</w:t>
            </w:r>
          </w:p>
        </w:tc>
      </w:tr>
      <w:tr>
        <w:trPr>
          <w:trHeight w:val="21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unamortized intangible assets:</w:t>
            </w:r>
          </w:p>
        </w:tc>
        <w:tc>
          <w:tcPr>
            <w:tcW w:w="2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$164,083</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$164,083</w:t>
            </w:r>
          </w:p>
        </w:tc>
      </w:tr>
      <w:tr>
        <w:trPr>
          <w:trHeight w:val="159"/>
        </w:trPr>
        <w:tc>
          <w:tcPr>
            <w:tcW w:w="4360" w:type="dxa"/>
            <w:vAlign w:val="bottom"/>
            <w:tcBorders>
              <w:bottom w:val="single" w:sz="8" w:color="auto"/>
            </w:tcBorders>
          </w:tcPr>
          <w:p>
            <w:pPr>
              <w:spacing w:after="0"/>
              <w:rPr>
                <w:sz w:val="13"/>
                <w:szCs w:val="13"/>
                <w:color w:val="auto"/>
              </w:rPr>
            </w:pPr>
          </w:p>
        </w:tc>
        <w:tc>
          <w:tcPr>
            <w:tcW w:w="29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r>
      <w:tr>
        <w:trPr>
          <w:trHeight w:val="156"/>
        </w:trPr>
        <w:tc>
          <w:tcPr>
            <w:tcW w:w="4360" w:type="dxa"/>
            <w:vAlign w:val="bottom"/>
          </w:tcPr>
          <w:p>
            <w:pPr>
              <w:spacing w:after="0"/>
              <w:rPr>
                <w:sz w:val="13"/>
                <w:szCs w:val="13"/>
                <w:color w:val="auto"/>
              </w:rPr>
            </w:pPr>
          </w:p>
        </w:tc>
        <w:tc>
          <w:tcPr>
            <w:tcW w:w="2980" w:type="dxa"/>
            <w:vAlign w:val="bottom"/>
          </w:tcPr>
          <w:p>
            <w:pPr>
              <w:jc w:val="center"/>
              <w:ind w:left="1442"/>
              <w:spacing w:after="0" w:line="156" w:lineRule="exact"/>
              <w:rPr>
                <w:sz w:val="20"/>
                <w:szCs w:val="20"/>
                <w:color w:val="auto"/>
              </w:rPr>
            </w:pPr>
            <w:r>
              <w:rPr>
                <w:rFonts w:ascii="Arial" w:cs="Arial" w:eastAsia="Arial" w:hAnsi="Arial"/>
                <w:sz w:val="14"/>
                <w:szCs w:val="14"/>
                <w:b w:val="1"/>
                <w:bCs w:val="1"/>
                <w:color w:val="auto"/>
              </w:rPr>
              <w:t>Weighted average</w:t>
            </w: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2"/>
        </w:trPr>
        <w:tc>
          <w:tcPr>
            <w:tcW w:w="4360" w:type="dxa"/>
            <w:vAlign w:val="bottom"/>
          </w:tcPr>
          <w:p>
            <w:pPr>
              <w:spacing w:after="0"/>
              <w:rPr>
                <w:sz w:val="14"/>
                <w:szCs w:val="14"/>
                <w:color w:val="auto"/>
              </w:rPr>
            </w:pPr>
          </w:p>
        </w:tc>
        <w:tc>
          <w:tcPr>
            <w:tcW w:w="2980" w:type="dxa"/>
            <w:vAlign w:val="bottom"/>
          </w:tcPr>
          <w:p>
            <w:pPr>
              <w:jc w:val="center"/>
              <w:ind w:left="1442"/>
              <w:spacing w:after="0"/>
              <w:rPr>
                <w:sz w:val="20"/>
                <w:szCs w:val="20"/>
                <w:color w:val="auto"/>
              </w:rPr>
            </w:pPr>
            <w:r>
              <w:rPr>
                <w:rFonts w:ascii="Arial" w:cs="Arial" w:eastAsia="Arial" w:hAnsi="Arial"/>
                <w:sz w:val="14"/>
                <w:szCs w:val="14"/>
                <w:b w:val="1"/>
                <w:bCs w:val="1"/>
                <w:color w:val="auto"/>
              </w:rPr>
              <w:t>amortization life in</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Gross carrying</w:t>
            </w:r>
          </w:p>
        </w:tc>
        <w:tc>
          <w:tcPr>
            <w:tcW w:w="122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As of December 31, 2018 (in thousands)</w:t>
            </w:r>
          </w:p>
        </w:tc>
        <w:tc>
          <w:tcPr>
            <w:tcW w:w="2980" w:type="dxa"/>
            <w:vAlign w:val="bottom"/>
            <w:tcBorders>
              <w:bottom w:val="single" w:sz="8" w:color="auto"/>
            </w:tcBorders>
          </w:tcPr>
          <w:p>
            <w:pPr>
              <w:jc w:val="center"/>
              <w:ind w:left="1442"/>
              <w:spacing w:after="0"/>
              <w:rPr>
                <w:sz w:val="20"/>
                <w:szCs w:val="20"/>
                <w:color w:val="auto"/>
              </w:rPr>
            </w:pPr>
            <w:r>
              <w:rPr>
                <w:rFonts w:ascii="Arial" w:cs="Arial" w:eastAsia="Arial" w:hAnsi="Arial"/>
                <w:sz w:val="14"/>
                <w:szCs w:val="14"/>
                <w:b w:val="1"/>
                <w:bCs w:val="1"/>
                <w:color w:val="auto"/>
              </w:rPr>
              <w:t>years</w:t>
            </w: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amount</w:t>
            </w:r>
          </w:p>
        </w:tc>
        <w:tc>
          <w:tcPr>
            <w:tcW w:w="1220" w:type="dxa"/>
            <w:vAlign w:val="bottom"/>
            <w:tcBorders>
              <w:bottom w:val="single" w:sz="8" w:color="auto"/>
            </w:tcBorders>
            <w:gridSpan w:val="2"/>
          </w:tcPr>
          <w:p>
            <w:pPr>
              <w:jc w:val="center"/>
              <w:ind w:left="2"/>
              <w:spacing w:after="0"/>
              <w:rPr>
                <w:sz w:val="20"/>
                <w:szCs w:val="20"/>
                <w:color w:val="auto"/>
              </w:rPr>
            </w:pPr>
            <w:r>
              <w:rPr>
                <w:rFonts w:ascii="Arial" w:cs="Arial" w:eastAsia="Arial" w:hAnsi="Arial"/>
                <w:sz w:val="14"/>
                <w:szCs w:val="14"/>
                <w:b w:val="1"/>
                <w:bCs w:val="1"/>
                <w:color w:val="auto"/>
              </w:rPr>
              <w:t>amortization</w:t>
            </w: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Net carrying amount</w:t>
            </w:r>
          </w:p>
        </w:tc>
      </w:tr>
      <w:tr>
        <w:trPr>
          <w:trHeight w:val="204"/>
        </w:trPr>
        <w:tc>
          <w:tcPr>
            <w:tcW w:w="4360" w:type="dxa"/>
            <w:vAlign w:val="bottom"/>
          </w:tcPr>
          <w:p>
            <w:pPr>
              <w:ind w:left="20"/>
              <w:spacing w:after="0"/>
              <w:rPr>
                <w:sz w:val="20"/>
                <w:szCs w:val="20"/>
                <w:color w:val="auto"/>
              </w:rPr>
            </w:pPr>
            <w:r>
              <w:rPr>
                <w:rFonts w:ascii="Arial" w:cs="Arial" w:eastAsia="Arial" w:hAnsi="Arial"/>
                <w:sz w:val="16"/>
                <w:szCs w:val="16"/>
                <w:color w:val="auto"/>
              </w:rPr>
              <w:t>Amortized intangible assets:</w:t>
            </w:r>
          </w:p>
        </w:tc>
        <w:tc>
          <w:tcPr>
            <w:tcW w:w="2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AEC trade names</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140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(129)</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11</w:t>
            </w: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AEC technology</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370</w:t>
            </w:r>
          </w:p>
        </w:tc>
        <w:tc>
          <w:tcPr>
            <w:tcW w:w="4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(314)</w:t>
            </w:r>
          </w:p>
        </w:tc>
        <w:tc>
          <w:tcPr>
            <w:tcW w:w="6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56</w:t>
            </w: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Customer relationships</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15</w:t>
            </w:r>
          </w:p>
        </w:tc>
        <w:tc>
          <w:tcPr>
            <w:tcW w:w="4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48,421</w:t>
            </w:r>
          </w:p>
        </w:tc>
        <w:tc>
          <w:tcPr>
            <w:tcW w:w="4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(8,883)</w:t>
            </w:r>
          </w:p>
        </w:tc>
        <w:tc>
          <w:tcPr>
            <w:tcW w:w="6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39,538</w:t>
            </w: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Customer contracts</w:t>
            </w:r>
          </w:p>
        </w:tc>
        <w:tc>
          <w:tcPr>
            <w:tcW w:w="2980" w:type="dxa"/>
            <w:vAlign w:val="bottom"/>
          </w:tcPr>
          <w:p>
            <w:pPr>
              <w:jc w:val="right"/>
              <w:ind w:right="562"/>
              <w:spacing w:after="0"/>
              <w:rPr>
                <w:sz w:val="20"/>
                <w:szCs w:val="20"/>
                <w:color w:val="auto"/>
              </w:rPr>
            </w:pPr>
            <w:r>
              <w:rPr>
                <w:rFonts w:ascii="Arial" w:cs="Arial" w:eastAsia="Arial" w:hAnsi="Arial"/>
                <w:sz w:val="16"/>
                <w:szCs w:val="16"/>
                <w:color w:val="auto"/>
              </w:rPr>
              <w:t>6</w:t>
            </w:r>
          </w:p>
        </w:tc>
        <w:tc>
          <w:tcPr>
            <w:tcW w:w="420" w:type="dxa"/>
            <w:vAlign w:val="bottom"/>
          </w:tcPr>
          <w:p>
            <w:pPr>
              <w:spacing w:after="0"/>
              <w:rPr>
                <w:sz w:val="18"/>
                <w:szCs w:val="18"/>
                <w:color w:val="auto"/>
              </w:rPr>
            </w:pPr>
          </w:p>
        </w:tc>
        <w:tc>
          <w:tcPr>
            <w:tcW w:w="900" w:type="dxa"/>
            <w:vAlign w:val="bottom"/>
          </w:tcPr>
          <w:p>
            <w:pPr>
              <w:jc w:val="right"/>
              <w:ind w:right="279"/>
              <w:spacing w:after="0"/>
              <w:rPr>
                <w:sz w:val="20"/>
                <w:szCs w:val="20"/>
                <w:color w:val="auto"/>
              </w:rPr>
            </w:pPr>
            <w:r>
              <w:rPr>
                <w:rFonts w:ascii="Arial" w:cs="Arial" w:eastAsia="Arial" w:hAnsi="Arial"/>
                <w:sz w:val="16"/>
                <w:szCs w:val="16"/>
                <w:color w:val="auto"/>
              </w:rPr>
              <w:t>17,471</w:t>
            </w:r>
          </w:p>
        </w:tc>
        <w:tc>
          <w:tcPr>
            <w:tcW w:w="460" w:type="dxa"/>
            <w:vAlign w:val="bottom"/>
          </w:tcPr>
          <w:p>
            <w:pPr>
              <w:spacing w:after="0"/>
              <w:rPr>
                <w:sz w:val="18"/>
                <w:szCs w:val="18"/>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(8,015)</w:t>
            </w:r>
          </w:p>
        </w:tc>
        <w:tc>
          <w:tcPr>
            <w:tcW w:w="620" w:type="dxa"/>
            <w:vAlign w:val="bottom"/>
          </w:tcPr>
          <w:p>
            <w:pPr>
              <w:spacing w:after="0"/>
              <w:rPr>
                <w:sz w:val="18"/>
                <w:szCs w:val="18"/>
                <w:color w:val="auto"/>
              </w:rPr>
            </w:pPr>
          </w:p>
        </w:tc>
        <w:tc>
          <w:tcPr>
            <w:tcW w:w="920" w:type="dxa"/>
            <w:vAlign w:val="bottom"/>
          </w:tcPr>
          <w:p>
            <w:pPr>
              <w:jc w:val="right"/>
              <w:ind w:right="299"/>
              <w:spacing w:after="0"/>
              <w:rPr>
                <w:sz w:val="20"/>
                <w:szCs w:val="20"/>
                <w:color w:val="auto"/>
              </w:rPr>
            </w:pPr>
            <w:r>
              <w:rPr>
                <w:rFonts w:ascii="Arial" w:cs="Arial" w:eastAsia="Arial" w:hAnsi="Arial"/>
                <w:sz w:val="16"/>
                <w:szCs w:val="16"/>
                <w:color w:val="auto"/>
              </w:rPr>
              <w:t>9,456</w:t>
            </w:r>
          </w:p>
        </w:tc>
      </w:tr>
      <w:tr>
        <w:trPr>
          <w:trHeight w:val="219"/>
        </w:trPr>
        <w:tc>
          <w:tcPr>
            <w:tcW w:w="4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intangibles</w:t>
            </w:r>
          </w:p>
        </w:tc>
        <w:tc>
          <w:tcPr>
            <w:tcW w:w="2980" w:type="dxa"/>
            <w:vAlign w:val="bottom"/>
            <w:tcBorders>
              <w:bottom w:val="single" w:sz="8" w:color="auto"/>
            </w:tcBorders>
          </w:tcPr>
          <w:p>
            <w:pPr>
              <w:jc w:val="right"/>
              <w:ind w:right="562"/>
              <w:spacing w:after="0"/>
              <w:rPr>
                <w:sz w:val="20"/>
                <w:szCs w:val="20"/>
                <w:color w:val="auto"/>
              </w:rPr>
            </w:pPr>
            <w:r>
              <w:rPr>
                <w:rFonts w:ascii="Arial" w:cs="Arial" w:eastAsia="Arial" w:hAnsi="Arial"/>
                <w:sz w:val="16"/>
                <w:szCs w:val="16"/>
                <w:color w:val="auto"/>
              </w:rPr>
              <w:t>5</w:t>
            </w: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322</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(177)</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145</w:t>
            </w:r>
          </w:p>
        </w:tc>
      </w:tr>
      <w:tr>
        <w:trPr>
          <w:trHeight w:val="21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amortized intangible assets</w:t>
            </w:r>
          </w:p>
        </w:tc>
        <w:tc>
          <w:tcPr>
            <w:tcW w:w="2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$ 66,724</w:t>
            </w:r>
          </w:p>
        </w:tc>
        <w:tc>
          <w:tcPr>
            <w:tcW w:w="12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6"/>
                <w:szCs w:val="16"/>
                <w:color w:val="auto"/>
              </w:rPr>
              <w:t>$(17,518)</w:t>
            </w:r>
          </w:p>
        </w:tc>
        <w:tc>
          <w:tcPr>
            <w:tcW w:w="15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$ 49,206</w:t>
            </w:r>
          </w:p>
        </w:tc>
      </w:tr>
      <w:tr>
        <w:trPr>
          <w:trHeight w:val="396"/>
        </w:trPr>
        <w:tc>
          <w:tcPr>
            <w:tcW w:w="4360" w:type="dxa"/>
            <w:vAlign w:val="bottom"/>
          </w:tcPr>
          <w:p>
            <w:pPr>
              <w:ind w:left="20"/>
              <w:spacing w:after="0"/>
              <w:rPr>
                <w:sz w:val="20"/>
                <w:szCs w:val="20"/>
                <w:color w:val="auto"/>
              </w:rPr>
            </w:pPr>
            <w:r>
              <w:rPr>
                <w:rFonts w:ascii="Arial" w:cs="Arial" w:eastAsia="Arial" w:hAnsi="Arial"/>
                <w:sz w:val="16"/>
                <w:szCs w:val="16"/>
                <w:color w:val="auto"/>
              </w:rPr>
              <w:t>Unamortized intangible assets:</w:t>
            </w:r>
          </w:p>
        </w:tc>
        <w:tc>
          <w:tcPr>
            <w:tcW w:w="2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4360" w:type="dxa"/>
            <w:vAlign w:val="bottom"/>
          </w:tcPr>
          <w:p>
            <w:pPr>
              <w:ind w:left="120"/>
              <w:spacing w:after="0"/>
              <w:rPr>
                <w:sz w:val="20"/>
                <w:szCs w:val="20"/>
                <w:color w:val="auto"/>
              </w:rPr>
            </w:pPr>
            <w:r>
              <w:rPr>
                <w:rFonts w:ascii="Arial" w:cs="Arial" w:eastAsia="Arial" w:hAnsi="Arial"/>
                <w:sz w:val="16"/>
                <w:szCs w:val="16"/>
                <w:color w:val="auto"/>
              </w:rPr>
              <w:t>MC Goodwill</w:t>
            </w:r>
          </w:p>
        </w:tc>
        <w:tc>
          <w:tcPr>
            <w:tcW w:w="2980" w:type="dxa"/>
            <w:vAlign w:val="bottom"/>
          </w:tcPr>
          <w:p>
            <w:pPr>
              <w:spacing w:after="0"/>
              <w:rPr>
                <w:sz w:val="18"/>
                <w:szCs w:val="18"/>
                <w:color w:val="auto"/>
              </w:rPr>
            </w:pPr>
          </w:p>
        </w:tc>
        <w:tc>
          <w:tcPr>
            <w:tcW w:w="1320" w:type="dxa"/>
            <w:vAlign w:val="bottom"/>
            <w:gridSpan w:val="2"/>
          </w:tcPr>
          <w:p>
            <w:pPr>
              <w:jc w:val="right"/>
              <w:ind w:right="279"/>
              <w:spacing w:after="0"/>
              <w:rPr>
                <w:sz w:val="20"/>
                <w:szCs w:val="20"/>
                <w:color w:val="auto"/>
              </w:rPr>
            </w:pPr>
            <w:r>
              <w:rPr>
                <w:rFonts w:ascii="Arial" w:cs="Arial" w:eastAsia="Arial" w:hAnsi="Arial"/>
                <w:sz w:val="16"/>
                <w:szCs w:val="16"/>
                <w:color w:val="auto"/>
              </w:rPr>
              <w:t>$ 68,652</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99"/>
              <w:spacing w:after="0"/>
              <w:rPr>
                <w:sz w:val="20"/>
                <w:szCs w:val="20"/>
                <w:color w:val="auto"/>
              </w:rPr>
            </w:pPr>
            <w:r>
              <w:rPr>
                <w:rFonts w:ascii="Arial" w:cs="Arial" w:eastAsia="Arial" w:hAnsi="Arial"/>
                <w:sz w:val="16"/>
                <w:szCs w:val="16"/>
                <w:color w:val="auto"/>
              </w:rPr>
              <w:t>$ 68,652</w:t>
            </w:r>
          </w:p>
        </w:tc>
      </w:tr>
      <w:tr>
        <w:trPr>
          <w:trHeight w:val="219"/>
        </w:trPr>
        <w:tc>
          <w:tcPr>
            <w:tcW w:w="436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AEC Goodwill</w:t>
            </w:r>
          </w:p>
        </w:tc>
        <w:tc>
          <w:tcPr>
            <w:tcW w:w="2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95,730</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95,730</w:t>
            </w:r>
          </w:p>
        </w:tc>
      </w:tr>
      <w:tr>
        <w:trPr>
          <w:trHeight w:val="210"/>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unamortized intangible assets:</w:t>
            </w:r>
          </w:p>
        </w:tc>
        <w:tc>
          <w:tcPr>
            <w:tcW w:w="29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$164,382</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6"/>
                <w:szCs w:val="16"/>
                <w:color w:val="auto"/>
              </w:rPr>
              <w:t>$164,382</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intangible assets, net and goodwill from December 31, 2018 to June 30, 2019, were as follows: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Borders>
              <w:top w:val="single" w:sz="8" w:color="auto"/>
            </w:tcBorders>
          </w:tcPr>
          <w:p>
            <w:pPr>
              <w:spacing w:after="0"/>
              <w:rPr>
                <w:sz w:val="15"/>
                <w:szCs w:val="15"/>
                <w:color w:val="auto"/>
              </w:rPr>
            </w:pPr>
          </w:p>
        </w:tc>
        <w:tc>
          <w:tcPr>
            <w:tcW w:w="47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rPr>
              <w:t>Currency</w:t>
            </w:r>
          </w:p>
        </w:tc>
        <w:tc>
          <w:tcPr>
            <w:tcW w:w="3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94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4"/>
                <w:szCs w:val="14"/>
                <w:b w:val="1"/>
                <w:bCs w:val="1"/>
                <w:color w:val="auto"/>
              </w:rPr>
              <w:t>December 31, 2018</w:t>
            </w:r>
          </w:p>
        </w:tc>
        <w:tc>
          <w:tcPr>
            <w:tcW w:w="13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102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13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4"/>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Amortized intangible assets:</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AEC trade names</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79"/>
              <w:spacing w:after="0"/>
              <w:rPr>
                <w:sz w:val="20"/>
                <w:szCs w:val="20"/>
                <w:color w:val="auto"/>
              </w:rPr>
            </w:pPr>
            <w:r>
              <w:rPr>
                <w:rFonts w:ascii="Arial" w:cs="Arial" w:eastAsia="Arial" w:hAnsi="Arial"/>
                <w:sz w:val="16"/>
                <w:szCs w:val="16"/>
                <w:color w:val="auto"/>
              </w:rPr>
              <w:t>11</w:t>
            </w:r>
          </w:p>
        </w:tc>
        <w:tc>
          <w:tcPr>
            <w:tcW w:w="4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6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6"/>
                <w:szCs w:val="16"/>
                <w:color w:val="auto"/>
              </w:rPr>
              <w:t>$</w:t>
            </w:r>
          </w:p>
        </w:tc>
        <w:tc>
          <w:tcPr>
            <w:tcW w:w="640" w:type="dxa"/>
            <w:vAlign w:val="bottom"/>
          </w:tcPr>
          <w:p>
            <w:pPr>
              <w:ind w:left="8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ind w:right="259"/>
              <w:spacing w:after="0"/>
              <w:rPr>
                <w:sz w:val="20"/>
                <w:szCs w:val="20"/>
                <w:color w:val="auto"/>
              </w:rPr>
            </w:pPr>
            <w:r>
              <w:rPr>
                <w:rFonts w:ascii="Arial" w:cs="Arial" w:eastAsia="Arial" w:hAnsi="Arial"/>
                <w:sz w:val="16"/>
                <w:szCs w:val="16"/>
                <w:b w:val="1"/>
                <w:bCs w:val="1"/>
                <w:color w:val="auto"/>
              </w:rPr>
              <w:t>9</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AEC technology</w:t>
            </w:r>
          </w:p>
        </w:tc>
        <w:tc>
          <w:tcPr>
            <w:tcW w:w="640" w:type="dxa"/>
            <w:vAlign w:val="bottom"/>
          </w:tcPr>
          <w:p>
            <w:pPr>
              <w:spacing w:after="0"/>
              <w:rPr>
                <w:sz w:val="18"/>
                <w:szCs w:val="18"/>
                <w:color w:val="auto"/>
              </w:rPr>
            </w:pPr>
          </w:p>
        </w:tc>
        <w:tc>
          <w:tcPr>
            <w:tcW w:w="1300" w:type="dxa"/>
            <w:vAlign w:val="bottom"/>
          </w:tcPr>
          <w:p>
            <w:pPr>
              <w:jc w:val="right"/>
              <w:ind w:right="679"/>
              <w:spacing w:after="0"/>
              <w:rPr>
                <w:sz w:val="20"/>
                <w:szCs w:val="20"/>
                <w:color w:val="auto"/>
              </w:rPr>
            </w:pPr>
            <w:r>
              <w:rPr>
                <w:rFonts w:ascii="Arial" w:cs="Arial" w:eastAsia="Arial" w:hAnsi="Arial"/>
                <w:sz w:val="16"/>
                <w:szCs w:val="16"/>
                <w:color w:val="auto"/>
              </w:rPr>
              <w:t>56</w:t>
            </w:r>
          </w:p>
        </w:tc>
        <w:tc>
          <w:tcPr>
            <w:tcW w:w="400" w:type="dxa"/>
            <w:vAlign w:val="bottom"/>
          </w:tcPr>
          <w:p>
            <w:pPr>
              <w:spacing w:after="0"/>
              <w:rPr>
                <w:sz w:val="18"/>
                <w:szCs w:val="18"/>
                <w:color w:val="auto"/>
              </w:rPr>
            </w:pPr>
          </w:p>
        </w:tc>
        <w:tc>
          <w:tcPr>
            <w:tcW w:w="960" w:type="dxa"/>
            <w:vAlign w:val="bottom"/>
          </w:tcPr>
          <w:p>
            <w:pPr>
              <w:jc w:val="right"/>
              <w:ind w:right="46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jc w:val="right"/>
              <w:ind w:right="259"/>
              <w:spacing w:after="0"/>
              <w:rPr>
                <w:sz w:val="20"/>
                <w:szCs w:val="20"/>
                <w:color w:val="auto"/>
              </w:rPr>
            </w:pPr>
            <w:r>
              <w:rPr>
                <w:rFonts w:ascii="Arial" w:cs="Arial" w:eastAsia="Arial" w:hAnsi="Arial"/>
                <w:sz w:val="16"/>
                <w:szCs w:val="16"/>
                <w:b w:val="1"/>
                <w:bCs w:val="1"/>
                <w:color w:val="auto"/>
              </w:rPr>
              <w:t>43</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Customer relationships</w:t>
            </w:r>
          </w:p>
        </w:tc>
        <w:tc>
          <w:tcPr>
            <w:tcW w:w="640" w:type="dxa"/>
            <w:vAlign w:val="bottom"/>
          </w:tcPr>
          <w:p>
            <w:pPr>
              <w:spacing w:after="0"/>
              <w:rPr>
                <w:sz w:val="18"/>
                <w:szCs w:val="18"/>
                <w:color w:val="auto"/>
              </w:rPr>
            </w:pPr>
          </w:p>
        </w:tc>
        <w:tc>
          <w:tcPr>
            <w:tcW w:w="1300" w:type="dxa"/>
            <w:vAlign w:val="bottom"/>
          </w:tcPr>
          <w:p>
            <w:pPr>
              <w:jc w:val="right"/>
              <w:ind w:right="679"/>
              <w:spacing w:after="0"/>
              <w:rPr>
                <w:sz w:val="20"/>
                <w:szCs w:val="20"/>
                <w:color w:val="auto"/>
              </w:rPr>
            </w:pPr>
            <w:r>
              <w:rPr>
                <w:rFonts w:ascii="Arial" w:cs="Arial" w:eastAsia="Arial" w:hAnsi="Arial"/>
                <w:sz w:val="16"/>
                <w:szCs w:val="16"/>
                <w:color w:val="auto"/>
              </w:rPr>
              <w:t>39,538</w:t>
            </w:r>
          </w:p>
        </w:tc>
        <w:tc>
          <w:tcPr>
            <w:tcW w:w="1360" w:type="dxa"/>
            <w:vAlign w:val="bottom"/>
            <w:gridSpan w:val="2"/>
          </w:tcPr>
          <w:p>
            <w:pPr>
              <w:jc w:val="right"/>
              <w:ind w:right="460"/>
              <w:spacing w:after="0"/>
              <w:rPr>
                <w:sz w:val="20"/>
                <w:szCs w:val="20"/>
                <w:color w:val="auto"/>
              </w:rPr>
            </w:pPr>
            <w:r>
              <w:rPr>
                <w:rFonts w:ascii="Arial" w:cs="Arial" w:eastAsia="Arial" w:hAnsi="Arial"/>
                <w:sz w:val="16"/>
                <w:szCs w:val="16"/>
                <w:color w:val="auto"/>
              </w:rPr>
              <w:t>(1,614)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37,924</w:t>
            </w: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Customer contracts</w:t>
            </w:r>
          </w:p>
        </w:tc>
        <w:tc>
          <w:tcPr>
            <w:tcW w:w="640" w:type="dxa"/>
            <w:vAlign w:val="bottom"/>
          </w:tcPr>
          <w:p>
            <w:pPr>
              <w:spacing w:after="0"/>
              <w:rPr>
                <w:sz w:val="18"/>
                <w:szCs w:val="18"/>
                <w:color w:val="auto"/>
              </w:rPr>
            </w:pPr>
          </w:p>
        </w:tc>
        <w:tc>
          <w:tcPr>
            <w:tcW w:w="1300" w:type="dxa"/>
            <w:vAlign w:val="bottom"/>
          </w:tcPr>
          <w:p>
            <w:pPr>
              <w:jc w:val="right"/>
              <w:ind w:right="679"/>
              <w:spacing w:after="0"/>
              <w:rPr>
                <w:sz w:val="20"/>
                <w:szCs w:val="20"/>
                <w:color w:val="auto"/>
              </w:rPr>
            </w:pPr>
            <w:r>
              <w:rPr>
                <w:rFonts w:ascii="Arial" w:cs="Arial" w:eastAsia="Arial" w:hAnsi="Arial"/>
                <w:sz w:val="16"/>
                <w:szCs w:val="16"/>
                <w:color w:val="auto"/>
              </w:rPr>
              <w:t>9,456</w:t>
            </w:r>
          </w:p>
        </w:tc>
        <w:tc>
          <w:tcPr>
            <w:tcW w:w="1360" w:type="dxa"/>
            <w:vAlign w:val="bottom"/>
            <w:gridSpan w:val="2"/>
          </w:tcPr>
          <w:p>
            <w:pPr>
              <w:jc w:val="right"/>
              <w:ind w:right="460"/>
              <w:spacing w:after="0"/>
              <w:rPr>
                <w:sz w:val="20"/>
                <w:szCs w:val="20"/>
                <w:color w:val="auto"/>
              </w:rPr>
            </w:pPr>
            <w:r>
              <w:rPr>
                <w:rFonts w:ascii="Arial" w:cs="Arial" w:eastAsia="Arial" w:hAnsi="Arial"/>
                <w:sz w:val="16"/>
                <w:szCs w:val="16"/>
                <w:color w:val="auto"/>
              </w:rPr>
              <w:t>(1,456)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8,000</w:t>
            </w:r>
          </w:p>
        </w:tc>
        <w:tc>
          <w:tcPr>
            <w:tcW w:w="0" w:type="dxa"/>
            <w:vAlign w:val="bottom"/>
          </w:tcPr>
          <w:p>
            <w:pPr>
              <w:spacing w:after="0"/>
              <w:rPr>
                <w:sz w:val="1"/>
                <w:szCs w:val="1"/>
                <w:color w:val="auto"/>
              </w:rPr>
            </w:pPr>
          </w:p>
        </w:tc>
      </w:tr>
      <w:tr>
        <w:trPr>
          <w:trHeight w:val="219"/>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Other intangibles</w:t>
            </w: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145</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113</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Net amortized intangible assets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49,206</w:t>
            </w:r>
          </w:p>
        </w:tc>
        <w:tc>
          <w:tcPr>
            <w:tcW w:w="136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color w:val="auto"/>
              </w:rPr>
              <w:t>$(3,117)</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$ 46,089</w:t>
            </w:r>
          </w:p>
        </w:tc>
        <w:tc>
          <w:tcPr>
            <w:tcW w:w="0" w:type="dxa"/>
            <w:vAlign w:val="bottom"/>
          </w:tcPr>
          <w:p>
            <w:pPr>
              <w:spacing w:after="0"/>
              <w:rPr>
                <w:sz w:val="1"/>
                <w:szCs w:val="1"/>
                <w:color w:val="auto"/>
              </w:rPr>
            </w:pPr>
          </w:p>
        </w:tc>
      </w:tr>
      <w:tr>
        <w:trPr>
          <w:trHeight w:val="393"/>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Unamortized intangible assets:</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MC Goodwill</w:t>
            </w: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679"/>
              <w:spacing w:after="0"/>
              <w:rPr>
                <w:sz w:val="20"/>
                <w:szCs w:val="20"/>
                <w:color w:val="auto"/>
              </w:rPr>
            </w:pPr>
            <w:r>
              <w:rPr>
                <w:rFonts w:ascii="Arial" w:cs="Arial" w:eastAsia="Arial" w:hAnsi="Arial"/>
                <w:sz w:val="16"/>
                <w:szCs w:val="16"/>
                <w:color w:val="auto"/>
              </w:rPr>
              <w:t>68,652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color w:val="auto"/>
                <w:w w:val="99"/>
              </w:rPr>
              <w:t>$(299)</w:t>
            </w:r>
          </w:p>
        </w:tc>
        <w:tc>
          <w:tcPr>
            <w:tcW w:w="1360" w:type="dxa"/>
            <w:vAlign w:val="bottom"/>
            <w:gridSpan w:val="3"/>
          </w:tcPr>
          <w:p>
            <w:pPr>
              <w:jc w:val="right"/>
              <w:ind w:right="259"/>
              <w:spacing w:after="0"/>
              <w:rPr>
                <w:sz w:val="20"/>
                <w:szCs w:val="20"/>
                <w:color w:val="auto"/>
              </w:rPr>
            </w:pPr>
            <w:r>
              <w:rPr>
                <w:rFonts w:ascii="Arial" w:cs="Arial" w:eastAsia="Arial" w:hAnsi="Arial"/>
                <w:sz w:val="16"/>
                <w:szCs w:val="16"/>
                <w:b w:val="1"/>
                <w:bCs w:val="1"/>
                <w:color w:val="auto"/>
              </w:rPr>
              <w:t>$ 68,353</w:t>
            </w:r>
          </w:p>
        </w:tc>
        <w:tc>
          <w:tcPr>
            <w:tcW w:w="0" w:type="dxa"/>
            <w:vAlign w:val="bottom"/>
          </w:tcPr>
          <w:p>
            <w:pPr>
              <w:spacing w:after="0"/>
              <w:rPr>
                <w:sz w:val="1"/>
                <w:szCs w:val="1"/>
                <w:color w:val="auto"/>
              </w:rPr>
            </w:pPr>
          </w:p>
        </w:tc>
      </w:tr>
      <w:tr>
        <w:trPr>
          <w:trHeight w:val="219"/>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AEC Goodwill</w:t>
            </w: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95,730</w:t>
            </w: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95,730</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Total unamortized intangible assets:</w:t>
            </w:r>
          </w:p>
        </w:tc>
        <w:tc>
          <w:tcPr>
            <w:tcW w:w="1940" w:type="dxa"/>
            <w:vAlign w:val="bottom"/>
            <w:tcBorders>
              <w:bottom w:val="single" w:sz="8" w:color="auto"/>
            </w:tcBorders>
            <w:gridSpan w:val="2"/>
          </w:tcPr>
          <w:p>
            <w:pPr>
              <w:jc w:val="right"/>
              <w:ind w:right="679"/>
              <w:spacing w:after="0"/>
              <w:rPr>
                <w:sz w:val="20"/>
                <w:szCs w:val="20"/>
                <w:color w:val="auto"/>
              </w:rPr>
            </w:pPr>
            <w:r>
              <w:rPr>
                <w:rFonts w:ascii="Arial" w:cs="Arial" w:eastAsia="Arial" w:hAnsi="Arial"/>
                <w:sz w:val="16"/>
                <w:szCs w:val="16"/>
                <w:color w:val="auto"/>
              </w:rPr>
              <w:t>$164,382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color w:val="auto"/>
                <w:w w:val="99"/>
              </w:rPr>
              <w:t>$(299)</w:t>
            </w:r>
          </w:p>
        </w:tc>
        <w:tc>
          <w:tcPr>
            <w:tcW w:w="136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$164,083</w:t>
            </w:r>
          </w:p>
        </w:tc>
        <w:tc>
          <w:tcPr>
            <w:tcW w:w="0" w:type="dxa"/>
            <w:vAlign w:val="bottom"/>
          </w:tcPr>
          <w:p>
            <w:pPr>
              <w:spacing w:after="0"/>
              <w:rPr>
                <w:sz w:val="1"/>
                <w:szCs w:val="1"/>
                <w:color w:val="auto"/>
              </w:rPr>
            </w:pPr>
          </w:p>
        </w:tc>
      </w:tr>
      <w:tr>
        <w:trPr>
          <w:trHeight w:val="413"/>
        </w:trPr>
        <w:tc>
          <w:tcPr>
            <w:tcW w:w="10060" w:type="dxa"/>
            <w:vAlign w:val="bottom"/>
            <w:gridSpan w:val="9"/>
          </w:tcPr>
          <w:p>
            <w:pPr>
              <w:ind w:left="340"/>
              <w:spacing w:after="0"/>
              <w:rPr>
                <w:sz w:val="20"/>
                <w:szCs w:val="20"/>
                <w:color w:val="auto"/>
              </w:rPr>
            </w:pPr>
            <w:r>
              <w:rPr>
                <w:rFonts w:ascii="Arial" w:cs="Arial" w:eastAsia="Arial" w:hAnsi="Arial"/>
                <w:sz w:val="18"/>
                <w:szCs w:val="18"/>
                <w:color w:val="auto"/>
              </w:rPr>
              <w:t>Estimated amortization expense of intangibles for the years ending December 31, 2019 through 2023, is as follows:</w:t>
            </w: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47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line="156" w:lineRule="exact"/>
              <w:rPr>
                <w:sz w:val="20"/>
                <w:szCs w:val="20"/>
                <w:color w:val="auto"/>
              </w:rPr>
            </w:pPr>
            <w:r>
              <w:rPr>
                <w:rFonts w:ascii="Arial" w:cs="Arial" w:eastAsia="Arial" w:hAnsi="Arial"/>
                <w:sz w:val="14"/>
                <w:szCs w:val="14"/>
                <w:b w:val="1"/>
                <w:bCs w:val="1"/>
                <w:color w:val="auto"/>
              </w:rPr>
              <w:t>Annual</w:t>
            </w: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amortization</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000" w:type="dxa"/>
            <w:vAlign w:val="bottom"/>
          </w:tcPr>
          <w:p>
            <w:pPr>
              <w:spacing w:after="0"/>
              <w:rPr>
                <w:sz w:val="16"/>
                <w:szCs w:val="16"/>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w:t>
            </w: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740" w:type="dxa"/>
            <w:vAlign w:val="bottom"/>
            <w:gridSpan w:val="2"/>
          </w:tcPr>
          <w:p>
            <w:pPr>
              <w:ind w:left="1020"/>
              <w:spacing w:after="0"/>
              <w:rPr>
                <w:sz w:val="20"/>
                <w:szCs w:val="20"/>
                <w:color w:val="auto"/>
              </w:rPr>
            </w:pPr>
            <w:r>
              <w:rPr>
                <w:rFonts w:ascii="Arial" w:cs="Arial" w:eastAsia="Arial" w:hAnsi="Arial"/>
                <w:sz w:val="16"/>
                <w:szCs w:val="16"/>
                <w:color w:val="auto"/>
              </w:rPr>
              <w:t>2019</w:t>
            </w:r>
          </w:p>
        </w:tc>
        <w:tc>
          <w:tcPr>
            <w:tcW w:w="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ind w:left="80"/>
              <w:spacing w:after="0"/>
              <w:rPr>
                <w:sz w:val="20"/>
                <w:szCs w:val="20"/>
                <w:color w:val="auto"/>
              </w:rPr>
            </w:pPr>
            <w:r>
              <w:rPr>
                <w:rFonts w:ascii="Arial" w:cs="Arial" w:eastAsia="Arial" w:hAnsi="Arial"/>
                <w:sz w:val="16"/>
                <w:szCs w:val="16"/>
                <w:color w:val="auto"/>
              </w:rPr>
              <w:t>$6,234</w:t>
            </w: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020"/>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6,234</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020"/>
              <w:spacing w:after="0"/>
              <w:rPr>
                <w:sz w:val="20"/>
                <w:szCs w:val="20"/>
                <w:color w:val="auto"/>
              </w:rPr>
            </w:pPr>
            <w:r>
              <w:rPr>
                <w:rFonts w:ascii="Arial" w:cs="Arial" w:eastAsia="Arial" w:hAnsi="Arial"/>
                <w:sz w:val="16"/>
                <w:szCs w:val="16"/>
                <w:color w:val="auto"/>
              </w:rPr>
              <w:t>2021</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6,163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ind w:left="1020"/>
              <w:spacing w:after="0"/>
              <w:rPr>
                <w:sz w:val="20"/>
                <w:szCs w:val="20"/>
                <w:color w:val="auto"/>
              </w:rPr>
            </w:pPr>
            <w:r>
              <w:rPr>
                <w:rFonts w:ascii="Arial" w:cs="Arial" w:eastAsia="Arial" w:hAnsi="Arial"/>
                <w:sz w:val="16"/>
                <w:szCs w:val="16"/>
                <w:color w:val="auto"/>
              </w:rPr>
              <w:t>2022</w:t>
            </w: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3,949</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000" w:type="dxa"/>
            <w:vAlign w:val="bottom"/>
          </w:tcPr>
          <w:p>
            <w:pPr>
              <w:spacing w:after="0"/>
              <w:rPr>
                <w:sz w:val="19"/>
                <w:szCs w:val="19"/>
                <w:color w:val="auto"/>
              </w:rPr>
            </w:pPr>
          </w:p>
        </w:tc>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2023</w:t>
            </w:r>
          </w:p>
        </w:tc>
        <w:tc>
          <w:tcPr>
            <w:tcW w:w="6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3,228</w:t>
            </w:r>
          </w:p>
        </w:tc>
        <w:tc>
          <w:tcPr>
            <w:tcW w:w="3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5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15. Financial Instruments</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740" w:type="dxa"/>
            <w:vAlign w:val="bottom"/>
            <w:gridSpan w:val="2"/>
          </w:tcPr>
          <w:p>
            <w:pPr>
              <w:ind w:left="340"/>
              <w:spacing w:after="0"/>
              <w:rPr>
                <w:sz w:val="20"/>
                <w:szCs w:val="20"/>
                <w:color w:val="auto"/>
              </w:rPr>
            </w:pPr>
            <w:r>
              <w:rPr>
                <w:rFonts w:ascii="Arial" w:cs="Arial" w:eastAsia="Arial" w:hAnsi="Arial"/>
                <w:sz w:val="18"/>
                <w:szCs w:val="18"/>
                <w:color w:val="auto"/>
              </w:rPr>
              <w:t>Long-term debt, principally to banks and noteholders, consists of:</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740" w:type="dxa"/>
            <w:vAlign w:val="bottom"/>
            <w:tcBorders>
              <w:bottom w:val="single" w:sz="8" w:color="auto"/>
            </w:tcBorders>
            <w:gridSpan w:val="2"/>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2"/>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except interest rates)</w:t>
            </w: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June 30, 2019</w:t>
            </w:r>
          </w:p>
        </w:tc>
        <w:tc>
          <w:tcPr>
            <w:tcW w:w="3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98"/>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Revolving credit agreement with borrowings outstanding at an end of period interest rate of 3.57% in 2019</w:t>
            </w: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and 3.69% in 2018 (including the effect of interest rate hedging transactions, as described below), due in</w:t>
            </w:r>
          </w:p>
        </w:tc>
        <w:tc>
          <w:tcPr>
            <w:tcW w:w="4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$482,000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000" w:type="dxa"/>
            <w:vAlign w:val="bottom"/>
          </w:tcPr>
          <w:p>
            <w:pPr>
              <w:ind w:left="20"/>
              <w:spacing w:after="0"/>
              <w:rPr>
                <w:sz w:val="20"/>
                <w:szCs w:val="20"/>
                <w:color w:val="auto"/>
              </w:rPr>
            </w:pPr>
            <w:r>
              <w:rPr>
                <w:rFonts w:ascii="Arial" w:cs="Arial" w:eastAsia="Arial" w:hAnsi="Arial"/>
                <w:sz w:val="16"/>
                <w:szCs w:val="16"/>
                <w:color w:val="auto"/>
              </w:rPr>
              <w:t>2022</w:t>
            </w:r>
          </w:p>
        </w:tc>
        <w:tc>
          <w:tcPr>
            <w:tcW w:w="4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$499,000</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05"/>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Finance obligation</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25,886</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680" w:type="dxa"/>
            <w:vAlign w:val="bottom"/>
            <w:gridSpan w:val="4"/>
          </w:tcPr>
          <w:p>
            <w:pPr>
              <w:ind w:left="20"/>
              <w:spacing w:after="0"/>
              <w:rPr>
                <w:sz w:val="20"/>
                <w:szCs w:val="20"/>
                <w:color w:val="auto"/>
              </w:rPr>
            </w:pPr>
            <w:r>
              <w:rPr>
                <w:rFonts w:ascii="Arial" w:cs="Arial" w:eastAsia="Arial" w:hAnsi="Arial"/>
                <w:sz w:val="16"/>
                <w:szCs w:val="16"/>
                <w:color w:val="auto"/>
              </w:rPr>
              <w:t>Other debt, at an average end of period rate of 5.50% in both 2019 and 2018, due in varying amounts</w:t>
            </w:r>
          </w:p>
        </w:tc>
        <w:tc>
          <w:tcPr>
            <w:tcW w:w="4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through 2021</w:t>
            </w:r>
          </w:p>
        </w:tc>
        <w:tc>
          <w:tcPr>
            <w:tcW w:w="6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45</w:t>
            </w:r>
          </w:p>
        </w:tc>
        <w:tc>
          <w:tcPr>
            <w:tcW w:w="6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574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482,038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524,931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Less: current portion</w:t>
            </w:r>
          </w:p>
        </w:tc>
        <w:tc>
          <w:tcPr>
            <w:tcW w:w="6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499"/>
              <w:spacing w:after="0"/>
              <w:rPr>
                <w:sz w:val="20"/>
                <w:szCs w:val="20"/>
                <w:color w:val="auto"/>
              </w:rPr>
            </w:pPr>
            <w:r>
              <w:rPr>
                <w:rFonts w:ascii="Arial" w:cs="Arial" w:eastAsia="Arial" w:hAnsi="Arial"/>
                <w:sz w:val="16"/>
                <w:szCs w:val="16"/>
                <w:color w:val="auto"/>
              </w:rPr>
              <w:t>(1,224)</w:t>
            </w:r>
          </w:p>
        </w:tc>
        <w:tc>
          <w:tcPr>
            <w:tcW w:w="0" w:type="dxa"/>
            <w:vAlign w:val="bottom"/>
          </w:tcPr>
          <w:p>
            <w:pPr>
              <w:spacing w:after="0"/>
              <w:rPr>
                <w:sz w:val="1"/>
                <w:szCs w:val="1"/>
                <w:color w:val="auto"/>
              </w:rPr>
            </w:pPr>
          </w:p>
        </w:tc>
      </w:tr>
      <w:tr>
        <w:trPr>
          <w:trHeight w:val="212"/>
        </w:trPr>
        <w:tc>
          <w:tcPr>
            <w:tcW w:w="574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Long-term debt, net of current portion</w:t>
            </w:r>
          </w:p>
        </w:tc>
        <w:tc>
          <w:tcPr>
            <w:tcW w:w="6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$482,019</w:t>
            </w: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$523,707</w:t>
            </w:r>
          </w:p>
        </w:tc>
        <w:tc>
          <w:tcPr>
            <w:tcW w:w="6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$482 million of borrowings were outstanding as of June 30, 2019. The applicable interest rate for borrowings was LIBOR plus a spread, based on our leverage ratio at the time of borrowing. At the time of the last borrowing on June 17, 2019,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spread was 1.375%. The spread was based on a pricing grid, which ranged from 1.250% to 1.750%, based on our leverage ratio. Based on our maximum leverage ratio and our Consolidated EBITDA, and without modification to any other credit agreements, as of June 30, 2019, we would have been able to borrow an additional $203 million under the Agreement.</w:t>
      </w:r>
    </w:p>
    <w:p>
      <w:pPr>
        <w:spacing w:after="0" w:line="17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89"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71"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8"/>
          <w:szCs w:val="18"/>
          <w:color w:val="auto"/>
        </w:rPr>
        <w:t xml:space="preserve">Due to the implementation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as further described in Note 3 the finance obligation that had a balance of $25.9 million as of December 31, 2018, was eliminated and replaced with a finance lease obligation that is included in Other noncurrent liabilities and Accrued liabilities.</w:t>
      </w:r>
    </w:p>
    <w:p>
      <w:pPr>
        <w:spacing w:after="0" w:line="8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June 17, 2019 was 2.40%, during the swap period. On June 17, 2019, the all-in-rate on the $350 million of debt was 3.485%.</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No cash collateral was received or pledged in relation to the swap agreements.</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3.75 to 1.00 for each fiscal quarter ending prior to (but not including) September 30, 2019, and 3.50 to 1.00 for each fiscal quarter ending on or after September 30, 2019, and minimum interest coverage (as defined) of 3.00 to 1.00.</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As of June 30, 2019, our leverage ratio was 1.70 to 1.00 and our interest coverage ratio was 12.39 to 1.00. We may purchase our Common Stock or pay dividends to the extent our leverage ratio remains at or below 3.50 to 1.00, and may make acquisitions with cash provided our leverage ratio does not exceed the limits noted above.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in compliance with all debt covenants as of June 30,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June 30, 2019, or at December 31, 2018.</w:t>
      </w:r>
    </w:p>
    <w:p>
      <w:pPr>
        <w:spacing w:after="0" w:line="17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40" w:type="dxa"/>
            <w:vAlign w:val="bottom"/>
            <w:tcBorders>
              <w:top w:val="single" w:sz="8" w:color="auto"/>
            </w:tcBorders>
          </w:tcPr>
          <w:p>
            <w:pPr>
              <w:spacing w:after="0"/>
              <w:rPr>
                <w:sz w:val="17"/>
                <w:szCs w:val="17"/>
                <w:color w:val="auto"/>
              </w:rPr>
            </w:pPr>
          </w:p>
        </w:tc>
        <w:tc>
          <w:tcPr>
            <w:tcW w:w="1980" w:type="dxa"/>
            <w:vAlign w:val="bottom"/>
            <w:tcBorders>
              <w:top w:val="single" w:sz="8" w:color="auto"/>
              <w:bottom w:val="single" w:sz="8" w:color="auto"/>
            </w:tcBorders>
            <w:gridSpan w:val="2"/>
          </w:tcPr>
          <w:p>
            <w:pPr>
              <w:jc w:val="right"/>
              <w:ind w:right="84"/>
              <w:spacing w:after="0"/>
              <w:rPr>
                <w:sz w:val="20"/>
                <w:szCs w:val="20"/>
                <w:color w:val="auto"/>
              </w:rPr>
            </w:pPr>
            <w:r>
              <w:rPr>
                <w:rFonts w:ascii="Arial" w:cs="Arial" w:eastAsia="Arial" w:hAnsi="Arial"/>
                <w:sz w:val="14"/>
                <w:szCs w:val="14"/>
                <w:b w:val="1"/>
                <w:bCs w:val="1"/>
                <w:color w:val="auto"/>
              </w:rPr>
              <w:t>June 30, 2019</w:t>
            </w:r>
          </w:p>
        </w:tc>
        <w:tc>
          <w:tcPr>
            <w:tcW w:w="740" w:type="dxa"/>
            <w:vAlign w:val="bottom"/>
            <w:tcBorders>
              <w:top w:val="single" w:sz="8" w:color="auto"/>
              <w:bottom w:val="single" w:sz="8" w:color="auto"/>
            </w:tcBorders>
          </w:tcPr>
          <w:p>
            <w:pPr>
              <w:spacing w:after="0"/>
              <w:rPr>
                <w:sz w:val="17"/>
                <w:szCs w:val="17"/>
                <w:color w:val="auto"/>
              </w:rPr>
            </w:pPr>
          </w:p>
        </w:tc>
        <w:tc>
          <w:tcPr>
            <w:tcW w:w="2100" w:type="dxa"/>
            <w:vAlign w:val="bottom"/>
            <w:tcBorders>
              <w:top w:val="single" w:sz="8" w:color="auto"/>
              <w:bottom w:val="single" w:sz="8" w:color="auto"/>
            </w:tcBorders>
            <w:gridSpan w:val="2"/>
          </w:tcPr>
          <w:p>
            <w:pPr>
              <w:jc w:val="right"/>
              <w:ind w:right="4"/>
              <w:spacing w:after="0"/>
              <w:rPr>
                <w:sz w:val="20"/>
                <w:szCs w:val="20"/>
                <w:color w:val="auto"/>
              </w:rPr>
            </w:pPr>
            <w:r>
              <w:rPr>
                <w:rFonts w:ascii="Arial" w:cs="Arial" w:eastAsia="Arial" w:hAnsi="Arial"/>
                <w:sz w:val="14"/>
                <w:szCs w:val="14"/>
                <w:b w:val="1"/>
                <w:bCs w:val="1"/>
                <w:color w:val="auto"/>
              </w:rPr>
              <w:t>December 31, 2018</w:t>
            </w:r>
          </w:p>
        </w:tc>
        <w:tc>
          <w:tcPr>
            <w:tcW w:w="660" w:type="dxa"/>
            <w:vAlign w:val="bottom"/>
            <w:tcBorders>
              <w:top w:val="single" w:sz="8" w:color="auto"/>
              <w:bottom w:val="single" w:sz="8" w:color="auto"/>
            </w:tcBorders>
          </w:tcPr>
          <w:p>
            <w:pPr>
              <w:spacing w:after="0"/>
              <w:rPr>
                <w:sz w:val="17"/>
                <w:szCs w:val="17"/>
                <w:color w:val="auto"/>
              </w:rPr>
            </w:pPr>
          </w:p>
        </w:tc>
      </w:tr>
      <w:tr>
        <w:trPr>
          <w:trHeight w:val="156"/>
        </w:trPr>
        <w:tc>
          <w:tcPr>
            <w:tcW w:w="5940" w:type="dxa"/>
            <w:vAlign w:val="bottom"/>
          </w:tcPr>
          <w:p>
            <w:pPr>
              <w:spacing w:after="0"/>
              <w:rPr>
                <w:sz w:val="13"/>
                <w:szCs w:val="13"/>
                <w:color w:val="auto"/>
              </w:rPr>
            </w:pPr>
          </w:p>
        </w:tc>
        <w:tc>
          <w:tcPr>
            <w:tcW w:w="13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Quoted prices in</w:t>
            </w:r>
          </w:p>
        </w:tc>
        <w:tc>
          <w:tcPr>
            <w:tcW w:w="140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Significant other</w:t>
            </w:r>
          </w:p>
        </w:tc>
        <w:tc>
          <w:tcPr>
            <w:tcW w:w="132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Quoted prices in</w:t>
            </w:r>
          </w:p>
        </w:tc>
        <w:tc>
          <w:tcPr>
            <w:tcW w:w="1440" w:type="dxa"/>
            <w:vAlign w:val="bottom"/>
            <w:gridSpan w:val="2"/>
          </w:tcPr>
          <w:p>
            <w:pPr>
              <w:jc w:val="center"/>
              <w:spacing w:after="0" w:line="156" w:lineRule="exact"/>
              <w:rPr>
                <w:sz w:val="20"/>
                <w:szCs w:val="20"/>
                <w:color w:val="auto"/>
              </w:rPr>
            </w:pPr>
            <w:r>
              <w:rPr>
                <w:rFonts w:ascii="Arial" w:cs="Arial" w:eastAsia="Arial" w:hAnsi="Arial"/>
                <w:sz w:val="14"/>
                <w:szCs w:val="14"/>
                <w:b w:val="1"/>
                <w:bCs w:val="1"/>
                <w:color w:val="auto"/>
              </w:rPr>
              <w:t>Significant other</w:t>
            </w:r>
          </w:p>
        </w:tc>
      </w:tr>
      <w:tr>
        <w:trPr>
          <w:trHeight w:val="189"/>
        </w:trPr>
        <w:tc>
          <w:tcPr>
            <w:tcW w:w="59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active markets</w:t>
            </w: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active markets</w:t>
            </w: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rPr>
              <w:t>observable inputs</w:t>
            </w:r>
          </w:p>
        </w:tc>
      </w:tr>
      <w:tr>
        <w:trPr>
          <w:trHeight w:val="189"/>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1)</w:t>
            </w: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(Level 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1)</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(Level 2)</w:t>
            </w:r>
          </w:p>
        </w:tc>
      </w:tr>
      <w:tr>
        <w:trPr>
          <w:trHeight w:val="208"/>
        </w:trPr>
        <w:tc>
          <w:tcPr>
            <w:tcW w:w="5940" w:type="dxa"/>
            <w:vAlign w:val="bottom"/>
          </w:tcPr>
          <w:p>
            <w:pPr>
              <w:ind w:left="20"/>
              <w:spacing w:after="0"/>
              <w:rPr>
                <w:sz w:val="20"/>
                <w:szCs w:val="20"/>
                <w:color w:val="auto"/>
              </w:rPr>
            </w:pPr>
            <w:r>
              <w:rPr>
                <w:rFonts w:ascii="Arial" w:cs="Arial" w:eastAsia="Arial" w:hAnsi="Arial"/>
                <w:sz w:val="16"/>
                <w:szCs w:val="16"/>
                <w:b w:val="1"/>
                <w:bCs w:val="1"/>
                <w:color w:val="auto"/>
              </w:rPr>
              <w:t>Fair Value</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1"/>
        </w:trPr>
        <w:tc>
          <w:tcPr>
            <w:tcW w:w="5940" w:type="dxa"/>
            <w:vAlign w:val="bottom"/>
          </w:tcPr>
          <w:p>
            <w:pPr>
              <w:ind w:left="20"/>
              <w:spacing w:after="0"/>
              <w:rPr>
                <w:sz w:val="20"/>
                <w:szCs w:val="20"/>
                <w:color w:val="auto"/>
              </w:rPr>
            </w:pPr>
            <w:r>
              <w:rPr>
                <w:rFonts w:ascii="Arial" w:cs="Arial" w:eastAsia="Arial" w:hAnsi="Arial"/>
                <w:sz w:val="16"/>
                <w:szCs w:val="16"/>
                <w:i w:val="1"/>
                <w:iCs w:val="1"/>
                <w:color w:val="auto"/>
              </w:rPr>
              <w:t>Assets:</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94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1320" w:type="dxa"/>
            <w:vAlign w:val="bottom"/>
          </w:tcPr>
          <w:p>
            <w:pPr>
              <w:jc w:val="right"/>
              <w:ind w:right="283"/>
              <w:spacing w:after="0"/>
              <w:rPr>
                <w:sz w:val="20"/>
                <w:szCs w:val="20"/>
                <w:color w:val="auto"/>
              </w:rPr>
            </w:pPr>
            <w:r>
              <w:rPr>
                <w:rFonts w:ascii="Arial" w:cs="Arial" w:eastAsia="Arial" w:hAnsi="Arial"/>
                <w:sz w:val="16"/>
                <w:szCs w:val="16"/>
                <w:color w:val="auto"/>
              </w:rPr>
              <w:t>$19,738</w:t>
            </w:r>
          </w:p>
        </w:tc>
        <w:tc>
          <w:tcPr>
            <w:tcW w:w="660" w:type="dxa"/>
            <w:vAlign w:val="bottom"/>
          </w:tcPr>
          <w:p>
            <w:pPr>
              <w:jc w:val="right"/>
              <w:ind w:right="64"/>
              <w:spacing w:after="0"/>
              <w:rPr>
                <w:sz w:val="20"/>
                <w:szCs w:val="20"/>
                <w:color w:val="auto"/>
              </w:rPr>
            </w:pPr>
            <w:r>
              <w:rPr>
                <w:rFonts w:ascii="Arial" w:cs="Arial" w:eastAsia="Arial" w:hAnsi="Arial"/>
                <w:sz w:val="16"/>
                <w:szCs w:val="16"/>
                <w:color w:val="auto"/>
              </w:rPr>
              <w:t>$</w:t>
            </w:r>
          </w:p>
        </w:tc>
        <w:tc>
          <w:tcPr>
            <w:tcW w:w="740" w:type="dxa"/>
            <w:vAlign w:val="bottom"/>
          </w:tcPr>
          <w:p>
            <w:pPr>
              <w:ind w:lef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3"/>
              <w:spacing w:after="0"/>
              <w:rPr>
                <w:sz w:val="20"/>
                <w:szCs w:val="20"/>
                <w:color w:val="auto"/>
              </w:rPr>
            </w:pPr>
            <w:r>
              <w:rPr>
                <w:rFonts w:ascii="Arial" w:cs="Arial" w:eastAsia="Arial" w:hAnsi="Arial"/>
                <w:sz w:val="16"/>
                <w:szCs w:val="16"/>
                <w:color w:val="auto"/>
              </w:rPr>
              <w:t>$14,234</w:t>
            </w:r>
          </w:p>
        </w:tc>
        <w:tc>
          <w:tcPr>
            <w:tcW w:w="780" w:type="dxa"/>
            <w:vAlign w:val="bottom"/>
          </w:tcPr>
          <w:p>
            <w:pPr>
              <w:jc w:val="right"/>
              <w:ind w:right="204"/>
              <w:spacing w:after="0"/>
              <w:rPr>
                <w:sz w:val="20"/>
                <w:szCs w:val="20"/>
                <w:color w:val="auto"/>
              </w:rPr>
            </w:pPr>
            <w:r>
              <w:rPr>
                <w:rFonts w:ascii="Arial" w:cs="Arial" w:eastAsia="Arial" w:hAnsi="Arial"/>
                <w:sz w:val="16"/>
                <w:szCs w:val="16"/>
                <w:color w:val="auto"/>
              </w:rPr>
              <w:t>$</w:t>
            </w:r>
          </w:p>
        </w:tc>
        <w:tc>
          <w:tcPr>
            <w:tcW w:w="66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16"/>
        </w:trPr>
        <w:tc>
          <w:tcPr>
            <w:tcW w:w="5940" w:type="dxa"/>
            <w:vAlign w:val="bottom"/>
          </w:tcPr>
          <w:p>
            <w:pPr>
              <w:ind w:left="120"/>
              <w:spacing w:after="0"/>
              <w:rPr>
                <w:sz w:val="20"/>
                <w:szCs w:val="20"/>
                <w:color w:val="auto"/>
              </w:rPr>
            </w:pPr>
            <w:r>
              <w:rPr>
                <w:rFonts w:ascii="Arial" w:cs="Arial" w:eastAsia="Arial" w:hAnsi="Arial"/>
                <w:sz w:val="16"/>
                <w:szCs w:val="16"/>
                <w:i w:val="1"/>
                <w:iCs w:val="1"/>
                <w:color w:val="auto"/>
              </w:rPr>
              <w:t>Other Assets:</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940" w:type="dxa"/>
            <w:vAlign w:val="bottom"/>
          </w:tcPr>
          <w:p>
            <w:pPr>
              <w:ind w:left="120"/>
              <w:spacing w:after="0"/>
              <w:rPr>
                <w:sz w:val="20"/>
                <w:szCs w:val="20"/>
                <w:color w:val="auto"/>
              </w:rPr>
            </w:pPr>
            <w:r>
              <w:rPr>
                <w:rFonts w:ascii="Arial" w:cs="Arial" w:eastAsia="Arial" w:hAnsi="Arial"/>
                <w:sz w:val="16"/>
                <w:szCs w:val="16"/>
                <w:color w:val="auto"/>
              </w:rPr>
              <w:t>Common stock of unaffiliated foreign public company(a)</w:t>
            </w:r>
          </w:p>
        </w:tc>
        <w:tc>
          <w:tcPr>
            <w:tcW w:w="1320" w:type="dxa"/>
            <w:vAlign w:val="bottom"/>
          </w:tcPr>
          <w:p>
            <w:pPr>
              <w:jc w:val="right"/>
              <w:ind w:right="283"/>
              <w:spacing w:after="0"/>
              <w:rPr>
                <w:sz w:val="20"/>
                <w:szCs w:val="20"/>
                <w:color w:val="auto"/>
              </w:rPr>
            </w:pPr>
            <w:r>
              <w:rPr>
                <w:rFonts w:ascii="Arial" w:cs="Arial" w:eastAsia="Arial" w:hAnsi="Arial"/>
                <w:sz w:val="16"/>
                <w:szCs w:val="16"/>
                <w:color w:val="auto"/>
              </w:rPr>
              <w:t>890</w:t>
            </w:r>
          </w:p>
        </w:tc>
        <w:tc>
          <w:tcPr>
            <w:tcW w:w="6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3"/>
              <w:spacing w:after="0"/>
              <w:rPr>
                <w:sz w:val="20"/>
                <w:szCs w:val="20"/>
                <w:color w:val="auto"/>
              </w:rPr>
            </w:pPr>
            <w:r>
              <w:rPr>
                <w:rFonts w:ascii="Arial" w:cs="Arial" w:eastAsia="Arial" w:hAnsi="Arial"/>
                <w:sz w:val="16"/>
                <w:szCs w:val="16"/>
                <w:color w:val="auto"/>
              </w:rPr>
              <w:t>731</w:t>
            </w:r>
          </w:p>
        </w:tc>
        <w:tc>
          <w:tcPr>
            <w:tcW w:w="780" w:type="dxa"/>
            <w:vAlign w:val="bottom"/>
          </w:tcPr>
          <w:p>
            <w:pPr>
              <w:spacing w:after="0"/>
              <w:rPr>
                <w:sz w:val="18"/>
                <w:szCs w:val="18"/>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320" w:type="dxa"/>
            <w:vAlign w:val="bottom"/>
          </w:tcPr>
          <w:p>
            <w:pPr>
              <w:jc w:val="right"/>
              <w:ind w:right="283"/>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740" w:type="dxa"/>
            <w:vAlign w:val="bottom"/>
          </w:tcPr>
          <w:p>
            <w:pPr>
              <w:ind w:left="160"/>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303"/>
              <w:spacing w:after="0"/>
              <w:rPr>
                <w:sz w:val="20"/>
                <w:szCs w:val="20"/>
                <w:color w:val="auto"/>
              </w:rPr>
            </w:pPr>
            <w:r>
              <w:rPr>
                <w:rFonts w:ascii="Arial" w:cs="Arial" w:eastAsia="Arial" w:hAnsi="Arial"/>
                <w:sz w:val="16"/>
                <w:szCs w:val="16"/>
                <w:color w:val="auto"/>
              </w:rPr>
              <w:t>—</w:t>
            </w:r>
          </w:p>
        </w:tc>
        <w:tc>
          <w:tcPr>
            <w:tcW w:w="1440" w:type="dxa"/>
            <w:vAlign w:val="bottom"/>
            <w:gridSpan w:val="2"/>
          </w:tcPr>
          <w:p>
            <w:pPr>
              <w:ind w:left="460"/>
              <w:spacing w:after="0"/>
              <w:rPr>
                <w:sz w:val="20"/>
                <w:szCs w:val="20"/>
                <w:color w:val="auto"/>
              </w:rPr>
            </w:pPr>
            <w:r>
              <w:rPr>
                <w:rFonts w:ascii="Arial" w:cs="Arial" w:eastAsia="Arial" w:hAnsi="Arial"/>
                <w:sz w:val="16"/>
                <w:szCs w:val="16"/>
                <w:color w:val="auto"/>
              </w:rPr>
              <w:t>4,548(c)</w:t>
            </w:r>
          </w:p>
        </w:tc>
      </w:tr>
      <w:tr>
        <w:trPr>
          <w:trHeight w:val="216"/>
        </w:trPr>
        <w:tc>
          <w:tcPr>
            <w:tcW w:w="5940" w:type="dxa"/>
            <w:vAlign w:val="bottom"/>
          </w:tcPr>
          <w:p>
            <w:pPr>
              <w:ind w:left="20"/>
              <w:spacing w:after="0"/>
              <w:rPr>
                <w:sz w:val="20"/>
                <w:szCs w:val="20"/>
                <w:color w:val="auto"/>
              </w:rPr>
            </w:pPr>
            <w:r>
              <w:rPr>
                <w:rFonts w:ascii="Arial" w:cs="Arial" w:eastAsia="Arial" w:hAnsi="Arial"/>
                <w:sz w:val="16"/>
                <w:szCs w:val="16"/>
                <w:i w:val="1"/>
                <w:iCs w:val="1"/>
                <w:color w:val="auto"/>
              </w:rPr>
              <w:t>Liabilities:</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940" w:type="dxa"/>
            <w:vAlign w:val="bottom"/>
          </w:tcPr>
          <w:p>
            <w:pPr>
              <w:ind w:left="120"/>
              <w:spacing w:after="0"/>
              <w:rPr>
                <w:sz w:val="20"/>
                <w:szCs w:val="20"/>
                <w:color w:val="auto"/>
              </w:rPr>
            </w:pPr>
            <w:r>
              <w:rPr>
                <w:rFonts w:ascii="Arial" w:cs="Arial" w:eastAsia="Arial" w:hAnsi="Arial"/>
                <w:sz w:val="16"/>
                <w:szCs w:val="16"/>
                <w:i w:val="1"/>
                <w:iCs w:val="1"/>
                <w:color w:val="auto"/>
              </w:rPr>
              <w:t>Other noncurrent liabilities</w:t>
            </w:r>
          </w:p>
        </w:tc>
        <w:tc>
          <w:tcPr>
            <w:tcW w:w="1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5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Interest rate swaps</w:t>
            </w:r>
          </w:p>
        </w:tc>
        <w:tc>
          <w:tcPr>
            <w:tcW w:w="13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gridSpan w:val="2"/>
          </w:tcPr>
          <w:p>
            <w:pPr>
              <w:ind w:left="380"/>
              <w:spacing w:after="0"/>
              <w:rPr>
                <w:sz w:val="20"/>
                <w:szCs w:val="20"/>
                <w:color w:val="auto"/>
              </w:rPr>
            </w:pPr>
            <w:r>
              <w:rPr>
                <w:rFonts w:ascii="Arial" w:cs="Arial" w:eastAsia="Arial" w:hAnsi="Arial"/>
                <w:sz w:val="16"/>
                <w:szCs w:val="16"/>
                <w:color w:val="auto"/>
              </w:rPr>
              <w:t>(5,370)(b)</w:t>
            </w:r>
          </w:p>
        </w:tc>
        <w:tc>
          <w:tcPr>
            <w:tcW w:w="132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r>
    </w:tbl>
    <w:p>
      <w:pPr>
        <w:spacing w:after="0" w:line="177" w:lineRule="exact"/>
        <w:rPr>
          <w:sz w:val="20"/>
          <w:szCs w:val="20"/>
          <w:color w:val="auto"/>
        </w:rPr>
      </w:pPr>
    </w:p>
    <w:p>
      <w:pPr>
        <w:ind w:left="260" w:hanging="238"/>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Original cost basis $0.5 million.</w:t>
      </w:r>
    </w:p>
    <w:p>
      <w:pPr>
        <w:spacing w:after="0" w:line="32" w:lineRule="exact"/>
        <w:rPr>
          <w:rFonts w:ascii="Arial" w:cs="Arial" w:eastAsia="Arial" w:hAnsi="Arial"/>
          <w:sz w:val="16"/>
          <w:szCs w:val="16"/>
          <w:color w:val="auto"/>
        </w:rPr>
      </w:pPr>
    </w:p>
    <w:p>
      <w:pPr>
        <w:ind w:left="260" w:hanging="238"/>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of $18.9 million receivable floating leg and $24.2 million liability fixed leg.</w:t>
      </w:r>
    </w:p>
    <w:p>
      <w:pPr>
        <w:spacing w:after="0" w:line="32" w:lineRule="exact"/>
        <w:rPr>
          <w:rFonts w:ascii="Arial" w:cs="Arial" w:eastAsia="Arial" w:hAnsi="Arial"/>
          <w:sz w:val="16"/>
          <w:szCs w:val="16"/>
          <w:color w:val="auto"/>
        </w:rPr>
      </w:pPr>
    </w:p>
    <w:p>
      <w:pPr>
        <w:ind w:left="260" w:hanging="238"/>
        <w:spacing w:after="0"/>
        <w:tabs>
          <w:tab w:leader="none" w:pos="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Net of $32.0 million receivable floating leg and $27.5 million liability fixed leg.</w:t>
      </w:r>
    </w:p>
    <w:p>
      <w:pPr>
        <w:spacing w:after="0" w:line="20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 Sheets as Other current assets and Accounts payable, as applicable. Changes in fair value of these instruments are recorded as gains or losses within Other (income)/expense, net.</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9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June 30, 2019,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expense related to payments under the active swap agreements totaled ($0.6) million for the six month period ended June 30, 2019, and $0.7 million for the six month period ended June 30, 2018. Additionally, non-cash interest income related to the amortization of swap buyouts totaled $0.2 million for the six month period ended June 30, 2019 and $0.4 million for the six month period ended June 30, 2018.</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4540" w:type="dxa"/>
            <w:vAlign w:val="bottom"/>
            <w:tcBorders>
              <w:top w:val="single" w:sz="8" w:color="auto"/>
            </w:tcBorders>
          </w:tcPr>
          <w:p>
            <w:pPr>
              <w:spacing w:after="0"/>
              <w:rPr>
                <w:sz w:val="15"/>
                <w:szCs w:val="15"/>
                <w:color w:val="auto"/>
              </w:rPr>
            </w:pPr>
          </w:p>
        </w:tc>
        <w:tc>
          <w:tcPr>
            <w:tcW w:w="3060" w:type="dxa"/>
            <w:vAlign w:val="bottom"/>
            <w:tcBorders>
              <w:top w:val="single" w:sz="8" w:color="auto"/>
            </w:tcBorders>
            <w:gridSpan w:val="2"/>
            <w:vMerge w:val="restart"/>
          </w:tcPr>
          <w:p>
            <w:pPr>
              <w:ind w:left="880"/>
              <w:spacing w:after="0"/>
              <w:rPr>
                <w:sz w:val="20"/>
                <w:szCs w:val="20"/>
                <w:color w:val="auto"/>
              </w:rPr>
            </w:pPr>
            <w:r>
              <w:rPr>
                <w:rFonts w:ascii="Arial" w:cs="Arial" w:eastAsia="Arial" w:hAnsi="Arial"/>
                <w:sz w:val="14"/>
                <w:szCs w:val="14"/>
                <w:b w:val="1"/>
                <w:bCs w:val="1"/>
                <w:color w:val="auto"/>
              </w:rPr>
              <w:t>Three months ended June 30,</w:t>
            </w:r>
          </w:p>
        </w:tc>
        <w:tc>
          <w:tcPr>
            <w:tcW w:w="1820" w:type="dxa"/>
            <w:vAlign w:val="bottom"/>
            <w:tcBorders>
              <w:top w:val="single" w:sz="8" w:color="auto"/>
            </w:tcBorders>
            <w:gridSpan w:val="2"/>
          </w:tcPr>
          <w:p>
            <w:pPr>
              <w:jc w:val="center"/>
              <w:ind w:left="45"/>
              <w:spacing w:after="0"/>
              <w:rPr>
                <w:sz w:val="20"/>
                <w:szCs w:val="20"/>
                <w:color w:val="auto"/>
              </w:rPr>
            </w:pPr>
            <w:r>
              <w:rPr>
                <w:rFonts w:ascii="Arial" w:cs="Arial" w:eastAsia="Arial" w:hAnsi="Arial"/>
                <w:sz w:val="14"/>
                <w:szCs w:val="14"/>
                <w:b w:val="1"/>
                <w:bCs w:val="1"/>
                <w:color w:val="auto"/>
              </w:rPr>
              <w:t>Six months ended June</w:t>
            </w: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30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vMerge w:val="restart"/>
          </w:tcPr>
          <w:p>
            <w:pPr>
              <w:jc w:val="right"/>
              <w:ind w:right="685"/>
              <w:spacing w:after="0"/>
              <w:rPr>
                <w:sz w:val="20"/>
                <w:szCs w:val="20"/>
                <w:color w:val="auto"/>
              </w:rPr>
            </w:pPr>
            <w:r>
              <w:rPr>
                <w:rFonts w:ascii="Arial" w:cs="Arial" w:eastAsia="Arial" w:hAnsi="Arial"/>
                <w:sz w:val="14"/>
                <w:szCs w:val="14"/>
                <w:b w:val="1"/>
                <w:bCs w:val="1"/>
                <w:color w:val="auto"/>
              </w:rPr>
              <w:t>30,</w:t>
            </w:r>
          </w:p>
        </w:tc>
        <w:tc>
          <w:tcPr>
            <w:tcW w:w="0" w:type="dxa"/>
            <w:vAlign w:val="bottom"/>
          </w:tcPr>
          <w:p>
            <w:pPr>
              <w:spacing w:after="0"/>
              <w:rPr>
                <w:sz w:val="1"/>
                <w:szCs w:val="1"/>
                <w:color w:val="auto"/>
              </w:rPr>
            </w:pPr>
          </w:p>
        </w:tc>
      </w:tr>
      <w:tr>
        <w:trPr>
          <w:trHeight w:val="80"/>
        </w:trPr>
        <w:tc>
          <w:tcPr>
            <w:tcW w:w="4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880" w:type="dxa"/>
            <w:vAlign w:val="bottom"/>
            <w:tcBorders>
              <w:bottom w:val="single" w:sz="8" w:color="auto"/>
            </w:tcBorders>
          </w:tcPr>
          <w:p>
            <w:pPr>
              <w:jc w:val="right"/>
              <w:ind w:right="385"/>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4"/>
        </w:trPr>
        <w:tc>
          <w:tcPr>
            <w:tcW w:w="4540" w:type="dxa"/>
            <w:vAlign w:val="bottom"/>
          </w:tcPr>
          <w:p>
            <w:pPr>
              <w:ind w:left="20"/>
              <w:spacing w:after="0"/>
              <w:rPr>
                <w:sz w:val="20"/>
                <w:szCs w:val="20"/>
                <w:color w:val="auto"/>
              </w:rPr>
            </w:pPr>
            <w:r>
              <w:rPr>
                <w:rFonts w:ascii="Arial" w:cs="Arial" w:eastAsia="Arial" w:hAnsi="Arial"/>
                <w:sz w:val="16"/>
                <w:szCs w:val="16"/>
                <w:color w:val="auto"/>
              </w:rPr>
              <w:t>Derivatives not designated as hedging instruments</w:t>
            </w:r>
          </w:p>
        </w:tc>
        <w:tc>
          <w:tcPr>
            <w:tcW w:w="1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options losses</w:t>
            </w:r>
          </w:p>
        </w:tc>
        <w:tc>
          <w:tcPr>
            <w:tcW w:w="1880" w:type="dxa"/>
            <w:vAlign w:val="bottom"/>
            <w:tcBorders>
              <w:bottom w:val="single" w:sz="8" w:color="auto"/>
            </w:tcBorders>
          </w:tcPr>
          <w:p>
            <w:pPr>
              <w:jc w:val="right"/>
              <w:ind w:right="465"/>
              <w:spacing w:after="0"/>
              <w:rPr>
                <w:sz w:val="20"/>
                <w:szCs w:val="20"/>
                <w:color w:val="auto"/>
              </w:rPr>
            </w:pPr>
            <w:r>
              <w:rPr>
                <w:rFonts w:ascii="Arial" w:cs="Arial" w:eastAsia="Arial" w:hAnsi="Arial"/>
                <w:sz w:val="16"/>
                <w:szCs w:val="16"/>
                <w:b w:val="1"/>
                <w:bCs w:val="1"/>
                <w:color w:val="auto"/>
              </w:rPr>
              <w:t>$0</w:t>
            </w:r>
          </w:p>
        </w:tc>
        <w:tc>
          <w:tcPr>
            <w:tcW w:w="118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color w:val="auto"/>
              </w:rPr>
              <w:t>$(34)</w:t>
            </w:r>
          </w:p>
        </w:tc>
        <w:tc>
          <w:tcPr>
            <w:tcW w:w="780" w:type="dxa"/>
            <w:vAlign w:val="bottom"/>
            <w:tcBorders>
              <w:bottom w:val="single" w:sz="8" w:color="auto"/>
            </w:tcBorders>
          </w:tcPr>
          <w:p>
            <w:pPr>
              <w:jc w:val="right"/>
              <w:ind w:right="65"/>
              <w:spacing w:after="0"/>
              <w:rPr>
                <w:sz w:val="20"/>
                <w:szCs w:val="20"/>
                <w:color w:val="auto"/>
              </w:rPr>
            </w:pPr>
            <w:r>
              <w:rPr>
                <w:rFonts w:ascii="Arial" w:cs="Arial" w:eastAsia="Arial" w:hAnsi="Arial"/>
                <w:sz w:val="16"/>
                <w:szCs w:val="16"/>
                <w:b w:val="1"/>
                <w:bCs w:val="1"/>
                <w:color w:val="auto"/>
              </w:rPr>
              <w:t>$0</w:t>
            </w:r>
          </w:p>
        </w:tc>
        <w:tc>
          <w:tcPr>
            <w:tcW w:w="1040" w:type="dxa"/>
            <w:vAlign w:val="bottom"/>
            <w:tcBorders>
              <w:bottom w:val="single" w:sz="8" w:color="auto"/>
            </w:tcBorders>
          </w:tcPr>
          <w:p>
            <w:pPr>
              <w:jc w:val="right"/>
              <w:ind w:right="165"/>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9740" w:firstLine="8"/>
        <w:spacing w:after="0" w:line="372" w:lineRule="auto"/>
        <w:tabs>
          <w:tab w:leader="none" w:pos="30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Contingencies </w:t>
      </w:r>
      <w:r>
        <w:rPr>
          <w:rFonts w:ascii="Arial" w:cs="Arial" w:eastAsia="Arial" w:hAnsi="Arial"/>
          <w:sz w:val="18"/>
          <w:szCs w:val="18"/>
          <w:b w:val="1"/>
          <w:bCs w:val="1"/>
          <w:color w:val="auto"/>
        </w:rPr>
        <w:t>Asbestos Litigation</w:t>
      </w:r>
    </w:p>
    <w:p>
      <w:pPr>
        <w:spacing w:after="0" w:line="2"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were defending 3,691 claims as of June 30, 2019.</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60" w:type="dxa"/>
            <w:vAlign w:val="bottom"/>
            <w:tcBorders>
              <w:top w:val="single" w:sz="8" w:color="auto"/>
            </w:tcBorders>
          </w:tcPr>
          <w:p>
            <w:pPr>
              <w:spacing w:after="0"/>
              <w:rPr>
                <w:sz w:val="15"/>
                <w:szCs w:val="15"/>
                <w:color w:val="auto"/>
              </w:rPr>
            </w:pPr>
          </w:p>
        </w:tc>
        <w:tc>
          <w:tcPr>
            <w:tcW w:w="234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spacing w:after="0"/>
              <w:rPr>
                <w:sz w:val="15"/>
                <w:szCs w:val="15"/>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Amounts Paid</w:t>
            </w:r>
          </w:p>
        </w:tc>
      </w:tr>
      <w:tr>
        <w:trPr>
          <w:trHeight w:val="162"/>
        </w:trPr>
        <w:tc>
          <w:tcPr>
            <w:tcW w:w="2660" w:type="dxa"/>
            <w:vAlign w:val="bottom"/>
          </w:tcPr>
          <w:p>
            <w:pPr>
              <w:spacing w:after="0"/>
              <w:rPr>
                <w:sz w:val="14"/>
                <w:szCs w:val="14"/>
                <w:color w:val="auto"/>
              </w:rPr>
            </w:pPr>
          </w:p>
        </w:tc>
        <w:tc>
          <w:tcPr>
            <w:tcW w:w="2340" w:type="dxa"/>
            <w:vAlign w:val="bottom"/>
          </w:tcPr>
          <w:p>
            <w:pPr>
              <w:jc w:val="center"/>
              <w:ind w:left="681"/>
              <w:spacing w:after="0"/>
              <w:rPr>
                <w:sz w:val="20"/>
                <w:szCs w:val="20"/>
                <w:color w:val="auto"/>
              </w:rPr>
            </w:pPr>
            <w:r>
              <w:rPr>
                <w:rFonts w:ascii="Arial" w:cs="Arial" w:eastAsia="Arial" w:hAnsi="Arial"/>
                <w:sz w:val="14"/>
                <w:szCs w:val="14"/>
                <w:b w:val="1"/>
                <w:bCs w:val="1"/>
                <w:color w:val="auto"/>
              </w:rPr>
              <w:t>Opening Number of</w:t>
            </w:r>
          </w:p>
        </w:tc>
        <w:tc>
          <w:tcPr>
            <w:tcW w:w="1720" w:type="dxa"/>
            <w:vAlign w:val="bottom"/>
          </w:tcPr>
          <w:p>
            <w:pPr>
              <w:jc w:val="right"/>
              <w:ind w:right="201"/>
              <w:spacing w:after="0"/>
              <w:rPr>
                <w:sz w:val="20"/>
                <w:szCs w:val="20"/>
                <w:color w:val="auto"/>
              </w:rPr>
            </w:pPr>
            <w:r>
              <w:rPr>
                <w:rFonts w:ascii="Arial" w:cs="Arial" w:eastAsia="Arial" w:hAnsi="Arial"/>
                <w:sz w:val="14"/>
                <w:szCs w:val="14"/>
                <w:b w:val="1"/>
                <w:bCs w:val="1"/>
                <w:color w:val="auto"/>
              </w:rPr>
              <w:t>Claims Dismissed,</w:t>
            </w:r>
          </w:p>
        </w:tc>
        <w:tc>
          <w:tcPr>
            <w:tcW w:w="1320" w:type="dxa"/>
            <w:vAlign w:val="bottom"/>
          </w:tcPr>
          <w:p>
            <w:pPr>
              <w:spacing w:after="0"/>
              <w:rPr>
                <w:sz w:val="14"/>
                <w:szCs w:val="14"/>
                <w:color w:val="auto"/>
              </w:rPr>
            </w:pPr>
          </w:p>
        </w:tc>
        <w:tc>
          <w:tcPr>
            <w:tcW w:w="1660" w:type="dxa"/>
            <w:vAlign w:val="bottom"/>
          </w:tcPr>
          <w:p>
            <w:pPr>
              <w:jc w:val="center"/>
              <w:ind w:left="101"/>
              <w:spacing w:after="0"/>
              <w:rPr>
                <w:sz w:val="20"/>
                <w:szCs w:val="20"/>
                <w:color w:val="auto"/>
              </w:rPr>
            </w:pPr>
            <w:r>
              <w:rPr>
                <w:rFonts w:ascii="Arial" w:cs="Arial" w:eastAsia="Arial" w:hAnsi="Arial"/>
                <w:sz w:val="14"/>
                <w:szCs w:val="14"/>
                <w:b w:val="1"/>
                <w:bCs w:val="1"/>
                <w:color w:val="auto"/>
              </w:rPr>
              <w:t>Closing Number of</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rPr>
              <w:t>(thousands) to Settle or</w:t>
            </w:r>
          </w:p>
        </w:tc>
      </w:tr>
      <w:tr>
        <w:trPr>
          <w:trHeight w:val="18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2340" w:type="dxa"/>
            <w:vAlign w:val="bottom"/>
            <w:tcBorders>
              <w:bottom w:val="single" w:sz="8" w:color="auto"/>
            </w:tcBorders>
          </w:tcPr>
          <w:p>
            <w:pPr>
              <w:jc w:val="center"/>
              <w:ind w:left="701"/>
              <w:spacing w:after="0"/>
              <w:rPr>
                <w:sz w:val="20"/>
                <w:szCs w:val="20"/>
                <w:color w:val="auto"/>
              </w:rPr>
            </w:pPr>
            <w:r>
              <w:rPr>
                <w:rFonts w:ascii="Arial" w:cs="Arial" w:eastAsia="Arial" w:hAnsi="Arial"/>
                <w:sz w:val="14"/>
                <w:szCs w:val="14"/>
                <w:b w:val="1"/>
                <w:bCs w:val="1"/>
                <w:color w:val="auto"/>
              </w:rPr>
              <w:t>Claims</w:t>
            </w:r>
          </w:p>
        </w:tc>
        <w:tc>
          <w:tcPr>
            <w:tcW w:w="17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Settled, or Resolved</w:t>
            </w:r>
          </w:p>
        </w:tc>
        <w:tc>
          <w:tcPr>
            <w:tcW w:w="13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New Claims</w:t>
            </w:r>
          </w:p>
        </w:tc>
        <w:tc>
          <w:tcPr>
            <w:tcW w:w="1660" w:type="dxa"/>
            <w:vAlign w:val="bottom"/>
            <w:tcBorders>
              <w:bottom w:val="single" w:sz="8" w:color="auto"/>
            </w:tcBorders>
          </w:tcPr>
          <w:p>
            <w:pPr>
              <w:jc w:val="center"/>
              <w:ind w:left="101"/>
              <w:spacing w:after="0"/>
              <w:rPr>
                <w:sz w:val="20"/>
                <w:szCs w:val="20"/>
                <w:color w:val="auto"/>
              </w:rPr>
            </w:pPr>
            <w:r>
              <w:rPr>
                <w:rFonts w:ascii="Arial" w:cs="Arial" w:eastAsia="Arial" w:hAnsi="Arial"/>
                <w:sz w:val="14"/>
                <w:szCs w:val="14"/>
                <w:b w:val="1"/>
                <w:bCs w:val="1"/>
                <w:color w:val="auto"/>
              </w:rPr>
              <w:t>Claims</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Resolve</w:t>
            </w:r>
          </w:p>
        </w:tc>
      </w:tr>
      <w:tr>
        <w:trPr>
          <w:trHeight w:val="204"/>
        </w:trPr>
        <w:tc>
          <w:tcPr>
            <w:tcW w:w="2660" w:type="dxa"/>
            <w:vAlign w:val="bottom"/>
          </w:tcPr>
          <w:p>
            <w:pPr>
              <w:ind w:left="20"/>
              <w:spacing w:after="0"/>
              <w:rPr>
                <w:sz w:val="20"/>
                <w:szCs w:val="20"/>
                <w:color w:val="auto"/>
              </w:rPr>
            </w:pPr>
            <w:r>
              <w:rPr>
                <w:rFonts w:ascii="Arial" w:cs="Arial" w:eastAsia="Arial" w:hAnsi="Arial"/>
                <w:sz w:val="16"/>
                <w:szCs w:val="16"/>
                <w:color w:val="auto"/>
              </w:rPr>
              <w:t>2014</w:t>
            </w:r>
          </w:p>
        </w:tc>
        <w:tc>
          <w:tcPr>
            <w:tcW w:w="2340" w:type="dxa"/>
            <w:vAlign w:val="bottom"/>
          </w:tcPr>
          <w:p>
            <w:pPr>
              <w:jc w:val="center"/>
              <w:ind w:left="701"/>
              <w:spacing w:after="0"/>
              <w:rPr>
                <w:sz w:val="20"/>
                <w:szCs w:val="20"/>
                <w:color w:val="auto"/>
              </w:rPr>
            </w:pPr>
            <w:r>
              <w:rPr>
                <w:rFonts w:ascii="Arial" w:cs="Arial" w:eastAsia="Arial" w:hAnsi="Arial"/>
                <w:sz w:val="16"/>
                <w:szCs w:val="16"/>
                <w:color w:val="auto"/>
                <w:w w:val="99"/>
              </w:rPr>
              <w:t>4,299</w:t>
            </w:r>
          </w:p>
        </w:tc>
        <w:tc>
          <w:tcPr>
            <w:tcW w:w="1720" w:type="dxa"/>
            <w:vAlign w:val="bottom"/>
          </w:tcPr>
          <w:p>
            <w:pPr>
              <w:jc w:val="right"/>
              <w:ind w:right="701"/>
              <w:spacing w:after="0"/>
              <w:rPr>
                <w:sz w:val="20"/>
                <w:szCs w:val="20"/>
                <w:color w:val="auto"/>
              </w:rPr>
            </w:pPr>
            <w:r>
              <w:rPr>
                <w:rFonts w:ascii="Arial" w:cs="Arial" w:eastAsia="Arial" w:hAnsi="Arial"/>
                <w:sz w:val="16"/>
                <w:szCs w:val="16"/>
                <w:color w:val="auto"/>
              </w:rPr>
              <w:t>625</w:t>
            </w:r>
          </w:p>
        </w:tc>
        <w:tc>
          <w:tcPr>
            <w:tcW w:w="1320" w:type="dxa"/>
            <w:vAlign w:val="bottom"/>
          </w:tcPr>
          <w:p>
            <w:pPr>
              <w:jc w:val="right"/>
              <w:ind w:right="440"/>
              <w:spacing w:after="0"/>
              <w:rPr>
                <w:sz w:val="20"/>
                <w:szCs w:val="20"/>
                <w:color w:val="auto"/>
              </w:rPr>
            </w:pPr>
            <w:r>
              <w:rPr>
                <w:rFonts w:ascii="Arial" w:cs="Arial" w:eastAsia="Arial" w:hAnsi="Arial"/>
                <w:sz w:val="16"/>
                <w:szCs w:val="16"/>
                <w:color w:val="auto"/>
              </w:rPr>
              <w:t>147</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3,821</w:t>
            </w:r>
          </w:p>
        </w:tc>
        <w:tc>
          <w:tcPr>
            <w:tcW w:w="1720" w:type="dxa"/>
            <w:vAlign w:val="bottom"/>
          </w:tcPr>
          <w:p>
            <w:pPr>
              <w:jc w:val="right"/>
              <w:ind w:right="582"/>
              <w:spacing w:after="0"/>
              <w:rPr>
                <w:sz w:val="20"/>
                <w:szCs w:val="20"/>
                <w:color w:val="auto"/>
              </w:rPr>
            </w:pPr>
            <w:r>
              <w:rPr>
                <w:rFonts w:ascii="Arial" w:cs="Arial" w:eastAsia="Arial" w:hAnsi="Arial"/>
                <w:sz w:val="16"/>
                <w:szCs w:val="16"/>
                <w:color w:val="auto"/>
              </w:rPr>
              <w:t>$437</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2015</w:t>
            </w:r>
          </w:p>
        </w:tc>
        <w:tc>
          <w:tcPr>
            <w:tcW w:w="2340" w:type="dxa"/>
            <w:vAlign w:val="bottom"/>
          </w:tcPr>
          <w:p>
            <w:pPr>
              <w:jc w:val="center"/>
              <w:ind w:left="701"/>
              <w:spacing w:after="0"/>
              <w:rPr>
                <w:sz w:val="20"/>
                <w:szCs w:val="20"/>
                <w:color w:val="auto"/>
              </w:rPr>
            </w:pPr>
            <w:r>
              <w:rPr>
                <w:rFonts w:ascii="Arial" w:cs="Arial" w:eastAsia="Arial" w:hAnsi="Arial"/>
                <w:sz w:val="16"/>
                <w:szCs w:val="16"/>
                <w:color w:val="auto"/>
                <w:w w:val="99"/>
              </w:rPr>
              <w:t>3,821</w:t>
            </w:r>
          </w:p>
        </w:tc>
        <w:tc>
          <w:tcPr>
            <w:tcW w:w="1720" w:type="dxa"/>
            <w:vAlign w:val="bottom"/>
          </w:tcPr>
          <w:p>
            <w:pPr>
              <w:jc w:val="right"/>
              <w:ind w:right="701"/>
              <w:spacing w:after="0"/>
              <w:rPr>
                <w:sz w:val="20"/>
                <w:szCs w:val="20"/>
                <w:color w:val="auto"/>
              </w:rPr>
            </w:pPr>
            <w:r>
              <w:rPr>
                <w:rFonts w:ascii="Arial" w:cs="Arial" w:eastAsia="Arial" w:hAnsi="Arial"/>
                <w:sz w:val="16"/>
                <w:szCs w:val="16"/>
                <w:color w:val="auto"/>
              </w:rPr>
              <w:t>116</w:t>
            </w:r>
          </w:p>
        </w:tc>
        <w:tc>
          <w:tcPr>
            <w:tcW w:w="1320" w:type="dxa"/>
            <w:vAlign w:val="bottom"/>
          </w:tcPr>
          <w:p>
            <w:pPr>
              <w:jc w:val="right"/>
              <w:ind w:right="460"/>
              <w:spacing w:after="0"/>
              <w:rPr>
                <w:sz w:val="20"/>
                <w:szCs w:val="20"/>
                <w:color w:val="auto"/>
              </w:rPr>
            </w:pPr>
            <w:r>
              <w:rPr>
                <w:rFonts w:ascii="Arial" w:cs="Arial" w:eastAsia="Arial" w:hAnsi="Arial"/>
                <w:sz w:val="16"/>
                <w:szCs w:val="16"/>
                <w:color w:val="auto"/>
              </w:rPr>
              <w:t>86</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3,791</w:t>
            </w:r>
          </w:p>
        </w:tc>
        <w:tc>
          <w:tcPr>
            <w:tcW w:w="1720" w:type="dxa"/>
            <w:vAlign w:val="bottom"/>
          </w:tcPr>
          <w:p>
            <w:pPr>
              <w:jc w:val="right"/>
              <w:ind w:right="582"/>
              <w:spacing w:after="0"/>
              <w:rPr>
                <w:sz w:val="20"/>
                <w:szCs w:val="20"/>
                <w:color w:val="auto"/>
              </w:rPr>
            </w:pPr>
            <w:r>
              <w:rPr>
                <w:rFonts w:ascii="Arial" w:cs="Arial" w:eastAsia="Arial" w:hAnsi="Arial"/>
                <w:sz w:val="16"/>
                <w:szCs w:val="16"/>
                <w:color w:val="auto"/>
              </w:rPr>
              <w:t>164</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2016</w:t>
            </w:r>
          </w:p>
        </w:tc>
        <w:tc>
          <w:tcPr>
            <w:tcW w:w="2340" w:type="dxa"/>
            <w:vAlign w:val="bottom"/>
          </w:tcPr>
          <w:p>
            <w:pPr>
              <w:jc w:val="center"/>
              <w:ind w:left="701"/>
              <w:spacing w:after="0"/>
              <w:rPr>
                <w:sz w:val="20"/>
                <w:szCs w:val="20"/>
                <w:color w:val="auto"/>
              </w:rPr>
            </w:pPr>
            <w:r>
              <w:rPr>
                <w:rFonts w:ascii="Arial" w:cs="Arial" w:eastAsia="Arial" w:hAnsi="Arial"/>
                <w:sz w:val="16"/>
                <w:szCs w:val="16"/>
                <w:color w:val="auto"/>
                <w:w w:val="99"/>
              </w:rPr>
              <w:t>3,791</w:t>
            </w:r>
          </w:p>
        </w:tc>
        <w:tc>
          <w:tcPr>
            <w:tcW w:w="1720" w:type="dxa"/>
            <w:vAlign w:val="bottom"/>
          </w:tcPr>
          <w:p>
            <w:pPr>
              <w:jc w:val="right"/>
              <w:ind w:right="701"/>
              <w:spacing w:after="0"/>
              <w:rPr>
                <w:sz w:val="20"/>
                <w:szCs w:val="20"/>
                <w:color w:val="auto"/>
              </w:rPr>
            </w:pPr>
            <w:r>
              <w:rPr>
                <w:rFonts w:ascii="Arial" w:cs="Arial" w:eastAsia="Arial" w:hAnsi="Arial"/>
                <w:sz w:val="16"/>
                <w:szCs w:val="16"/>
                <w:color w:val="auto"/>
              </w:rPr>
              <w:t>148</w:t>
            </w:r>
          </w:p>
        </w:tc>
        <w:tc>
          <w:tcPr>
            <w:tcW w:w="1320" w:type="dxa"/>
            <w:vAlign w:val="bottom"/>
          </w:tcPr>
          <w:p>
            <w:pPr>
              <w:jc w:val="right"/>
              <w:ind w:right="440"/>
              <w:spacing w:after="0"/>
              <w:rPr>
                <w:sz w:val="20"/>
                <w:szCs w:val="20"/>
                <w:color w:val="auto"/>
              </w:rPr>
            </w:pPr>
            <w:r>
              <w:rPr>
                <w:rFonts w:ascii="Arial" w:cs="Arial" w:eastAsia="Arial" w:hAnsi="Arial"/>
                <w:sz w:val="16"/>
                <w:szCs w:val="16"/>
                <w:color w:val="auto"/>
              </w:rPr>
              <w:t>102</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3,745</w:t>
            </w:r>
          </w:p>
        </w:tc>
        <w:tc>
          <w:tcPr>
            <w:tcW w:w="1720" w:type="dxa"/>
            <w:vAlign w:val="bottom"/>
          </w:tcPr>
          <w:p>
            <w:pPr>
              <w:jc w:val="right"/>
              <w:ind w:right="582"/>
              <w:spacing w:after="0"/>
              <w:rPr>
                <w:sz w:val="20"/>
                <w:szCs w:val="20"/>
                <w:color w:val="auto"/>
              </w:rPr>
            </w:pPr>
            <w:r>
              <w:rPr>
                <w:rFonts w:ascii="Arial" w:cs="Arial" w:eastAsia="Arial" w:hAnsi="Arial"/>
                <w:sz w:val="16"/>
                <w:szCs w:val="16"/>
                <w:color w:val="auto"/>
              </w:rPr>
              <w:t>758</w:t>
            </w:r>
          </w:p>
        </w:tc>
      </w:tr>
      <w:tr>
        <w:trPr>
          <w:trHeight w:val="216"/>
        </w:trPr>
        <w:tc>
          <w:tcPr>
            <w:tcW w:w="2660" w:type="dxa"/>
            <w:vAlign w:val="bottom"/>
          </w:tcPr>
          <w:p>
            <w:pPr>
              <w:ind w:left="20"/>
              <w:spacing w:after="0"/>
              <w:rPr>
                <w:sz w:val="20"/>
                <w:szCs w:val="20"/>
                <w:color w:val="auto"/>
              </w:rPr>
            </w:pPr>
            <w:r>
              <w:rPr>
                <w:rFonts w:ascii="Arial" w:cs="Arial" w:eastAsia="Arial" w:hAnsi="Arial"/>
                <w:sz w:val="16"/>
                <w:szCs w:val="16"/>
                <w:color w:val="auto"/>
              </w:rPr>
              <w:t>2017</w:t>
            </w:r>
          </w:p>
        </w:tc>
        <w:tc>
          <w:tcPr>
            <w:tcW w:w="2340" w:type="dxa"/>
            <w:vAlign w:val="bottom"/>
          </w:tcPr>
          <w:p>
            <w:pPr>
              <w:jc w:val="center"/>
              <w:ind w:left="701"/>
              <w:spacing w:after="0"/>
              <w:rPr>
                <w:sz w:val="20"/>
                <w:szCs w:val="20"/>
                <w:color w:val="auto"/>
              </w:rPr>
            </w:pPr>
            <w:r>
              <w:rPr>
                <w:rFonts w:ascii="Arial" w:cs="Arial" w:eastAsia="Arial" w:hAnsi="Arial"/>
                <w:sz w:val="16"/>
                <w:szCs w:val="16"/>
                <w:color w:val="auto"/>
                <w:w w:val="99"/>
              </w:rPr>
              <w:t>3,745</w:t>
            </w:r>
          </w:p>
        </w:tc>
        <w:tc>
          <w:tcPr>
            <w:tcW w:w="1720" w:type="dxa"/>
            <w:vAlign w:val="bottom"/>
          </w:tcPr>
          <w:p>
            <w:pPr>
              <w:jc w:val="right"/>
              <w:ind w:right="701"/>
              <w:spacing w:after="0"/>
              <w:rPr>
                <w:sz w:val="20"/>
                <w:szCs w:val="20"/>
                <w:color w:val="auto"/>
              </w:rPr>
            </w:pPr>
            <w:r>
              <w:rPr>
                <w:rFonts w:ascii="Arial" w:cs="Arial" w:eastAsia="Arial" w:hAnsi="Arial"/>
                <w:sz w:val="16"/>
                <w:szCs w:val="16"/>
                <w:color w:val="auto"/>
              </w:rPr>
              <w:t>105</w:t>
            </w:r>
          </w:p>
        </w:tc>
        <w:tc>
          <w:tcPr>
            <w:tcW w:w="1320" w:type="dxa"/>
            <w:vAlign w:val="bottom"/>
          </w:tcPr>
          <w:p>
            <w:pPr>
              <w:jc w:val="right"/>
              <w:ind w:right="460"/>
              <w:spacing w:after="0"/>
              <w:rPr>
                <w:sz w:val="20"/>
                <w:szCs w:val="20"/>
                <w:color w:val="auto"/>
              </w:rPr>
            </w:pPr>
            <w:r>
              <w:rPr>
                <w:rFonts w:ascii="Arial" w:cs="Arial" w:eastAsia="Arial" w:hAnsi="Arial"/>
                <w:sz w:val="16"/>
                <w:szCs w:val="16"/>
                <w:color w:val="auto"/>
              </w:rPr>
              <w:t>90</w:t>
            </w:r>
          </w:p>
        </w:tc>
        <w:tc>
          <w:tcPr>
            <w:tcW w:w="1660" w:type="dxa"/>
            <w:vAlign w:val="bottom"/>
          </w:tcPr>
          <w:p>
            <w:pPr>
              <w:jc w:val="center"/>
              <w:ind w:left="101"/>
              <w:spacing w:after="0"/>
              <w:rPr>
                <w:sz w:val="20"/>
                <w:szCs w:val="20"/>
                <w:color w:val="auto"/>
              </w:rPr>
            </w:pPr>
            <w:r>
              <w:rPr>
                <w:rFonts w:ascii="Arial" w:cs="Arial" w:eastAsia="Arial" w:hAnsi="Arial"/>
                <w:sz w:val="16"/>
                <w:szCs w:val="16"/>
                <w:color w:val="auto"/>
                <w:w w:val="99"/>
              </w:rPr>
              <w:t>3,730</w:t>
            </w:r>
          </w:p>
        </w:tc>
        <w:tc>
          <w:tcPr>
            <w:tcW w:w="1720" w:type="dxa"/>
            <w:vAlign w:val="bottom"/>
          </w:tcPr>
          <w:p>
            <w:pPr>
              <w:jc w:val="right"/>
              <w:ind w:right="582"/>
              <w:spacing w:after="0"/>
              <w:rPr>
                <w:sz w:val="20"/>
                <w:szCs w:val="20"/>
                <w:color w:val="auto"/>
              </w:rPr>
            </w:pPr>
            <w:r>
              <w:rPr>
                <w:rFonts w:ascii="Arial" w:cs="Arial" w:eastAsia="Arial" w:hAnsi="Arial"/>
                <w:sz w:val="16"/>
                <w:szCs w:val="16"/>
                <w:color w:val="auto"/>
              </w:rPr>
              <w:t>55</w:t>
            </w:r>
          </w:p>
        </w:tc>
      </w:tr>
      <w:tr>
        <w:trPr>
          <w:trHeight w:val="219"/>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2018</w:t>
            </w:r>
          </w:p>
        </w:tc>
        <w:tc>
          <w:tcPr>
            <w:tcW w:w="234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w w:val="99"/>
              </w:rPr>
              <w:t>3,730</w:t>
            </w:r>
          </w:p>
        </w:tc>
        <w:tc>
          <w:tcPr>
            <w:tcW w:w="172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color w:val="auto"/>
              </w:rPr>
              <w:t>152</w:t>
            </w:r>
          </w:p>
        </w:tc>
        <w:tc>
          <w:tcPr>
            <w:tcW w:w="132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color w:val="auto"/>
              </w:rPr>
              <w:t>106</w:t>
            </w:r>
          </w:p>
        </w:tc>
        <w:tc>
          <w:tcPr>
            <w:tcW w:w="166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color w:val="auto"/>
                <w:w w:val="99"/>
              </w:rPr>
              <w:t>3,684</w:t>
            </w:r>
          </w:p>
        </w:tc>
        <w:tc>
          <w:tcPr>
            <w:tcW w:w="172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color w:val="auto"/>
              </w:rPr>
              <w:t>100</w:t>
            </w:r>
          </w:p>
        </w:tc>
      </w:tr>
      <w:tr>
        <w:trPr>
          <w:trHeight w:val="212"/>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2019 (as of June 30)</w:t>
            </w:r>
          </w:p>
        </w:tc>
        <w:tc>
          <w:tcPr>
            <w:tcW w:w="234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b w:val="1"/>
                <w:bCs w:val="1"/>
                <w:color w:val="auto"/>
                <w:w w:val="99"/>
              </w:rPr>
              <w:t>3,684</w:t>
            </w:r>
          </w:p>
        </w:tc>
        <w:tc>
          <w:tcPr>
            <w:tcW w:w="172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24</w:t>
            </w:r>
          </w:p>
        </w:tc>
        <w:tc>
          <w:tcPr>
            <w:tcW w:w="132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31</w:t>
            </w:r>
          </w:p>
        </w:tc>
        <w:tc>
          <w:tcPr>
            <w:tcW w:w="1660" w:type="dxa"/>
            <w:vAlign w:val="bottom"/>
            <w:tcBorders>
              <w:bottom w:val="single" w:sz="8" w:color="auto"/>
            </w:tcBorders>
          </w:tcPr>
          <w:p>
            <w:pPr>
              <w:jc w:val="center"/>
              <w:ind w:left="101"/>
              <w:spacing w:after="0"/>
              <w:rPr>
                <w:sz w:val="20"/>
                <w:szCs w:val="20"/>
                <w:color w:val="auto"/>
              </w:rPr>
            </w:pPr>
            <w:r>
              <w:rPr>
                <w:rFonts w:ascii="Arial" w:cs="Arial" w:eastAsia="Arial" w:hAnsi="Arial"/>
                <w:sz w:val="16"/>
                <w:szCs w:val="16"/>
                <w:b w:val="1"/>
                <w:bCs w:val="1"/>
                <w:color w:val="auto"/>
                <w:w w:val="99"/>
              </w:rPr>
              <w:t>3,691</w:t>
            </w:r>
          </w:p>
        </w:tc>
        <w:tc>
          <w:tcPr>
            <w:tcW w:w="1720" w:type="dxa"/>
            <w:vAlign w:val="bottom"/>
            <w:tcBorders>
              <w:bottom w:val="single" w:sz="8" w:color="auto"/>
            </w:tcBorders>
          </w:tcPr>
          <w:p>
            <w:pPr>
              <w:jc w:val="right"/>
              <w:ind w:right="582"/>
              <w:spacing w:after="0"/>
              <w:rPr>
                <w:sz w:val="20"/>
                <w:szCs w:val="20"/>
                <w:color w:val="auto"/>
              </w:rPr>
            </w:pPr>
            <w:r>
              <w:rPr>
                <w:rFonts w:ascii="Arial" w:cs="Arial" w:eastAsia="Arial" w:hAnsi="Arial"/>
                <w:sz w:val="16"/>
                <w:szCs w:val="16"/>
                <w:b w:val="1"/>
                <w:bCs w:val="1"/>
                <w:color w:val="auto"/>
              </w:rPr>
              <w:t>$ —</w:t>
            </w:r>
          </w:p>
        </w:tc>
      </w:tr>
    </w:tbl>
    <w:p>
      <w:pPr>
        <w:spacing w:after="0" w:line="202"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June 30, 2019 we had resolved, by means of settlement or dismissal, 37,770 claims. The total cost of resolving all claims was $10.3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95"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7,710 claims as of June 30, 2019, only twelve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97"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 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2018 to June 30, 2019: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Class A Common</w:t>
            </w:r>
          </w:p>
        </w:tc>
        <w:tc>
          <w:tcPr>
            <w:tcW w:w="126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Class B Common</w:t>
            </w:r>
          </w:p>
        </w:tc>
        <w:tc>
          <w:tcPr>
            <w:tcW w:w="9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Accumulated items of</w:t>
            </w:r>
          </w:p>
        </w:tc>
        <w:tc>
          <w:tcPr>
            <w:tcW w:w="6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135"/>
        </w:trPr>
        <w:tc>
          <w:tcPr>
            <w:tcW w:w="2320" w:type="dxa"/>
            <w:vAlign w:val="bottom"/>
          </w:tcPr>
          <w:p>
            <w:pPr>
              <w:spacing w:after="0"/>
              <w:rPr>
                <w:sz w:val="11"/>
                <w:szCs w:val="11"/>
                <w:color w:val="auto"/>
              </w:rPr>
            </w:pPr>
          </w:p>
        </w:tc>
        <w:tc>
          <w:tcPr>
            <w:tcW w:w="1240" w:type="dxa"/>
            <w:vAlign w:val="bottom"/>
            <w:tcBorders>
              <w:bottom w:val="single" w:sz="8" w:color="auto"/>
            </w:tcBorders>
            <w:gridSpan w:val="2"/>
          </w:tcPr>
          <w:p>
            <w:pPr>
              <w:jc w:val="right"/>
              <w:ind w:right="373"/>
              <w:spacing w:after="0" w:line="115" w:lineRule="exact"/>
              <w:rPr>
                <w:sz w:val="20"/>
                <w:szCs w:val="20"/>
                <w:color w:val="auto"/>
              </w:rPr>
            </w:pPr>
            <w:r>
              <w:rPr>
                <w:rFonts w:ascii="Arial" w:cs="Arial" w:eastAsia="Arial" w:hAnsi="Arial"/>
                <w:sz w:val="13"/>
                <w:szCs w:val="13"/>
                <w:b w:val="1"/>
                <w:bCs w:val="1"/>
                <w:color w:val="auto"/>
              </w:rPr>
              <w:t>Stock</w:t>
            </w:r>
          </w:p>
        </w:tc>
        <w:tc>
          <w:tcPr>
            <w:tcW w:w="1260" w:type="dxa"/>
            <w:vAlign w:val="bottom"/>
            <w:tcBorders>
              <w:bottom w:val="single" w:sz="8" w:color="auto"/>
            </w:tcBorders>
            <w:gridSpan w:val="2"/>
          </w:tcPr>
          <w:p>
            <w:pPr>
              <w:jc w:val="right"/>
              <w:ind w:right="373"/>
              <w:spacing w:after="0" w:line="115" w:lineRule="exact"/>
              <w:rPr>
                <w:sz w:val="20"/>
                <w:szCs w:val="20"/>
                <w:color w:val="auto"/>
              </w:rPr>
            </w:pPr>
            <w:r>
              <w:rPr>
                <w:rFonts w:ascii="Arial" w:cs="Arial" w:eastAsia="Arial" w:hAnsi="Arial"/>
                <w:sz w:val="13"/>
                <w:szCs w:val="13"/>
                <w:b w:val="1"/>
                <w:bCs w:val="1"/>
                <w:color w:val="auto"/>
              </w:rPr>
              <w:t>Stock</w:t>
            </w:r>
          </w:p>
        </w:tc>
        <w:tc>
          <w:tcPr>
            <w:tcW w:w="960" w:type="dxa"/>
            <w:vAlign w:val="bottom"/>
          </w:tcPr>
          <w:p>
            <w:pPr>
              <w:jc w:val="right"/>
              <w:ind w:right="133"/>
              <w:spacing w:after="0" w:line="115" w:lineRule="exact"/>
              <w:rPr>
                <w:sz w:val="20"/>
                <w:szCs w:val="20"/>
                <w:color w:val="auto"/>
              </w:rPr>
            </w:pPr>
            <w:r>
              <w:rPr>
                <w:rFonts w:ascii="Arial" w:cs="Arial" w:eastAsia="Arial" w:hAnsi="Arial"/>
                <w:sz w:val="13"/>
                <w:szCs w:val="13"/>
                <w:b w:val="1"/>
                <w:bCs w:val="1"/>
                <w:color w:val="auto"/>
              </w:rPr>
              <w:t>Additional</w:t>
            </w:r>
          </w:p>
        </w:tc>
        <w:tc>
          <w:tcPr>
            <w:tcW w:w="760" w:type="dxa"/>
            <w:vAlign w:val="bottom"/>
          </w:tcPr>
          <w:p>
            <w:pPr>
              <w:jc w:val="right"/>
              <w:ind w:right="53"/>
              <w:spacing w:after="0" w:line="115" w:lineRule="exact"/>
              <w:rPr>
                <w:sz w:val="20"/>
                <w:szCs w:val="20"/>
                <w:color w:val="auto"/>
              </w:rPr>
            </w:pPr>
            <w:r>
              <w:rPr>
                <w:rFonts w:ascii="Arial" w:cs="Arial" w:eastAsia="Arial" w:hAnsi="Arial"/>
                <w:sz w:val="13"/>
                <w:szCs w:val="13"/>
                <w:b w:val="1"/>
                <w:bCs w:val="1"/>
                <w:color w:val="auto"/>
              </w:rPr>
              <w:t>Retained</w:t>
            </w:r>
          </w:p>
        </w:tc>
        <w:tc>
          <w:tcPr>
            <w:tcW w:w="14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7"/>
              </w:rPr>
              <w:t>other comprehensive</w:t>
            </w:r>
          </w:p>
        </w:tc>
        <w:tc>
          <w:tcPr>
            <w:tcW w:w="148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b w:val="1"/>
                <w:bCs w:val="1"/>
                <w:color w:val="auto"/>
                <w:w w:val="97"/>
              </w:rPr>
              <w:t>Class A Treasury Stock</w:t>
            </w:r>
          </w:p>
        </w:tc>
        <w:tc>
          <w:tcPr>
            <w:tcW w:w="1100" w:type="dxa"/>
            <w:vAlign w:val="bottom"/>
          </w:tcPr>
          <w:p>
            <w:pPr>
              <w:jc w:val="right"/>
              <w:ind w:right="13"/>
              <w:spacing w:after="0" w:line="115" w:lineRule="exact"/>
              <w:rPr>
                <w:sz w:val="20"/>
                <w:szCs w:val="20"/>
                <w:color w:val="auto"/>
              </w:rPr>
            </w:pPr>
            <w:r>
              <w:rPr>
                <w:rFonts w:ascii="Arial" w:cs="Arial" w:eastAsia="Arial" w:hAnsi="Arial"/>
                <w:sz w:val="13"/>
                <w:szCs w:val="13"/>
                <w:b w:val="1"/>
                <w:bCs w:val="1"/>
                <w:color w:val="auto"/>
              </w:rPr>
              <w:t>Non-controlling</w:t>
            </w:r>
          </w:p>
        </w:tc>
        <w:tc>
          <w:tcPr>
            <w:tcW w:w="880" w:type="dxa"/>
            <w:vAlign w:val="bottom"/>
          </w:tcPr>
          <w:p>
            <w:pPr>
              <w:spacing w:after="0"/>
              <w:rPr>
                <w:sz w:val="11"/>
                <w:szCs w:val="11"/>
                <w:color w:val="auto"/>
              </w:rPr>
            </w:pPr>
          </w:p>
        </w:tc>
      </w:tr>
      <w:tr>
        <w:trPr>
          <w:trHeight w:val="15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8"/>
              </w:rPr>
              <w:t>paid-in capital</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earnings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Interest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Total Equity</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2018</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37,450</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$430,555</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$589,645</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$(158,388)</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8,419</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$(256,603)</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$3,031</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$608,280</w:t>
            </w:r>
          </w:p>
        </w:tc>
      </w:tr>
      <w:tr>
        <w:trPr>
          <w:trHeight w:val="169"/>
        </w:trPr>
        <w:tc>
          <w:tcPr>
            <w:tcW w:w="2320" w:type="dxa"/>
            <w:vAlign w:val="bottom"/>
          </w:tcPr>
          <w:p>
            <w:pPr>
              <w:ind w:left="20"/>
              <w:spacing w:after="0"/>
              <w:rPr>
                <w:sz w:val="20"/>
                <w:szCs w:val="20"/>
                <w:color w:val="auto"/>
              </w:rPr>
            </w:pPr>
            <w:r>
              <w:rPr>
                <w:rFonts w:ascii="Arial" w:cs="Arial" w:eastAsia="Arial" w:hAnsi="Arial"/>
                <w:sz w:val="14"/>
                <w:szCs w:val="14"/>
                <w:color w:val="auto"/>
              </w:rPr>
              <w:t>Adoption of accounting standards(a)</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35</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35</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29,190</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218</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29,408</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Compensation and benefits paid or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payable in shares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25</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53"/>
              <w:spacing w:after="0"/>
              <w:rPr>
                <w:sz w:val="20"/>
                <w:szCs w:val="20"/>
                <w:color w:val="auto"/>
              </w:rPr>
            </w:pPr>
            <w:r>
              <w:rPr>
                <w:rFonts w:ascii="Arial" w:cs="Arial" w:eastAsia="Arial" w:hAnsi="Arial"/>
                <w:sz w:val="14"/>
                <w:szCs w:val="14"/>
                <w:color w:val="auto"/>
              </w:rPr>
              <w:t>(547)</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(547)</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Options exercised</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3</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44</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44</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A Common Stock, $0.18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(5,231)</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(5,231)</w:t>
            </w: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B Common Stock, $0.18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(582)</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(582)</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Cumulative translation 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3"/>
              <w:spacing w:after="0"/>
              <w:rPr>
                <w:sz w:val="20"/>
                <w:szCs w:val="20"/>
                <w:color w:val="auto"/>
              </w:rPr>
            </w:pPr>
            <w:r>
              <w:rPr>
                <w:rFonts w:ascii="Arial" w:cs="Arial" w:eastAsia="Arial" w:hAnsi="Arial"/>
                <w:sz w:val="14"/>
                <w:szCs w:val="14"/>
                <w:color w:val="auto"/>
              </w:rPr>
              <w:t>(654)</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53"/>
              <w:spacing w:after="0"/>
              <w:rPr>
                <w:sz w:val="20"/>
                <w:szCs w:val="20"/>
                <w:color w:val="auto"/>
              </w:rPr>
            </w:pPr>
            <w:r>
              <w:rPr>
                <w:rFonts w:ascii="Arial" w:cs="Arial" w:eastAsia="Arial" w:hAnsi="Arial"/>
                <w:sz w:val="14"/>
                <w:szCs w:val="14"/>
                <w:color w:val="auto"/>
              </w:rPr>
              <w:t>(8)</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(662)</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Pension and postretirement liability</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3"/>
              <w:spacing w:after="0"/>
              <w:rPr>
                <w:sz w:val="20"/>
                <w:szCs w:val="20"/>
                <w:color w:val="auto"/>
              </w:rPr>
            </w:pPr>
            <w:r>
              <w:rPr>
                <w:rFonts w:ascii="Arial" w:cs="Arial" w:eastAsia="Arial" w:hAnsi="Arial"/>
                <w:sz w:val="14"/>
                <w:szCs w:val="14"/>
                <w:color w:val="auto"/>
              </w:rPr>
              <w:t>(1,487)</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(1,487)</w:t>
            </w:r>
          </w:p>
        </w:tc>
      </w:tr>
      <w:tr>
        <w:trPr>
          <w:trHeight w:val="17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Derivative valuation adjustment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(2,851)</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(2,851)</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2019</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37,478</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$430,052</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$613,057</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$(163,380)</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8,419</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$(256,603)</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$3,241</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$626,407</w:t>
            </w:r>
          </w:p>
        </w:tc>
      </w:tr>
      <w:tr>
        <w:trPr>
          <w:trHeight w:val="169"/>
        </w:trPr>
        <w:tc>
          <w:tcPr>
            <w:tcW w:w="2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34,054</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205</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34,259</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Compensation and benefits paid or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payable in shares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958</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3"/>
              <w:spacing w:after="0"/>
              <w:rPr>
                <w:sz w:val="20"/>
                <w:szCs w:val="20"/>
                <w:color w:val="auto"/>
              </w:rPr>
            </w:pPr>
            <w:r>
              <w:rPr>
                <w:rFonts w:ascii="Arial" w:cs="Arial" w:eastAsia="Arial" w:hAnsi="Arial"/>
                <w:sz w:val="14"/>
                <w:szCs w:val="14"/>
                <w:color w:val="auto"/>
              </w:rPr>
              <w:t>(10)</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212</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1,170</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Options exercised</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2</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28</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28</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w:t>
            </w: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A Common Stock, $0.18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(5,523)</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(5,523)</w:t>
            </w: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B Common Stock, $0.18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(291)</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(291)</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Conversion of Class B shares to</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Class A shares, rounding(b)</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1,616</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2</w:t>
            </w:r>
          </w:p>
        </w:tc>
        <w:tc>
          <w:tcPr>
            <w:tcW w:w="600" w:type="dxa"/>
            <w:vAlign w:val="bottom"/>
          </w:tcPr>
          <w:p>
            <w:pPr>
              <w:jc w:val="right"/>
              <w:ind w:right="13"/>
              <w:spacing w:after="0"/>
              <w:rPr>
                <w:sz w:val="20"/>
                <w:szCs w:val="20"/>
                <w:color w:val="auto"/>
              </w:rPr>
            </w:pPr>
            <w:r>
              <w:rPr>
                <w:rFonts w:ascii="Arial" w:cs="Arial" w:eastAsia="Arial" w:hAnsi="Arial"/>
                <w:sz w:val="14"/>
                <w:szCs w:val="14"/>
                <w:color w:val="auto"/>
              </w:rPr>
              <w:t>(1,616)</w:t>
            </w:r>
          </w:p>
        </w:tc>
        <w:tc>
          <w:tcPr>
            <w:tcW w:w="660" w:type="dxa"/>
            <w:vAlign w:val="bottom"/>
          </w:tcPr>
          <w:p>
            <w:pPr>
              <w:jc w:val="right"/>
              <w:ind w:right="133"/>
              <w:spacing w:after="0"/>
              <w:rPr>
                <w:sz w:val="20"/>
                <w:szCs w:val="20"/>
                <w:color w:val="auto"/>
              </w:rPr>
            </w:pPr>
            <w:r>
              <w:rPr>
                <w:rFonts w:ascii="Arial" w:cs="Arial" w:eastAsia="Arial" w:hAnsi="Arial"/>
                <w:sz w:val="14"/>
                <w:szCs w:val="14"/>
                <w:color w:val="auto"/>
              </w:rPr>
              <w:t>(1)</w:t>
            </w:r>
          </w:p>
        </w:tc>
        <w:tc>
          <w:tcPr>
            <w:tcW w:w="960" w:type="dxa"/>
            <w:vAlign w:val="bottom"/>
          </w:tcPr>
          <w:p>
            <w:pPr>
              <w:jc w:val="right"/>
              <w:ind w:right="153"/>
              <w:spacing w:after="0"/>
              <w:rPr>
                <w:sz w:val="20"/>
                <w:szCs w:val="20"/>
                <w:color w:val="auto"/>
              </w:rPr>
            </w:pPr>
            <w:r>
              <w:rPr>
                <w:rFonts w:ascii="Arial" w:cs="Arial" w:eastAsia="Arial" w:hAnsi="Arial"/>
                <w:sz w:val="14"/>
                <w:szCs w:val="14"/>
                <w:color w:val="auto"/>
              </w:rPr>
              <w:t>(1)</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Cumulative translation 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3"/>
              <w:spacing w:after="0"/>
              <w:rPr>
                <w:sz w:val="20"/>
                <w:szCs w:val="20"/>
                <w:color w:val="auto"/>
              </w:rPr>
            </w:pPr>
            <w:r>
              <w:rPr>
                <w:rFonts w:ascii="Arial" w:cs="Arial" w:eastAsia="Arial" w:hAnsi="Arial"/>
                <w:sz w:val="14"/>
                <w:szCs w:val="14"/>
                <w:color w:val="auto"/>
              </w:rPr>
              <w:t>(1)</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2</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1</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Pension and postretirement liability</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3"/>
              <w:spacing w:after="0"/>
              <w:rPr>
                <w:sz w:val="20"/>
                <w:szCs w:val="20"/>
                <w:color w:val="auto"/>
              </w:rPr>
            </w:pPr>
            <w:r>
              <w:rPr>
                <w:rFonts w:ascii="Arial" w:cs="Arial" w:eastAsia="Arial" w:hAnsi="Arial"/>
                <w:sz w:val="14"/>
                <w:szCs w:val="14"/>
                <w:color w:val="auto"/>
              </w:rPr>
              <w:t>(40)</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(40)</w:t>
            </w:r>
          </w:p>
        </w:tc>
      </w:tr>
      <w:tr>
        <w:trPr>
          <w:trHeight w:val="17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Derivative valuation adjustment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color w:val="auto"/>
              </w:rPr>
              <w:t>(4,695)</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(4,695)</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2019</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39,096</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$39</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1,618</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$ 2</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$431,037</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$641,297</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$(168,116)</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8,409</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$(256,391)</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$3,448</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$651,316</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changes in Shareholders’ Equity for the period December 31, 2017 to June 30,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2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Class A Common</w:t>
            </w:r>
          </w:p>
        </w:tc>
        <w:tc>
          <w:tcPr>
            <w:tcW w:w="1260" w:type="dxa"/>
            <w:vAlign w:val="bottom"/>
            <w:tcBorders>
              <w:top w:val="single" w:sz="8" w:color="auto"/>
            </w:tcBorders>
            <w:gridSpan w:val="2"/>
          </w:tcPr>
          <w:p>
            <w:pPr>
              <w:jc w:val="right"/>
              <w:ind w:right="33"/>
              <w:spacing w:after="0"/>
              <w:rPr>
                <w:sz w:val="20"/>
                <w:szCs w:val="20"/>
                <w:color w:val="auto"/>
              </w:rPr>
            </w:pPr>
            <w:r>
              <w:rPr>
                <w:rFonts w:ascii="Arial" w:cs="Arial" w:eastAsia="Arial" w:hAnsi="Arial"/>
                <w:sz w:val="13"/>
                <w:szCs w:val="13"/>
                <w:b w:val="1"/>
                <w:bCs w:val="1"/>
                <w:color w:val="auto"/>
              </w:rPr>
              <w:t>Class B Common</w:t>
            </w:r>
          </w:p>
        </w:tc>
        <w:tc>
          <w:tcPr>
            <w:tcW w:w="9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Accumulated items of</w:t>
            </w:r>
          </w:p>
        </w:tc>
        <w:tc>
          <w:tcPr>
            <w:tcW w:w="62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r>
      <w:tr>
        <w:trPr>
          <w:trHeight w:val="135"/>
        </w:trPr>
        <w:tc>
          <w:tcPr>
            <w:tcW w:w="2320" w:type="dxa"/>
            <w:vAlign w:val="bottom"/>
          </w:tcPr>
          <w:p>
            <w:pPr>
              <w:spacing w:after="0"/>
              <w:rPr>
                <w:sz w:val="11"/>
                <w:szCs w:val="11"/>
                <w:color w:val="auto"/>
              </w:rPr>
            </w:pPr>
          </w:p>
        </w:tc>
        <w:tc>
          <w:tcPr>
            <w:tcW w:w="1240" w:type="dxa"/>
            <w:vAlign w:val="bottom"/>
            <w:tcBorders>
              <w:bottom w:val="single" w:sz="8" w:color="auto"/>
            </w:tcBorders>
            <w:gridSpan w:val="2"/>
          </w:tcPr>
          <w:p>
            <w:pPr>
              <w:jc w:val="right"/>
              <w:ind w:right="373"/>
              <w:spacing w:after="0" w:line="115" w:lineRule="exact"/>
              <w:rPr>
                <w:sz w:val="20"/>
                <w:szCs w:val="20"/>
                <w:color w:val="auto"/>
              </w:rPr>
            </w:pPr>
            <w:r>
              <w:rPr>
                <w:rFonts w:ascii="Arial" w:cs="Arial" w:eastAsia="Arial" w:hAnsi="Arial"/>
                <w:sz w:val="13"/>
                <w:szCs w:val="13"/>
                <w:b w:val="1"/>
                <w:bCs w:val="1"/>
                <w:color w:val="auto"/>
              </w:rPr>
              <w:t>Stock</w:t>
            </w:r>
          </w:p>
        </w:tc>
        <w:tc>
          <w:tcPr>
            <w:tcW w:w="1260" w:type="dxa"/>
            <w:vAlign w:val="bottom"/>
            <w:tcBorders>
              <w:bottom w:val="single" w:sz="8" w:color="auto"/>
            </w:tcBorders>
            <w:gridSpan w:val="2"/>
          </w:tcPr>
          <w:p>
            <w:pPr>
              <w:jc w:val="right"/>
              <w:ind w:right="373"/>
              <w:spacing w:after="0" w:line="115" w:lineRule="exact"/>
              <w:rPr>
                <w:sz w:val="20"/>
                <w:szCs w:val="20"/>
                <w:color w:val="auto"/>
              </w:rPr>
            </w:pPr>
            <w:r>
              <w:rPr>
                <w:rFonts w:ascii="Arial" w:cs="Arial" w:eastAsia="Arial" w:hAnsi="Arial"/>
                <w:sz w:val="13"/>
                <w:szCs w:val="13"/>
                <w:b w:val="1"/>
                <w:bCs w:val="1"/>
                <w:color w:val="auto"/>
              </w:rPr>
              <w:t>Stock</w:t>
            </w:r>
          </w:p>
        </w:tc>
        <w:tc>
          <w:tcPr>
            <w:tcW w:w="960" w:type="dxa"/>
            <w:vAlign w:val="bottom"/>
          </w:tcPr>
          <w:p>
            <w:pPr>
              <w:jc w:val="right"/>
              <w:ind w:right="133"/>
              <w:spacing w:after="0" w:line="115" w:lineRule="exact"/>
              <w:rPr>
                <w:sz w:val="20"/>
                <w:szCs w:val="20"/>
                <w:color w:val="auto"/>
              </w:rPr>
            </w:pPr>
            <w:r>
              <w:rPr>
                <w:rFonts w:ascii="Arial" w:cs="Arial" w:eastAsia="Arial" w:hAnsi="Arial"/>
                <w:sz w:val="13"/>
                <w:szCs w:val="13"/>
                <w:b w:val="1"/>
                <w:bCs w:val="1"/>
                <w:color w:val="auto"/>
              </w:rPr>
              <w:t>Additional</w:t>
            </w:r>
          </w:p>
        </w:tc>
        <w:tc>
          <w:tcPr>
            <w:tcW w:w="760" w:type="dxa"/>
            <w:vAlign w:val="bottom"/>
          </w:tcPr>
          <w:p>
            <w:pPr>
              <w:jc w:val="right"/>
              <w:ind w:right="53"/>
              <w:spacing w:after="0" w:line="115" w:lineRule="exact"/>
              <w:rPr>
                <w:sz w:val="20"/>
                <w:szCs w:val="20"/>
                <w:color w:val="auto"/>
              </w:rPr>
            </w:pPr>
            <w:r>
              <w:rPr>
                <w:rFonts w:ascii="Arial" w:cs="Arial" w:eastAsia="Arial" w:hAnsi="Arial"/>
                <w:sz w:val="13"/>
                <w:szCs w:val="13"/>
                <w:b w:val="1"/>
                <w:bCs w:val="1"/>
                <w:color w:val="auto"/>
              </w:rPr>
              <w:t>Retained</w:t>
            </w:r>
          </w:p>
        </w:tc>
        <w:tc>
          <w:tcPr>
            <w:tcW w:w="14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7"/>
              </w:rPr>
              <w:t>other comprehensive</w:t>
            </w:r>
          </w:p>
        </w:tc>
        <w:tc>
          <w:tcPr>
            <w:tcW w:w="1480" w:type="dxa"/>
            <w:vAlign w:val="bottom"/>
            <w:tcBorders>
              <w:bottom w:val="single" w:sz="8" w:color="auto"/>
            </w:tcBorders>
            <w:gridSpan w:val="2"/>
          </w:tcPr>
          <w:p>
            <w:pPr>
              <w:jc w:val="right"/>
              <w:spacing w:after="0" w:line="115" w:lineRule="exact"/>
              <w:rPr>
                <w:sz w:val="20"/>
                <w:szCs w:val="20"/>
                <w:color w:val="auto"/>
              </w:rPr>
            </w:pPr>
            <w:r>
              <w:rPr>
                <w:rFonts w:ascii="Arial" w:cs="Arial" w:eastAsia="Arial" w:hAnsi="Arial"/>
                <w:sz w:val="13"/>
                <w:szCs w:val="13"/>
                <w:b w:val="1"/>
                <w:bCs w:val="1"/>
                <w:color w:val="auto"/>
                <w:w w:val="97"/>
              </w:rPr>
              <w:t>Class A Treasury Stock</w:t>
            </w:r>
          </w:p>
        </w:tc>
        <w:tc>
          <w:tcPr>
            <w:tcW w:w="1100" w:type="dxa"/>
            <w:vAlign w:val="bottom"/>
          </w:tcPr>
          <w:p>
            <w:pPr>
              <w:jc w:val="right"/>
              <w:ind w:right="13"/>
              <w:spacing w:after="0" w:line="115" w:lineRule="exact"/>
              <w:rPr>
                <w:sz w:val="20"/>
                <w:szCs w:val="20"/>
                <w:color w:val="auto"/>
              </w:rPr>
            </w:pPr>
            <w:r>
              <w:rPr>
                <w:rFonts w:ascii="Arial" w:cs="Arial" w:eastAsia="Arial" w:hAnsi="Arial"/>
                <w:sz w:val="13"/>
                <w:szCs w:val="13"/>
                <w:b w:val="1"/>
                <w:bCs w:val="1"/>
                <w:color w:val="auto"/>
              </w:rPr>
              <w:t>Non-controlling</w:t>
            </w:r>
          </w:p>
        </w:tc>
        <w:tc>
          <w:tcPr>
            <w:tcW w:w="880" w:type="dxa"/>
            <w:vAlign w:val="bottom"/>
          </w:tcPr>
          <w:p>
            <w:pPr>
              <w:spacing w:after="0"/>
              <w:rPr>
                <w:sz w:val="11"/>
                <w:szCs w:val="11"/>
                <w:color w:val="auto"/>
              </w:rPr>
            </w:pPr>
          </w:p>
        </w:tc>
      </w:tr>
      <w:tr>
        <w:trPr>
          <w:trHeight w:val="15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(in thousands)</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Amount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Shares</w:t>
            </w: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b w:val="1"/>
                <w:bCs w:val="1"/>
                <w:color w:val="auto"/>
              </w:rPr>
              <w:t>Amount</w:t>
            </w: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w w:val="98"/>
              </w:rPr>
              <w:t>paid-in capital</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earnings</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income</w:t>
            </w:r>
          </w:p>
        </w:tc>
        <w:tc>
          <w:tcPr>
            <w:tcW w:w="620" w:type="dxa"/>
            <w:vAlign w:val="bottom"/>
            <w:tcBorders>
              <w:bottom w:val="single" w:sz="8" w:color="auto"/>
            </w:tcBorders>
          </w:tcPr>
          <w:p>
            <w:pPr>
              <w:jc w:val="right"/>
              <w:ind w:right="53"/>
              <w:spacing w:after="0"/>
              <w:rPr>
                <w:sz w:val="20"/>
                <w:szCs w:val="20"/>
                <w:color w:val="auto"/>
              </w:rPr>
            </w:pPr>
            <w:r>
              <w:rPr>
                <w:rFonts w:ascii="Arial" w:cs="Arial" w:eastAsia="Arial" w:hAnsi="Arial"/>
                <w:sz w:val="13"/>
                <w:szCs w:val="13"/>
                <w:b w:val="1"/>
                <w:bCs w:val="1"/>
                <w:color w:val="auto"/>
              </w:rPr>
              <w:t>Shares</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3"/>
                <w:szCs w:val="13"/>
                <w:b w:val="1"/>
                <w:bCs w:val="1"/>
                <w:color w:val="auto"/>
              </w:rPr>
              <w:t>Amount</w:t>
            </w:r>
          </w:p>
        </w:tc>
        <w:tc>
          <w:tcPr>
            <w:tcW w:w="110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Interest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Total Equity</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December 31, 2017</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37,396</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$428,423</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$534,082</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$(135,901)</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8,431</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$(256,876)</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$3,247</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$573,015</w:t>
            </w:r>
          </w:p>
        </w:tc>
      </w:tr>
      <w:tr>
        <w:trPr>
          <w:trHeight w:val="155"/>
        </w:trPr>
        <w:tc>
          <w:tcPr>
            <w:tcW w:w="2320" w:type="dxa"/>
            <w:vAlign w:val="bottom"/>
          </w:tcPr>
          <w:p>
            <w:pPr>
              <w:ind w:left="20"/>
              <w:spacing w:after="0" w:line="155" w:lineRule="exact"/>
              <w:rPr>
                <w:sz w:val="20"/>
                <w:szCs w:val="20"/>
                <w:color w:val="auto"/>
              </w:rPr>
            </w:pPr>
            <w:r>
              <w:rPr>
                <w:rFonts w:ascii="Arial" w:cs="Arial" w:eastAsia="Arial" w:hAnsi="Arial"/>
                <w:sz w:val="14"/>
                <w:szCs w:val="14"/>
                <w:color w:val="auto"/>
              </w:rPr>
              <w:t>Adoption of accounting standards(c)</w:t>
            </w: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(d)</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(5,068)</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53"/>
              <w:spacing w:after="0"/>
              <w:rPr>
                <w:sz w:val="20"/>
                <w:szCs w:val="20"/>
                <w:color w:val="auto"/>
              </w:rPr>
            </w:pPr>
            <w:r>
              <w:rPr>
                <w:rFonts w:ascii="Arial" w:cs="Arial" w:eastAsia="Arial" w:hAnsi="Arial"/>
                <w:sz w:val="14"/>
                <w:szCs w:val="14"/>
                <w:color w:val="auto"/>
              </w:rPr>
              <w:t>(327)</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(5,395)</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7,662</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237</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7,899</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Compensation and benefits paid or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payable in shares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44</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289</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289</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Options exercised</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8</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147</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147</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A Common Stock, $0.17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(4,933)</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(4,933)</w:t>
            </w: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B Common Stock, $0.17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(550)</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(550)</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Cumulative translation 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17,646</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53"/>
              <w:spacing w:after="0"/>
              <w:rPr>
                <w:sz w:val="20"/>
                <w:szCs w:val="20"/>
                <w:color w:val="auto"/>
              </w:rPr>
            </w:pPr>
            <w:r>
              <w:rPr>
                <w:rFonts w:ascii="Arial" w:cs="Arial" w:eastAsia="Arial" w:hAnsi="Arial"/>
                <w:sz w:val="14"/>
                <w:szCs w:val="14"/>
                <w:color w:val="auto"/>
              </w:rPr>
              <w:t>(7)</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17,639</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Pension and postretirement liability</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3"/>
              <w:spacing w:after="0"/>
              <w:rPr>
                <w:sz w:val="20"/>
                <w:szCs w:val="20"/>
                <w:color w:val="auto"/>
              </w:rPr>
            </w:pPr>
            <w:r>
              <w:rPr>
                <w:rFonts w:ascii="Arial" w:cs="Arial" w:eastAsia="Arial" w:hAnsi="Arial"/>
                <w:sz w:val="14"/>
                <w:szCs w:val="14"/>
                <w:color w:val="auto"/>
              </w:rPr>
              <w:t>(13)</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(13)</w:t>
            </w:r>
          </w:p>
        </w:tc>
      </w:tr>
      <w:tr>
        <w:trPr>
          <w:trHeight w:val="17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Derivative valuation adjustment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4,480</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4,480</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March 31, 2018</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37,448</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$428,859</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$531,193</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$(113,788)</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8,431</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$(256,876)</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$3,150</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$592,578</w:t>
            </w:r>
          </w:p>
        </w:tc>
      </w:tr>
      <w:tr>
        <w:trPr>
          <w:trHeight w:val="169"/>
        </w:trPr>
        <w:tc>
          <w:tcPr>
            <w:tcW w:w="23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29,902</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53"/>
              <w:spacing w:after="0"/>
              <w:rPr>
                <w:sz w:val="20"/>
                <w:szCs w:val="20"/>
                <w:color w:val="auto"/>
              </w:rPr>
            </w:pPr>
            <w:r>
              <w:rPr>
                <w:rFonts w:ascii="Arial" w:cs="Arial" w:eastAsia="Arial" w:hAnsi="Arial"/>
                <w:sz w:val="14"/>
                <w:szCs w:val="14"/>
                <w:color w:val="auto"/>
              </w:rPr>
              <w:t>(59)</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29,843</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Compensation and benefits paid or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payable in shares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773</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spacing w:after="0"/>
              <w:rPr>
                <w:sz w:val="14"/>
                <w:szCs w:val="14"/>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274</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1,047</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Options exercised</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3</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3</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Shares issued to Directors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73"/>
              <w:spacing w:after="0"/>
              <w:rPr>
                <w:sz w:val="20"/>
                <w:szCs w:val="20"/>
                <w:color w:val="auto"/>
              </w:rPr>
            </w:pPr>
            <w:r>
              <w:rPr>
                <w:rFonts w:ascii="Arial" w:cs="Arial" w:eastAsia="Arial" w:hAnsi="Arial"/>
                <w:sz w:val="14"/>
                <w:szCs w:val="14"/>
                <w:color w:val="auto"/>
              </w:rPr>
              <w:t>(12)</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Dividends declared</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w:t>
            </w: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A Common Stock, $0.17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(4,935)</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(4,935)</w:t>
            </w:r>
          </w:p>
        </w:tc>
      </w:tr>
      <w:tr>
        <w:trPr>
          <w:trHeight w:val="162"/>
        </w:trPr>
        <w:tc>
          <w:tcPr>
            <w:tcW w:w="2320" w:type="dxa"/>
            <w:vAlign w:val="bottom"/>
          </w:tcPr>
          <w:p>
            <w:pPr>
              <w:ind w:left="120"/>
              <w:spacing w:after="0"/>
              <w:rPr>
                <w:sz w:val="20"/>
                <w:szCs w:val="20"/>
                <w:color w:val="auto"/>
              </w:rPr>
            </w:pPr>
            <w:r>
              <w:rPr>
                <w:rFonts w:ascii="Arial" w:cs="Arial" w:eastAsia="Arial" w:hAnsi="Arial"/>
                <w:sz w:val="14"/>
                <w:szCs w:val="14"/>
                <w:color w:val="auto"/>
              </w:rPr>
              <w:t>Class B Common Stock, $0.17 per</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share</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3"/>
              <w:spacing w:after="0"/>
              <w:rPr>
                <w:sz w:val="20"/>
                <w:szCs w:val="20"/>
                <w:color w:val="auto"/>
              </w:rPr>
            </w:pPr>
            <w:r>
              <w:rPr>
                <w:rFonts w:ascii="Arial" w:cs="Arial" w:eastAsia="Arial" w:hAnsi="Arial"/>
                <w:sz w:val="14"/>
                <w:szCs w:val="14"/>
                <w:color w:val="auto"/>
              </w:rPr>
              <w:t>(550)</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(550)</w:t>
            </w: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Cumulative translation 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93"/>
              <w:spacing w:after="0"/>
              <w:rPr>
                <w:sz w:val="20"/>
                <w:szCs w:val="20"/>
                <w:color w:val="auto"/>
              </w:rPr>
            </w:pPr>
            <w:r>
              <w:rPr>
                <w:rFonts w:ascii="Arial" w:cs="Arial" w:eastAsia="Arial" w:hAnsi="Arial"/>
                <w:sz w:val="14"/>
                <w:szCs w:val="14"/>
                <w:color w:val="auto"/>
              </w:rPr>
              <w:t>(33,216)</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11</w:t>
            </w: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(33,205)</w:t>
            </w: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Pension and postretirement liability</w:t>
            </w: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58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313"/>
              <w:spacing w:after="0"/>
              <w:rPr>
                <w:sz w:val="20"/>
                <w:szCs w:val="20"/>
                <w:color w:val="auto"/>
              </w:rPr>
            </w:pPr>
            <w:r>
              <w:rPr>
                <w:rFonts w:ascii="Arial" w:cs="Arial" w:eastAsia="Arial" w:hAnsi="Arial"/>
                <w:sz w:val="14"/>
                <w:szCs w:val="14"/>
                <w:color w:val="auto"/>
              </w:rPr>
              <w:t>2,127</w:t>
            </w:r>
          </w:p>
        </w:tc>
        <w:tc>
          <w:tcPr>
            <w:tcW w:w="62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93"/>
              <w:spacing w:after="0"/>
              <w:rPr>
                <w:sz w:val="20"/>
                <w:szCs w:val="20"/>
                <w:color w:val="auto"/>
              </w:rPr>
            </w:pPr>
            <w:r>
              <w:rPr>
                <w:rFonts w:ascii="Arial" w:cs="Arial" w:eastAsia="Arial" w:hAnsi="Arial"/>
                <w:sz w:val="14"/>
                <w:szCs w:val="14"/>
                <w:color w:val="auto"/>
              </w:rPr>
              <w:t>2,127</w:t>
            </w:r>
          </w:p>
        </w:tc>
      </w:tr>
      <w:tr>
        <w:trPr>
          <w:trHeight w:val="176"/>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Derivative valuation adjustment</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rPr>
              <w:t>1,722</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1,722</w:t>
            </w:r>
          </w:p>
        </w:tc>
      </w:tr>
      <w:tr>
        <w:trPr>
          <w:trHeight w:val="169"/>
        </w:trPr>
        <w:tc>
          <w:tcPr>
            <w:tcW w:w="23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June 30, 2018</w:t>
            </w: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37,448</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$37</w:t>
            </w:r>
          </w:p>
        </w:tc>
        <w:tc>
          <w:tcPr>
            <w:tcW w:w="60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3,234</w:t>
            </w: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$ 3</w:t>
            </w: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$429,635</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$555,610</w:t>
            </w:r>
          </w:p>
        </w:tc>
        <w:tc>
          <w:tcPr>
            <w:tcW w:w="14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$(143,155)</w:t>
            </w: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8,419</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$(256,602)</w:t>
            </w:r>
          </w:p>
        </w:tc>
        <w:tc>
          <w:tcPr>
            <w:tcW w:w="11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$3,102</w:t>
            </w:r>
          </w:p>
        </w:tc>
        <w:tc>
          <w:tcPr>
            <w:tcW w:w="8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$588,630</w:t>
            </w:r>
          </w:p>
        </w:tc>
      </w:tr>
    </w:tbl>
    <w:p>
      <w:pPr>
        <w:spacing w:after="0" w:line="161" w:lineRule="exact"/>
        <w:rPr>
          <w:sz w:val="20"/>
          <w:szCs w:val="20"/>
          <w:color w:val="auto"/>
        </w:rPr>
      </w:pPr>
    </w:p>
    <w:p>
      <w:pPr>
        <w:ind w:left="340" w:right="20" w:hanging="318"/>
        <w:spacing w:after="0" w:line="274"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As described in Note 3, the Company adopted ASC 842,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effective January 1, 2019, which resulted in an increase to Retained earnings of less than $0.1 million.</w:t>
      </w:r>
    </w:p>
    <w:p>
      <w:pPr>
        <w:spacing w:after="0" w:line="1" w:lineRule="exact"/>
        <w:rPr>
          <w:rFonts w:ascii="Arial" w:cs="Arial" w:eastAsia="Arial" w:hAnsi="Arial"/>
          <w:sz w:val="16"/>
          <w:szCs w:val="16"/>
          <w:color w:val="auto"/>
        </w:rPr>
      </w:pPr>
    </w:p>
    <w:p>
      <w:pPr>
        <w:ind w:left="340" w:right="240" w:hanging="318"/>
        <w:spacing w:after="0" w:line="253"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the second quarter of 2019, Standish Family Holdings, LLC executed a secondary offering of Albany shares. As a result of the offering, 1.6 million shares of Class B Common Stock previously owned by Standish Family Holdings, LLC were converted to Class A Common Stock and then sold to third parties. Costs associated with the offering were charged directly to Standish Family Holdings, LLC.</w:t>
      </w:r>
    </w:p>
    <w:p>
      <w:pPr>
        <w:spacing w:after="0" w:line="12" w:lineRule="exact"/>
        <w:rPr>
          <w:rFonts w:ascii="Arial" w:cs="Arial" w:eastAsia="Arial" w:hAnsi="Arial"/>
          <w:sz w:val="16"/>
          <w:szCs w:val="16"/>
          <w:color w:val="auto"/>
        </w:rPr>
      </w:pPr>
    </w:p>
    <w:p>
      <w:pPr>
        <w:ind w:left="340" w:right="140" w:hanging="318"/>
        <w:spacing w:after="0" w:line="260" w:lineRule="auto"/>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adopted ASC 606 effective January 1, 2018, which resulted in a decrease to Retained earnings of $5.6 million and a $0.3 million decrease to Noncontrolling interest.</w:t>
      </w:r>
    </w:p>
    <w:p>
      <w:pPr>
        <w:spacing w:after="0" w:line="6" w:lineRule="exact"/>
        <w:rPr>
          <w:rFonts w:ascii="Arial" w:cs="Arial" w:eastAsia="Arial" w:hAnsi="Arial"/>
          <w:sz w:val="16"/>
          <w:szCs w:val="16"/>
          <w:color w:val="auto"/>
        </w:rPr>
      </w:pPr>
    </w:p>
    <w:p>
      <w:pPr>
        <w:ind w:left="340" w:hanging="318"/>
        <w:spacing w:after="0"/>
        <w:tabs>
          <w:tab w:leader="none" w:pos="3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adopted ASU 2016-16 effective January 1, 2018, which resulted in a $0.5 million increase to Retained earnings.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19. Recent Accounting Pronouncements</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June 2016, an accounting update was issued which changes the way entities recognize impairment of many financial assets by requiring immediate recognition of credit losses expected to occur over their remaining life. In April and May of 2019 additional accounting updates were made regarding the application of this standard. We are continuing to evaluate the expected impact on our consolidated financial statements and related disclosures. We will adopt the new standard effective January 1, 2020.</w:t>
      </w:r>
    </w:p>
    <w:p>
      <w:pPr>
        <w:spacing w:after="0" w:line="9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We do not expect a significant impact to our consolidated assets and liabilities, net earnings, or cash flows as a result of adopting this new standard. We plan to adopt the new standard effective January 1, 2020.</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fair value measurement disclosures. We are currently evaluating the impact of this update. We will adopt the new standard effective January 1, 2020.</w:t>
      </w:r>
    </w:p>
    <w:p>
      <w:pPr>
        <w:spacing w:after="0" w:line="95"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In November 2018, an accounting update was issued which clarifies when transactions between collaborative arrangement participants are in the scope of ASC 606. The update also provides some guidance on presentation of transactions not in the scope of ASC 606. We are currently evaluating the impact of this update. We will adopt the new standard effective January 1,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95"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48" w:lineRule="exact"/>
        <w:rPr>
          <w:sz w:val="20"/>
          <w:szCs w:val="20"/>
          <w:color w:val="auto"/>
        </w:rPr>
      </w:pPr>
    </w:p>
    <w:p>
      <w:pPr>
        <w:ind w:left="580" w:hanging="248"/>
        <w:spacing w:after="0" w:line="24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34" w:lineRule="exact"/>
        <w:rPr>
          <w:rFonts w:ascii="Arial" w:cs="Arial" w:eastAsia="Arial" w:hAnsi="Arial"/>
          <w:sz w:val="18"/>
          <w:szCs w:val="18"/>
          <w:color w:val="auto"/>
        </w:rPr>
      </w:pPr>
    </w:p>
    <w:p>
      <w:pPr>
        <w:ind w:left="580" w:right="20" w:hanging="248"/>
        <w:spacing w:after="0" w:line="24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34"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the Albany Engineered Composites segment, unanticipated reductions in demand, delays, technical difficulties or cancellations in aerospace programs that are expected to drive growth;</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risks and uncertainties detailed in this report.</w:t>
      </w:r>
    </w:p>
    <w:p>
      <w:pPr>
        <w:spacing w:after="0" w:line="104"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 statements are made, in light of our experience and perception of historical conditions, expected future developments, and other factors believed to be appropriate under the circumstances.</w:t>
      </w:r>
    </w:p>
    <w:p>
      <w:pPr>
        <w:spacing w:after="0" w:line="180"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89"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 cash-generating potential of this business by maintaining the low costs that we achieved through continuous focus on cost reduction initiatives, and competing vigorously by using our differentiated and technically superior products to reduce our customers’ total cost of operation and improve their paper quality.</w:t>
      </w:r>
    </w:p>
    <w:p>
      <w:pPr>
        <w:spacing w:after="0" w:line="9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19 percent of the Company’s consolidated net sales in 2018.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2018, approximately 25 percent of AEC sales were related to U.S. government contracts or programs.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2880" w:type="dxa"/>
            <w:vAlign w:val="bottom"/>
            <w:tcBorders>
              <w:top w:val="single" w:sz="8" w:color="auto"/>
              <w:bottom w:val="single" w:sz="8" w:color="auto"/>
            </w:tcBorders>
          </w:tcPr>
          <w:p>
            <w:pPr>
              <w:spacing w:after="0"/>
              <w:rPr>
                <w:sz w:val="17"/>
                <w:szCs w:val="17"/>
                <w:color w:val="auto"/>
              </w:rPr>
            </w:pPr>
          </w:p>
        </w:tc>
        <w:tc>
          <w:tcPr>
            <w:tcW w:w="3420" w:type="dxa"/>
            <w:vAlign w:val="bottom"/>
            <w:tcBorders>
              <w:top w:val="single" w:sz="8" w:color="auto"/>
              <w:bottom w:val="single" w:sz="8" w:color="auto"/>
            </w:tcBorders>
            <w:gridSpan w:val="3"/>
          </w:tcPr>
          <w:p>
            <w:pPr>
              <w:jc w:val="right"/>
              <w:ind w:right="481"/>
              <w:spacing w:after="0"/>
              <w:rPr>
                <w:sz w:val="20"/>
                <w:szCs w:val="20"/>
                <w:color w:val="auto"/>
              </w:rPr>
            </w:pPr>
            <w:r>
              <w:rPr>
                <w:rFonts w:ascii="Arial" w:cs="Arial" w:eastAsia="Arial" w:hAnsi="Arial"/>
                <w:sz w:val="14"/>
                <w:szCs w:val="14"/>
                <w:b w:val="1"/>
                <w:bCs w:val="1"/>
                <w:color w:val="auto"/>
              </w:rPr>
              <w:t>Three months ended June 30,</w:t>
            </w:r>
          </w:p>
        </w:tc>
        <w:tc>
          <w:tcPr>
            <w:tcW w:w="3120" w:type="dxa"/>
            <w:vAlign w:val="bottom"/>
            <w:tcBorders>
              <w:top w:val="single" w:sz="8" w:color="auto"/>
              <w:bottom w:val="single" w:sz="8" w:color="auto"/>
            </w:tcBorders>
            <w:gridSpan w:val="3"/>
          </w:tcPr>
          <w:p>
            <w:pPr>
              <w:jc w:val="right"/>
              <w:ind w:right="561"/>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32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10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2018</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 Change</w:t>
            </w:r>
          </w:p>
        </w:tc>
      </w:tr>
      <w:tr>
        <w:trPr>
          <w:trHeight w:val="205"/>
        </w:trPr>
        <w:tc>
          <w:tcPr>
            <w:tcW w:w="28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320" w:type="dxa"/>
            <w:vAlign w:val="bottom"/>
          </w:tcPr>
          <w:p>
            <w:pPr>
              <w:jc w:val="right"/>
              <w:ind w:right="103"/>
              <w:spacing w:after="0"/>
              <w:rPr>
                <w:sz w:val="20"/>
                <w:szCs w:val="20"/>
                <w:color w:val="auto"/>
              </w:rPr>
            </w:pPr>
            <w:r>
              <w:rPr>
                <w:rFonts w:ascii="Arial" w:cs="Arial" w:eastAsia="Arial" w:hAnsi="Arial"/>
                <w:sz w:val="16"/>
                <w:szCs w:val="16"/>
                <w:b w:val="1"/>
                <w:bCs w:val="1"/>
                <w:color w:val="auto"/>
              </w:rPr>
              <w:t>$155,016</w:t>
            </w:r>
          </w:p>
        </w:tc>
        <w:tc>
          <w:tcPr>
            <w:tcW w:w="1060" w:type="dxa"/>
            <w:vAlign w:val="bottom"/>
          </w:tcPr>
          <w:p>
            <w:pPr>
              <w:jc w:val="right"/>
              <w:ind w:right="101"/>
              <w:spacing w:after="0"/>
              <w:rPr>
                <w:sz w:val="20"/>
                <w:szCs w:val="20"/>
                <w:color w:val="auto"/>
              </w:rPr>
            </w:pPr>
            <w:r>
              <w:rPr>
                <w:rFonts w:ascii="Arial" w:cs="Arial" w:eastAsia="Arial" w:hAnsi="Arial"/>
                <w:sz w:val="16"/>
                <w:szCs w:val="16"/>
                <w:color w:val="auto"/>
              </w:rPr>
              <w:t>$161,784</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-4.2%</w:t>
            </w:r>
          </w:p>
        </w:tc>
        <w:tc>
          <w:tcPr>
            <w:tcW w:w="1040" w:type="dxa"/>
            <w:vAlign w:val="bottom"/>
          </w:tcPr>
          <w:p>
            <w:pPr>
              <w:jc w:val="right"/>
              <w:ind w:right="103"/>
              <w:spacing w:after="0"/>
              <w:rPr>
                <w:sz w:val="20"/>
                <w:szCs w:val="20"/>
                <w:color w:val="auto"/>
              </w:rPr>
            </w:pPr>
            <w:r>
              <w:rPr>
                <w:rFonts w:ascii="Arial" w:cs="Arial" w:eastAsia="Arial" w:hAnsi="Arial"/>
                <w:sz w:val="16"/>
                <w:szCs w:val="16"/>
                <w:b w:val="1"/>
                <w:bCs w:val="1"/>
                <w:color w:val="auto"/>
              </w:rPr>
              <w:t>$299,349</w:t>
            </w:r>
          </w:p>
        </w:tc>
        <w:tc>
          <w:tcPr>
            <w:tcW w:w="1040" w:type="dxa"/>
            <w:vAlign w:val="bottom"/>
          </w:tcPr>
          <w:p>
            <w:pPr>
              <w:jc w:val="right"/>
              <w:ind w:right="101"/>
              <w:spacing w:after="0"/>
              <w:rPr>
                <w:sz w:val="20"/>
                <w:szCs w:val="20"/>
                <w:color w:val="auto"/>
              </w:rPr>
            </w:pPr>
            <w:r>
              <w:rPr>
                <w:rFonts w:ascii="Arial" w:cs="Arial" w:eastAsia="Arial" w:hAnsi="Arial"/>
                <w:sz w:val="16"/>
                <w:szCs w:val="16"/>
                <w:color w:val="auto"/>
              </w:rPr>
              <w:t>$303,557</w:t>
            </w:r>
          </w:p>
        </w:tc>
        <w:tc>
          <w:tcPr>
            <w:tcW w:w="1040" w:type="dxa"/>
            <w:vAlign w:val="bottom"/>
          </w:tcPr>
          <w:p>
            <w:pPr>
              <w:jc w:val="right"/>
              <w:ind w:right="221"/>
              <w:spacing w:after="0"/>
              <w:rPr>
                <w:sz w:val="20"/>
                <w:szCs w:val="20"/>
                <w:color w:val="auto"/>
              </w:rPr>
            </w:pPr>
            <w:r>
              <w:rPr>
                <w:rFonts w:ascii="Arial" w:cs="Arial" w:eastAsia="Arial" w:hAnsi="Arial"/>
                <w:sz w:val="16"/>
                <w:szCs w:val="16"/>
                <w:color w:val="auto"/>
              </w:rPr>
              <w:t>-1.4%</w:t>
            </w:r>
          </w:p>
        </w:tc>
      </w:tr>
      <w:tr>
        <w:trPr>
          <w:trHeight w:val="218"/>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118,933</w:t>
            </w:r>
          </w:p>
        </w:tc>
        <w:tc>
          <w:tcPr>
            <w:tcW w:w="106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rPr>
              <w:t>93,590</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27.1%</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225,972</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175,420</w:t>
            </w:r>
          </w:p>
        </w:tc>
        <w:tc>
          <w:tcPr>
            <w:tcW w:w="10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28.8%</w:t>
            </w:r>
          </w:p>
        </w:tc>
      </w:tr>
      <w:tr>
        <w:trPr>
          <w:trHeight w:val="212"/>
        </w:trPr>
        <w:tc>
          <w:tcPr>
            <w:tcW w:w="28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$273,949</w:t>
            </w:r>
          </w:p>
        </w:tc>
        <w:tc>
          <w:tcPr>
            <w:tcW w:w="106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$255,374</w:t>
            </w: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7.3%</w:t>
            </w:r>
          </w:p>
        </w:tc>
        <w:tc>
          <w:tcPr>
            <w:tcW w:w="10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$525,321</w:t>
            </w:r>
          </w:p>
        </w:tc>
        <w:tc>
          <w:tcPr>
            <w:tcW w:w="10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$478,977</w:t>
            </w:r>
          </w:p>
        </w:tc>
        <w:tc>
          <w:tcPr>
            <w:tcW w:w="104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9.7%</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provide a comparison of 2019 Net sales, excluding the impact of currency translation effects, to 2018 Net sales: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00" w:type="dxa"/>
            <w:vAlign w:val="bottom"/>
            <w:tcBorders>
              <w:top w:val="single" w:sz="8" w:color="auto"/>
            </w:tcBorders>
          </w:tcPr>
          <w:p>
            <w:pPr>
              <w:spacing w:after="0"/>
              <w:rPr>
                <w:sz w:val="15"/>
                <w:szCs w:val="15"/>
                <w:color w:val="auto"/>
              </w:rPr>
            </w:pPr>
          </w:p>
        </w:tc>
        <w:tc>
          <w:tcPr>
            <w:tcW w:w="23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 Change compared</w:t>
            </w:r>
          </w:p>
        </w:tc>
      </w:tr>
      <w:tr>
        <w:trPr>
          <w:trHeight w:val="162"/>
        </w:trPr>
        <w:tc>
          <w:tcPr>
            <w:tcW w:w="3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Decrease due to</w:t>
            </w:r>
          </w:p>
        </w:tc>
        <w:tc>
          <w:tcPr>
            <w:tcW w:w="14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 Q2 2018,</w:t>
            </w:r>
          </w:p>
        </w:tc>
      </w:tr>
      <w:tr>
        <w:trPr>
          <w:trHeight w:val="162"/>
        </w:trPr>
        <w:tc>
          <w:tcPr>
            <w:tcW w:w="35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changes in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Q2 2019 sales on</w:t>
            </w:r>
          </w:p>
        </w:tc>
        <w:tc>
          <w:tcPr>
            <w:tcW w:w="13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excluding changes</w:t>
            </w:r>
          </w:p>
        </w:tc>
      </w:tr>
      <w:tr>
        <w:trPr>
          <w:trHeight w:val="162"/>
        </w:trPr>
        <w:tc>
          <w:tcPr>
            <w:tcW w:w="3500" w:type="dxa"/>
            <w:vAlign w:val="bottom"/>
          </w:tcPr>
          <w:p>
            <w:pPr>
              <w:spacing w:after="0"/>
              <w:rPr>
                <w:sz w:val="14"/>
                <w:szCs w:val="14"/>
                <w:color w:val="auto"/>
              </w:rPr>
            </w:pPr>
          </w:p>
        </w:tc>
        <w:tc>
          <w:tcPr>
            <w:tcW w:w="2380" w:type="dxa"/>
            <w:vAlign w:val="bottom"/>
          </w:tcPr>
          <w:p>
            <w:pPr>
              <w:jc w:val="center"/>
              <w:ind w:left="883"/>
              <w:spacing w:after="0"/>
              <w:rPr>
                <w:sz w:val="20"/>
                <w:szCs w:val="20"/>
                <w:color w:val="auto"/>
              </w:rPr>
            </w:pPr>
            <w:r>
              <w:rPr>
                <w:rFonts w:ascii="Arial" w:cs="Arial" w:eastAsia="Arial" w:hAnsi="Arial"/>
                <w:sz w:val="14"/>
                <w:szCs w:val="14"/>
                <w:b w:val="1"/>
                <w:bCs w:val="1"/>
                <w:color w:val="auto"/>
              </w:rPr>
              <w:t>Net sales as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same basis as Q2</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Net sales as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in currency</w:t>
            </w:r>
          </w:p>
        </w:tc>
      </w:tr>
      <w:tr>
        <w:trPr>
          <w:trHeight w:val="18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380" w:type="dxa"/>
            <w:vAlign w:val="bottom"/>
            <w:tcBorders>
              <w:bottom w:val="single" w:sz="8" w:color="auto"/>
            </w:tcBorders>
          </w:tcPr>
          <w:p>
            <w:pPr>
              <w:jc w:val="center"/>
              <w:ind w:left="883"/>
              <w:spacing w:after="0"/>
              <w:rPr>
                <w:sz w:val="20"/>
                <w:szCs w:val="20"/>
                <w:color w:val="auto"/>
              </w:rPr>
            </w:pPr>
            <w:r>
              <w:rPr>
                <w:rFonts w:ascii="Arial" w:cs="Arial" w:eastAsia="Arial" w:hAnsi="Arial"/>
                <w:sz w:val="14"/>
                <w:szCs w:val="14"/>
                <w:b w:val="1"/>
                <w:bCs w:val="1"/>
                <w:color w:val="auto"/>
              </w:rPr>
              <w:t>reported, Q2 2019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rates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reported, Q2 2018</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rate</w:t>
            </w:r>
          </w:p>
        </w:tc>
      </w:tr>
      <w:tr>
        <w:trPr>
          <w:trHeight w:val="205"/>
        </w:trPr>
        <w:tc>
          <w:tcPr>
            <w:tcW w:w="35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380" w:type="dxa"/>
            <w:vAlign w:val="bottom"/>
          </w:tcPr>
          <w:p>
            <w:pPr>
              <w:jc w:val="right"/>
              <w:ind w:right="283"/>
              <w:spacing w:after="0"/>
              <w:rPr>
                <w:sz w:val="20"/>
                <w:szCs w:val="20"/>
                <w:color w:val="auto"/>
              </w:rPr>
            </w:pPr>
            <w:r>
              <w:rPr>
                <w:rFonts w:ascii="Arial" w:cs="Arial" w:eastAsia="Arial" w:hAnsi="Arial"/>
                <w:sz w:val="16"/>
                <w:szCs w:val="16"/>
                <w:b w:val="1"/>
                <w:bCs w:val="1"/>
                <w:color w:val="auto"/>
              </w:rPr>
              <w:t>$155,016</w:t>
            </w:r>
          </w:p>
        </w:tc>
        <w:tc>
          <w:tcPr>
            <w:tcW w:w="1280" w:type="dxa"/>
            <w:vAlign w:val="bottom"/>
          </w:tcPr>
          <w:p>
            <w:pPr>
              <w:jc w:val="center"/>
              <w:spacing w:after="0"/>
              <w:rPr>
                <w:sz w:val="20"/>
                <w:szCs w:val="20"/>
                <w:color w:val="auto"/>
              </w:rPr>
            </w:pPr>
            <w:r>
              <w:rPr>
                <w:rFonts w:ascii="Arial" w:cs="Arial" w:eastAsia="Arial" w:hAnsi="Arial"/>
                <w:sz w:val="16"/>
                <w:szCs w:val="16"/>
                <w:color w:val="auto"/>
              </w:rPr>
              <w:t>$2,888</w:t>
            </w:r>
          </w:p>
        </w:tc>
        <w:tc>
          <w:tcPr>
            <w:tcW w:w="1460" w:type="dxa"/>
            <w:vAlign w:val="bottom"/>
          </w:tcPr>
          <w:p>
            <w:pPr>
              <w:jc w:val="right"/>
              <w:ind w:right="303"/>
              <w:spacing w:after="0"/>
              <w:rPr>
                <w:sz w:val="20"/>
                <w:szCs w:val="20"/>
                <w:color w:val="auto"/>
              </w:rPr>
            </w:pPr>
            <w:r>
              <w:rPr>
                <w:rFonts w:ascii="Arial" w:cs="Arial" w:eastAsia="Arial" w:hAnsi="Arial"/>
                <w:sz w:val="16"/>
                <w:szCs w:val="16"/>
                <w:color w:val="auto"/>
              </w:rPr>
              <w:t>$157,904</w:t>
            </w: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$161,784</w:t>
            </w:r>
          </w:p>
        </w:tc>
        <w:tc>
          <w:tcPr>
            <w:tcW w:w="1500" w:type="dxa"/>
            <w:vAlign w:val="bottom"/>
          </w:tcPr>
          <w:p>
            <w:pPr>
              <w:jc w:val="right"/>
              <w:ind w:right="424"/>
              <w:spacing w:after="0"/>
              <w:rPr>
                <w:sz w:val="20"/>
                <w:szCs w:val="20"/>
                <w:color w:val="auto"/>
              </w:rPr>
            </w:pPr>
            <w:r>
              <w:rPr>
                <w:rFonts w:ascii="Arial" w:cs="Arial" w:eastAsia="Arial" w:hAnsi="Arial"/>
                <w:sz w:val="16"/>
                <w:szCs w:val="16"/>
                <w:color w:val="auto"/>
              </w:rPr>
              <w:t>-2.4%</w:t>
            </w:r>
          </w:p>
        </w:tc>
      </w:tr>
      <w:tr>
        <w:trPr>
          <w:trHeight w:val="21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3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118,933</w:t>
            </w:r>
          </w:p>
        </w:tc>
        <w:tc>
          <w:tcPr>
            <w:tcW w:w="1280" w:type="dxa"/>
            <w:vAlign w:val="bottom"/>
            <w:tcBorders>
              <w:bottom w:val="single" w:sz="8" w:color="auto"/>
            </w:tcBorders>
          </w:tcPr>
          <w:p>
            <w:pPr>
              <w:jc w:val="right"/>
              <w:ind w:right="304"/>
              <w:spacing w:after="0"/>
              <w:rPr>
                <w:sz w:val="20"/>
                <w:szCs w:val="20"/>
                <w:color w:val="auto"/>
              </w:rPr>
            </w:pPr>
            <w:r>
              <w:rPr>
                <w:rFonts w:ascii="Arial" w:cs="Arial" w:eastAsia="Arial" w:hAnsi="Arial"/>
                <w:sz w:val="16"/>
                <w:szCs w:val="16"/>
                <w:color w:val="auto"/>
              </w:rPr>
              <w:t>1,012</w:t>
            </w:r>
          </w:p>
        </w:tc>
        <w:tc>
          <w:tcPr>
            <w:tcW w:w="146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119,945</w:t>
            </w:r>
          </w:p>
        </w:tc>
        <w:tc>
          <w:tcPr>
            <w:tcW w:w="130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93,590</w:t>
            </w:r>
          </w:p>
        </w:tc>
        <w:tc>
          <w:tcPr>
            <w:tcW w:w="150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color w:val="auto"/>
              </w:rPr>
              <w:t>28.2%</w:t>
            </w:r>
          </w:p>
        </w:tc>
      </w:tr>
      <w:tr>
        <w:trPr>
          <w:trHeight w:val="21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3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$273,949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$3,900</w:t>
            </w:r>
          </w:p>
        </w:tc>
        <w:tc>
          <w:tcPr>
            <w:tcW w:w="146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$277,849</w:t>
            </w: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$255,374</w:t>
            </w:r>
          </w:p>
        </w:tc>
        <w:tc>
          <w:tcPr>
            <w:tcW w:w="150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color w:val="auto"/>
              </w:rPr>
              <w:t>8.8%</w:t>
            </w:r>
          </w:p>
        </w:tc>
      </w:tr>
      <w:tr>
        <w:trPr>
          <w:trHeight w:val="156"/>
        </w:trPr>
        <w:tc>
          <w:tcPr>
            <w:tcW w:w="3500" w:type="dxa"/>
            <w:vAlign w:val="bottom"/>
            <w:tcBorders>
              <w:bottom w:val="single" w:sz="8" w:color="auto"/>
            </w:tcBorders>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spacing w:after="0"/>
              <w:rPr>
                <w:sz w:val="13"/>
                <w:szCs w:val="13"/>
                <w:color w:val="auto"/>
              </w:rPr>
            </w:pPr>
          </w:p>
        </w:tc>
      </w:tr>
      <w:tr>
        <w:trPr>
          <w:trHeight w:val="156"/>
        </w:trPr>
        <w:tc>
          <w:tcPr>
            <w:tcW w:w="3500" w:type="dxa"/>
            <w:vAlign w:val="bottom"/>
          </w:tcPr>
          <w:p>
            <w:pPr>
              <w:spacing w:after="0"/>
              <w:rPr>
                <w:sz w:val="13"/>
                <w:szCs w:val="13"/>
                <w:color w:val="auto"/>
              </w:rPr>
            </w:pPr>
          </w:p>
        </w:tc>
        <w:tc>
          <w:tcPr>
            <w:tcW w:w="2380" w:type="dxa"/>
            <w:vAlign w:val="bottom"/>
          </w:tcPr>
          <w:p>
            <w:pPr>
              <w:jc w:val="center"/>
              <w:ind w:left="883"/>
              <w:spacing w:after="0" w:line="156" w:lineRule="exact"/>
              <w:rPr>
                <w:sz w:val="20"/>
                <w:szCs w:val="20"/>
                <w:color w:val="auto"/>
              </w:rPr>
            </w:pPr>
            <w:r>
              <w:rPr>
                <w:rFonts w:ascii="Arial" w:cs="Arial" w:eastAsia="Arial" w:hAnsi="Arial"/>
                <w:sz w:val="14"/>
                <w:szCs w:val="14"/>
                <w:b w:val="1"/>
                <w:bCs w:val="1"/>
                <w:color w:val="auto"/>
              </w:rPr>
              <w:t>Net sales as</w:t>
            </w:r>
          </w:p>
        </w:tc>
        <w:tc>
          <w:tcPr>
            <w:tcW w:w="128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Decrease due to</w:t>
            </w:r>
          </w:p>
        </w:tc>
        <w:tc>
          <w:tcPr>
            <w:tcW w:w="1460" w:type="dxa"/>
            <w:vAlign w:val="bottom"/>
          </w:tcPr>
          <w:p>
            <w:pPr>
              <w:spacing w:after="0"/>
              <w:rPr>
                <w:sz w:val="13"/>
                <w:szCs w:val="13"/>
                <w:color w:val="auto"/>
              </w:rPr>
            </w:pPr>
          </w:p>
        </w:tc>
        <w:tc>
          <w:tcPr>
            <w:tcW w:w="13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Net sales as</w:t>
            </w:r>
          </w:p>
        </w:tc>
        <w:tc>
          <w:tcPr>
            <w:tcW w:w="15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rPr>
              <w:t>% Change compared</w:t>
            </w:r>
          </w:p>
        </w:tc>
      </w:tr>
      <w:tr>
        <w:trPr>
          <w:trHeight w:val="162"/>
        </w:trPr>
        <w:tc>
          <w:tcPr>
            <w:tcW w:w="3500" w:type="dxa"/>
            <w:vAlign w:val="bottom"/>
          </w:tcPr>
          <w:p>
            <w:pPr>
              <w:spacing w:after="0"/>
              <w:rPr>
                <w:sz w:val="14"/>
                <w:szCs w:val="14"/>
                <w:color w:val="auto"/>
              </w:rPr>
            </w:pPr>
          </w:p>
        </w:tc>
        <w:tc>
          <w:tcPr>
            <w:tcW w:w="2380" w:type="dxa"/>
            <w:vAlign w:val="bottom"/>
          </w:tcPr>
          <w:p>
            <w:pPr>
              <w:jc w:val="center"/>
              <w:ind w:left="903"/>
              <w:spacing w:after="0"/>
              <w:rPr>
                <w:sz w:val="20"/>
                <w:szCs w:val="20"/>
                <w:color w:val="auto"/>
              </w:rPr>
            </w:pPr>
            <w:r>
              <w:rPr>
                <w:rFonts w:ascii="Arial" w:cs="Arial" w:eastAsia="Arial" w:hAnsi="Arial"/>
                <w:sz w:val="14"/>
                <w:szCs w:val="14"/>
                <w:b w:val="1"/>
                <w:bCs w:val="1"/>
                <w:color w:val="auto"/>
              </w:rPr>
              <w:t>reported, Six</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changes in</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First six months of</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reported, Six</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to 2018, excluding</w:t>
            </w:r>
          </w:p>
        </w:tc>
      </w:tr>
      <w:tr>
        <w:trPr>
          <w:trHeight w:val="162"/>
        </w:trPr>
        <w:tc>
          <w:tcPr>
            <w:tcW w:w="3500" w:type="dxa"/>
            <w:vAlign w:val="bottom"/>
          </w:tcPr>
          <w:p>
            <w:pPr>
              <w:spacing w:after="0"/>
              <w:rPr>
                <w:sz w:val="14"/>
                <w:szCs w:val="14"/>
                <w:color w:val="auto"/>
              </w:rPr>
            </w:pPr>
          </w:p>
        </w:tc>
        <w:tc>
          <w:tcPr>
            <w:tcW w:w="2380" w:type="dxa"/>
            <w:vAlign w:val="bottom"/>
          </w:tcPr>
          <w:p>
            <w:pPr>
              <w:jc w:val="center"/>
              <w:ind w:left="883"/>
              <w:spacing w:after="0"/>
              <w:rPr>
                <w:sz w:val="20"/>
                <w:szCs w:val="20"/>
                <w:color w:val="auto"/>
              </w:rPr>
            </w:pPr>
            <w:r>
              <w:rPr>
                <w:rFonts w:ascii="Arial" w:cs="Arial" w:eastAsia="Arial" w:hAnsi="Arial"/>
                <w:sz w:val="14"/>
                <w:szCs w:val="14"/>
                <w:b w:val="1"/>
                <w:bCs w:val="1"/>
                <w:color w:val="auto"/>
              </w:rPr>
              <w:t>months ended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2019 sales on</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rPr>
              <w:t>months ended</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changes in currency</w:t>
            </w:r>
          </w:p>
        </w:tc>
      </w:tr>
      <w:tr>
        <w:trPr>
          <w:trHeight w:val="18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2380" w:type="dxa"/>
            <w:vAlign w:val="bottom"/>
            <w:tcBorders>
              <w:bottom w:val="single" w:sz="8" w:color="auto"/>
            </w:tcBorders>
          </w:tcPr>
          <w:p>
            <w:pPr>
              <w:jc w:val="center"/>
              <w:ind w:left="883"/>
              <w:spacing w:after="0"/>
              <w:rPr>
                <w:sz w:val="20"/>
                <w:szCs w:val="20"/>
                <w:color w:val="auto"/>
              </w:rPr>
            </w:pPr>
            <w:r>
              <w:rPr>
                <w:rFonts w:ascii="Arial" w:cs="Arial" w:eastAsia="Arial" w:hAnsi="Arial"/>
                <w:sz w:val="14"/>
                <w:szCs w:val="14"/>
                <w:b w:val="1"/>
                <w:bCs w:val="1"/>
                <w:color w:val="auto"/>
              </w:rPr>
              <w:t>June 30, 2019</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rates</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same basis as 2018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June 30, 2018</w:t>
            </w: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translation rates</w:t>
            </w:r>
          </w:p>
        </w:tc>
      </w:tr>
      <w:tr>
        <w:trPr>
          <w:trHeight w:val="205"/>
        </w:trPr>
        <w:tc>
          <w:tcPr>
            <w:tcW w:w="350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380" w:type="dxa"/>
            <w:vAlign w:val="bottom"/>
          </w:tcPr>
          <w:p>
            <w:pPr>
              <w:jc w:val="right"/>
              <w:ind w:right="283"/>
              <w:spacing w:after="0"/>
              <w:rPr>
                <w:sz w:val="20"/>
                <w:szCs w:val="20"/>
                <w:color w:val="auto"/>
              </w:rPr>
            </w:pPr>
            <w:r>
              <w:rPr>
                <w:rFonts w:ascii="Arial" w:cs="Arial" w:eastAsia="Arial" w:hAnsi="Arial"/>
                <w:sz w:val="16"/>
                <w:szCs w:val="16"/>
                <w:b w:val="1"/>
                <w:bCs w:val="1"/>
                <w:color w:val="auto"/>
              </w:rPr>
              <w:t>$299,349</w:t>
            </w:r>
          </w:p>
        </w:tc>
        <w:tc>
          <w:tcPr>
            <w:tcW w:w="1280" w:type="dxa"/>
            <w:vAlign w:val="bottom"/>
          </w:tcPr>
          <w:p>
            <w:pPr>
              <w:jc w:val="center"/>
              <w:spacing w:after="0"/>
              <w:rPr>
                <w:sz w:val="20"/>
                <w:szCs w:val="20"/>
                <w:color w:val="auto"/>
              </w:rPr>
            </w:pPr>
            <w:r>
              <w:rPr>
                <w:rFonts w:ascii="Arial" w:cs="Arial" w:eastAsia="Arial" w:hAnsi="Arial"/>
                <w:sz w:val="16"/>
                <w:szCs w:val="16"/>
                <w:color w:val="auto"/>
              </w:rPr>
              <w:t>$ 7,129</w:t>
            </w:r>
          </w:p>
        </w:tc>
        <w:tc>
          <w:tcPr>
            <w:tcW w:w="1460" w:type="dxa"/>
            <w:vAlign w:val="bottom"/>
          </w:tcPr>
          <w:p>
            <w:pPr>
              <w:jc w:val="right"/>
              <w:ind w:right="303"/>
              <w:spacing w:after="0"/>
              <w:rPr>
                <w:sz w:val="20"/>
                <w:szCs w:val="20"/>
                <w:color w:val="auto"/>
              </w:rPr>
            </w:pPr>
            <w:r>
              <w:rPr>
                <w:rFonts w:ascii="Arial" w:cs="Arial" w:eastAsia="Arial" w:hAnsi="Arial"/>
                <w:sz w:val="16"/>
                <w:szCs w:val="16"/>
                <w:color w:val="auto"/>
              </w:rPr>
              <w:t>$306,478</w:t>
            </w:r>
          </w:p>
        </w:tc>
        <w:tc>
          <w:tcPr>
            <w:tcW w:w="1300" w:type="dxa"/>
            <w:vAlign w:val="bottom"/>
          </w:tcPr>
          <w:p>
            <w:pPr>
              <w:jc w:val="right"/>
              <w:ind w:right="223"/>
              <w:spacing w:after="0"/>
              <w:rPr>
                <w:sz w:val="20"/>
                <w:szCs w:val="20"/>
                <w:color w:val="auto"/>
              </w:rPr>
            </w:pPr>
            <w:r>
              <w:rPr>
                <w:rFonts w:ascii="Arial" w:cs="Arial" w:eastAsia="Arial" w:hAnsi="Arial"/>
                <w:sz w:val="16"/>
                <w:szCs w:val="16"/>
                <w:color w:val="auto"/>
              </w:rPr>
              <w:t>$303,557</w:t>
            </w:r>
          </w:p>
        </w:tc>
        <w:tc>
          <w:tcPr>
            <w:tcW w:w="1500" w:type="dxa"/>
            <w:vAlign w:val="bottom"/>
          </w:tcPr>
          <w:p>
            <w:pPr>
              <w:jc w:val="right"/>
              <w:ind w:right="424"/>
              <w:spacing w:after="0"/>
              <w:rPr>
                <w:sz w:val="20"/>
                <w:szCs w:val="20"/>
                <w:color w:val="auto"/>
              </w:rPr>
            </w:pPr>
            <w:r>
              <w:rPr>
                <w:rFonts w:ascii="Arial" w:cs="Arial" w:eastAsia="Arial" w:hAnsi="Arial"/>
                <w:sz w:val="16"/>
                <w:szCs w:val="16"/>
                <w:color w:val="auto"/>
              </w:rPr>
              <w:t>1.0%</w:t>
            </w:r>
          </w:p>
        </w:tc>
      </w:tr>
      <w:tr>
        <w:trPr>
          <w:trHeight w:val="218"/>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38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b w:val="1"/>
                <w:bCs w:val="1"/>
                <w:color w:val="auto"/>
              </w:rPr>
              <w:t>225,972</w:t>
            </w:r>
          </w:p>
        </w:tc>
        <w:tc>
          <w:tcPr>
            <w:tcW w:w="1280" w:type="dxa"/>
            <w:vAlign w:val="bottom"/>
            <w:tcBorders>
              <w:bottom w:val="single" w:sz="8" w:color="auto"/>
            </w:tcBorders>
          </w:tcPr>
          <w:p>
            <w:pPr>
              <w:jc w:val="right"/>
              <w:ind w:right="264"/>
              <w:spacing w:after="0"/>
              <w:rPr>
                <w:sz w:val="20"/>
                <w:szCs w:val="20"/>
                <w:color w:val="auto"/>
              </w:rPr>
            </w:pPr>
            <w:r>
              <w:rPr>
                <w:rFonts w:ascii="Arial" w:cs="Arial" w:eastAsia="Arial" w:hAnsi="Arial"/>
                <w:sz w:val="16"/>
                <w:szCs w:val="16"/>
                <w:color w:val="auto"/>
              </w:rPr>
              <w:t>2,899</w:t>
            </w:r>
          </w:p>
        </w:tc>
        <w:tc>
          <w:tcPr>
            <w:tcW w:w="146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228,871</w:t>
            </w:r>
          </w:p>
        </w:tc>
        <w:tc>
          <w:tcPr>
            <w:tcW w:w="1300" w:type="dxa"/>
            <w:vAlign w:val="bottom"/>
            <w:tcBorders>
              <w:bottom w:val="single" w:sz="8" w:color="auto"/>
            </w:tcBorders>
          </w:tcPr>
          <w:p>
            <w:pPr>
              <w:jc w:val="right"/>
              <w:ind w:right="243"/>
              <w:spacing w:after="0"/>
              <w:rPr>
                <w:sz w:val="20"/>
                <w:szCs w:val="20"/>
                <w:color w:val="auto"/>
              </w:rPr>
            </w:pPr>
            <w:r>
              <w:rPr>
                <w:rFonts w:ascii="Arial" w:cs="Arial" w:eastAsia="Arial" w:hAnsi="Arial"/>
                <w:sz w:val="16"/>
                <w:szCs w:val="16"/>
                <w:color w:val="auto"/>
              </w:rPr>
              <w:t>175,420</w:t>
            </w:r>
          </w:p>
        </w:tc>
        <w:tc>
          <w:tcPr>
            <w:tcW w:w="150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color w:val="auto"/>
              </w:rPr>
              <w:t>30.5%</w:t>
            </w:r>
          </w:p>
        </w:tc>
      </w:tr>
      <w:tr>
        <w:trPr>
          <w:trHeight w:val="21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38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$525,321</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$10,028</w:t>
            </w:r>
          </w:p>
        </w:tc>
        <w:tc>
          <w:tcPr>
            <w:tcW w:w="146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$535,349</w:t>
            </w:r>
          </w:p>
        </w:tc>
        <w:tc>
          <w:tcPr>
            <w:tcW w:w="130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color w:val="auto"/>
              </w:rPr>
              <w:t>$478,977</w:t>
            </w:r>
          </w:p>
        </w:tc>
        <w:tc>
          <w:tcPr>
            <w:tcW w:w="1500" w:type="dxa"/>
            <w:vAlign w:val="bottom"/>
            <w:tcBorders>
              <w:bottom w:val="single" w:sz="8" w:color="auto"/>
            </w:tcBorders>
          </w:tcPr>
          <w:p>
            <w:pPr>
              <w:jc w:val="right"/>
              <w:ind w:right="424"/>
              <w:spacing w:after="0"/>
              <w:rPr>
                <w:sz w:val="20"/>
                <w:szCs w:val="20"/>
                <w:color w:val="auto"/>
              </w:rPr>
            </w:pPr>
            <w:r>
              <w:rPr>
                <w:rFonts w:ascii="Arial" w:cs="Arial" w:eastAsia="Arial" w:hAnsi="Arial"/>
                <w:sz w:val="16"/>
                <w:szCs w:val="16"/>
                <w:color w:val="auto"/>
              </w:rPr>
              <w:t>11.8%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72" w:lineRule="exact"/>
        <w:rPr>
          <w:sz w:val="20"/>
          <w:szCs w:val="20"/>
          <w:color w:val="auto"/>
        </w:rPr>
      </w:pPr>
    </w:p>
    <w:p>
      <w:pPr>
        <w:ind w:left="580" w:hanging="248"/>
        <w:spacing w:after="0" w:line="246"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$3.9 million during the second quarter of 2019, as compared to 2018, principally due to the weaker euro in 2019.</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63" w:lineRule="exact"/>
        <w:rPr>
          <w:rFonts w:ascii="Arial" w:cs="Arial" w:eastAsia="Arial" w:hAnsi="Arial"/>
          <w:sz w:val="18"/>
          <w:szCs w:val="18"/>
          <w:color w:val="auto"/>
        </w:rPr>
      </w:pPr>
    </w:p>
    <w:p>
      <w:pPr>
        <w:ind w:left="840" w:hanging="256"/>
        <w:spacing w:after="0"/>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Net sales increased 8.8% compared to the same period in 2018.</w:t>
      </w:r>
    </w:p>
    <w:p>
      <w:pPr>
        <w:spacing w:after="0" w:line="49"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Net sales in MC decreased 2.4% compared to a very strong second quarter of 2018. A decline in the publication grade sales was partially offset by a modest net increase across other grades.</w:t>
      </w:r>
    </w:p>
    <w:p>
      <w:pPr>
        <w:spacing w:after="0" w:line="34" w:lineRule="exact"/>
        <w:rPr>
          <w:rFonts w:ascii="Arial" w:cs="Arial" w:eastAsia="Arial" w:hAnsi="Arial"/>
          <w:sz w:val="18"/>
          <w:szCs w:val="18"/>
          <w:color w:val="auto"/>
        </w:rPr>
      </w:pPr>
    </w:p>
    <w:p>
      <w:pPr>
        <w:ind w:left="840" w:hanging="256"/>
        <w:spacing w:after="0"/>
        <w:tabs>
          <w:tab w:leader="none" w:pos="840" w:val="left"/>
        </w:tabs>
        <w:numPr>
          <w:ilvl w:val="1"/>
          <w:numId w:val="26"/>
        </w:numPr>
        <w:rPr>
          <w:rFonts w:ascii="Arial" w:cs="Arial" w:eastAsia="Arial" w:hAnsi="Arial"/>
          <w:sz w:val="18"/>
          <w:szCs w:val="18"/>
          <w:color w:val="auto"/>
        </w:rPr>
      </w:pPr>
      <w:r>
        <w:rPr>
          <w:rFonts w:ascii="Arial" w:cs="Arial" w:eastAsia="Arial" w:hAnsi="Arial"/>
          <w:sz w:val="18"/>
          <w:szCs w:val="18"/>
          <w:color w:val="auto"/>
        </w:rPr>
        <w:t>Net sales in AEC increased 28.2% primarily driven by growth in the LEAP, F-35 and Boeing 787 fuselage frames programs.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85" w:lineRule="exact"/>
        <w:rPr>
          <w:sz w:val="20"/>
          <w:szCs w:val="20"/>
          <w:color w:val="auto"/>
        </w:rPr>
      </w:pPr>
    </w:p>
    <w:p>
      <w:pPr>
        <w:ind w:left="580" w:hanging="248"/>
        <w:spacing w:after="0" w:line="246"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Net sales by $10.0 million for the first six months of 2019, as compared to 2018, principally due to the weaker euro and Chinese renminbi in 2019, compared to 2018.</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w:t>
      </w:r>
    </w:p>
    <w:p>
      <w:pPr>
        <w:spacing w:after="0" w:line="49"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  Net sales increased 11.8% compared to the same period in 2018.</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27" w:lineRule="exact"/>
        <w:rPr>
          <w:sz w:val="20"/>
          <w:szCs w:val="20"/>
          <w:color w:val="auto"/>
        </w:rPr>
      </w:pPr>
    </w:p>
    <w:p>
      <w:pPr>
        <w:ind w:left="840" w:hanging="256"/>
        <w:spacing w:after="0"/>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sales in MC increased 1.0%, as growth in sales for tissue grades, offset sales declines in publication grades.</w:t>
      </w:r>
    </w:p>
    <w:p>
      <w:pPr>
        <w:spacing w:after="0" w:line="63" w:lineRule="exact"/>
        <w:rPr>
          <w:rFonts w:ascii="Arial" w:cs="Arial" w:eastAsia="Arial" w:hAnsi="Arial"/>
          <w:sz w:val="18"/>
          <w:szCs w:val="18"/>
          <w:color w:val="auto"/>
        </w:rPr>
      </w:pPr>
    </w:p>
    <w:p>
      <w:pPr>
        <w:ind w:left="840" w:right="20" w:hanging="256"/>
        <w:spacing w:after="0" w:line="246" w:lineRule="auto"/>
        <w:tabs>
          <w:tab w:leader="none" w:pos="8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Net sales in AEC increased 30.5% primarily driven by growth in the LEAP, F-35 and Boeing 787 fuselage frames, and CH-53K programs.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780" w:type="dxa"/>
            <w:vAlign w:val="bottom"/>
            <w:tcBorders>
              <w:top w:val="single" w:sz="8" w:color="auto"/>
            </w:tcBorders>
          </w:tcPr>
          <w:p>
            <w:pPr>
              <w:spacing w:after="0"/>
              <w:rPr>
                <w:sz w:val="17"/>
                <w:szCs w:val="17"/>
                <w:color w:val="auto"/>
              </w:rPr>
            </w:pPr>
          </w:p>
        </w:tc>
        <w:tc>
          <w:tcPr>
            <w:tcW w:w="284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38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4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2019</w:t>
            </w:r>
          </w:p>
        </w:tc>
        <w:tc>
          <w:tcPr>
            <w:tcW w:w="138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05"/>
        </w:trPr>
        <w:tc>
          <w:tcPr>
            <w:tcW w:w="37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460" w:type="dxa"/>
            <w:vAlign w:val="bottom"/>
          </w:tcPr>
          <w:p>
            <w:pPr>
              <w:jc w:val="right"/>
              <w:ind w:right="342"/>
              <w:spacing w:after="0"/>
              <w:rPr>
                <w:sz w:val="20"/>
                <w:szCs w:val="20"/>
                <w:color w:val="auto"/>
              </w:rPr>
            </w:pPr>
            <w:r>
              <w:rPr>
                <w:rFonts w:ascii="Arial" w:cs="Arial" w:eastAsia="Arial" w:hAnsi="Arial"/>
                <w:sz w:val="16"/>
                <w:szCs w:val="16"/>
                <w:b w:val="1"/>
                <w:bCs w:val="1"/>
                <w:color w:val="auto"/>
              </w:rPr>
              <w:t>$ 80,287</w:t>
            </w:r>
          </w:p>
        </w:tc>
        <w:tc>
          <w:tcPr>
            <w:tcW w:w="1380" w:type="dxa"/>
            <w:vAlign w:val="bottom"/>
          </w:tcPr>
          <w:p>
            <w:pPr>
              <w:jc w:val="right"/>
              <w:ind w:right="340"/>
              <w:spacing w:after="0"/>
              <w:rPr>
                <w:sz w:val="20"/>
                <w:szCs w:val="20"/>
                <w:color w:val="auto"/>
              </w:rPr>
            </w:pPr>
            <w:r>
              <w:rPr>
                <w:rFonts w:ascii="Arial" w:cs="Arial" w:eastAsia="Arial" w:hAnsi="Arial"/>
                <w:sz w:val="16"/>
                <w:szCs w:val="16"/>
                <w:color w:val="auto"/>
              </w:rPr>
              <w:t>$79,072</w:t>
            </w:r>
          </w:p>
        </w:tc>
        <w:tc>
          <w:tcPr>
            <w:tcW w:w="1420" w:type="dxa"/>
            <w:vAlign w:val="bottom"/>
          </w:tcPr>
          <w:p>
            <w:pPr>
              <w:jc w:val="right"/>
              <w:ind w:right="302"/>
              <w:spacing w:after="0"/>
              <w:rPr>
                <w:sz w:val="20"/>
                <w:szCs w:val="20"/>
                <w:color w:val="auto"/>
              </w:rPr>
            </w:pPr>
            <w:r>
              <w:rPr>
                <w:rFonts w:ascii="Arial" w:cs="Arial" w:eastAsia="Arial" w:hAnsi="Arial"/>
                <w:sz w:val="16"/>
                <w:szCs w:val="16"/>
                <w:b w:val="1"/>
                <w:bCs w:val="1"/>
                <w:color w:val="auto"/>
              </w:rPr>
              <w:t>$154,815</w:t>
            </w:r>
          </w:p>
        </w:tc>
        <w:tc>
          <w:tcPr>
            <w:tcW w:w="1380" w:type="dxa"/>
            <w:vAlign w:val="bottom"/>
          </w:tcPr>
          <w:p>
            <w:pPr>
              <w:jc w:val="right"/>
              <w:ind w:right="280"/>
              <w:spacing w:after="0"/>
              <w:rPr>
                <w:sz w:val="20"/>
                <w:szCs w:val="20"/>
                <w:color w:val="auto"/>
              </w:rPr>
            </w:pPr>
            <w:r>
              <w:rPr>
                <w:rFonts w:ascii="Arial" w:cs="Arial" w:eastAsia="Arial" w:hAnsi="Arial"/>
                <w:sz w:val="16"/>
                <w:szCs w:val="16"/>
                <w:color w:val="auto"/>
              </w:rPr>
              <w:t>$145,384</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460" w:type="dxa"/>
            <w:vAlign w:val="bottom"/>
          </w:tcPr>
          <w:p>
            <w:pPr>
              <w:jc w:val="right"/>
              <w:ind w:right="342"/>
              <w:spacing w:after="0"/>
              <w:rPr>
                <w:sz w:val="20"/>
                <w:szCs w:val="20"/>
                <w:color w:val="auto"/>
              </w:rPr>
            </w:pPr>
            <w:r>
              <w:rPr>
                <w:rFonts w:ascii="Arial" w:cs="Arial" w:eastAsia="Arial" w:hAnsi="Arial"/>
                <w:sz w:val="16"/>
                <w:szCs w:val="16"/>
                <w:b w:val="1"/>
                <w:bCs w:val="1"/>
                <w:color w:val="auto"/>
              </w:rPr>
              <w:t>24,895</w:t>
            </w:r>
          </w:p>
        </w:tc>
        <w:tc>
          <w:tcPr>
            <w:tcW w:w="1380" w:type="dxa"/>
            <w:vAlign w:val="bottom"/>
          </w:tcPr>
          <w:p>
            <w:pPr>
              <w:jc w:val="right"/>
              <w:ind w:right="340"/>
              <w:spacing w:after="0"/>
              <w:rPr>
                <w:sz w:val="20"/>
                <w:szCs w:val="20"/>
                <w:color w:val="auto"/>
              </w:rPr>
            </w:pPr>
            <w:r>
              <w:rPr>
                <w:rFonts w:ascii="Arial" w:cs="Arial" w:eastAsia="Arial" w:hAnsi="Arial"/>
                <w:sz w:val="16"/>
                <w:szCs w:val="16"/>
                <w:color w:val="auto"/>
              </w:rPr>
              <w:t>12,626</w:t>
            </w:r>
          </w:p>
        </w:tc>
        <w:tc>
          <w:tcPr>
            <w:tcW w:w="1420" w:type="dxa"/>
            <w:vAlign w:val="bottom"/>
          </w:tcPr>
          <w:p>
            <w:pPr>
              <w:jc w:val="right"/>
              <w:ind w:right="322"/>
              <w:spacing w:after="0"/>
              <w:rPr>
                <w:sz w:val="20"/>
                <w:szCs w:val="20"/>
                <w:color w:val="auto"/>
              </w:rPr>
            </w:pPr>
            <w:r>
              <w:rPr>
                <w:rFonts w:ascii="Arial" w:cs="Arial" w:eastAsia="Arial" w:hAnsi="Arial"/>
                <w:sz w:val="16"/>
                <w:szCs w:val="16"/>
                <w:b w:val="1"/>
                <w:bCs w:val="1"/>
                <w:color w:val="auto"/>
              </w:rPr>
              <w:t>42,138</w:t>
            </w:r>
          </w:p>
        </w:tc>
        <w:tc>
          <w:tcPr>
            <w:tcW w:w="1380" w:type="dxa"/>
            <w:vAlign w:val="bottom"/>
          </w:tcPr>
          <w:p>
            <w:pPr>
              <w:jc w:val="right"/>
              <w:ind w:right="280"/>
              <w:spacing w:after="0"/>
              <w:rPr>
                <w:sz w:val="20"/>
                <w:szCs w:val="20"/>
                <w:color w:val="auto"/>
              </w:rPr>
            </w:pPr>
            <w:r>
              <w:rPr>
                <w:rFonts w:ascii="Arial" w:cs="Arial" w:eastAsia="Arial" w:hAnsi="Arial"/>
                <w:sz w:val="16"/>
                <w:szCs w:val="16"/>
                <w:color w:val="auto"/>
              </w:rPr>
              <w:t>24,150</w:t>
            </w:r>
          </w:p>
        </w:tc>
      </w:tr>
      <w:tr>
        <w:trPr>
          <w:trHeight w:val="21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14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(55)</w:t>
            </w:r>
          </w:p>
        </w:tc>
        <w:tc>
          <w:tcPr>
            <w:tcW w:w="14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w:t>
            </w:r>
          </w:p>
        </w:tc>
        <w:tc>
          <w:tcPr>
            <w:tcW w:w="138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(109)</w:t>
            </w:r>
          </w:p>
        </w:tc>
      </w:tr>
      <w:tr>
        <w:trPr>
          <w:trHeight w:val="21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$105,182</w:t>
            </w:r>
          </w:p>
        </w:tc>
        <w:tc>
          <w:tcPr>
            <w:tcW w:w="138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$91,643</w:t>
            </w:r>
          </w:p>
        </w:tc>
        <w:tc>
          <w:tcPr>
            <w:tcW w:w="142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$196,953</w:t>
            </w:r>
          </w:p>
        </w:tc>
        <w:tc>
          <w:tcPr>
            <w:tcW w:w="13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$169,425</w:t>
            </w:r>
          </w:p>
        </w:tc>
      </w:tr>
      <w:tr>
        <w:trPr>
          <w:trHeight w:val="21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1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38.4%</w:t>
            </w:r>
          </w:p>
        </w:tc>
        <w:tc>
          <w:tcPr>
            <w:tcW w:w="138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35.9%</w:t>
            </w:r>
          </w:p>
        </w:tc>
        <w:tc>
          <w:tcPr>
            <w:tcW w:w="142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37.5%</w:t>
            </w:r>
          </w:p>
        </w:tc>
        <w:tc>
          <w:tcPr>
            <w:tcW w:w="138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35.4%</w:t>
            </w: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increase in 2019 Gross profit, as compared to the same period in 2018, was principally due to the net effect of the following individually significant items:</w:t>
      </w:r>
    </w:p>
    <w:p>
      <w:pPr>
        <w:spacing w:after="0" w:line="48" w:lineRule="exact"/>
        <w:rPr>
          <w:sz w:val="20"/>
          <w:szCs w:val="20"/>
          <w:color w:val="auto"/>
        </w:rPr>
      </w:pPr>
    </w:p>
    <w:p>
      <w:pPr>
        <w:jc w:val="both"/>
        <w:ind w:left="580" w:hanging="248"/>
        <w:spacing w:after="0" w:line="238"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AEC gross profit, principally due to the favorable effect of changes in the estimated profitability of long-term contracts, higher sales, and improved labor productivity. Changes in the estimated profitability of long-term contracts increased Gross profit by $5.0 million in the second quarter of 2019, compared to a reduction of $1.6 million in 2018. The amount recorded in the second quarter of 2019 includes an immaterial out-of-period favorable adjustment of $1.8 million that the Company should have recorded in the first quarter of 2019.</w:t>
      </w:r>
    </w:p>
    <w:p>
      <w:pPr>
        <w:spacing w:after="0" w:line="40" w:lineRule="exact"/>
        <w:rPr>
          <w:rFonts w:ascii="Arial" w:cs="Arial" w:eastAsia="Arial" w:hAnsi="Arial"/>
          <w:sz w:val="18"/>
          <w:szCs w:val="18"/>
          <w:color w:val="auto"/>
        </w:rPr>
      </w:pPr>
    </w:p>
    <w:p>
      <w:pPr>
        <w:ind w:left="580" w:right="20" w:hanging="248"/>
        <w:spacing w:after="0" w:line="246"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MC gross profit, principally due to improved labor productivity and lower depreciation expense, partially offset by lower Net sales which results in reduced fixed cost leverage.</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increase in 2019 gross profit, as compared to the same period in 2018, was principally due to the net effect of the following individually significant items:</w:t>
      </w:r>
    </w:p>
    <w:p>
      <w:pPr>
        <w:spacing w:after="0" w:line="48" w:lineRule="exact"/>
        <w:rPr>
          <w:sz w:val="20"/>
          <w:szCs w:val="20"/>
          <w:color w:val="auto"/>
        </w:rPr>
      </w:pPr>
    </w:p>
    <w:p>
      <w:pPr>
        <w:jc w:val="both"/>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AEC gross profit, principally due to the favorable effect of changes in the estimated profitability of long-term contracts, higher sales, and improved labor productivity. Changes in the estimated profitability of long-term contracts increased Gross profit by $5.6 million in the second quarter of 2019, compared to a reduction of $1.6 million in 2018.</w:t>
      </w:r>
    </w:p>
    <w:p>
      <w:pPr>
        <w:spacing w:after="0" w:line="40"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in MC gross profit, principally due to improved labor productivity.</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780" w:type="dxa"/>
            <w:vAlign w:val="bottom"/>
            <w:tcBorders>
              <w:top w:val="single" w:sz="8" w:color="auto"/>
            </w:tcBorders>
          </w:tcPr>
          <w:p>
            <w:pPr>
              <w:spacing w:after="0"/>
              <w:rPr>
                <w:sz w:val="17"/>
                <w:szCs w:val="17"/>
                <w:color w:val="auto"/>
              </w:rPr>
            </w:pPr>
          </w:p>
        </w:tc>
        <w:tc>
          <w:tcPr>
            <w:tcW w:w="284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tcBorders>
              <w:top w:val="single" w:sz="8" w:color="auto"/>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4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b w:val="1"/>
                <w:bCs w:val="1"/>
                <w:color w:val="auto"/>
              </w:rPr>
              <w:t>2018</w:t>
            </w:r>
          </w:p>
        </w:tc>
        <w:tc>
          <w:tcPr>
            <w:tcW w:w="14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2019</w:t>
            </w:r>
          </w:p>
        </w:tc>
        <w:tc>
          <w:tcPr>
            <w:tcW w:w="134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05"/>
        </w:trPr>
        <w:tc>
          <w:tcPr>
            <w:tcW w:w="37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1440" w:type="dxa"/>
            <w:vAlign w:val="bottom"/>
          </w:tcPr>
          <w:p>
            <w:pPr>
              <w:jc w:val="right"/>
              <w:ind w:right="362"/>
              <w:spacing w:after="0"/>
              <w:rPr>
                <w:sz w:val="20"/>
                <w:szCs w:val="20"/>
                <w:color w:val="auto"/>
              </w:rPr>
            </w:pPr>
            <w:r>
              <w:rPr>
                <w:rFonts w:ascii="Arial" w:cs="Arial" w:eastAsia="Arial" w:hAnsi="Arial"/>
                <w:sz w:val="16"/>
                <w:szCs w:val="16"/>
                <w:b w:val="1"/>
                <w:bCs w:val="1"/>
                <w:color w:val="auto"/>
              </w:rPr>
              <w:t>$29,814</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$26,960</w:t>
            </w:r>
          </w:p>
        </w:tc>
        <w:tc>
          <w:tcPr>
            <w:tcW w:w="1460" w:type="dxa"/>
            <w:vAlign w:val="bottom"/>
          </w:tcPr>
          <w:p>
            <w:pPr>
              <w:jc w:val="right"/>
              <w:ind w:right="362"/>
              <w:spacing w:after="0"/>
              <w:rPr>
                <w:sz w:val="20"/>
                <w:szCs w:val="20"/>
                <w:color w:val="auto"/>
              </w:rPr>
            </w:pPr>
            <w:r>
              <w:rPr>
                <w:rFonts w:ascii="Arial" w:cs="Arial" w:eastAsia="Arial" w:hAnsi="Arial"/>
                <w:sz w:val="16"/>
                <w:szCs w:val="16"/>
                <w:b w:val="1"/>
                <w:bCs w:val="1"/>
                <w:color w:val="auto"/>
              </w:rPr>
              <w:t>$ 59,700</w:t>
            </w:r>
          </w:p>
        </w:tc>
        <w:tc>
          <w:tcPr>
            <w:tcW w:w="1340" w:type="dxa"/>
            <w:vAlign w:val="bottom"/>
          </w:tcPr>
          <w:p>
            <w:pPr>
              <w:jc w:val="right"/>
              <w:ind w:right="320"/>
              <w:spacing w:after="0"/>
              <w:rPr>
                <w:sz w:val="20"/>
                <w:szCs w:val="20"/>
                <w:color w:val="auto"/>
              </w:rPr>
            </w:pPr>
            <w:r>
              <w:rPr>
                <w:rFonts w:ascii="Arial" w:cs="Arial" w:eastAsia="Arial" w:hAnsi="Arial"/>
                <w:sz w:val="16"/>
                <w:szCs w:val="16"/>
                <w:color w:val="auto"/>
              </w:rPr>
              <w:t>$57,978</w:t>
            </w:r>
          </w:p>
        </w:tc>
      </w:tr>
      <w:tr>
        <w:trPr>
          <w:trHeight w:val="215"/>
        </w:trPr>
        <w:tc>
          <w:tcPr>
            <w:tcW w:w="37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1440" w:type="dxa"/>
            <w:vAlign w:val="bottom"/>
          </w:tcPr>
          <w:p>
            <w:pPr>
              <w:jc w:val="right"/>
              <w:ind w:right="362"/>
              <w:spacing w:after="0"/>
              <w:rPr>
                <w:sz w:val="20"/>
                <w:szCs w:val="20"/>
                <w:color w:val="auto"/>
              </w:rPr>
            </w:pPr>
            <w:r>
              <w:rPr>
                <w:rFonts w:ascii="Arial" w:cs="Arial" w:eastAsia="Arial" w:hAnsi="Arial"/>
                <w:sz w:val="16"/>
                <w:szCs w:val="16"/>
                <w:b w:val="1"/>
                <w:bCs w:val="1"/>
                <w:color w:val="auto"/>
              </w:rPr>
              <w:t>7,195</w:t>
            </w:r>
          </w:p>
        </w:tc>
        <w:tc>
          <w:tcPr>
            <w:tcW w:w="1400" w:type="dxa"/>
            <w:vAlign w:val="bottom"/>
          </w:tcPr>
          <w:p>
            <w:pPr>
              <w:jc w:val="right"/>
              <w:ind w:right="340"/>
              <w:spacing w:after="0"/>
              <w:rPr>
                <w:sz w:val="20"/>
                <w:szCs w:val="20"/>
                <w:color w:val="auto"/>
              </w:rPr>
            </w:pPr>
            <w:r>
              <w:rPr>
                <w:rFonts w:ascii="Arial" w:cs="Arial" w:eastAsia="Arial" w:hAnsi="Arial"/>
                <w:sz w:val="16"/>
                <w:szCs w:val="16"/>
                <w:color w:val="auto"/>
              </w:rPr>
              <w:t>7,976</w:t>
            </w:r>
          </w:p>
        </w:tc>
        <w:tc>
          <w:tcPr>
            <w:tcW w:w="1460" w:type="dxa"/>
            <w:vAlign w:val="bottom"/>
          </w:tcPr>
          <w:p>
            <w:pPr>
              <w:jc w:val="right"/>
              <w:ind w:right="362"/>
              <w:spacing w:after="0"/>
              <w:rPr>
                <w:sz w:val="20"/>
                <w:szCs w:val="20"/>
                <w:color w:val="auto"/>
              </w:rPr>
            </w:pPr>
            <w:r>
              <w:rPr>
                <w:rFonts w:ascii="Arial" w:cs="Arial" w:eastAsia="Arial" w:hAnsi="Arial"/>
                <w:sz w:val="16"/>
                <w:szCs w:val="16"/>
                <w:b w:val="1"/>
                <w:bCs w:val="1"/>
                <w:color w:val="auto"/>
              </w:rPr>
              <w:t>14,832</w:t>
            </w:r>
          </w:p>
        </w:tc>
        <w:tc>
          <w:tcPr>
            <w:tcW w:w="1340" w:type="dxa"/>
            <w:vAlign w:val="bottom"/>
          </w:tcPr>
          <w:p>
            <w:pPr>
              <w:jc w:val="right"/>
              <w:ind w:right="340"/>
              <w:spacing w:after="0"/>
              <w:rPr>
                <w:sz w:val="20"/>
                <w:szCs w:val="20"/>
                <w:color w:val="auto"/>
              </w:rPr>
            </w:pPr>
            <w:r>
              <w:rPr>
                <w:rFonts w:ascii="Arial" w:cs="Arial" w:eastAsia="Arial" w:hAnsi="Arial"/>
                <w:sz w:val="16"/>
                <w:szCs w:val="16"/>
                <w:color w:val="auto"/>
              </w:rPr>
              <w:t>17,004</w:t>
            </w:r>
          </w:p>
        </w:tc>
      </w:tr>
      <w:tr>
        <w:trPr>
          <w:trHeight w:val="219"/>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14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13,049</w:t>
            </w: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11,962</w:t>
            </w:r>
          </w:p>
        </w:tc>
        <w:tc>
          <w:tcPr>
            <w:tcW w:w="146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26,720</w:t>
            </w:r>
          </w:p>
        </w:tc>
        <w:tc>
          <w:tcPr>
            <w:tcW w:w="134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24,121</w:t>
            </w:r>
          </w:p>
        </w:tc>
      </w:tr>
      <w:tr>
        <w:trPr>
          <w:trHeight w:val="212"/>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440" w:type="dxa"/>
            <w:vAlign w:val="bottom"/>
            <w:tcBorders>
              <w:bottom w:val="single" w:sz="8" w:color="auto"/>
            </w:tcBorders>
          </w:tcPr>
          <w:p>
            <w:pPr>
              <w:jc w:val="right"/>
              <w:ind w:right="362"/>
              <w:spacing w:after="0"/>
              <w:rPr>
                <w:sz w:val="20"/>
                <w:szCs w:val="20"/>
                <w:color w:val="auto"/>
              </w:rPr>
            </w:pPr>
            <w:r>
              <w:rPr>
                <w:rFonts w:ascii="Arial" w:cs="Arial" w:eastAsia="Arial" w:hAnsi="Arial"/>
                <w:sz w:val="16"/>
                <w:szCs w:val="16"/>
                <w:b w:val="1"/>
                <w:bCs w:val="1"/>
                <w:color w:val="auto"/>
              </w:rPr>
              <w:t>$50,058</w:t>
            </w:r>
          </w:p>
        </w:tc>
        <w:tc>
          <w:tcPr>
            <w:tcW w:w="140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$46,898</w:t>
            </w:r>
          </w:p>
        </w:tc>
        <w:tc>
          <w:tcPr>
            <w:tcW w:w="1460" w:type="dxa"/>
            <w:vAlign w:val="bottom"/>
            <w:tcBorders>
              <w:bottom w:val="single" w:sz="8" w:color="auto"/>
            </w:tcBorders>
          </w:tcPr>
          <w:p>
            <w:pPr>
              <w:jc w:val="right"/>
              <w:ind w:right="342"/>
              <w:spacing w:after="0"/>
              <w:rPr>
                <w:sz w:val="20"/>
                <w:szCs w:val="20"/>
                <w:color w:val="auto"/>
              </w:rPr>
            </w:pPr>
            <w:r>
              <w:rPr>
                <w:rFonts w:ascii="Arial" w:cs="Arial" w:eastAsia="Arial" w:hAnsi="Arial"/>
                <w:sz w:val="16"/>
                <w:szCs w:val="16"/>
                <w:b w:val="1"/>
                <w:bCs w:val="1"/>
                <w:color w:val="auto"/>
              </w:rPr>
              <w:t>$101,252</w:t>
            </w:r>
          </w:p>
        </w:tc>
        <w:tc>
          <w:tcPr>
            <w:tcW w:w="134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$99,103</w:t>
            </w:r>
          </w:p>
        </w:tc>
      </w:tr>
      <w:tr>
        <w:trPr>
          <w:trHeight w:val="210"/>
        </w:trPr>
        <w:tc>
          <w:tcPr>
            <w:tcW w:w="3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 of Net sales</w:t>
            </w:r>
          </w:p>
        </w:tc>
        <w:tc>
          <w:tcPr>
            <w:tcW w:w="144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b w:val="1"/>
                <w:bCs w:val="1"/>
                <w:color w:val="auto"/>
              </w:rPr>
              <w:t>18.3%</w:t>
            </w:r>
          </w:p>
        </w:tc>
        <w:tc>
          <w:tcPr>
            <w:tcW w:w="140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18.4%</w:t>
            </w:r>
          </w:p>
        </w:tc>
        <w:tc>
          <w:tcPr>
            <w:tcW w:w="146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19.3%</w:t>
            </w:r>
          </w:p>
        </w:tc>
        <w:tc>
          <w:tcPr>
            <w:tcW w:w="13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20.7%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overall increase in STG&amp;R expenses in the second quarter of 2019, compared to the same period in 2018, was principally due to the net effect of the following individually significant items:</w:t>
      </w:r>
    </w:p>
    <w:p>
      <w:pPr>
        <w:spacing w:after="0" w:line="48" w:lineRule="exact"/>
        <w:rPr>
          <w:sz w:val="20"/>
          <w:szCs w:val="20"/>
          <w:color w:val="auto"/>
        </w:rPr>
      </w:pPr>
    </w:p>
    <w:p>
      <w:pPr>
        <w:ind w:left="580" w:right="20" w:hanging="248"/>
        <w:spacing w:after="0" w:line="246"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second-quarter losses of $0.3 million in 2019, and gains of $2.3 million in 2018.</w:t>
      </w:r>
    </w:p>
    <w:p>
      <w:pPr>
        <w:spacing w:after="0" w:line="34" w:lineRule="exact"/>
        <w:rPr>
          <w:rFonts w:ascii="Arial" w:cs="Arial" w:eastAsia="Arial" w:hAnsi="Arial"/>
          <w:sz w:val="18"/>
          <w:szCs w:val="18"/>
          <w:color w:val="auto"/>
        </w:rPr>
      </w:pPr>
    </w:p>
    <w:p>
      <w:pPr>
        <w:ind w:left="580" w:hanging="248"/>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AEC, lower spending on research and development in 2019, as compared to 2018.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overall increase in STG&amp;R expenses in the first six months of 2019, compared to the same period in 2018, was principally due to the net effect of the following individually significant items:</w:t>
      </w:r>
    </w:p>
    <w:p>
      <w:pPr>
        <w:spacing w:after="0" w:line="35" w:lineRule="exact"/>
        <w:rPr>
          <w:sz w:val="20"/>
          <w:szCs w:val="20"/>
          <w:color w:val="auto"/>
        </w:rPr>
      </w:pPr>
    </w:p>
    <w:p>
      <w:pPr>
        <w:ind w:left="580" w:hanging="248"/>
        <w:spacing w:after="0" w:line="246"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MC, revaluation of nonfunctional currency assets and liabilities resulted in losses of $0.3 million in 2019, and gains of $0.8 million in 2018.</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AEC, lower compensation, professional fees, and spending on research and development in 2019, as compared to 2018.</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Corporate STG&amp;R expenses increased principally due to CFO termination costs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following table is a subset of the STG&amp;R expenses table above and summarizes expenses associated with internally funded research and development by business segment:</w:t>
      </w:r>
    </w:p>
    <w:p>
      <w:pPr>
        <w:spacing w:after="0" w:line="124"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58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2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jc w:val="right"/>
              <w:ind w:right="343"/>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05"/>
        </w:trPr>
        <w:tc>
          <w:tcPr>
            <w:tcW w:w="35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320" w:type="dxa"/>
            <w:vAlign w:val="bottom"/>
          </w:tcPr>
          <w:p>
            <w:pPr>
              <w:jc w:val="right"/>
              <w:ind w:right="263"/>
              <w:spacing w:after="0"/>
              <w:rPr>
                <w:sz w:val="20"/>
                <w:szCs w:val="20"/>
                <w:color w:val="auto"/>
              </w:rPr>
            </w:pPr>
            <w:r>
              <w:rPr>
                <w:rFonts w:ascii="Arial" w:cs="Arial" w:eastAsia="Arial" w:hAnsi="Arial"/>
                <w:sz w:val="16"/>
                <w:szCs w:val="16"/>
                <w:b w:val="1"/>
                <w:bCs w:val="1"/>
                <w:color w:val="auto"/>
              </w:rPr>
              <w:t>$4,039</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$4,211</w:t>
            </w:r>
          </w:p>
        </w:tc>
        <w:tc>
          <w:tcPr>
            <w:tcW w:w="1120" w:type="dxa"/>
            <w:vAlign w:val="bottom"/>
          </w:tcPr>
          <w:p>
            <w:pPr>
              <w:jc w:val="right"/>
              <w:ind w:right="223"/>
              <w:spacing w:after="0"/>
              <w:rPr>
                <w:sz w:val="20"/>
                <w:szCs w:val="20"/>
                <w:color w:val="auto"/>
              </w:rPr>
            </w:pPr>
            <w:r>
              <w:rPr>
                <w:rFonts w:ascii="Arial" w:cs="Arial" w:eastAsia="Arial" w:hAnsi="Arial"/>
                <w:sz w:val="16"/>
                <w:szCs w:val="16"/>
                <w:b w:val="1"/>
                <w:bCs w:val="1"/>
                <w:color w:val="auto"/>
              </w:rPr>
              <w:t>$ 8,461</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$ 8,629</w:t>
            </w:r>
          </w:p>
        </w:tc>
      </w:tr>
      <w:tr>
        <w:trPr>
          <w:trHeight w:val="21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Albany Engineered Composites</w:t>
            </w:r>
          </w:p>
        </w:tc>
        <w:tc>
          <w:tcPr>
            <w:tcW w:w="23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2,521</w:t>
            </w:r>
          </w:p>
        </w:tc>
        <w:tc>
          <w:tcPr>
            <w:tcW w:w="122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3,183</w:t>
            </w:r>
          </w:p>
        </w:tc>
        <w:tc>
          <w:tcPr>
            <w:tcW w:w="1120" w:type="dxa"/>
            <w:vAlign w:val="bottom"/>
            <w:tcBorders>
              <w:bottom w:val="single" w:sz="8" w:color="auto"/>
            </w:tcBorders>
          </w:tcPr>
          <w:p>
            <w:pPr>
              <w:jc w:val="right"/>
              <w:ind w:right="223"/>
              <w:spacing w:after="0"/>
              <w:rPr>
                <w:sz w:val="20"/>
                <w:szCs w:val="20"/>
                <w:color w:val="auto"/>
              </w:rPr>
            </w:pPr>
            <w:r>
              <w:rPr>
                <w:rFonts w:ascii="Arial" w:cs="Arial" w:eastAsia="Arial" w:hAnsi="Arial"/>
                <w:sz w:val="16"/>
                <w:szCs w:val="16"/>
                <w:b w:val="1"/>
                <w:bCs w:val="1"/>
                <w:color w:val="auto"/>
              </w:rPr>
              <w:t>5,637</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6,331</w:t>
            </w:r>
          </w:p>
        </w:tc>
      </w:tr>
      <w:tr>
        <w:trPr>
          <w:trHeight w:val="212"/>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320" w:type="dxa"/>
            <w:vAlign w:val="bottom"/>
            <w:tcBorders>
              <w:bottom w:val="single" w:sz="8" w:color="auto"/>
            </w:tcBorders>
          </w:tcPr>
          <w:p>
            <w:pPr>
              <w:jc w:val="right"/>
              <w:ind w:right="263"/>
              <w:spacing w:after="0"/>
              <w:rPr>
                <w:sz w:val="20"/>
                <w:szCs w:val="20"/>
                <w:color w:val="auto"/>
              </w:rPr>
            </w:pPr>
            <w:r>
              <w:rPr>
                <w:rFonts w:ascii="Arial" w:cs="Arial" w:eastAsia="Arial" w:hAnsi="Arial"/>
                <w:sz w:val="16"/>
                <w:szCs w:val="16"/>
                <w:b w:val="1"/>
                <w:bCs w:val="1"/>
                <w:color w:val="auto"/>
              </w:rPr>
              <w:t>$6,560</w:t>
            </w:r>
          </w:p>
        </w:tc>
        <w:tc>
          <w:tcPr>
            <w:tcW w:w="12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$7,394</w:t>
            </w:r>
          </w:p>
        </w:tc>
        <w:tc>
          <w:tcPr>
            <w:tcW w:w="112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b w:val="1"/>
                <w:bCs w:val="1"/>
                <w:color w:val="auto"/>
              </w:rPr>
              <w:t>$14,098</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$14,960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126"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$1.4 million in the first six months of 2019, and $11.2 million for the same period in 2018.</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58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0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4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05"/>
        </w:trPr>
        <w:tc>
          <w:tcPr>
            <w:tcW w:w="35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300" w:type="dxa"/>
            <w:vAlign w:val="bottom"/>
          </w:tcPr>
          <w:p>
            <w:pPr>
              <w:jc w:val="right"/>
              <w:ind w:right="322"/>
              <w:spacing w:after="0"/>
              <w:rPr>
                <w:sz w:val="20"/>
                <w:szCs w:val="20"/>
                <w:color w:val="auto"/>
              </w:rPr>
            </w:pPr>
            <w:r>
              <w:rPr>
                <w:rFonts w:ascii="Arial" w:cs="Arial" w:eastAsia="Arial" w:hAnsi="Arial"/>
                <w:sz w:val="16"/>
                <w:szCs w:val="16"/>
                <w:b w:val="1"/>
                <w:bCs w:val="1"/>
                <w:color w:val="auto"/>
              </w:rPr>
              <w:t>$935</w:t>
            </w:r>
          </w:p>
        </w:tc>
        <w:tc>
          <w:tcPr>
            <w:tcW w:w="1240" w:type="dxa"/>
            <w:vAlign w:val="bottom"/>
          </w:tcPr>
          <w:p>
            <w:pPr>
              <w:jc w:val="right"/>
              <w:ind w:right="301"/>
              <w:spacing w:after="0"/>
              <w:rPr>
                <w:sz w:val="20"/>
                <w:szCs w:val="20"/>
                <w:color w:val="auto"/>
              </w:rPr>
            </w:pPr>
            <w:r>
              <w:rPr>
                <w:rFonts w:ascii="Arial" w:cs="Arial" w:eastAsia="Arial" w:hAnsi="Arial"/>
                <w:sz w:val="16"/>
                <w:szCs w:val="16"/>
                <w:color w:val="auto"/>
              </w:rPr>
              <w:t>$1,800</w:t>
            </w:r>
          </w:p>
        </w:tc>
        <w:tc>
          <w:tcPr>
            <w:tcW w:w="1120" w:type="dxa"/>
            <w:vAlign w:val="bottom"/>
          </w:tcPr>
          <w:p>
            <w:pPr>
              <w:jc w:val="right"/>
              <w:ind w:right="262"/>
              <w:spacing w:after="0"/>
              <w:rPr>
                <w:sz w:val="20"/>
                <w:szCs w:val="20"/>
                <w:color w:val="auto"/>
              </w:rPr>
            </w:pPr>
            <w:r>
              <w:rPr>
                <w:rFonts w:ascii="Arial" w:cs="Arial" w:eastAsia="Arial" w:hAnsi="Arial"/>
                <w:sz w:val="16"/>
                <w:szCs w:val="16"/>
                <w:b w:val="1"/>
                <w:bCs w:val="1"/>
                <w:color w:val="auto"/>
              </w:rPr>
              <w:t>$1,336</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$10,152</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300" w:type="dxa"/>
            <w:vAlign w:val="bottom"/>
          </w:tcPr>
          <w:p>
            <w:pPr>
              <w:jc w:val="right"/>
              <w:ind w:right="282"/>
              <w:spacing w:after="0"/>
              <w:rPr>
                <w:sz w:val="20"/>
                <w:szCs w:val="20"/>
                <w:color w:val="auto"/>
              </w:rPr>
            </w:pPr>
            <w:r>
              <w:rPr>
                <w:rFonts w:ascii="Arial" w:cs="Arial" w:eastAsia="Arial" w:hAnsi="Arial"/>
                <w:sz w:val="16"/>
                <w:szCs w:val="16"/>
                <w:b w:val="1"/>
                <w:bCs w:val="1"/>
                <w:color w:val="auto"/>
              </w:rPr>
              <w:t>(32)</w:t>
            </w:r>
          </w:p>
        </w:tc>
        <w:tc>
          <w:tcPr>
            <w:tcW w:w="1240" w:type="dxa"/>
            <w:vAlign w:val="bottom"/>
          </w:tcPr>
          <w:p>
            <w:pPr>
              <w:jc w:val="right"/>
              <w:ind w:right="321"/>
              <w:spacing w:after="0"/>
              <w:rPr>
                <w:sz w:val="20"/>
                <w:szCs w:val="20"/>
                <w:color w:val="auto"/>
              </w:rPr>
            </w:pPr>
            <w:r>
              <w:rPr>
                <w:rFonts w:ascii="Arial" w:cs="Arial" w:eastAsia="Arial" w:hAnsi="Arial"/>
                <w:sz w:val="16"/>
                <w:szCs w:val="16"/>
                <w:color w:val="auto"/>
              </w:rPr>
              <w:t>558</w:t>
            </w:r>
          </w:p>
        </w:tc>
        <w:tc>
          <w:tcPr>
            <w:tcW w:w="1120" w:type="dxa"/>
            <w:vAlign w:val="bottom"/>
          </w:tcPr>
          <w:p>
            <w:pPr>
              <w:jc w:val="right"/>
              <w:ind w:right="262"/>
              <w:spacing w:after="0"/>
              <w:rPr>
                <w:sz w:val="20"/>
                <w:szCs w:val="20"/>
                <w:color w:val="auto"/>
              </w:rPr>
            </w:pPr>
            <w:r>
              <w:rPr>
                <w:rFonts w:ascii="Arial" w:cs="Arial" w:eastAsia="Arial" w:hAnsi="Arial"/>
                <w:sz w:val="16"/>
                <w:szCs w:val="16"/>
                <w:b w:val="1"/>
                <w:bCs w:val="1"/>
                <w:color w:val="auto"/>
              </w:rPr>
              <w:t>51</w:t>
            </w:r>
          </w:p>
        </w:tc>
        <w:tc>
          <w:tcPr>
            <w:tcW w:w="1180" w:type="dxa"/>
            <w:vAlign w:val="bottom"/>
          </w:tcPr>
          <w:p>
            <w:pPr>
              <w:jc w:val="right"/>
              <w:ind w:right="221"/>
              <w:spacing w:after="0"/>
              <w:rPr>
                <w:sz w:val="20"/>
                <w:szCs w:val="20"/>
                <w:color w:val="auto"/>
              </w:rPr>
            </w:pPr>
            <w:r>
              <w:rPr>
                <w:rFonts w:ascii="Arial" w:cs="Arial" w:eastAsia="Arial" w:hAnsi="Arial"/>
                <w:sz w:val="16"/>
                <w:szCs w:val="16"/>
                <w:color w:val="auto"/>
              </w:rPr>
              <w:t>779</w:t>
            </w:r>
          </w:p>
        </w:tc>
      </w:tr>
      <w:tr>
        <w:trPr>
          <w:trHeight w:val="21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300" w:type="dxa"/>
            <w:vAlign w:val="bottom"/>
            <w:tcBorders>
              <w:bottom w:val="single" w:sz="8" w:color="auto"/>
            </w:tcBorders>
          </w:tcPr>
          <w:p>
            <w:pPr>
              <w:jc w:val="right"/>
              <w:ind w:right="282"/>
              <w:spacing w:after="0"/>
              <w:rPr>
                <w:sz w:val="20"/>
                <w:szCs w:val="20"/>
                <w:color w:val="auto"/>
              </w:rPr>
            </w:pPr>
            <w:r>
              <w:rPr>
                <w:rFonts w:ascii="Arial" w:cs="Arial" w:eastAsia="Arial" w:hAnsi="Arial"/>
                <w:sz w:val="16"/>
                <w:szCs w:val="16"/>
                <w:b w:val="1"/>
                <w:bCs w:val="1"/>
                <w:color w:val="auto"/>
              </w:rPr>
              <w:t>(4)</w:t>
            </w:r>
          </w:p>
        </w:tc>
        <w:tc>
          <w:tcPr>
            <w:tcW w:w="124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color w:val="auto"/>
              </w:rPr>
              <w:t>231</w:t>
            </w:r>
          </w:p>
        </w:tc>
        <w:tc>
          <w:tcPr>
            <w:tcW w:w="112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(4)</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231</w:t>
            </w:r>
          </w:p>
        </w:tc>
      </w:tr>
      <w:tr>
        <w:trPr>
          <w:trHeight w:val="212"/>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3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b w:val="1"/>
                <w:bCs w:val="1"/>
                <w:color w:val="auto"/>
              </w:rPr>
              <w:t>$899</w:t>
            </w:r>
          </w:p>
        </w:tc>
        <w:tc>
          <w:tcPr>
            <w:tcW w:w="124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$2,589</w:t>
            </w:r>
          </w:p>
        </w:tc>
        <w:tc>
          <w:tcPr>
            <w:tcW w:w="11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b w:val="1"/>
                <w:bCs w:val="1"/>
                <w:color w:val="auto"/>
              </w:rPr>
              <w:t>$1,383</w:t>
            </w:r>
          </w:p>
        </w:tc>
        <w:tc>
          <w:tcPr>
            <w:tcW w:w="118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$11,162</w:t>
            </w:r>
          </w:p>
        </w:tc>
      </w:tr>
    </w:tbl>
    <w:p>
      <w:pPr>
        <w:spacing w:after="0" w:line="18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2018, the Company’s proposal to close its Machine Clothing production facility in Sélestat, France was approved by the French Labor Ministry. The restructuring program was driven by the Company’s need to balance manufacturing capacity with demand. In the first six months of 2018, we recorded restructuring expense of $8.6 million for severance and outplacement costs for the approximately 50 positions that will be terminated under this plan. Since 2017, we have recorded $ 12.5 million of restructuring charges related to this action. The Company continues to assess property, plant and equipment in that location to determine if equipment will be transferred to other facilities, or if the value of the assets can be recovered through a sale. Depending on the outcome of that assessment, additional restructuring charges could be recorded in future periods. Annual cost savings associated with this action has resulted in lower cost of goods sold.</w:t>
      </w:r>
    </w:p>
    <w:p>
      <w:pPr>
        <w:spacing w:after="0" w:line="95"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AEC restructuring charges include expenses for the first six months of 2019 and 2018 related to work force reductions in AEC locations in Salt Lake City, Utah and Rochester, New Hampshire.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3580" w:type="dxa"/>
            <w:vAlign w:val="bottom"/>
            <w:tcBorders>
              <w:top w:val="single" w:sz="8" w:color="auto"/>
            </w:tcBorders>
          </w:tcPr>
          <w:p>
            <w:pPr>
              <w:spacing w:after="0"/>
              <w:rPr>
                <w:sz w:val="17"/>
                <w:szCs w:val="17"/>
                <w:color w:val="auto"/>
              </w:rPr>
            </w:pPr>
          </w:p>
        </w:tc>
        <w:tc>
          <w:tcPr>
            <w:tcW w:w="3540" w:type="dxa"/>
            <w:vAlign w:val="bottom"/>
            <w:tcBorders>
              <w:top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34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05"/>
        </w:trPr>
        <w:tc>
          <w:tcPr>
            <w:tcW w:w="3580" w:type="dxa"/>
            <w:vAlign w:val="bottom"/>
          </w:tcPr>
          <w:p>
            <w:pPr>
              <w:ind w:left="20"/>
              <w:spacing w:after="0"/>
              <w:rPr>
                <w:sz w:val="20"/>
                <w:szCs w:val="20"/>
                <w:color w:val="auto"/>
              </w:rPr>
            </w:pPr>
            <w:r>
              <w:rPr>
                <w:rFonts w:ascii="Arial" w:cs="Arial" w:eastAsia="Arial" w:hAnsi="Arial"/>
                <w:sz w:val="16"/>
                <w:szCs w:val="16"/>
                <w:color w:val="auto"/>
              </w:rPr>
              <w:t>Machine Clothing</w:t>
            </w:r>
          </w:p>
        </w:tc>
        <w:tc>
          <w:tcPr>
            <w:tcW w:w="2340" w:type="dxa"/>
            <w:vAlign w:val="bottom"/>
          </w:tcPr>
          <w:p>
            <w:pPr>
              <w:jc w:val="right"/>
              <w:ind w:right="222"/>
              <w:spacing w:after="0"/>
              <w:rPr>
                <w:sz w:val="20"/>
                <w:szCs w:val="20"/>
                <w:color w:val="auto"/>
              </w:rPr>
            </w:pPr>
            <w:r>
              <w:rPr>
                <w:rFonts w:ascii="Arial" w:cs="Arial" w:eastAsia="Arial" w:hAnsi="Arial"/>
                <w:sz w:val="16"/>
                <w:szCs w:val="16"/>
                <w:b w:val="1"/>
                <w:bCs w:val="1"/>
                <w:color w:val="auto"/>
              </w:rPr>
              <w:t>$ 49,538</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$ 50,315</w:t>
            </w:r>
          </w:p>
        </w:tc>
        <w:tc>
          <w:tcPr>
            <w:tcW w:w="1140" w:type="dxa"/>
            <w:vAlign w:val="bottom"/>
          </w:tcPr>
          <w:p>
            <w:pPr>
              <w:jc w:val="right"/>
              <w:ind w:right="202"/>
              <w:spacing w:after="0"/>
              <w:rPr>
                <w:sz w:val="20"/>
                <w:szCs w:val="20"/>
                <w:color w:val="auto"/>
              </w:rPr>
            </w:pPr>
            <w:r>
              <w:rPr>
                <w:rFonts w:ascii="Arial" w:cs="Arial" w:eastAsia="Arial" w:hAnsi="Arial"/>
                <w:sz w:val="16"/>
                <w:szCs w:val="16"/>
                <w:b w:val="1"/>
                <w:bCs w:val="1"/>
                <w:color w:val="auto"/>
              </w:rPr>
              <w:t>$ 93,781</w:t>
            </w:r>
          </w:p>
        </w:tc>
        <w:tc>
          <w:tcPr>
            <w:tcW w:w="1160" w:type="dxa"/>
            <w:vAlign w:val="bottom"/>
          </w:tcPr>
          <w:p>
            <w:pPr>
              <w:jc w:val="right"/>
              <w:ind w:right="201"/>
              <w:spacing w:after="0"/>
              <w:rPr>
                <w:sz w:val="20"/>
                <w:szCs w:val="20"/>
                <w:color w:val="auto"/>
              </w:rPr>
            </w:pPr>
            <w:r>
              <w:rPr>
                <w:rFonts w:ascii="Arial" w:cs="Arial" w:eastAsia="Arial" w:hAnsi="Arial"/>
                <w:sz w:val="16"/>
                <w:szCs w:val="16"/>
                <w:color w:val="auto"/>
              </w:rPr>
              <w:t>$ 77,258</w:t>
            </w:r>
          </w:p>
        </w:tc>
      </w:tr>
      <w:tr>
        <w:trPr>
          <w:trHeight w:val="215"/>
        </w:trPr>
        <w:tc>
          <w:tcPr>
            <w:tcW w:w="3580" w:type="dxa"/>
            <w:vAlign w:val="bottom"/>
          </w:tcPr>
          <w:p>
            <w:pPr>
              <w:ind w:left="20"/>
              <w:spacing w:after="0"/>
              <w:rPr>
                <w:sz w:val="20"/>
                <w:szCs w:val="20"/>
                <w:color w:val="auto"/>
              </w:rPr>
            </w:pPr>
            <w:r>
              <w:rPr>
                <w:rFonts w:ascii="Arial" w:cs="Arial" w:eastAsia="Arial" w:hAnsi="Arial"/>
                <w:sz w:val="16"/>
                <w:szCs w:val="16"/>
                <w:color w:val="auto"/>
              </w:rPr>
              <w:t>Albany Engineered Composites</w:t>
            </w:r>
          </w:p>
        </w:tc>
        <w:tc>
          <w:tcPr>
            <w:tcW w:w="2340" w:type="dxa"/>
            <w:vAlign w:val="bottom"/>
          </w:tcPr>
          <w:p>
            <w:pPr>
              <w:jc w:val="right"/>
              <w:ind w:right="222"/>
              <w:spacing w:after="0"/>
              <w:rPr>
                <w:sz w:val="20"/>
                <w:szCs w:val="20"/>
                <w:color w:val="auto"/>
              </w:rPr>
            </w:pPr>
            <w:r>
              <w:rPr>
                <w:rFonts w:ascii="Arial" w:cs="Arial" w:eastAsia="Arial" w:hAnsi="Arial"/>
                <w:sz w:val="16"/>
                <w:szCs w:val="16"/>
                <w:b w:val="1"/>
                <w:bCs w:val="1"/>
                <w:color w:val="auto"/>
              </w:rPr>
              <w:t>17,732</w:t>
            </w:r>
          </w:p>
        </w:tc>
        <w:tc>
          <w:tcPr>
            <w:tcW w:w="1200" w:type="dxa"/>
            <w:vAlign w:val="bottom"/>
          </w:tcPr>
          <w:p>
            <w:pPr>
              <w:jc w:val="right"/>
              <w:ind w:right="241"/>
              <w:spacing w:after="0"/>
              <w:rPr>
                <w:sz w:val="20"/>
                <w:szCs w:val="20"/>
                <w:color w:val="auto"/>
              </w:rPr>
            </w:pPr>
            <w:r>
              <w:rPr>
                <w:rFonts w:ascii="Arial" w:cs="Arial" w:eastAsia="Arial" w:hAnsi="Arial"/>
                <w:sz w:val="16"/>
                <w:szCs w:val="16"/>
                <w:color w:val="auto"/>
              </w:rPr>
              <w:t>4,092</w:t>
            </w:r>
          </w:p>
        </w:tc>
        <w:tc>
          <w:tcPr>
            <w:tcW w:w="1140" w:type="dxa"/>
            <w:vAlign w:val="bottom"/>
          </w:tcPr>
          <w:p>
            <w:pPr>
              <w:jc w:val="right"/>
              <w:ind w:right="202"/>
              <w:spacing w:after="0"/>
              <w:rPr>
                <w:sz w:val="20"/>
                <w:szCs w:val="20"/>
                <w:color w:val="auto"/>
              </w:rPr>
            </w:pPr>
            <w:r>
              <w:rPr>
                <w:rFonts w:ascii="Arial" w:cs="Arial" w:eastAsia="Arial" w:hAnsi="Arial"/>
                <w:sz w:val="16"/>
                <w:szCs w:val="16"/>
                <w:b w:val="1"/>
                <w:bCs w:val="1"/>
                <w:color w:val="auto"/>
              </w:rPr>
              <w:t>27,254</w:t>
            </w:r>
          </w:p>
        </w:tc>
        <w:tc>
          <w:tcPr>
            <w:tcW w:w="1160" w:type="dxa"/>
            <w:vAlign w:val="bottom"/>
          </w:tcPr>
          <w:p>
            <w:pPr>
              <w:jc w:val="right"/>
              <w:ind w:right="181"/>
              <w:spacing w:after="0"/>
              <w:rPr>
                <w:sz w:val="20"/>
                <w:szCs w:val="20"/>
                <w:color w:val="auto"/>
              </w:rPr>
            </w:pPr>
            <w:r>
              <w:rPr>
                <w:rFonts w:ascii="Arial" w:cs="Arial" w:eastAsia="Arial" w:hAnsi="Arial"/>
                <w:sz w:val="16"/>
                <w:szCs w:val="16"/>
                <w:color w:val="auto"/>
              </w:rPr>
              <w:t>6,366</w:t>
            </w:r>
          </w:p>
        </w:tc>
      </w:tr>
      <w:tr>
        <w:trPr>
          <w:trHeight w:val="219"/>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Corporate expenses</w:t>
            </w:r>
          </w:p>
        </w:tc>
        <w:tc>
          <w:tcPr>
            <w:tcW w:w="23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(13,045)</w:t>
            </w:r>
          </w:p>
        </w:tc>
        <w:tc>
          <w:tcPr>
            <w:tcW w:w="12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(12,251)</w:t>
            </w:r>
          </w:p>
        </w:tc>
        <w:tc>
          <w:tcPr>
            <w:tcW w:w="114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b w:val="1"/>
                <w:bCs w:val="1"/>
                <w:color w:val="auto"/>
              </w:rPr>
              <w:t>(26,717)</w:t>
            </w:r>
          </w:p>
        </w:tc>
        <w:tc>
          <w:tcPr>
            <w:tcW w:w="11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(24,464)</w:t>
            </w:r>
          </w:p>
        </w:tc>
      </w:tr>
      <w:tr>
        <w:trPr>
          <w:trHeight w:val="212"/>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34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$ 54,225</w:t>
            </w:r>
          </w:p>
        </w:tc>
        <w:tc>
          <w:tcPr>
            <w:tcW w:w="120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rPr>
              <w:t>$ 42,156</w:t>
            </w:r>
          </w:p>
        </w:tc>
        <w:tc>
          <w:tcPr>
            <w:tcW w:w="114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$ 94,318</w:t>
            </w:r>
          </w:p>
        </w:tc>
        <w:tc>
          <w:tcPr>
            <w:tcW w:w="116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$ 59,160</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Earnings Items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540" w:type="dxa"/>
            <w:vAlign w:val="bottom"/>
            <w:tcBorders>
              <w:top w:val="single" w:sz="8" w:color="auto"/>
            </w:tcBorders>
          </w:tcPr>
          <w:p>
            <w:pPr>
              <w:spacing w:after="0"/>
              <w:rPr>
                <w:sz w:val="17"/>
                <w:szCs w:val="17"/>
                <w:color w:val="auto"/>
              </w:rPr>
            </w:pPr>
          </w:p>
        </w:tc>
        <w:tc>
          <w:tcPr>
            <w:tcW w:w="2580" w:type="dxa"/>
            <w:vAlign w:val="bottom"/>
            <w:tcBorders>
              <w:top w:val="single" w:sz="8" w:color="auto"/>
            </w:tcBorders>
            <w:gridSpan w:val="2"/>
          </w:tcPr>
          <w:p>
            <w:pPr>
              <w:jc w:val="right"/>
              <w:ind w:right="121"/>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tcBorders>
              <w:top w:val="single" w:sz="8" w:color="auto"/>
            </w:tcBorders>
            <w:gridSpan w:val="2"/>
          </w:tcPr>
          <w:p>
            <w:pPr>
              <w:jc w:val="right"/>
              <w:ind w:right="161"/>
              <w:spacing w:after="0"/>
              <w:rPr>
                <w:sz w:val="20"/>
                <w:szCs w:val="20"/>
                <w:color w:val="auto"/>
              </w:rPr>
            </w:pPr>
            <w:r>
              <w:rPr>
                <w:rFonts w:ascii="Arial" w:cs="Arial" w:eastAsia="Arial" w:hAnsi="Arial"/>
                <w:sz w:val="14"/>
                <w:szCs w:val="14"/>
                <w:b w:val="1"/>
                <w:bCs w:val="1"/>
                <w:color w:val="auto"/>
              </w:rPr>
              <w:t>Six months ended June 30,</w:t>
            </w:r>
          </w:p>
        </w:tc>
      </w:tr>
      <w:tr>
        <w:trPr>
          <w:trHeight w:val="18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22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2018</w:t>
            </w:r>
          </w:p>
        </w:tc>
      </w:tr>
      <w:tr>
        <w:trPr>
          <w:trHeight w:val="205"/>
        </w:trPr>
        <w:tc>
          <w:tcPr>
            <w:tcW w:w="45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360" w:type="dxa"/>
            <w:vAlign w:val="bottom"/>
          </w:tcPr>
          <w:p>
            <w:pPr>
              <w:jc w:val="right"/>
              <w:ind w:right="222"/>
              <w:spacing w:after="0"/>
              <w:rPr>
                <w:sz w:val="20"/>
                <w:szCs w:val="20"/>
                <w:color w:val="auto"/>
              </w:rPr>
            </w:pPr>
            <w:r>
              <w:rPr>
                <w:rFonts w:ascii="Arial" w:cs="Arial" w:eastAsia="Arial" w:hAnsi="Arial"/>
                <w:sz w:val="16"/>
                <w:szCs w:val="16"/>
                <w:b w:val="1"/>
                <w:bCs w:val="1"/>
                <w:color w:val="auto"/>
              </w:rPr>
              <w:t>$ 4,631</w:t>
            </w:r>
          </w:p>
        </w:tc>
        <w:tc>
          <w:tcPr>
            <w:tcW w:w="1220" w:type="dxa"/>
            <w:vAlign w:val="bottom"/>
          </w:tcPr>
          <w:p>
            <w:pPr>
              <w:jc w:val="right"/>
              <w:ind w:right="301"/>
              <w:spacing w:after="0"/>
              <w:rPr>
                <w:sz w:val="20"/>
                <w:szCs w:val="20"/>
                <w:color w:val="auto"/>
              </w:rPr>
            </w:pPr>
            <w:r>
              <w:rPr>
                <w:rFonts w:ascii="Arial" w:cs="Arial" w:eastAsia="Arial" w:hAnsi="Arial"/>
                <w:sz w:val="16"/>
                <w:szCs w:val="16"/>
                <w:color w:val="auto"/>
              </w:rPr>
              <w:t>$4,621</w:t>
            </w:r>
          </w:p>
        </w:tc>
        <w:tc>
          <w:tcPr>
            <w:tcW w:w="1140" w:type="dxa"/>
            <w:vAlign w:val="bottom"/>
          </w:tcPr>
          <w:p>
            <w:pPr>
              <w:jc w:val="right"/>
              <w:ind w:right="242"/>
              <w:spacing w:after="0"/>
              <w:rPr>
                <w:sz w:val="20"/>
                <w:szCs w:val="20"/>
                <w:color w:val="auto"/>
              </w:rPr>
            </w:pPr>
            <w:r>
              <w:rPr>
                <w:rFonts w:ascii="Arial" w:cs="Arial" w:eastAsia="Arial" w:hAnsi="Arial"/>
                <w:sz w:val="16"/>
                <w:szCs w:val="16"/>
                <w:b w:val="1"/>
                <w:bCs w:val="1"/>
                <w:color w:val="auto"/>
              </w:rPr>
              <w:t>$ 9,048</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$ 8,909</w:t>
            </w:r>
          </w:p>
        </w:tc>
      </w:tr>
      <w:tr>
        <w:trPr>
          <w:trHeight w:val="215"/>
        </w:trPr>
        <w:tc>
          <w:tcPr>
            <w:tcW w:w="4540" w:type="dxa"/>
            <w:vAlign w:val="bottom"/>
          </w:tcPr>
          <w:p>
            <w:pPr>
              <w:ind w:left="20"/>
              <w:spacing w:after="0"/>
              <w:rPr>
                <w:sz w:val="20"/>
                <w:szCs w:val="20"/>
                <w:color w:val="auto"/>
              </w:rPr>
            </w:pPr>
            <w:r>
              <w:rPr>
                <w:rFonts w:ascii="Arial" w:cs="Arial" w:eastAsia="Arial" w:hAnsi="Arial"/>
                <w:sz w:val="16"/>
                <w:szCs w:val="16"/>
                <w:color w:val="auto"/>
              </w:rPr>
              <w:t>Other (income)/expense, net</w:t>
            </w:r>
          </w:p>
        </w:tc>
        <w:tc>
          <w:tcPr>
            <w:tcW w:w="1360" w:type="dxa"/>
            <w:vAlign w:val="bottom"/>
          </w:tcPr>
          <w:p>
            <w:pPr>
              <w:jc w:val="right"/>
              <w:ind w:right="222"/>
              <w:spacing w:after="0"/>
              <w:rPr>
                <w:sz w:val="20"/>
                <w:szCs w:val="20"/>
                <w:color w:val="auto"/>
              </w:rPr>
            </w:pPr>
            <w:r>
              <w:rPr>
                <w:rFonts w:ascii="Arial" w:cs="Arial" w:eastAsia="Arial" w:hAnsi="Arial"/>
                <w:sz w:val="16"/>
                <w:szCs w:val="16"/>
                <w:b w:val="1"/>
                <w:bCs w:val="1"/>
                <w:color w:val="auto"/>
              </w:rPr>
              <w:t>930</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726</w:t>
            </w:r>
          </w:p>
        </w:tc>
        <w:tc>
          <w:tcPr>
            <w:tcW w:w="1140" w:type="dxa"/>
            <w:vAlign w:val="bottom"/>
          </w:tcPr>
          <w:p>
            <w:pPr>
              <w:jc w:val="right"/>
              <w:ind w:right="202"/>
              <w:spacing w:after="0"/>
              <w:rPr>
                <w:sz w:val="20"/>
                <w:szCs w:val="20"/>
                <w:color w:val="auto"/>
              </w:rPr>
            </w:pPr>
            <w:r>
              <w:rPr>
                <w:rFonts w:ascii="Arial" w:cs="Arial" w:eastAsia="Arial" w:hAnsi="Arial"/>
                <w:sz w:val="16"/>
                <w:szCs w:val="16"/>
                <w:b w:val="1"/>
                <w:bCs w:val="1"/>
                <w:color w:val="auto"/>
              </w:rPr>
              <w:t>(278)</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2,178</w:t>
            </w:r>
          </w:p>
        </w:tc>
      </w:tr>
      <w:tr>
        <w:trPr>
          <w:trHeight w:val="216"/>
        </w:trPr>
        <w:tc>
          <w:tcPr>
            <w:tcW w:w="45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360" w:type="dxa"/>
            <w:vAlign w:val="bottom"/>
          </w:tcPr>
          <w:p>
            <w:pPr>
              <w:jc w:val="right"/>
              <w:ind w:right="222"/>
              <w:spacing w:after="0"/>
              <w:rPr>
                <w:sz w:val="20"/>
                <w:szCs w:val="20"/>
                <w:color w:val="auto"/>
              </w:rPr>
            </w:pPr>
            <w:r>
              <w:rPr>
                <w:rFonts w:ascii="Arial" w:cs="Arial" w:eastAsia="Arial" w:hAnsi="Arial"/>
                <w:sz w:val="16"/>
                <w:szCs w:val="16"/>
                <w:b w:val="1"/>
                <w:bCs w:val="1"/>
                <w:color w:val="auto"/>
              </w:rPr>
              <w:t>14,405</w:t>
            </w:r>
          </w:p>
        </w:tc>
        <w:tc>
          <w:tcPr>
            <w:tcW w:w="1220" w:type="dxa"/>
            <w:vAlign w:val="bottom"/>
          </w:tcPr>
          <w:p>
            <w:pPr>
              <w:jc w:val="right"/>
              <w:ind w:right="321"/>
              <w:spacing w:after="0"/>
              <w:rPr>
                <w:sz w:val="20"/>
                <w:szCs w:val="20"/>
                <w:color w:val="auto"/>
              </w:rPr>
            </w:pPr>
            <w:r>
              <w:rPr>
                <w:rFonts w:ascii="Arial" w:cs="Arial" w:eastAsia="Arial" w:hAnsi="Arial"/>
                <w:sz w:val="16"/>
                <w:szCs w:val="16"/>
                <w:color w:val="auto"/>
              </w:rPr>
              <w:t>6,966</w:t>
            </w:r>
          </w:p>
        </w:tc>
        <w:tc>
          <w:tcPr>
            <w:tcW w:w="1140" w:type="dxa"/>
            <w:vAlign w:val="bottom"/>
          </w:tcPr>
          <w:p>
            <w:pPr>
              <w:jc w:val="right"/>
              <w:ind w:right="242"/>
              <w:spacing w:after="0"/>
              <w:rPr>
                <w:sz w:val="20"/>
                <w:szCs w:val="20"/>
                <w:color w:val="auto"/>
              </w:rPr>
            </w:pPr>
            <w:r>
              <w:rPr>
                <w:rFonts w:ascii="Arial" w:cs="Arial" w:eastAsia="Arial" w:hAnsi="Arial"/>
                <w:sz w:val="16"/>
                <w:szCs w:val="16"/>
                <w:b w:val="1"/>
                <w:bCs w:val="1"/>
                <w:color w:val="auto"/>
              </w:rPr>
              <w:t>21,881</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10,331</w:t>
            </w:r>
          </w:p>
        </w:tc>
      </w:tr>
      <w:tr>
        <w:trPr>
          <w:trHeight w:val="219"/>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income/(loss) attributable to the noncontrolling interest</w:t>
            </w:r>
          </w:p>
        </w:tc>
        <w:tc>
          <w:tcPr>
            <w:tcW w:w="136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205</w:t>
            </w:r>
          </w:p>
        </w:tc>
        <w:tc>
          <w:tcPr>
            <w:tcW w:w="122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  (59)</w:t>
            </w:r>
          </w:p>
        </w:tc>
        <w:tc>
          <w:tcPr>
            <w:tcW w:w="11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423</w:t>
            </w:r>
          </w:p>
        </w:tc>
        <w:tc>
          <w:tcPr>
            <w:tcW w:w="116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rPr>
              <w:t>178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2019 Interest expense, net, was relatively flat compared to 2018. See the Capital Resources section for further discussion of borrowings and interest rates.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Other (income)/expense, net included the following individually significant items: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72" w:lineRule="exact"/>
        <w:rPr>
          <w:sz w:val="20"/>
          <w:szCs w:val="20"/>
          <w:color w:val="auto"/>
        </w:rPr>
      </w:pPr>
    </w:p>
    <w:p>
      <w:pPr>
        <w:ind w:left="580" w:hanging="248"/>
        <w:spacing w:after="0" w:line="246"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second quarter of each year, revaluation of nonfunctional currency cash and intercompany balances resulted in a loss of $0.3 million in 2019 and a negligible gain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72" w:lineRule="exact"/>
        <w:rPr>
          <w:sz w:val="20"/>
          <w:szCs w:val="20"/>
          <w:color w:val="auto"/>
        </w:rPr>
      </w:pPr>
    </w:p>
    <w:p>
      <w:pPr>
        <w:ind w:left="580" w:right="20" w:hanging="248"/>
        <w:spacing w:after="0" w:line="246"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For the first six months of each year, revaluation of nonfunctional currency cash and intercompany balances resulted in a gain of $1.7 million in 2019 and a loss of $0.7 million in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Company’s effective tax rates for the second quarter of 2019 and 2018 were 29.6% and 18.9%,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right="20" w:firstLine="324"/>
        <w:spacing w:after="0" w:line="246" w:lineRule="auto"/>
        <w:rPr>
          <w:sz w:val="20"/>
          <w:szCs w:val="20"/>
          <w:color w:val="auto"/>
        </w:rPr>
      </w:pPr>
      <w:r>
        <w:rPr>
          <w:rFonts w:ascii="Arial" w:cs="Arial" w:eastAsia="Arial" w:hAnsi="Arial"/>
          <w:sz w:val="18"/>
          <w:szCs w:val="18"/>
          <w:color w:val="auto"/>
        </w:rPr>
        <w:t>Significant items that impacted the effective tax rate in the second quarter of 2019 included the following (percentages reflect the effect of each item as a percentage of income before income taxes):</w:t>
      </w:r>
    </w:p>
    <w:p>
      <w:pPr>
        <w:spacing w:after="0" w:line="48" w:lineRule="exact"/>
        <w:rPr>
          <w:sz w:val="20"/>
          <w:szCs w:val="20"/>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28.4%.</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$0.1 million [0.3%] tax expense related to the true-up of prior years’ estimated taxes.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$0.8 million [1.7%] charge for the valuation allowance of a non-U.S. subsidiary.</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($0.4) million [-0.8%] tax benefit for other tax adjustments.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that impacted the second quarter of 2018 tax rate included the following:</w:t>
      </w:r>
    </w:p>
    <w:p>
      <w:pPr>
        <w:spacing w:after="0" w:line="50" w:lineRule="exact"/>
        <w:rPr>
          <w:sz w:val="20"/>
          <w:szCs w:val="20"/>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30.1%.</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($0.2) million [-0.6%] tax benefit related to the true-up of prior years’ estimated taxes.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($1.1) million [-3.0%] tax benefit from the impact of the mandatory repatriations.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Expense of 2.4 million [6.6%] due to changes of uncertain tax positions.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($5.0) million [-13.5%] tax benefit due to a change in a valuation allowance.</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($0.3) million [-0.7%] tax benefit for other tax adjustments.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Company’s effective tax rates for the first half of 2019 and 2018 were 25.6% and 21.5%,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94"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Significant items that impacted the effective tax rate in the first six months of 2019 included the following (percentages reflect the effect of each item as a percentage of income before income taxes):</w:t>
      </w:r>
    </w:p>
    <w:p>
      <w:pPr>
        <w:spacing w:after="0" w:line="35" w:lineRule="exact"/>
        <w:rPr>
          <w:sz w:val="20"/>
          <w:szCs w:val="20"/>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28.4%.</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$0.8 million (1.0%) charge for the valuation allowance of a non-U.S. subsidiary.</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($2.2) million [-2.6%] tax benefit due to changes of uncertain tax positions.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($1.4) million [-1.6%] tax benefit from an adjustment related to a prior period change in the valuation allowance.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$0.4 million [0.4%] tax expense for other tax adjustments.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Significant items that impacted the effective tax rate in the first six months of 2018 included the following:</w:t>
      </w:r>
    </w:p>
    <w:p>
      <w:pPr>
        <w:spacing w:after="0" w:line="63" w:lineRule="exact"/>
        <w:rPr>
          <w:sz w:val="20"/>
          <w:szCs w:val="20"/>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income tax rate on continuing operations, excluding discrete items, was 30.1%.</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($0.3) million [-0.5%] tax benefit related to the true-up of prior years’ estimated taxes.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($1.1) million [-2.2%] tax benefit from the impact of the mandatory repatriations.</w:t>
      </w:r>
    </w:p>
    <w:p>
      <w:pPr>
        <w:spacing w:after="0" w:line="63"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 of 2.4 million [5.1%] due to changes of uncertain tax positions.</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($5.0) million [-10.4%] tax benefit due to changes in valuation allowance.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($0.3) million [-0.6%] net tax benefit for other tax adjustments.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Machine Clothing is our primary business segment and accounted for 57% of our consolidated revenues during the first six months of 2019. MC products are purchased primarily by manufacturers of paper and paperboard.</w:t>
      </w:r>
    </w:p>
    <w:p>
      <w:pPr>
        <w:spacing w:after="0" w:line="89"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We feel we are now well-positioned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9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the United States and France.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720" w:type="dxa"/>
            <w:vAlign w:val="bottom"/>
            <w:tcBorders>
              <w:top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20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18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205"/>
        </w:trPr>
        <w:tc>
          <w:tcPr>
            <w:tcW w:w="47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200" w:type="dxa"/>
            <w:vAlign w:val="bottom"/>
          </w:tcPr>
          <w:p>
            <w:pPr>
              <w:jc w:val="right"/>
              <w:ind w:right="202"/>
              <w:spacing w:after="0"/>
              <w:rPr>
                <w:sz w:val="20"/>
                <w:szCs w:val="20"/>
                <w:color w:val="auto"/>
              </w:rPr>
            </w:pPr>
            <w:r>
              <w:rPr>
                <w:rFonts w:ascii="Arial" w:cs="Arial" w:eastAsia="Arial" w:hAnsi="Arial"/>
                <w:sz w:val="16"/>
                <w:szCs w:val="16"/>
                <w:b w:val="1"/>
                <w:bCs w:val="1"/>
                <w:color w:val="auto"/>
              </w:rPr>
              <w:t>$155,016</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$161,784</w:t>
            </w:r>
          </w:p>
        </w:tc>
        <w:tc>
          <w:tcPr>
            <w:tcW w:w="1180" w:type="dxa"/>
            <w:vAlign w:val="bottom"/>
          </w:tcPr>
          <w:p>
            <w:pPr>
              <w:jc w:val="right"/>
              <w:ind w:right="222"/>
              <w:spacing w:after="0"/>
              <w:rPr>
                <w:sz w:val="20"/>
                <w:szCs w:val="20"/>
                <w:color w:val="auto"/>
              </w:rPr>
            </w:pPr>
            <w:r>
              <w:rPr>
                <w:rFonts w:ascii="Arial" w:cs="Arial" w:eastAsia="Arial" w:hAnsi="Arial"/>
                <w:sz w:val="16"/>
                <w:szCs w:val="16"/>
                <w:b w:val="1"/>
                <w:bCs w:val="1"/>
                <w:color w:val="auto"/>
              </w:rPr>
              <w:t>$299,349</w:t>
            </w:r>
          </w:p>
        </w:tc>
        <w:tc>
          <w:tcPr>
            <w:tcW w:w="1120" w:type="dxa"/>
            <w:vAlign w:val="bottom"/>
          </w:tcPr>
          <w:p>
            <w:pPr>
              <w:jc w:val="right"/>
              <w:ind w:right="220"/>
              <w:spacing w:after="0"/>
              <w:rPr>
                <w:sz w:val="20"/>
                <w:szCs w:val="20"/>
                <w:color w:val="auto"/>
              </w:rPr>
            </w:pPr>
            <w:r>
              <w:rPr>
                <w:rFonts w:ascii="Arial" w:cs="Arial" w:eastAsia="Arial" w:hAnsi="Arial"/>
                <w:sz w:val="16"/>
                <w:szCs w:val="16"/>
                <w:color w:val="auto"/>
              </w:rPr>
              <w:t>303,557</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00" w:type="dxa"/>
            <w:vAlign w:val="bottom"/>
          </w:tcPr>
          <w:p>
            <w:pPr>
              <w:jc w:val="right"/>
              <w:ind w:right="202"/>
              <w:spacing w:after="0"/>
              <w:rPr>
                <w:sz w:val="20"/>
                <w:szCs w:val="20"/>
                <w:color w:val="auto"/>
              </w:rPr>
            </w:pPr>
            <w:r>
              <w:rPr>
                <w:rFonts w:ascii="Arial" w:cs="Arial" w:eastAsia="Arial" w:hAnsi="Arial"/>
                <w:sz w:val="16"/>
                <w:szCs w:val="16"/>
                <w:b w:val="1"/>
                <w:bCs w:val="1"/>
                <w:color w:val="auto"/>
              </w:rPr>
              <w:t>80,287</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79,072</w:t>
            </w:r>
          </w:p>
        </w:tc>
        <w:tc>
          <w:tcPr>
            <w:tcW w:w="1180" w:type="dxa"/>
            <w:vAlign w:val="bottom"/>
          </w:tcPr>
          <w:p>
            <w:pPr>
              <w:jc w:val="right"/>
              <w:ind w:right="222"/>
              <w:spacing w:after="0"/>
              <w:rPr>
                <w:sz w:val="20"/>
                <w:szCs w:val="20"/>
                <w:color w:val="auto"/>
              </w:rPr>
            </w:pPr>
            <w:r>
              <w:rPr>
                <w:rFonts w:ascii="Arial" w:cs="Arial" w:eastAsia="Arial" w:hAnsi="Arial"/>
                <w:sz w:val="16"/>
                <w:szCs w:val="16"/>
                <w:b w:val="1"/>
                <w:bCs w:val="1"/>
                <w:color w:val="auto"/>
              </w:rPr>
              <w:t>154,815</w:t>
            </w:r>
          </w:p>
        </w:tc>
        <w:tc>
          <w:tcPr>
            <w:tcW w:w="1120" w:type="dxa"/>
            <w:vAlign w:val="bottom"/>
          </w:tcPr>
          <w:p>
            <w:pPr>
              <w:jc w:val="right"/>
              <w:ind w:right="220"/>
              <w:spacing w:after="0"/>
              <w:rPr>
                <w:sz w:val="20"/>
                <w:szCs w:val="20"/>
                <w:color w:val="auto"/>
              </w:rPr>
            </w:pPr>
            <w:r>
              <w:rPr>
                <w:rFonts w:ascii="Arial" w:cs="Arial" w:eastAsia="Arial" w:hAnsi="Arial"/>
                <w:sz w:val="16"/>
                <w:szCs w:val="16"/>
                <w:color w:val="auto"/>
              </w:rPr>
              <w:t>145,384</w:t>
            </w: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 of Net sales</w:t>
            </w:r>
          </w:p>
        </w:tc>
        <w:tc>
          <w:tcPr>
            <w:tcW w:w="1200" w:type="dxa"/>
            <w:vAlign w:val="bottom"/>
          </w:tcPr>
          <w:p>
            <w:pPr>
              <w:jc w:val="right"/>
              <w:ind w:right="122"/>
              <w:spacing w:after="0"/>
              <w:rPr>
                <w:sz w:val="20"/>
                <w:szCs w:val="20"/>
                <w:color w:val="auto"/>
              </w:rPr>
            </w:pPr>
            <w:r>
              <w:rPr>
                <w:rFonts w:ascii="Arial" w:cs="Arial" w:eastAsia="Arial" w:hAnsi="Arial"/>
                <w:sz w:val="16"/>
                <w:szCs w:val="16"/>
                <w:b w:val="1"/>
                <w:bCs w:val="1"/>
                <w:color w:val="auto"/>
              </w:rPr>
              <w:t>51.8%</w:t>
            </w:r>
          </w:p>
        </w:tc>
        <w:tc>
          <w:tcPr>
            <w:tcW w:w="1200" w:type="dxa"/>
            <w:vAlign w:val="bottom"/>
          </w:tcPr>
          <w:p>
            <w:pPr>
              <w:jc w:val="right"/>
              <w:ind w:right="160"/>
              <w:spacing w:after="0"/>
              <w:rPr>
                <w:sz w:val="20"/>
                <w:szCs w:val="20"/>
                <w:color w:val="auto"/>
              </w:rPr>
            </w:pPr>
            <w:r>
              <w:rPr>
                <w:rFonts w:ascii="Arial" w:cs="Arial" w:eastAsia="Arial" w:hAnsi="Arial"/>
                <w:sz w:val="16"/>
                <w:szCs w:val="16"/>
                <w:color w:val="auto"/>
              </w:rPr>
              <w:t>48.9%</w:t>
            </w:r>
          </w:p>
        </w:tc>
        <w:tc>
          <w:tcPr>
            <w:tcW w:w="1180" w:type="dxa"/>
            <w:vAlign w:val="bottom"/>
          </w:tcPr>
          <w:p>
            <w:pPr>
              <w:jc w:val="right"/>
              <w:ind w:right="162"/>
              <w:spacing w:after="0"/>
              <w:rPr>
                <w:sz w:val="20"/>
                <w:szCs w:val="20"/>
                <w:color w:val="auto"/>
              </w:rPr>
            </w:pPr>
            <w:r>
              <w:rPr>
                <w:rFonts w:ascii="Arial" w:cs="Arial" w:eastAsia="Arial" w:hAnsi="Arial"/>
                <w:sz w:val="16"/>
                <w:szCs w:val="16"/>
                <w:b w:val="1"/>
                <w:bCs w:val="1"/>
                <w:color w:val="auto"/>
              </w:rPr>
              <w:t>51.7%</w:t>
            </w:r>
          </w:p>
        </w:tc>
        <w:tc>
          <w:tcPr>
            <w:tcW w:w="1120" w:type="dxa"/>
            <w:vAlign w:val="bottom"/>
          </w:tcPr>
          <w:p>
            <w:pPr>
              <w:jc w:val="right"/>
              <w:ind w:right="140"/>
              <w:spacing w:after="0"/>
              <w:rPr>
                <w:sz w:val="20"/>
                <w:szCs w:val="20"/>
                <w:color w:val="auto"/>
              </w:rPr>
            </w:pPr>
            <w:r>
              <w:rPr>
                <w:rFonts w:ascii="Arial" w:cs="Arial" w:eastAsia="Arial" w:hAnsi="Arial"/>
                <w:sz w:val="16"/>
                <w:szCs w:val="16"/>
                <w:color w:val="auto"/>
              </w:rPr>
              <w:t>47.9%</w:t>
            </w: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200" w:type="dxa"/>
            <w:vAlign w:val="bottom"/>
          </w:tcPr>
          <w:p>
            <w:pPr>
              <w:jc w:val="right"/>
              <w:ind w:right="202"/>
              <w:spacing w:after="0"/>
              <w:rPr>
                <w:sz w:val="20"/>
                <w:szCs w:val="20"/>
                <w:color w:val="auto"/>
              </w:rPr>
            </w:pPr>
            <w:r>
              <w:rPr>
                <w:rFonts w:ascii="Arial" w:cs="Arial" w:eastAsia="Arial" w:hAnsi="Arial"/>
                <w:sz w:val="16"/>
                <w:szCs w:val="16"/>
                <w:b w:val="1"/>
                <w:bCs w:val="1"/>
                <w:color w:val="auto"/>
              </w:rPr>
              <w:t>29,814</w:t>
            </w:r>
          </w:p>
        </w:tc>
        <w:tc>
          <w:tcPr>
            <w:tcW w:w="1200" w:type="dxa"/>
            <w:vAlign w:val="bottom"/>
          </w:tcPr>
          <w:p>
            <w:pPr>
              <w:jc w:val="right"/>
              <w:ind w:right="220"/>
              <w:spacing w:after="0"/>
              <w:rPr>
                <w:sz w:val="20"/>
                <w:szCs w:val="20"/>
                <w:color w:val="auto"/>
              </w:rPr>
            </w:pPr>
            <w:r>
              <w:rPr>
                <w:rFonts w:ascii="Arial" w:cs="Arial" w:eastAsia="Arial" w:hAnsi="Arial"/>
                <w:sz w:val="16"/>
                <w:szCs w:val="16"/>
                <w:color w:val="auto"/>
              </w:rPr>
              <w:t>26,960</w:t>
            </w:r>
          </w:p>
        </w:tc>
        <w:tc>
          <w:tcPr>
            <w:tcW w:w="1180" w:type="dxa"/>
            <w:vAlign w:val="bottom"/>
          </w:tcPr>
          <w:p>
            <w:pPr>
              <w:jc w:val="right"/>
              <w:ind w:right="222"/>
              <w:spacing w:after="0"/>
              <w:rPr>
                <w:sz w:val="20"/>
                <w:szCs w:val="20"/>
                <w:color w:val="auto"/>
              </w:rPr>
            </w:pPr>
            <w:r>
              <w:rPr>
                <w:rFonts w:ascii="Arial" w:cs="Arial" w:eastAsia="Arial" w:hAnsi="Arial"/>
                <w:sz w:val="16"/>
                <w:szCs w:val="16"/>
                <w:b w:val="1"/>
                <w:bCs w:val="1"/>
                <w:color w:val="auto"/>
              </w:rPr>
              <w:t>59,700</w:t>
            </w:r>
          </w:p>
        </w:tc>
        <w:tc>
          <w:tcPr>
            <w:tcW w:w="1120" w:type="dxa"/>
            <w:vAlign w:val="bottom"/>
          </w:tcPr>
          <w:p>
            <w:pPr>
              <w:jc w:val="right"/>
              <w:ind w:right="220"/>
              <w:spacing w:after="0"/>
              <w:rPr>
                <w:sz w:val="20"/>
                <w:szCs w:val="20"/>
                <w:color w:val="auto"/>
              </w:rPr>
            </w:pPr>
            <w:r>
              <w:rPr>
                <w:rFonts w:ascii="Arial" w:cs="Arial" w:eastAsia="Arial" w:hAnsi="Arial"/>
                <w:sz w:val="16"/>
                <w:szCs w:val="16"/>
                <w:color w:val="auto"/>
              </w:rPr>
              <w:t>57,978</w:t>
            </w:r>
          </w:p>
        </w:tc>
      </w:tr>
      <w:tr>
        <w:trPr>
          <w:trHeight w:val="21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120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49,538</w:t>
            </w:r>
          </w:p>
        </w:tc>
        <w:tc>
          <w:tcPr>
            <w:tcW w:w="12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50,315</w:t>
            </w: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b w:val="1"/>
                <w:bCs w:val="1"/>
                <w:color w:val="auto"/>
              </w:rPr>
              <w:t>93,781</w:t>
            </w:r>
          </w:p>
        </w:tc>
        <w:tc>
          <w:tcPr>
            <w:tcW w:w="112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rPr>
              <w:t>77,258</w:t>
            </w: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72" w:lineRule="exact"/>
        <w:rPr>
          <w:sz w:val="20"/>
          <w:szCs w:val="20"/>
          <w:color w:val="auto"/>
        </w:rPr>
      </w:pPr>
    </w:p>
    <w:p>
      <w:pPr>
        <w:ind w:left="580" w:hanging="248"/>
        <w:spacing w:after="0"/>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sales decreased by 4.2%.</w:t>
      </w:r>
    </w:p>
    <w:p>
      <w:pPr>
        <w:spacing w:after="0" w:line="63" w:lineRule="exact"/>
        <w:rPr>
          <w:rFonts w:ascii="Arial" w:cs="Arial" w:eastAsia="Arial" w:hAnsi="Arial"/>
          <w:sz w:val="18"/>
          <w:szCs w:val="18"/>
          <w:color w:val="auto"/>
        </w:rPr>
      </w:pPr>
    </w:p>
    <w:p>
      <w:pPr>
        <w:jc w:val="both"/>
        <w:ind w:left="840" w:hanging="256"/>
        <w:spacing w:after="0"/>
        <w:tabs>
          <w:tab w:leader="none" w:pos="8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second-quarter 2019 sales by $2.9 million compared to the same period in 2018. That currency translation effect was principally due to the weaker euro in the second quarter of 2019, compared to 2018.</w:t>
      </w:r>
    </w:p>
    <w:p>
      <w:pPr>
        <w:spacing w:after="0" w:line="40"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decreased 2.4% compared to a very strong second quarter of 2018. A decline in the publication grade sales was partially offset by a modest net increase across other grades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72" w:lineRule="exact"/>
        <w:rPr>
          <w:sz w:val="20"/>
          <w:szCs w:val="20"/>
          <w:color w:val="auto"/>
        </w:rPr>
      </w:pPr>
    </w:p>
    <w:p>
      <w:pPr>
        <w:ind w:left="580" w:hanging="248"/>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Net sales decreased by 1.4%.</w:t>
      </w:r>
    </w:p>
    <w:p>
      <w:pPr>
        <w:spacing w:after="0" w:line="63"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Changes in currency translation rates had the effect of decreasing 2019 sales by $7.1 million compared to the same period in 2018. That currency translation effect was principally due to the weaker euro and Chinese renminbi in 2019, compared to 2018.</w:t>
      </w:r>
    </w:p>
    <w:p>
      <w:pPr>
        <w:spacing w:after="0" w:line="34" w:lineRule="exact"/>
        <w:rPr>
          <w:rFonts w:ascii="Arial" w:cs="Arial" w:eastAsia="Arial" w:hAnsi="Arial"/>
          <w:sz w:val="18"/>
          <w:szCs w:val="18"/>
          <w:color w:val="auto"/>
        </w:rPr>
      </w:pPr>
    </w:p>
    <w:p>
      <w:pPr>
        <w:ind w:left="840" w:hanging="256"/>
        <w:spacing w:after="0" w:line="246" w:lineRule="auto"/>
        <w:tabs>
          <w:tab w:leader="none" w:pos="8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 MC increased 1.0%, as growth in sales for tissue grades, offset sales declines in publication grades.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72" w:lineRule="exact"/>
        <w:rPr>
          <w:sz w:val="20"/>
          <w:szCs w:val="20"/>
          <w:color w:val="auto"/>
        </w:rPr>
      </w:pPr>
    </w:p>
    <w:p>
      <w:pPr>
        <w:ind w:left="580" w:hanging="248"/>
        <w:spacing w:after="0" w:line="246" w:lineRule="auto"/>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improved labor productivity and lower depreciation expense, partially offset by lower Net sales which results in reduced fixed cost leverage.</w:t>
      </w:r>
    </w:p>
    <w:p>
      <w:pPr>
        <w:spacing w:after="0" w:line="48" w:lineRule="exact"/>
        <w:rPr>
          <w:rFonts w:ascii="Arial" w:cs="Arial" w:eastAsia="Arial" w:hAnsi="Arial"/>
          <w:sz w:val="18"/>
          <w:szCs w:val="18"/>
          <w:color w:val="auto"/>
        </w:rPr>
      </w:pPr>
    </w:p>
    <w:p>
      <w:pPr>
        <w:ind w:left="580" w:hanging="248"/>
        <w:spacing w:after="0"/>
        <w:tabs>
          <w:tab w:leader="none" w:pos="5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Gross profit for the second quarter of 2019.</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85" w:lineRule="exact"/>
        <w:rPr>
          <w:sz w:val="20"/>
          <w:szCs w:val="20"/>
          <w:color w:val="auto"/>
        </w:rPr>
      </w:pP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increase in MC Gross profit was principally due to improved labor productivity and lower depreciation expense.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currency translation rates did not have a significant effect on year-to-date Gross profit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operating income was principally due to the net effect of the following individually significant items:</w:t>
      </w:r>
    </w:p>
    <w:p>
      <w:pPr>
        <w:spacing w:after="0" w:line="50" w:lineRule="exact"/>
        <w:rPr>
          <w:sz w:val="20"/>
          <w:szCs w:val="20"/>
          <w:color w:val="auto"/>
        </w:rPr>
      </w:pPr>
    </w:p>
    <w:p>
      <w:pPr>
        <w:jc w:val="both"/>
        <w:ind w:left="580" w:hanging="248"/>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STG&amp;R expenses increased $2.9 million principally due to revaluation of nonfunctional currency assets and liabilities resulted in second-quarter losses of $0.3 million in 2019, and gains of $2.3 million in 2018. The increase in STG&amp;R expenses was partially offset by an increase in Gross profit and a decrease in Restructuring expense.</w:t>
      </w:r>
    </w:p>
    <w:p>
      <w:pPr>
        <w:spacing w:after="0" w:line="54" w:lineRule="exact"/>
        <w:rPr>
          <w:rFonts w:ascii="Arial" w:cs="Arial" w:eastAsia="Arial" w:hAnsi="Arial"/>
          <w:sz w:val="18"/>
          <w:szCs w:val="18"/>
          <w:color w:val="auto"/>
        </w:rPr>
      </w:pPr>
    </w:p>
    <w:p>
      <w:pPr>
        <w:ind w:left="580" w:hanging="248"/>
        <w:spacing w:after="0"/>
        <w:tabs>
          <w:tab w:leader="none" w:pos="5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Restructuring charges were $1.0 million in the second-quarter of 2019, compared to $1.8 million in the same period in 2018.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50" w:lineRule="exact"/>
        <w:rPr>
          <w:sz w:val="20"/>
          <w:szCs w:val="20"/>
          <w:color w:val="auto"/>
        </w:rPr>
      </w:pPr>
    </w:p>
    <w:p>
      <w:pPr>
        <w:ind w:left="580" w:hanging="248"/>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Gross profit increased $5.1 million due to improved labor productivity.</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Restructuring charges were $1.4 million in 2019, compared to $10.2 million in the same period in 2018.</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AEC segment, including Albany Safran Composites, LLC (ASC), in which our customer, the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 -term supply contract. LEAP engines are currently used on the Boeing 737 Max, Airbus A320neo and COMAC aircraft. Other significant AEC programs include components for the F-35, fuselage frames for the Boeing 787, components for the CH53-K helicopter, and the fan case for the GE9X engine.</w:t>
      </w:r>
    </w:p>
    <w:p>
      <w:pPr>
        <w:spacing w:after="0" w:line="97"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A number of countries, including the United States, have issued orders grounding Boeing 737 Max 8 and/or Max 9 aircraft. If these recent groundings cause a decrease in demand for, or production of, this aircraft, it could have an adverse impact on demand for the LEAP 1B engine variant, which could in turn have an adverse impact on demand for the parts we supply for such engine. Such groundings are also likely to result in near-term delays or interruptions in planned production and delivery of the components that we supply for such engine variant; such interruptions or delays would likely reduce AEC’s LEAP-related sales and earnings in the periods in which they occur.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161"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4720" w:type="dxa"/>
            <w:vAlign w:val="bottom"/>
            <w:tcBorders>
              <w:top w:val="single" w:sz="8" w:color="auto"/>
            </w:tcBorders>
          </w:tcPr>
          <w:p>
            <w:pPr>
              <w:spacing w:after="0"/>
              <w:rPr>
                <w:sz w:val="17"/>
                <w:szCs w:val="17"/>
                <w:color w:val="auto"/>
              </w:rPr>
            </w:pPr>
          </w:p>
        </w:tc>
        <w:tc>
          <w:tcPr>
            <w:tcW w:w="240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Three months ended June 30,</w:t>
            </w:r>
          </w:p>
        </w:tc>
        <w:tc>
          <w:tcPr>
            <w:tcW w:w="230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percentages)</w:t>
            </w:r>
          </w:p>
        </w:tc>
        <w:tc>
          <w:tcPr>
            <w:tcW w:w="124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2019</w:t>
            </w:r>
          </w:p>
        </w:tc>
        <w:tc>
          <w:tcPr>
            <w:tcW w:w="116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2018</w:t>
            </w:r>
          </w:p>
        </w:tc>
        <w:tc>
          <w:tcPr>
            <w:tcW w:w="116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14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2018</w:t>
            </w:r>
          </w:p>
        </w:tc>
      </w:tr>
      <w:tr>
        <w:trPr>
          <w:trHeight w:val="205"/>
        </w:trPr>
        <w:tc>
          <w:tcPr>
            <w:tcW w:w="4720" w:type="dxa"/>
            <w:vAlign w:val="bottom"/>
          </w:tcPr>
          <w:p>
            <w:pPr>
              <w:ind w:left="20"/>
              <w:spacing w:after="0"/>
              <w:rPr>
                <w:sz w:val="20"/>
                <w:szCs w:val="20"/>
                <w:color w:val="auto"/>
              </w:rPr>
            </w:pPr>
            <w:r>
              <w:rPr>
                <w:rFonts w:ascii="Arial" w:cs="Arial" w:eastAsia="Arial" w:hAnsi="Arial"/>
                <w:sz w:val="16"/>
                <w:szCs w:val="16"/>
                <w:color w:val="auto"/>
              </w:rPr>
              <w:t>Net sales</w:t>
            </w:r>
          </w:p>
        </w:tc>
        <w:tc>
          <w:tcPr>
            <w:tcW w:w="1240" w:type="dxa"/>
            <w:vAlign w:val="bottom"/>
          </w:tcPr>
          <w:p>
            <w:pPr>
              <w:jc w:val="right"/>
              <w:ind w:right="242"/>
              <w:spacing w:after="0"/>
              <w:rPr>
                <w:sz w:val="20"/>
                <w:szCs w:val="20"/>
                <w:color w:val="auto"/>
              </w:rPr>
            </w:pPr>
            <w:r>
              <w:rPr>
                <w:rFonts w:ascii="Arial" w:cs="Arial" w:eastAsia="Arial" w:hAnsi="Arial"/>
                <w:sz w:val="16"/>
                <w:szCs w:val="16"/>
                <w:b w:val="1"/>
                <w:bCs w:val="1"/>
                <w:color w:val="auto"/>
              </w:rPr>
              <w:t>$118,933</w:t>
            </w:r>
          </w:p>
        </w:tc>
        <w:tc>
          <w:tcPr>
            <w:tcW w:w="1160" w:type="dxa"/>
            <w:vAlign w:val="bottom"/>
          </w:tcPr>
          <w:p>
            <w:pPr>
              <w:jc w:val="right"/>
              <w:ind w:right="260"/>
              <w:spacing w:after="0"/>
              <w:rPr>
                <w:sz w:val="20"/>
                <w:szCs w:val="20"/>
                <w:color w:val="auto"/>
              </w:rPr>
            </w:pPr>
            <w:r>
              <w:rPr>
                <w:rFonts w:ascii="Arial" w:cs="Arial" w:eastAsia="Arial" w:hAnsi="Arial"/>
                <w:sz w:val="16"/>
                <w:szCs w:val="16"/>
                <w:color w:val="auto"/>
              </w:rPr>
              <w:t>$93,590</w:t>
            </w:r>
          </w:p>
        </w:tc>
        <w:tc>
          <w:tcPr>
            <w:tcW w:w="1160" w:type="dxa"/>
            <w:vAlign w:val="bottom"/>
          </w:tcPr>
          <w:p>
            <w:pPr>
              <w:jc w:val="right"/>
              <w:ind w:right="202"/>
              <w:spacing w:after="0"/>
              <w:rPr>
                <w:sz w:val="20"/>
                <w:szCs w:val="20"/>
                <w:color w:val="auto"/>
              </w:rPr>
            </w:pPr>
            <w:r>
              <w:rPr>
                <w:rFonts w:ascii="Arial" w:cs="Arial" w:eastAsia="Arial" w:hAnsi="Arial"/>
                <w:sz w:val="16"/>
                <w:szCs w:val="16"/>
                <w:b w:val="1"/>
                <w:bCs w:val="1"/>
                <w:color w:val="auto"/>
              </w:rPr>
              <w:t>$225,972</w:t>
            </w:r>
          </w:p>
        </w:tc>
        <w:tc>
          <w:tcPr>
            <w:tcW w:w="1140" w:type="dxa"/>
            <w:vAlign w:val="bottom"/>
          </w:tcPr>
          <w:p>
            <w:pPr>
              <w:jc w:val="right"/>
              <w:ind w:right="160"/>
              <w:spacing w:after="0"/>
              <w:rPr>
                <w:sz w:val="20"/>
                <w:szCs w:val="20"/>
                <w:color w:val="auto"/>
              </w:rPr>
            </w:pPr>
            <w:r>
              <w:rPr>
                <w:rFonts w:ascii="Arial" w:cs="Arial" w:eastAsia="Arial" w:hAnsi="Arial"/>
                <w:sz w:val="16"/>
                <w:szCs w:val="16"/>
                <w:color w:val="auto"/>
              </w:rPr>
              <w:t>$175,420</w:t>
            </w:r>
          </w:p>
        </w:tc>
      </w:tr>
      <w:tr>
        <w:trPr>
          <w:trHeight w:val="215"/>
        </w:trPr>
        <w:tc>
          <w:tcPr>
            <w:tcW w:w="472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1240" w:type="dxa"/>
            <w:vAlign w:val="bottom"/>
          </w:tcPr>
          <w:p>
            <w:pPr>
              <w:jc w:val="right"/>
              <w:ind w:right="242"/>
              <w:spacing w:after="0"/>
              <w:rPr>
                <w:sz w:val="20"/>
                <w:szCs w:val="20"/>
                <w:color w:val="auto"/>
              </w:rPr>
            </w:pPr>
            <w:r>
              <w:rPr>
                <w:rFonts w:ascii="Arial" w:cs="Arial" w:eastAsia="Arial" w:hAnsi="Arial"/>
                <w:sz w:val="16"/>
                <w:szCs w:val="16"/>
                <w:b w:val="1"/>
                <w:bCs w:val="1"/>
                <w:color w:val="auto"/>
              </w:rPr>
              <w:t>24,895</w:t>
            </w:r>
          </w:p>
        </w:tc>
        <w:tc>
          <w:tcPr>
            <w:tcW w:w="1160" w:type="dxa"/>
            <w:vAlign w:val="bottom"/>
          </w:tcPr>
          <w:p>
            <w:pPr>
              <w:jc w:val="right"/>
              <w:ind w:right="260"/>
              <w:spacing w:after="0"/>
              <w:rPr>
                <w:sz w:val="20"/>
                <w:szCs w:val="20"/>
                <w:color w:val="auto"/>
              </w:rPr>
            </w:pPr>
            <w:r>
              <w:rPr>
                <w:rFonts w:ascii="Arial" w:cs="Arial" w:eastAsia="Arial" w:hAnsi="Arial"/>
                <w:sz w:val="16"/>
                <w:szCs w:val="16"/>
                <w:color w:val="auto"/>
              </w:rPr>
              <w:t>12,626</w:t>
            </w:r>
          </w:p>
        </w:tc>
        <w:tc>
          <w:tcPr>
            <w:tcW w:w="1160" w:type="dxa"/>
            <w:vAlign w:val="bottom"/>
          </w:tcPr>
          <w:p>
            <w:pPr>
              <w:jc w:val="right"/>
              <w:ind w:right="202"/>
              <w:spacing w:after="0"/>
              <w:rPr>
                <w:sz w:val="20"/>
                <w:szCs w:val="20"/>
                <w:color w:val="auto"/>
              </w:rPr>
            </w:pPr>
            <w:r>
              <w:rPr>
                <w:rFonts w:ascii="Arial" w:cs="Arial" w:eastAsia="Arial" w:hAnsi="Arial"/>
                <w:sz w:val="16"/>
                <w:szCs w:val="16"/>
                <w:b w:val="1"/>
                <w:bCs w:val="1"/>
                <w:color w:val="auto"/>
              </w:rPr>
              <w:t>42,138</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24,150</w:t>
            </w: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 of Net sales</w:t>
            </w:r>
          </w:p>
        </w:tc>
        <w:tc>
          <w:tcPr>
            <w:tcW w:w="1240" w:type="dxa"/>
            <w:vAlign w:val="bottom"/>
          </w:tcPr>
          <w:p>
            <w:pPr>
              <w:jc w:val="right"/>
              <w:ind w:right="162"/>
              <w:spacing w:after="0"/>
              <w:rPr>
                <w:sz w:val="20"/>
                <w:szCs w:val="20"/>
                <w:color w:val="auto"/>
              </w:rPr>
            </w:pPr>
            <w:r>
              <w:rPr>
                <w:rFonts w:ascii="Arial" w:cs="Arial" w:eastAsia="Arial" w:hAnsi="Arial"/>
                <w:sz w:val="16"/>
                <w:szCs w:val="16"/>
                <w:b w:val="1"/>
                <w:bCs w:val="1"/>
                <w:color w:val="auto"/>
              </w:rPr>
              <w:t>20.9%</w:t>
            </w:r>
          </w:p>
        </w:tc>
        <w:tc>
          <w:tcPr>
            <w:tcW w:w="1160" w:type="dxa"/>
            <w:vAlign w:val="bottom"/>
          </w:tcPr>
          <w:p>
            <w:pPr>
              <w:jc w:val="right"/>
              <w:ind w:right="200"/>
              <w:spacing w:after="0"/>
              <w:rPr>
                <w:sz w:val="20"/>
                <w:szCs w:val="20"/>
                <w:color w:val="auto"/>
              </w:rPr>
            </w:pPr>
            <w:r>
              <w:rPr>
                <w:rFonts w:ascii="Arial" w:cs="Arial" w:eastAsia="Arial" w:hAnsi="Arial"/>
                <w:sz w:val="16"/>
                <w:szCs w:val="16"/>
                <w:color w:val="auto"/>
              </w:rPr>
              <w:t>13.5%</w:t>
            </w:r>
          </w:p>
        </w:tc>
        <w:tc>
          <w:tcPr>
            <w:tcW w:w="1160" w:type="dxa"/>
            <w:vAlign w:val="bottom"/>
          </w:tcPr>
          <w:p>
            <w:pPr>
              <w:jc w:val="right"/>
              <w:ind w:right="142"/>
              <w:spacing w:after="0"/>
              <w:rPr>
                <w:sz w:val="20"/>
                <w:szCs w:val="20"/>
                <w:color w:val="auto"/>
              </w:rPr>
            </w:pPr>
            <w:r>
              <w:rPr>
                <w:rFonts w:ascii="Arial" w:cs="Arial" w:eastAsia="Arial" w:hAnsi="Arial"/>
                <w:sz w:val="16"/>
                <w:szCs w:val="16"/>
                <w:b w:val="1"/>
                <w:bCs w:val="1"/>
                <w:color w:val="auto"/>
              </w:rPr>
              <w:t>18.6%</w:t>
            </w:r>
          </w:p>
        </w:tc>
        <w:tc>
          <w:tcPr>
            <w:tcW w:w="1140" w:type="dxa"/>
            <w:vAlign w:val="bottom"/>
          </w:tcPr>
          <w:p>
            <w:pPr>
              <w:jc w:val="right"/>
              <w:ind w:right="100"/>
              <w:spacing w:after="0"/>
              <w:rPr>
                <w:sz w:val="20"/>
                <w:szCs w:val="20"/>
                <w:color w:val="auto"/>
              </w:rPr>
            </w:pPr>
            <w:r>
              <w:rPr>
                <w:rFonts w:ascii="Arial" w:cs="Arial" w:eastAsia="Arial" w:hAnsi="Arial"/>
                <w:sz w:val="16"/>
                <w:szCs w:val="16"/>
                <w:color w:val="auto"/>
              </w:rPr>
              <w:t>13.8%</w:t>
            </w:r>
          </w:p>
        </w:tc>
      </w:tr>
      <w:tr>
        <w:trPr>
          <w:trHeight w:val="216"/>
        </w:trPr>
        <w:tc>
          <w:tcPr>
            <w:tcW w:w="4720" w:type="dxa"/>
            <w:vAlign w:val="bottom"/>
          </w:tcPr>
          <w:p>
            <w:pPr>
              <w:ind w:left="20"/>
              <w:spacing w:after="0"/>
              <w:rPr>
                <w:sz w:val="20"/>
                <w:szCs w:val="20"/>
                <w:color w:val="auto"/>
              </w:rPr>
            </w:pPr>
            <w:r>
              <w:rPr>
                <w:rFonts w:ascii="Arial" w:cs="Arial" w:eastAsia="Arial" w:hAnsi="Arial"/>
                <w:sz w:val="16"/>
                <w:szCs w:val="16"/>
                <w:color w:val="auto"/>
              </w:rPr>
              <w:t>STG&amp;R expenses</w:t>
            </w:r>
          </w:p>
        </w:tc>
        <w:tc>
          <w:tcPr>
            <w:tcW w:w="1240" w:type="dxa"/>
            <w:vAlign w:val="bottom"/>
          </w:tcPr>
          <w:p>
            <w:pPr>
              <w:jc w:val="right"/>
              <w:ind w:right="242"/>
              <w:spacing w:after="0"/>
              <w:rPr>
                <w:sz w:val="20"/>
                <w:szCs w:val="20"/>
                <w:color w:val="auto"/>
              </w:rPr>
            </w:pPr>
            <w:r>
              <w:rPr>
                <w:rFonts w:ascii="Arial" w:cs="Arial" w:eastAsia="Arial" w:hAnsi="Arial"/>
                <w:sz w:val="16"/>
                <w:szCs w:val="16"/>
                <w:b w:val="1"/>
                <w:bCs w:val="1"/>
                <w:color w:val="auto"/>
              </w:rPr>
              <w:t>7,195</w:t>
            </w:r>
          </w:p>
        </w:tc>
        <w:tc>
          <w:tcPr>
            <w:tcW w:w="1160" w:type="dxa"/>
            <w:vAlign w:val="bottom"/>
          </w:tcPr>
          <w:p>
            <w:pPr>
              <w:jc w:val="right"/>
              <w:ind w:right="260"/>
              <w:spacing w:after="0"/>
              <w:rPr>
                <w:sz w:val="20"/>
                <w:szCs w:val="20"/>
                <w:color w:val="auto"/>
              </w:rPr>
            </w:pPr>
            <w:r>
              <w:rPr>
                <w:rFonts w:ascii="Arial" w:cs="Arial" w:eastAsia="Arial" w:hAnsi="Arial"/>
                <w:sz w:val="16"/>
                <w:szCs w:val="16"/>
                <w:color w:val="auto"/>
              </w:rPr>
              <w:t>7,976</w:t>
            </w:r>
          </w:p>
        </w:tc>
        <w:tc>
          <w:tcPr>
            <w:tcW w:w="1160" w:type="dxa"/>
            <w:vAlign w:val="bottom"/>
          </w:tcPr>
          <w:p>
            <w:pPr>
              <w:jc w:val="right"/>
              <w:ind w:right="202"/>
              <w:spacing w:after="0"/>
              <w:rPr>
                <w:sz w:val="20"/>
                <w:szCs w:val="20"/>
                <w:color w:val="auto"/>
              </w:rPr>
            </w:pPr>
            <w:r>
              <w:rPr>
                <w:rFonts w:ascii="Arial" w:cs="Arial" w:eastAsia="Arial" w:hAnsi="Arial"/>
                <w:sz w:val="16"/>
                <w:szCs w:val="16"/>
                <w:b w:val="1"/>
                <w:bCs w:val="1"/>
                <w:color w:val="auto"/>
              </w:rPr>
              <w:t>14,832</w:t>
            </w:r>
          </w:p>
        </w:tc>
        <w:tc>
          <w:tcPr>
            <w:tcW w:w="1140" w:type="dxa"/>
            <w:vAlign w:val="bottom"/>
          </w:tcPr>
          <w:p>
            <w:pPr>
              <w:jc w:val="right"/>
              <w:ind w:right="180"/>
              <w:spacing w:after="0"/>
              <w:rPr>
                <w:sz w:val="20"/>
                <w:szCs w:val="20"/>
                <w:color w:val="auto"/>
              </w:rPr>
            </w:pPr>
            <w:r>
              <w:rPr>
                <w:rFonts w:ascii="Arial" w:cs="Arial" w:eastAsia="Arial" w:hAnsi="Arial"/>
                <w:sz w:val="16"/>
                <w:szCs w:val="16"/>
                <w:color w:val="auto"/>
              </w:rPr>
              <w:t>17,004</w:t>
            </w:r>
          </w:p>
        </w:tc>
      </w:tr>
      <w:tr>
        <w:trPr>
          <w:trHeight w:val="219"/>
        </w:trPr>
        <w:tc>
          <w:tcPr>
            <w:tcW w:w="47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Operating income</w:t>
            </w:r>
          </w:p>
        </w:tc>
        <w:tc>
          <w:tcPr>
            <w:tcW w:w="1240" w:type="dxa"/>
            <w:vAlign w:val="bottom"/>
            <w:tcBorders>
              <w:bottom w:val="single" w:sz="8" w:color="auto"/>
            </w:tcBorders>
          </w:tcPr>
          <w:p>
            <w:pPr>
              <w:jc w:val="right"/>
              <w:ind w:right="242"/>
              <w:spacing w:after="0"/>
              <w:rPr>
                <w:sz w:val="20"/>
                <w:szCs w:val="20"/>
                <w:color w:val="auto"/>
              </w:rPr>
            </w:pPr>
            <w:r>
              <w:rPr>
                <w:rFonts w:ascii="Arial" w:cs="Arial" w:eastAsia="Arial" w:hAnsi="Arial"/>
                <w:sz w:val="16"/>
                <w:szCs w:val="16"/>
                <w:b w:val="1"/>
                <w:bCs w:val="1"/>
                <w:color w:val="auto"/>
              </w:rPr>
              <w:t>17,732</w:t>
            </w:r>
          </w:p>
        </w:tc>
        <w:tc>
          <w:tcPr>
            <w:tcW w:w="11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4,092</w:t>
            </w:r>
          </w:p>
        </w:tc>
        <w:tc>
          <w:tcPr>
            <w:tcW w:w="1160" w:type="dxa"/>
            <w:vAlign w:val="bottom"/>
            <w:tcBorders>
              <w:bottom w:val="single" w:sz="8" w:color="auto"/>
            </w:tcBorders>
          </w:tcPr>
          <w:p>
            <w:pPr>
              <w:jc w:val="right"/>
              <w:ind w:right="202"/>
              <w:spacing w:after="0"/>
              <w:rPr>
                <w:sz w:val="20"/>
                <w:szCs w:val="20"/>
                <w:color w:val="auto"/>
              </w:rPr>
            </w:pPr>
            <w:r>
              <w:rPr>
                <w:rFonts w:ascii="Arial" w:cs="Arial" w:eastAsia="Arial" w:hAnsi="Arial"/>
                <w:sz w:val="16"/>
                <w:szCs w:val="16"/>
                <w:b w:val="1"/>
                <w:bCs w:val="1"/>
                <w:color w:val="auto"/>
              </w:rPr>
              <w:t>27,254</w:t>
            </w:r>
          </w:p>
        </w:tc>
        <w:tc>
          <w:tcPr>
            <w:tcW w:w="114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6,366</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63" w:lineRule="exact"/>
        <w:rPr>
          <w:sz w:val="20"/>
          <w:szCs w:val="20"/>
          <w:color w:val="auto"/>
        </w:rPr>
      </w:pPr>
    </w:p>
    <w:p>
      <w:pPr>
        <w:ind w:left="580" w:hanging="248"/>
        <w:spacing w:after="0"/>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sales increased by 27.1%.</w:t>
      </w:r>
    </w:p>
    <w:p>
      <w:pPr>
        <w:spacing w:after="0" w:line="49"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increased 28.2% primarily driven by growth in the LEAP, F-35 and Boeing 787 fuselage frames programs.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50" w:lineRule="exact"/>
        <w:rPr>
          <w:sz w:val="20"/>
          <w:szCs w:val="20"/>
          <w:color w:val="auto"/>
        </w:rPr>
      </w:pPr>
    </w:p>
    <w:p>
      <w:pPr>
        <w:ind w:left="580" w:hanging="248"/>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Net sales increased by 28.8%.</w:t>
      </w:r>
    </w:p>
    <w:p>
      <w:pPr>
        <w:spacing w:after="0" w:line="63" w:lineRule="exact"/>
        <w:rPr>
          <w:rFonts w:ascii="Arial" w:cs="Arial" w:eastAsia="Arial" w:hAnsi="Arial"/>
          <w:sz w:val="18"/>
          <w:szCs w:val="18"/>
          <w:color w:val="auto"/>
        </w:rPr>
      </w:pPr>
    </w:p>
    <w:p>
      <w:pPr>
        <w:ind w:left="580" w:hanging="248"/>
        <w:spacing w:after="0" w:line="246"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Excluding the effect of changes in currency translation rates, Net sales increased 30.5% primarily driven by growth in the LEAP, F-35, Boeing 787 fuselage frames, and CH-53K programs.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increase in Gross profit of $ 12.3 million was principally due to the increase in Net sales, as described above, improved labor productivity, and the effect of changes in the estimated profitability of long-term contracts which increased Gross profit by $5.0 million in the second quarter of 2019, compared to a decrease of $1.6 million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The increase in Gross profit of $18.0 million was principally due to the increase in Net sales, as described above, improved labor productivity, and the effect of changes in the estimated profitability of long-term contracts which increased Gross profit by $5.6 million in the first six months of 2019, compared to a decrease of $1.6 million in 2018.</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 fee agreement. Revenue earned under these arrangements accounted for approximately 50 percent of segment revenue for each of the first six months of 2019 and 2018.</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Changes in contract estimates resulted in an increase to Gross profit of $5.6 million in the first six months of 2019, compared to a decrease to Gross profit of $1.6 million for the first six months of 2018.</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Income/(Loss)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increase in operating income of $13.6 million in the second quarter of 2019 was principally due to the net effect of the following individually significant items:</w:t>
      </w:r>
    </w:p>
    <w:p>
      <w:pPr>
        <w:spacing w:after="0" w:line="35" w:lineRule="exact"/>
        <w:rPr>
          <w:sz w:val="20"/>
          <w:szCs w:val="20"/>
          <w:color w:val="auto"/>
        </w:rPr>
      </w:pPr>
    </w:p>
    <w:p>
      <w:pPr>
        <w:ind w:left="580" w:hanging="248"/>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$12.3 million increase in Gross profit, as described above.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$0.8 million decrease in STG&amp;R expenses, due to lower compensation and professional fees in 2019.</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 comparison</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The increase in operating income of $20.9 million in the second quarter of 2019 was principally due to the net effect of the following individually significant items:</w:t>
      </w:r>
    </w:p>
    <w:p>
      <w:pPr>
        <w:spacing w:after="0" w:line="48" w:lineRule="exact"/>
        <w:rPr>
          <w:sz w:val="20"/>
          <w:szCs w:val="20"/>
          <w:color w:val="auto"/>
        </w:rPr>
      </w:pPr>
    </w:p>
    <w:p>
      <w:pPr>
        <w:ind w:left="580" w:hanging="248"/>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$18 million increase in Gross profit, as described above.</w:t>
      </w:r>
    </w:p>
    <w:p>
      <w:pPr>
        <w:spacing w:after="0" w:line="49" w:lineRule="exact"/>
        <w:rPr>
          <w:rFonts w:ascii="Arial" w:cs="Arial" w:eastAsia="Arial" w:hAnsi="Arial"/>
          <w:sz w:val="18"/>
          <w:szCs w:val="18"/>
          <w:color w:val="auto"/>
        </w:rPr>
      </w:pPr>
    </w:p>
    <w:p>
      <w:pPr>
        <w:ind w:left="580" w:hanging="248"/>
        <w:spacing w:after="0"/>
        <w:tabs>
          <w:tab w:leader="none" w:pos="5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$2.2 million decrease in STG&amp;R expenses, due to lower compensation and professional fees in 2019.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tcBorders>
              <w:top w:val="single" w:sz="8" w:color="auto"/>
            </w:tcBorders>
          </w:tcPr>
          <w:p>
            <w:pPr>
              <w:spacing w:after="0"/>
              <w:rPr>
                <w:sz w:val="17"/>
                <w:szCs w:val="17"/>
                <w:color w:val="auto"/>
              </w:rPr>
            </w:pPr>
          </w:p>
        </w:tc>
        <w:tc>
          <w:tcPr>
            <w:tcW w:w="2720" w:type="dxa"/>
            <w:vAlign w:val="bottom"/>
            <w:tcBorders>
              <w:top w:val="single" w:sz="8" w:color="auto"/>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r>
      <w:tr>
        <w:trPr>
          <w:trHeight w:val="183"/>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2019</w:t>
            </w: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r>
      <w:tr>
        <w:trPr>
          <w:trHeight w:val="205"/>
        </w:trPr>
        <w:tc>
          <w:tcPr>
            <w:tcW w:w="87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$ 63,667</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$ 37,742</w:t>
            </w:r>
          </w:p>
        </w:tc>
      </w:tr>
      <w:tr>
        <w:trPr>
          <w:trHeight w:val="215"/>
        </w:trPr>
        <w:tc>
          <w:tcPr>
            <w:tcW w:w="870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35,710</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40,621</w:t>
            </w: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Changes in working capital</w:t>
            </w:r>
          </w:p>
        </w:tc>
        <w:tc>
          <w:tcPr>
            <w:tcW w:w="1360" w:type="dxa"/>
            <w:vAlign w:val="bottom"/>
          </w:tcPr>
          <w:p>
            <w:pPr>
              <w:jc w:val="right"/>
              <w:ind w:right="260"/>
              <w:spacing w:after="0"/>
              <w:rPr>
                <w:sz w:val="20"/>
                <w:szCs w:val="20"/>
                <w:color w:val="auto"/>
              </w:rPr>
            </w:pPr>
            <w:r>
              <w:rPr>
                <w:rFonts w:ascii="Arial" w:cs="Arial" w:eastAsia="Arial" w:hAnsi="Arial"/>
                <w:sz w:val="16"/>
                <w:szCs w:val="16"/>
                <w:b w:val="1"/>
                <w:bCs w:val="1"/>
                <w:color w:val="auto"/>
              </w:rPr>
              <w:t>(4,836)</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(53,460)</w:t>
            </w: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Changes in other noncurrent liabilities and deferred taxes</w:t>
            </w:r>
          </w:p>
        </w:tc>
        <w:tc>
          <w:tcPr>
            <w:tcW w:w="1360" w:type="dxa"/>
            <w:vAlign w:val="bottom"/>
          </w:tcPr>
          <w:p>
            <w:pPr>
              <w:jc w:val="right"/>
              <w:ind w:right="260"/>
              <w:spacing w:after="0"/>
              <w:rPr>
                <w:sz w:val="20"/>
                <w:szCs w:val="20"/>
                <w:color w:val="auto"/>
              </w:rPr>
            </w:pPr>
            <w:r>
              <w:rPr>
                <w:rFonts w:ascii="Arial" w:cs="Arial" w:eastAsia="Arial" w:hAnsi="Arial"/>
                <w:sz w:val="16"/>
                <w:szCs w:val="16"/>
                <w:b w:val="1"/>
                <w:bCs w:val="1"/>
                <w:color w:val="auto"/>
              </w:rPr>
              <w:t>(2,906)</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(9,442)</w:t>
            </w:r>
          </w:p>
        </w:tc>
      </w:tr>
      <w:tr>
        <w:trPr>
          <w:trHeight w:val="219"/>
        </w:trPr>
        <w:tc>
          <w:tcPr>
            <w:tcW w:w="87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Other operating items</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(8,539)</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1,279</w:t>
            </w:r>
          </w:p>
        </w:tc>
      </w:tr>
      <w:tr>
        <w:trPr>
          <w:trHeight w:val="208"/>
        </w:trPr>
        <w:tc>
          <w:tcPr>
            <w:tcW w:w="8700" w:type="dxa"/>
            <w:vAlign w:val="bottom"/>
          </w:tcPr>
          <w:p>
            <w:pPr>
              <w:ind w:left="20"/>
              <w:spacing w:after="0"/>
              <w:rPr>
                <w:sz w:val="20"/>
                <w:szCs w:val="20"/>
                <w:color w:val="auto"/>
              </w:rPr>
            </w:pPr>
            <w:r>
              <w:rPr>
                <w:rFonts w:ascii="Arial" w:cs="Arial" w:eastAsia="Arial" w:hAnsi="Arial"/>
                <w:sz w:val="16"/>
                <w:szCs w:val="16"/>
                <w:color w:val="auto"/>
              </w:rPr>
              <w:t>Net cash provided by/(used in) operating activities</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83,096</w:t>
            </w:r>
          </w:p>
        </w:tc>
        <w:tc>
          <w:tcPr>
            <w:tcW w:w="1360" w:type="dxa"/>
            <w:vAlign w:val="bottom"/>
          </w:tcPr>
          <w:p>
            <w:pPr>
              <w:jc w:val="right"/>
              <w:ind w:right="280"/>
              <w:spacing w:after="0"/>
              <w:rPr>
                <w:sz w:val="20"/>
                <w:szCs w:val="20"/>
                <w:color w:val="auto"/>
              </w:rPr>
            </w:pPr>
            <w:r>
              <w:rPr>
                <w:rFonts w:ascii="Arial" w:cs="Arial" w:eastAsia="Arial" w:hAnsi="Arial"/>
                <w:sz w:val="16"/>
                <w:szCs w:val="16"/>
                <w:color w:val="auto"/>
              </w:rPr>
              <w:t>16,740</w:t>
            </w:r>
          </w:p>
        </w:tc>
      </w:tr>
      <w:tr>
        <w:trPr>
          <w:trHeight w:val="215"/>
        </w:trPr>
        <w:tc>
          <w:tcPr>
            <w:tcW w:w="870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1360" w:type="dxa"/>
            <w:vAlign w:val="bottom"/>
          </w:tcPr>
          <w:p>
            <w:pPr>
              <w:jc w:val="right"/>
              <w:ind w:right="260"/>
              <w:spacing w:after="0"/>
              <w:rPr>
                <w:sz w:val="20"/>
                <w:szCs w:val="20"/>
                <w:color w:val="auto"/>
              </w:rPr>
            </w:pPr>
            <w:r>
              <w:rPr>
                <w:rFonts w:ascii="Arial" w:cs="Arial" w:eastAsia="Arial" w:hAnsi="Arial"/>
                <w:sz w:val="16"/>
                <w:szCs w:val="16"/>
                <w:b w:val="1"/>
                <w:bCs w:val="1"/>
                <w:color w:val="auto"/>
              </w:rPr>
              <w:t>(35,453)</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(39,175)</w:t>
            </w:r>
          </w:p>
        </w:tc>
      </w:tr>
      <w:tr>
        <w:trPr>
          <w:trHeight w:val="216"/>
        </w:trPr>
        <w:tc>
          <w:tcPr>
            <w:tcW w:w="8700" w:type="dxa"/>
            <w:vAlign w:val="bottom"/>
          </w:tcPr>
          <w:p>
            <w:pPr>
              <w:ind w:left="20"/>
              <w:spacing w:after="0"/>
              <w:rPr>
                <w:sz w:val="20"/>
                <w:szCs w:val="20"/>
                <w:color w:val="auto"/>
              </w:rPr>
            </w:pPr>
            <w:r>
              <w:rPr>
                <w:rFonts w:ascii="Arial" w:cs="Arial" w:eastAsia="Arial" w:hAnsi="Arial"/>
                <w:sz w:val="16"/>
                <w:szCs w:val="16"/>
                <w:color w:val="auto"/>
              </w:rPr>
              <w:t>Net cash used in financing activities</w:t>
            </w:r>
          </w:p>
        </w:tc>
        <w:tc>
          <w:tcPr>
            <w:tcW w:w="1360" w:type="dxa"/>
            <w:vAlign w:val="bottom"/>
          </w:tcPr>
          <w:p>
            <w:pPr>
              <w:jc w:val="right"/>
              <w:ind w:right="260"/>
              <w:spacing w:after="0"/>
              <w:rPr>
                <w:sz w:val="20"/>
                <w:szCs w:val="20"/>
                <w:color w:val="auto"/>
              </w:rPr>
            </w:pPr>
            <w:r>
              <w:rPr>
                <w:rFonts w:ascii="Arial" w:cs="Arial" w:eastAsia="Arial" w:hAnsi="Arial"/>
                <w:sz w:val="16"/>
                <w:szCs w:val="16"/>
                <w:b w:val="1"/>
                <w:bCs w:val="1"/>
                <w:color w:val="auto"/>
              </w:rPr>
              <w:t>(30,106)</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(3,570)</w:t>
            </w:r>
          </w:p>
        </w:tc>
      </w:tr>
      <w:tr>
        <w:trPr>
          <w:trHeight w:val="219"/>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(59)</w:t>
            </w:r>
          </w:p>
        </w:tc>
        <w:tc>
          <w:tcPr>
            <w:tcW w:w="136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(2,978)</w:t>
            </w:r>
          </w:p>
        </w:tc>
      </w:tr>
      <w:tr>
        <w:trPr>
          <w:trHeight w:val="208"/>
        </w:trPr>
        <w:tc>
          <w:tcPr>
            <w:tcW w:w="8700" w:type="dxa"/>
            <w:vAlign w:val="bottom"/>
          </w:tcPr>
          <w:p>
            <w:pPr>
              <w:ind w:left="20"/>
              <w:spacing w:after="0"/>
              <w:rPr>
                <w:sz w:val="20"/>
                <w:szCs w:val="20"/>
                <w:color w:val="auto"/>
              </w:rPr>
            </w:pPr>
            <w:r>
              <w:rPr>
                <w:rFonts w:ascii="Arial" w:cs="Arial" w:eastAsia="Arial" w:hAnsi="Arial"/>
                <w:sz w:val="16"/>
                <w:szCs w:val="16"/>
                <w:color w:val="auto"/>
              </w:rPr>
              <w:t>Decrease in cash and cash equivalents</w:t>
            </w:r>
          </w:p>
        </w:tc>
        <w:tc>
          <w:tcPr>
            <w:tcW w:w="1360" w:type="dxa"/>
            <w:vAlign w:val="bottom"/>
          </w:tcPr>
          <w:p>
            <w:pPr>
              <w:jc w:val="right"/>
              <w:ind w:right="280"/>
              <w:spacing w:after="0"/>
              <w:rPr>
                <w:sz w:val="20"/>
                <w:szCs w:val="20"/>
                <w:color w:val="auto"/>
              </w:rPr>
            </w:pPr>
            <w:r>
              <w:rPr>
                <w:rFonts w:ascii="Arial" w:cs="Arial" w:eastAsia="Arial" w:hAnsi="Arial"/>
                <w:sz w:val="16"/>
                <w:szCs w:val="16"/>
                <w:b w:val="1"/>
                <w:bCs w:val="1"/>
                <w:color w:val="auto"/>
              </w:rPr>
              <w:t>17,478</w:t>
            </w:r>
          </w:p>
        </w:tc>
        <w:tc>
          <w:tcPr>
            <w:tcW w:w="1360" w:type="dxa"/>
            <w:vAlign w:val="bottom"/>
          </w:tcPr>
          <w:p>
            <w:pPr>
              <w:jc w:val="right"/>
              <w:ind w:right="260"/>
              <w:spacing w:after="0"/>
              <w:rPr>
                <w:sz w:val="20"/>
                <w:szCs w:val="20"/>
                <w:color w:val="auto"/>
              </w:rPr>
            </w:pPr>
            <w:r>
              <w:rPr>
                <w:rFonts w:ascii="Arial" w:cs="Arial" w:eastAsia="Arial" w:hAnsi="Arial"/>
                <w:sz w:val="16"/>
                <w:szCs w:val="16"/>
                <w:color w:val="auto"/>
              </w:rPr>
              <w:t>(28,983)</w:t>
            </w:r>
          </w:p>
        </w:tc>
      </w:tr>
      <w:tr>
        <w:trPr>
          <w:trHeight w:val="218"/>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beginning of year</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197,755</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183,727</w:t>
            </w:r>
          </w:p>
        </w:tc>
      </w:tr>
      <w:tr>
        <w:trPr>
          <w:trHeight w:val="212"/>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b w:val="1"/>
                <w:bCs w:val="1"/>
                <w:color w:val="auto"/>
              </w:rPr>
              <w:t>$215,233</w:t>
            </w:r>
          </w:p>
        </w:tc>
        <w:tc>
          <w:tcPr>
            <w:tcW w:w="1360" w:type="dxa"/>
            <w:vAlign w:val="bottom"/>
            <w:tcBorders>
              <w:bottom w:val="single" w:sz="8" w:color="auto"/>
            </w:tcBorders>
          </w:tcPr>
          <w:p>
            <w:pPr>
              <w:jc w:val="right"/>
              <w:ind w:right="280"/>
              <w:spacing w:after="0"/>
              <w:rPr>
                <w:sz w:val="20"/>
                <w:szCs w:val="20"/>
                <w:color w:val="auto"/>
              </w:rPr>
            </w:pPr>
            <w:r>
              <w:rPr>
                <w:rFonts w:ascii="Arial" w:cs="Arial" w:eastAsia="Arial" w:hAnsi="Arial"/>
                <w:sz w:val="16"/>
                <w:szCs w:val="16"/>
                <w:color w:val="auto"/>
              </w:rPr>
              <w:t>$154,744</w:t>
            </w:r>
          </w:p>
        </w:tc>
      </w:tr>
    </w:tbl>
    <w:p>
      <w:pPr>
        <w:spacing w:after="0" w:line="1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  Includes Accounts receivable, Contract assets, Inventories, and Accounts payable.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Cash flow provided by operating activities was $83.1 million and $16.7 million for the first six months of 2019 and 2018, respectively. The net increase in cash provided by operating activities in 2019 was due to increased profitability in both MC and AEC, and improved management of working capital that resulted from a number of improvement initiatives.</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Cash paid for income taxes was $17.4 million and $14.0 million for the first six months of 2019 and 2018, respectively. The increase is primarily due to an increase in withholding taxes paid on behalf of Switzerland related to dividend payments made to Switzerland and an increase in corporate income tax payments due to increased pre-tax income in Mexico and an increase in state corporate income tax payments in 2019 in the US.</w:t>
      </w:r>
    </w:p>
    <w:p>
      <w:pPr>
        <w:spacing w:after="0" w:line="9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At June 30, 2019, we had $215.2 million of cash and cash equivalents, of which $157.7 million was held by subsidiaries outside of the 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Capital expenditures for the first six months were $35.5 million in 2019 and $39.2 million in 2018.</w:t>
      </w:r>
    </w:p>
    <w:p>
      <w:pPr>
        <w:spacing w:after="0" w:line="10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be significant. Substantially all of our cash balance at June 30, 2019 was held by non-U.S. subsidiaries. Based on cash on hand and credit facilities, we anticipate that the Company has sufficient capital resources to operate for the foreseeable future. We were in compliance with all debt covenants as of June 30, 2019.</w:t>
      </w:r>
    </w:p>
    <w:p>
      <w:pPr>
        <w:spacing w:after="0" w:line="17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$482 million of borrowings were outstanding as of June 30, 2019. The applicable interest rate for borrowings was LIBOR plus a spread, based on our leverage ratio at the time of borrowing. At the time of the last borrowing on June 17, 2019, the spread was 1.375%. The spread was based on a pricing grid, which ranged from 1.250% to 1.750%, based on our leverage ratio. Based on our maximum leverage ratio and our Consolidated EBITDA, and without modification to any other credit agreements, as of June 30, 2019, we would have been able to borrow an additional $203 million under the Agreement.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more information, see Note 15 to the Consolidated Financial Statements in Item 1, which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2019, we have no off-balance sheet arrangements required to be disclosed pursuant to Item 303(a)(4) of Regulation S-K.</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changes in Net debt excluding reductions in both due to the effect of changes to the treatment of leases due to the adoption of ASC 842; and Adjusted earnings per share (or Adjusted EPS). Such items are provided because management believes that they provide additional useful information to investors regarding the Company’s operational performance.</w:t>
      </w:r>
    </w:p>
    <w:p>
      <w:pPr>
        <w:spacing w:after="0" w:line="97"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w:t>
      </w:r>
    </w:p>
    <w:p>
      <w:pPr>
        <w:spacing w:after="0" w:line="94"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The Company calculates EBITDA by removing the following from Net income: Interest expense net, Income tax expense, Depreciation and amortization. Adjusted EBITDA is calculated by: adding to EBITDA costs associated with restructuring, and inventory write-offs associated with discontinued businesses; charges and credits related to pension plan settlements; adding (or subtracting) revaluation losses (or gains); subtracting (or adding) gains (or losses) from the sale of buildings or investments; subtracting insurance recovery gains in excess of previously recorded losses; and subtracting (or adding) Income (or loss) attributable to the non-controlling interest in Albany Safran Composites (ASC). Adjusted EBITDA may also be presented as a percentage of net sales by dividing it by net sales. An understanding of the impact in a particular quarter of specific restructuring costs, currency revaluation,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headcount in response to shifting markets, and not of the profitability of the business going forward as restructured. Adjusted earnings per share (Adjusted EPS) is calculated by adding to (or subtracting from) net income attributable to the Company per share, on an after-tax basis: restructuring charges; charges and credits related to pension plan settlements and curtailments; inventory write-offs associated with discontinued businesses; foreign currency revaluation losses (or gains); acquisition expenses; and losses (or gains) from the sale of investments.</w:t>
      </w:r>
    </w:p>
    <w:p>
      <w:pPr>
        <w:spacing w:after="0" w:line="17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EBITDA, Adjusted EBITDA, and Adjusted EPS,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16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Machine Clothing</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other</w:t>
            </w:r>
          </w:p>
        </w:tc>
        <w:tc>
          <w:tcPr>
            <w:tcW w:w="15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08"/>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1680" w:type="dxa"/>
            <w:vAlign w:val="bottom"/>
          </w:tcPr>
          <w:p>
            <w:pPr>
              <w:jc w:val="right"/>
              <w:ind w:right="380"/>
              <w:spacing w:after="0"/>
              <w:rPr>
                <w:sz w:val="20"/>
                <w:szCs w:val="20"/>
                <w:color w:val="auto"/>
              </w:rPr>
            </w:pPr>
            <w:r>
              <w:rPr>
                <w:rFonts w:ascii="Arial" w:cs="Arial" w:eastAsia="Arial" w:hAnsi="Arial"/>
                <w:sz w:val="16"/>
                <w:szCs w:val="16"/>
                <w:b w:val="1"/>
                <w:bCs w:val="1"/>
                <w:color w:val="auto"/>
              </w:rPr>
              <w:t>$49,538</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$17,732</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$(13,045)</w:t>
            </w:r>
          </w:p>
        </w:tc>
        <w:tc>
          <w:tcPr>
            <w:tcW w:w="1520" w:type="dxa"/>
            <w:vAlign w:val="bottom"/>
          </w:tcPr>
          <w:p>
            <w:pPr>
              <w:jc w:val="right"/>
              <w:ind w:right="420"/>
              <w:spacing w:after="0"/>
              <w:rPr>
                <w:sz w:val="20"/>
                <w:szCs w:val="20"/>
                <w:color w:val="auto"/>
              </w:rPr>
            </w:pPr>
            <w:r>
              <w:rPr>
                <w:rFonts w:ascii="Arial" w:cs="Arial" w:eastAsia="Arial" w:hAnsi="Arial"/>
                <w:sz w:val="16"/>
                <w:szCs w:val="16"/>
                <w:b w:val="1"/>
                <w:bCs w:val="1"/>
                <w:color w:val="auto"/>
              </w:rPr>
              <w:t>$ 54,225</w:t>
            </w: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6"/>
                <w:szCs w:val="16"/>
                <w:color w:val="auto"/>
              </w:rPr>
              <w:t>Interest, taxes, other income/(expense)</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(19,966)</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(19,966)</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1680" w:type="dxa"/>
            <w:vAlign w:val="bottom"/>
          </w:tcPr>
          <w:p>
            <w:pPr>
              <w:jc w:val="right"/>
              <w:ind w:right="380"/>
              <w:spacing w:after="0"/>
              <w:rPr>
                <w:sz w:val="20"/>
                <w:szCs w:val="20"/>
                <w:color w:val="auto"/>
              </w:rPr>
            </w:pPr>
            <w:r>
              <w:rPr>
                <w:rFonts w:ascii="Arial" w:cs="Arial" w:eastAsia="Arial" w:hAnsi="Arial"/>
                <w:sz w:val="16"/>
                <w:szCs w:val="16"/>
                <w:b w:val="1"/>
                <w:bCs w:val="1"/>
                <w:color w:val="auto"/>
              </w:rPr>
              <w:t>49,538</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17,732</w:t>
            </w:r>
          </w:p>
        </w:tc>
        <w:tc>
          <w:tcPr>
            <w:tcW w:w="1700" w:type="dxa"/>
            <w:vAlign w:val="bottom"/>
          </w:tcPr>
          <w:p>
            <w:pPr>
              <w:jc w:val="right"/>
              <w:ind w:right="460"/>
              <w:spacing w:after="0"/>
              <w:rPr>
                <w:sz w:val="20"/>
                <w:szCs w:val="20"/>
                <w:color w:val="auto"/>
              </w:rPr>
            </w:pPr>
            <w:r>
              <w:rPr>
                <w:rFonts w:ascii="Arial" w:cs="Arial" w:eastAsia="Arial" w:hAnsi="Arial"/>
                <w:sz w:val="16"/>
                <w:szCs w:val="16"/>
                <w:b w:val="1"/>
                <w:bCs w:val="1"/>
                <w:color w:val="auto"/>
              </w:rPr>
              <w:t>(33,011)</w:t>
            </w:r>
          </w:p>
        </w:tc>
        <w:tc>
          <w:tcPr>
            <w:tcW w:w="1520" w:type="dxa"/>
            <w:vAlign w:val="bottom"/>
          </w:tcPr>
          <w:p>
            <w:pPr>
              <w:jc w:val="right"/>
              <w:ind w:right="420"/>
              <w:spacing w:after="0"/>
              <w:rPr>
                <w:sz w:val="20"/>
                <w:szCs w:val="20"/>
                <w:color w:val="auto"/>
              </w:rPr>
            </w:pPr>
            <w:r>
              <w:rPr>
                <w:rFonts w:ascii="Arial" w:cs="Arial" w:eastAsia="Arial" w:hAnsi="Arial"/>
                <w:sz w:val="16"/>
                <w:szCs w:val="16"/>
                <w:b w:val="1"/>
                <w:bCs w:val="1"/>
                <w:color w:val="auto"/>
              </w:rPr>
              <w:t>34,259</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4,631</w:t>
            </w: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4,631</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14,405</w:t>
            </w: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14,405</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Depreciation and amortization expense</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5,606</w:t>
            </w:r>
          </w:p>
        </w:tc>
        <w:tc>
          <w:tcPr>
            <w:tcW w:w="15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11,071</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1,077</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17,754</w:t>
            </w: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1680" w:type="dxa"/>
            <w:vAlign w:val="bottom"/>
          </w:tcPr>
          <w:p>
            <w:pPr>
              <w:jc w:val="right"/>
              <w:ind w:right="380"/>
              <w:spacing w:after="0"/>
              <w:rPr>
                <w:sz w:val="20"/>
                <w:szCs w:val="20"/>
                <w:color w:val="auto"/>
              </w:rPr>
            </w:pPr>
            <w:r>
              <w:rPr>
                <w:rFonts w:ascii="Arial" w:cs="Arial" w:eastAsia="Arial" w:hAnsi="Arial"/>
                <w:sz w:val="16"/>
                <w:szCs w:val="16"/>
                <w:b w:val="1"/>
                <w:bCs w:val="1"/>
                <w:color w:val="auto"/>
              </w:rPr>
              <w:t>55,144</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28,803</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(12,898)</w:t>
            </w:r>
          </w:p>
        </w:tc>
        <w:tc>
          <w:tcPr>
            <w:tcW w:w="1520" w:type="dxa"/>
            <w:vAlign w:val="bottom"/>
          </w:tcPr>
          <w:p>
            <w:pPr>
              <w:jc w:val="right"/>
              <w:ind w:right="420"/>
              <w:spacing w:after="0"/>
              <w:rPr>
                <w:sz w:val="20"/>
                <w:szCs w:val="20"/>
                <w:color w:val="auto"/>
              </w:rPr>
            </w:pPr>
            <w:r>
              <w:rPr>
                <w:rFonts w:ascii="Arial" w:cs="Arial" w:eastAsia="Arial" w:hAnsi="Arial"/>
                <w:sz w:val="16"/>
                <w:szCs w:val="16"/>
                <w:b w:val="1"/>
                <w:bCs w:val="1"/>
                <w:color w:val="auto"/>
              </w:rPr>
              <w:t>71,049</w:t>
            </w: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935</w:t>
            </w:r>
          </w:p>
        </w:tc>
        <w:tc>
          <w:tcPr>
            <w:tcW w:w="1580" w:type="dxa"/>
            <w:vAlign w:val="bottom"/>
          </w:tcPr>
          <w:p>
            <w:pPr>
              <w:jc w:val="right"/>
              <w:ind w:right="360"/>
              <w:spacing w:after="0"/>
              <w:rPr>
                <w:sz w:val="20"/>
                <w:szCs w:val="20"/>
                <w:color w:val="auto"/>
              </w:rPr>
            </w:pPr>
            <w:r>
              <w:rPr>
                <w:rFonts w:ascii="Arial" w:cs="Arial" w:eastAsia="Arial" w:hAnsi="Arial"/>
                <w:sz w:val="16"/>
                <w:szCs w:val="16"/>
                <w:color w:val="auto"/>
              </w:rPr>
              <w:t>(32)</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(4)</w:t>
            </w: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899</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Foreign currency revaluation losses</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317</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79</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345</w:t>
            </w: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741</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the noncontrolling interest in ASC</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(272)</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$56,396</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$28,578</w:t>
            </w:r>
          </w:p>
        </w:tc>
        <w:tc>
          <w:tcPr>
            <w:tcW w:w="17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$(12,557)</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$ 72,417</w:t>
            </w:r>
          </w:p>
        </w:tc>
        <w:tc>
          <w:tcPr>
            <w:tcW w:w="0" w:type="dxa"/>
            <w:vAlign w:val="bottom"/>
          </w:tcPr>
          <w:p>
            <w:pPr>
              <w:spacing w:after="0"/>
              <w:rPr>
                <w:sz w:val="1"/>
                <w:szCs w:val="1"/>
                <w:color w:val="auto"/>
              </w:rPr>
            </w:pPr>
          </w:p>
        </w:tc>
      </w:tr>
      <w:tr>
        <w:trPr>
          <w:trHeight w:val="156"/>
        </w:trPr>
        <w:tc>
          <w:tcPr>
            <w:tcW w:w="49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4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168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9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6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Machine Clothing</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other</w:t>
            </w:r>
          </w:p>
        </w:tc>
        <w:tc>
          <w:tcPr>
            <w:tcW w:w="15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08"/>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1680" w:type="dxa"/>
            <w:vAlign w:val="bottom"/>
          </w:tcPr>
          <w:p>
            <w:pPr>
              <w:jc w:val="right"/>
              <w:ind w:right="380"/>
              <w:spacing w:after="0"/>
              <w:rPr>
                <w:sz w:val="20"/>
                <w:szCs w:val="20"/>
                <w:color w:val="auto"/>
              </w:rPr>
            </w:pPr>
            <w:r>
              <w:rPr>
                <w:rFonts w:ascii="Arial" w:cs="Arial" w:eastAsia="Arial" w:hAnsi="Arial"/>
                <w:sz w:val="16"/>
                <w:szCs w:val="16"/>
                <w:b w:val="1"/>
                <w:bCs w:val="1"/>
                <w:color w:val="auto"/>
              </w:rPr>
              <w:t>$50,315</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$ 4,092</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$(12,251)</w:t>
            </w:r>
          </w:p>
        </w:tc>
        <w:tc>
          <w:tcPr>
            <w:tcW w:w="1520" w:type="dxa"/>
            <w:vAlign w:val="bottom"/>
          </w:tcPr>
          <w:p>
            <w:pPr>
              <w:jc w:val="right"/>
              <w:ind w:right="420"/>
              <w:spacing w:after="0"/>
              <w:rPr>
                <w:sz w:val="20"/>
                <w:szCs w:val="20"/>
                <w:color w:val="auto"/>
              </w:rPr>
            </w:pPr>
            <w:r>
              <w:rPr>
                <w:rFonts w:ascii="Arial" w:cs="Arial" w:eastAsia="Arial" w:hAnsi="Arial"/>
                <w:sz w:val="16"/>
                <w:szCs w:val="16"/>
                <w:b w:val="1"/>
                <w:bCs w:val="1"/>
                <w:color w:val="auto"/>
              </w:rPr>
              <w:t>$ 42,156</w:t>
            </w: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6"/>
                <w:szCs w:val="16"/>
                <w:color w:val="auto"/>
              </w:rPr>
              <w:t>Interest, taxes, other income/(expense)</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(12,313)</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(12,313)</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1680" w:type="dxa"/>
            <w:vAlign w:val="bottom"/>
          </w:tcPr>
          <w:p>
            <w:pPr>
              <w:jc w:val="right"/>
              <w:ind w:right="380"/>
              <w:spacing w:after="0"/>
              <w:rPr>
                <w:sz w:val="20"/>
                <w:szCs w:val="20"/>
                <w:color w:val="auto"/>
              </w:rPr>
            </w:pPr>
            <w:r>
              <w:rPr>
                <w:rFonts w:ascii="Arial" w:cs="Arial" w:eastAsia="Arial" w:hAnsi="Arial"/>
                <w:sz w:val="16"/>
                <w:szCs w:val="16"/>
                <w:b w:val="1"/>
                <w:bCs w:val="1"/>
                <w:color w:val="auto"/>
              </w:rPr>
              <w:t>50,315</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4,092</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(24,564)</w:t>
            </w:r>
          </w:p>
        </w:tc>
        <w:tc>
          <w:tcPr>
            <w:tcW w:w="1520" w:type="dxa"/>
            <w:vAlign w:val="bottom"/>
          </w:tcPr>
          <w:p>
            <w:pPr>
              <w:jc w:val="right"/>
              <w:ind w:right="420"/>
              <w:spacing w:after="0"/>
              <w:rPr>
                <w:sz w:val="20"/>
                <w:szCs w:val="20"/>
                <w:color w:val="auto"/>
              </w:rPr>
            </w:pPr>
            <w:r>
              <w:rPr>
                <w:rFonts w:ascii="Arial" w:cs="Arial" w:eastAsia="Arial" w:hAnsi="Arial"/>
                <w:sz w:val="16"/>
                <w:szCs w:val="16"/>
                <w:b w:val="1"/>
                <w:bCs w:val="1"/>
                <w:color w:val="auto"/>
              </w:rPr>
              <w:t>29,843</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4,621</w:t>
            </w: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4,621</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6,966</w:t>
            </w: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6,966</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8,182</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10,247</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1,244</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19,673</w:t>
            </w: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1680" w:type="dxa"/>
            <w:vAlign w:val="bottom"/>
          </w:tcPr>
          <w:p>
            <w:pPr>
              <w:jc w:val="right"/>
              <w:ind w:right="380"/>
              <w:spacing w:after="0"/>
              <w:rPr>
                <w:sz w:val="20"/>
                <w:szCs w:val="20"/>
                <w:color w:val="auto"/>
              </w:rPr>
            </w:pPr>
            <w:r>
              <w:rPr>
                <w:rFonts w:ascii="Arial" w:cs="Arial" w:eastAsia="Arial" w:hAnsi="Arial"/>
                <w:sz w:val="16"/>
                <w:szCs w:val="16"/>
                <w:b w:val="1"/>
                <w:bCs w:val="1"/>
                <w:color w:val="auto"/>
              </w:rPr>
              <w:t>58,497</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14,339</w:t>
            </w:r>
          </w:p>
        </w:tc>
        <w:tc>
          <w:tcPr>
            <w:tcW w:w="1700" w:type="dxa"/>
            <w:vAlign w:val="bottom"/>
          </w:tcPr>
          <w:p>
            <w:pPr>
              <w:jc w:val="right"/>
              <w:ind w:right="460"/>
              <w:spacing w:after="0"/>
              <w:rPr>
                <w:sz w:val="20"/>
                <w:szCs w:val="20"/>
                <w:color w:val="auto"/>
              </w:rPr>
            </w:pPr>
            <w:r>
              <w:rPr>
                <w:rFonts w:ascii="Arial" w:cs="Arial" w:eastAsia="Arial" w:hAnsi="Arial"/>
                <w:sz w:val="16"/>
                <w:szCs w:val="16"/>
                <w:b w:val="1"/>
                <w:bCs w:val="1"/>
                <w:color w:val="auto"/>
              </w:rPr>
              <w:t>(11,733)</w:t>
            </w:r>
          </w:p>
        </w:tc>
        <w:tc>
          <w:tcPr>
            <w:tcW w:w="1520" w:type="dxa"/>
            <w:vAlign w:val="bottom"/>
          </w:tcPr>
          <w:p>
            <w:pPr>
              <w:jc w:val="right"/>
              <w:ind w:right="420"/>
              <w:spacing w:after="0"/>
              <w:rPr>
                <w:sz w:val="20"/>
                <w:szCs w:val="20"/>
                <w:color w:val="auto"/>
              </w:rPr>
            </w:pPr>
            <w:r>
              <w:rPr>
                <w:rFonts w:ascii="Arial" w:cs="Arial" w:eastAsia="Arial" w:hAnsi="Arial"/>
                <w:sz w:val="16"/>
                <w:szCs w:val="16"/>
                <w:b w:val="1"/>
                <w:bCs w:val="1"/>
                <w:color w:val="auto"/>
              </w:rPr>
              <w:t>61,103</w:t>
            </w:r>
          </w:p>
        </w:tc>
        <w:tc>
          <w:tcPr>
            <w:tcW w:w="0" w:type="dxa"/>
            <w:vAlign w:val="bottom"/>
          </w:tcPr>
          <w:p>
            <w:pPr>
              <w:spacing w:after="0"/>
              <w:rPr>
                <w:sz w:val="1"/>
                <w:szCs w:val="1"/>
                <w:color w:val="auto"/>
              </w:rPr>
            </w:pPr>
          </w:p>
        </w:tc>
      </w:tr>
      <w:tr>
        <w:trPr>
          <w:trHeight w:val="211"/>
        </w:trPr>
        <w:tc>
          <w:tcPr>
            <w:tcW w:w="494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1680" w:type="dxa"/>
            <w:vAlign w:val="bottom"/>
          </w:tcPr>
          <w:p>
            <w:pPr>
              <w:jc w:val="right"/>
              <w:ind w:right="380"/>
              <w:spacing w:after="0"/>
              <w:rPr>
                <w:sz w:val="20"/>
                <w:szCs w:val="20"/>
                <w:color w:val="auto"/>
              </w:rPr>
            </w:pPr>
            <w:r>
              <w:rPr>
                <w:rFonts w:ascii="Arial" w:cs="Arial" w:eastAsia="Arial" w:hAnsi="Arial"/>
                <w:sz w:val="16"/>
                <w:szCs w:val="16"/>
                <w:color w:val="auto"/>
              </w:rPr>
              <w:t>1,800</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558</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231</w:t>
            </w:r>
          </w:p>
        </w:tc>
        <w:tc>
          <w:tcPr>
            <w:tcW w:w="1520" w:type="dxa"/>
            <w:vAlign w:val="bottom"/>
          </w:tcPr>
          <w:p>
            <w:pPr>
              <w:jc w:val="right"/>
              <w:ind w:right="420"/>
              <w:spacing w:after="0"/>
              <w:rPr>
                <w:sz w:val="20"/>
                <w:szCs w:val="20"/>
                <w:color w:val="auto"/>
              </w:rPr>
            </w:pPr>
            <w:r>
              <w:rPr>
                <w:rFonts w:ascii="Arial" w:cs="Arial" w:eastAsia="Arial" w:hAnsi="Arial"/>
                <w:sz w:val="16"/>
                <w:szCs w:val="16"/>
                <w:color w:val="auto"/>
              </w:rPr>
              <w:t>2,589</w:t>
            </w:r>
          </w:p>
        </w:tc>
        <w:tc>
          <w:tcPr>
            <w:tcW w:w="0" w:type="dxa"/>
            <w:vAlign w:val="bottom"/>
          </w:tcPr>
          <w:p>
            <w:pPr>
              <w:spacing w:after="0"/>
              <w:rPr>
                <w:sz w:val="1"/>
                <w:szCs w:val="1"/>
                <w:color w:val="auto"/>
              </w:rPr>
            </w:pPr>
          </w:p>
        </w:tc>
      </w:tr>
      <w:tr>
        <w:trPr>
          <w:trHeight w:val="216"/>
        </w:trPr>
        <w:tc>
          <w:tcPr>
            <w:tcW w:w="494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680" w:type="dxa"/>
            <w:vAlign w:val="bottom"/>
          </w:tcPr>
          <w:p>
            <w:pPr>
              <w:jc w:val="right"/>
              <w:ind w:right="360"/>
              <w:spacing w:after="0"/>
              <w:rPr>
                <w:sz w:val="20"/>
                <w:szCs w:val="20"/>
                <w:color w:val="auto"/>
              </w:rPr>
            </w:pPr>
            <w:r>
              <w:rPr>
                <w:rFonts w:ascii="Arial" w:cs="Arial" w:eastAsia="Arial" w:hAnsi="Arial"/>
                <w:sz w:val="16"/>
                <w:szCs w:val="16"/>
                <w:color w:val="auto"/>
              </w:rPr>
              <w:t>(2,331)</w:t>
            </w:r>
          </w:p>
        </w:tc>
        <w:tc>
          <w:tcPr>
            <w:tcW w:w="1580" w:type="dxa"/>
            <w:vAlign w:val="bottom"/>
          </w:tcPr>
          <w:p>
            <w:pPr>
              <w:jc w:val="right"/>
              <w:ind w:right="380"/>
              <w:spacing w:after="0"/>
              <w:rPr>
                <w:sz w:val="20"/>
                <w:szCs w:val="20"/>
                <w:color w:val="auto"/>
              </w:rPr>
            </w:pPr>
            <w:r>
              <w:rPr>
                <w:rFonts w:ascii="Arial" w:cs="Arial" w:eastAsia="Arial" w:hAnsi="Arial"/>
                <w:sz w:val="16"/>
                <w:szCs w:val="16"/>
                <w:color w:val="auto"/>
              </w:rPr>
              <w:t>116</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(188)</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(2,403)</w:t>
            </w:r>
          </w:p>
        </w:tc>
        <w:tc>
          <w:tcPr>
            <w:tcW w:w="0" w:type="dxa"/>
            <w:vAlign w:val="bottom"/>
          </w:tcPr>
          <w:p>
            <w:pPr>
              <w:spacing w:after="0"/>
              <w:rPr>
                <w:sz w:val="1"/>
                <w:szCs w:val="1"/>
                <w:color w:val="auto"/>
              </w:rPr>
            </w:pPr>
          </w:p>
        </w:tc>
      </w:tr>
      <w:tr>
        <w:trPr>
          <w:trHeight w:val="219"/>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expense attributable to the noncontrolling interest in ASC</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121</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2"/>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68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$57,966</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$15,134</w:t>
            </w:r>
          </w:p>
        </w:tc>
        <w:tc>
          <w:tcPr>
            <w:tcW w:w="17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$(11,690)</w:t>
            </w:r>
          </w:p>
        </w:tc>
        <w:tc>
          <w:tcPr>
            <w:tcW w:w="15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b w:val="1"/>
                <w:bCs w:val="1"/>
                <w:color w:val="auto"/>
              </w:rPr>
              <w:t>$ 61,410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17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Machine Clothing</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other</w:t>
            </w:r>
          </w:p>
        </w:tc>
        <w:tc>
          <w:tcPr>
            <w:tcW w:w="15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1720" w:type="dxa"/>
            <w:vAlign w:val="bottom"/>
          </w:tcPr>
          <w:p>
            <w:pPr>
              <w:jc w:val="right"/>
              <w:ind w:right="340"/>
              <w:spacing w:after="0"/>
              <w:rPr>
                <w:sz w:val="20"/>
                <w:szCs w:val="20"/>
                <w:color w:val="auto"/>
              </w:rPr>
            </w:pPr>
            <w:r>
              <w:rPr>
                <w:rFonts w:ascii="Arial" w:cs="Arial" w:eastAsia="Arial" w:hAnsi="Arial"/>
                <w:sz w:val="16"/>
                <w:szCs w:val="16"/>
                <w:b w:val="1"/>
                <w:bCs w:val="1"/>
                <w:color w:val="auto"/>
              </w:rPr>
              <w:t>$ 93,781</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$27,254</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$(26,717)</w:t>
            </w:r>
          </w:p>
        </w:tc>
        <w:tc>
          <w:tcPr>
            <w:tcW w:w="1520" w:type="dxa"/>
            <w:vAlign w:val="bottom"/>
          </w:tcPr>
          <w:p>
            <w:pPr>
              <w:jc w:val="right"/>
              <w:ind w:right="400"/>
              <w:spacing w:after="0"/>
              <w:rPr>
                <w:sz w:val="20"/>
                <w:szCs w:val="20"/>
                <w:color w:val="auto"/>
              </w:rPr>
            </w:pPr>
            <w:r>
              <w:rPr>
                <w:rFonts w:ascii="Arial" w:cs="Arial" w:eastAsia="Arial" w:hAnsi="Arial"/>
                <w:sz w:val="16"/>
                <w:szCs w:val="16"/>
                <w:b w:val="1"/>
                <w:bCs w:val="1"/>
                <w:color w:val="auto"/>
              </w:rPr>
              <w:t>$ 94,318</w:t>
            </w: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Arial" w:cs="Arial" w:eastAsia="Arial" w:hAnsi="Arial"/>
                <w:sz w:val="16"/>
                <w:szCs w:val="16"/>
                <w:color w:val="auto"/>
              </w:rPr>
              <w:t>Interest, taxes, other income/(expense)</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(30,651)</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(30,651)</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1720" w:type="dxa"/>
            <w:vAlign w:val="bottom"/>
          </w:tcPr>
          <w:p>
            <w:pPr>
              <w:jc w:val="right"/>
              <w:ind w:right="340"/>
              <w:spacing w:after="0"/>
              <w:rPr>
                <w:sz w:val="20"/>
                <w:szCs w:val="20"/>
                <w:color w:val="auto"/>
              </w:rPr>
            </w:pPr>
            <w:r>
              <w:rPr>
                <w:rFonts w:ascii="Arial" w:cs="Arial" w:eastAsia="Arial" w:hAnsi="Arial"/>
                <w:sz w:val="16"/>
                <w:szCs w:val="16"/>
                <w:b w:val="1"/>
                <w:bCs w:val="1"/>
                <w:color w:val="auto"/>
              </w:rPr>
              <w:t>93,781</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27,254</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(57,368)</w:t>
            </w:r>
          </w:p>
        </w:tc>
        <w:tc>
          <w:tcPr>
            <w:tcW w:w="1520" w:type="dxa"/>
            <w:vAlign w:val="bottom"/>
          </w:tcPr>
          <w:p>
            <w:pPr>
              <w:jc w:val="right"/>
              <w:ind w:right="400"/>
              <w:spacing w:after="0"/>
              <w:rPr>
                <w:sz w:val="20"/>
                <w:szCs w:val="20"/>
                <w:color w:val="auto"/>
              </w:rPr>
            </w:pPr>
            <w:r>
              <w:rPr>
                <w:rFonts w:ascii="Arial" w:cs="Arial" w:eastAsia="Arial" w:hAnsi="Arial"/>
                <w:sz w:val="16"/>
                <w:szCs w:val="16"/>
                <w:b w:val="1"/>
                <w:bCs w:val="1"/>
                <w:color w:val="auto"/>
              </w:rPr>
              <w:t>63,667</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9,048</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9,048</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21,881</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21,881</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Depreciation and amortization expense</w:t>
            </w:r>
          </w:p>
        </w:tc>
        <w:tc>
          <w:tcPr>
            <w:tcW w:w="17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color w:val="auto"/>
              </w:rPr>
              <w:t>11,525</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21,973</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2,212</w:t>
            </w: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35,710</w:t>
            </w: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1720" w:type="dxa"/>
            <w:vAlign w:val="bottom"/>
          </w:tcPr>
          <w:p>
            <w:pPr>
              <w:jc w:val="right"/>
              <w:ind w:right="340"/>
              <w:spacing w:after="0"/>
              <w:rPr>
                <w:sz w:val="20"/>
                <w:szCs w:val="20"/>
                <w:color w:val="auto"/>
              </w:rPr>
            </w:pPr>
            <w:r>
              <w:rPr>
                <w:rFonts w:ascii="Arial" w:cs="Arial" w:eastAsia="Arial" w:hAnsi="Arial"/>
                <w:sz w:val="16"/>
                <w:szCs w:val="16"/>
                <w:b w:val="1"/>
                <w:bCs w:val="1"/>
                <w:color w:val="auto"/>
              </w:rPr>
              <w:t>105,306</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49,227</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(24,227)</w:t>
            </w:r>
          </w:p>
        </w:tc>
        <w:tc>
          <w:tcPr>
            <w:tcW w:w="1520" w:type="dxa"/>
            <w:vAlign w:val="bottom"/>
          </w:tcPr>
          <w:p>
            <w:pPr>
              <w:jc w:val="right"/>
              <w:ind w:right="400"/>
              <w:spacing w:after="0"/>
              <w:rPr>
                <w:sz w:val="20"/>
                <w:szCs w:val="20"/>
                <w:color w:val="auto"/>
              </w:rPr>
            </w:pPr>
            <w:r>
              <w:rPr>
                <w:rFonts w:ascii="Arial" w:cs="Arial" w:eastAsia="Arial" w:hAnsi="Arial"/>
                <w:sz w:val="16"/>
                <w:szCs w:val="16"/>
                <w:b w:val="1"/>
                <w:bCs w:val="1"/>
                <w:color w:val="auto"/>
              </w:rPr>
              <w:t>130,306</w:t>
            </w: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1,336</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51</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(4)</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1,383</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286</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314</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(1,691)</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(1,091)</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the noncontrolling interest in ASC</w:t>
            </w:r>
          </w:p>
        </w:tc>
        <w:tc>
          <w:tcPr>
            <w:tcW w:w="17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(561)</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2"/>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7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$106,928</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$49,031</w:t>
            </w:r>
          </w:p>
        </w:tc>
        <w:tc>
          <w:tcPr>
            <w:tcW w:w="17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$(25,922)</w:t>
            </w: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$130,037</w:t>
            </w:r>
          </w:p>
        </w:tc>
        <w:tc>
          <w:tcPr>
            <w:tcW w:w="0" w:type="dxa"/>
            <w:vAlign w:val="bottom"/>
          </w:tcPr>
          <w:p>
            <w:pPr>
              <w:spacing w:after="0"/>
              <w:rPr>
                <w:sz w:val="1"/>
                <w:szCs w:val="1"/>
                <w:color w:val="auto"/>
              </w:rPr>
            </w:pPr>
          </w:p>
        </w:tc>
      </w:tr>
      <w:tr>
        <w:trPr>
          <w:trHeight w:val="156"/>
        </w:trPr>
        <w:tc>
          <w:tcPr>
            <w:tcW w:w="49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490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1720" w:type="dxa"/>
            <w:vAlign w:val="bottom"/>
          </w:tcPr>
          <w:p>
            <w:pPr>
              <w:spacing w:after="0"/>
              <w:rPr>
                <w:sz w:val="16"/>
                <w:szCs w:val="16"/>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Albany Engineered</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Corporate expenses</w:t>
            </w: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49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70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Machine Clothing</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Composites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and other</w:t>
            </w:r>
          </w:p>
        </w:tc>
        <w:tc>
          <w:tcPr>
            <w:tcW w:w="15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208"/>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Operating income/(loss) (GAAP)</w:t>
            </w:r>
          </w:p>
        </w:tc>
        <w:tc>
          <w:tcPr>
            <w:tcW w:w="1720" w:type="dxa"/>
            <w:vAlign w:val="bottom"/>
          </w:tcPr>
          <w:p>
            <w:pPr>
              <w:jc w:val="right"/>
              <w:ind w:right="340"/>
              <w:spacing w:after="0"/>
              <w:rPr>
                <w:sz w:val="20"/>
                <w:szCs w:val="20"/>
                <w:color w:val="auto"/>
              </w:rPr>
            </w:pPr>
            <w:r>
              <w:rPr>
                <w:rFonts w:ascii="Arial" w:cs="Arial" w:eastAsia="Arial" w:hAnsi="Arial"/>
                <w:sz w:val="16"/>
                <w:szCs w:val="16"/>
                <w:b w:val="1"/>
                <w:bCs w:val="1"/>
                <w:color w:val="auto"/>
              </w:rPr>
              <w:t>$ 77,258</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$ 6,366</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$(24,464)</w:t>
            </w:r>
          </w:p>
        </w:tc>
        <w:tc>
          <w:tcPr>
            <w:tcW w:w="1520" w:type="dxa"/>
            <w:vAlign w:val="bottom"/>
          </w:tcPr>
          <w:p>
            <w:pPr>
              <w:jc w:val="right"/>
              <w:ind w:right="400"/>
              <w:spacing w:after="0"/>
              <w:rPr>
                <w:sz w:val="20"/>
                <w:szCs w:val="20"/>
                <w:color w:val="auto"/>
              </w:rPr>
            </w:pPr>
            <w:r>
              <w:rPr>
                <w:rFonts w:ascii="Arial" w:cs="Arial" w:eastAsia="Arial" w:hAnsi="Arial"/>
                <w:sz w:val="16"/>
                <w:szCs w:val="16"/>
                <w:b w:val="1"/>
                <w:bCs w:val="1"/>
                <w:color w:val="auto"/>
              </w:rPr>
              <w:t>$ 59,160</w:t>
            </w: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Arial" w:cs="Arial" w:eastAsia="Arial" w:hAnsi="Arial"/>
                <w:sz w:val="16"/>
                <w:szCs w:val="16"/>
                <w:color w:val="auto"/>
              </w:rPr>
              <w:t>Interest, taxes, other income/(expense)</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480"/>
              <w:spacing w:after="0"/>
              <w:rPr>
                <w:sz w:val="20"/>
                <w:szCs w:val="20"/>
                <w:color w:val="auto"/>
              </w:rPr>
            </w:pPr>
            <w:r>
              <w:rPr>
                <w:rFonts w:ascii="Arial" w:cs="Arial" w:eastAsia="Arial" w:hAnsi="Arial"/>
                <w:sz w:val="16"/>
                <w:szCs w:val="16"/>
                <w:color w:val="auto"/>
              </w:rPr>
              <w:t>(21,418)</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(21,418)</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Net income/(loss) (GAAP)</w:t>
            </w:r>
          </w:p>
        </w:tc>
        <w:tc>
          <w:tcPr>
            <w:tcW w:w="1720" w:type="dxa"/>
            <w:vAlign w:val="bottom"/>
          </w:tcPr>
          <w:p>
            <w:pPr>
              <w:jc w:val="right"/>
              <w:ind w:right="340"/>
              <w:spacing w:after="0"/>
              <w:rPr>
                <w:sz w:val="20"/>
                <w:szCs w:val="20"/>
                <w:color w:val="auto"/>
              </w:rPr>
            </w:pPr>
            <w:r>
              <w:rPr>
                <w:rFonts w:ascii="Arial" w:cs="Arial" w:eastAsia="Arial" w:hAnsi="Arial"/>
                <w:sz w:val="16"/>
                <w:szCs w:val="16"/>
                <w:b w:val="1"/>
                <w:bCs w:val="1"/>
                <w:color w:val="auto"/>
              </w:rPr>
              <w:t>77,258</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6,366</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(45,882)</w:t>
            </w:r>
          </w:p>
        </w:tc>
        <w:tc>
          <w:tcPr>
            <w:tcW w:w="1520" w:type="dxa"/>
            <w:vAlign w:val="bottom"/>
          </w:tcPr>
          <w:p>
            <w:pPr>
              <w:jc w:val="right"/>
              <w:ind w:right="400"/>
              <w:spacing w:after="0"/>
              <w:rPr>
                <w:sz w:val="20"/>
                <w:szCs w:val="20"/>
                <w:color w:val="auto"/>
              </w:rPr>
            </w:pPr>
            <w:r>
              <w:rPr>
                <w:rFonts w:ascii="Arial" w:cs="Arial" w:eastAsia="Arial" w:hAnsi="Arial"/>
                <w:sz w:val="16"/>
                <w:szCs w:val="16"/>
                <w:b w:val="1"/>
                <w:bCs w:val="1"/>
                <w:color w:val="auto"/>
              </w:rPr>
              <w:t>37,742</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8,909</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8,909</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10,331</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10,331</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 expense</w:t>
            </w:r>
          </w:p>
        </w:tc>
        <w:tc>
          <w:tcPr>
            <w:tcW w:w="17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16,544</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21,404</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2,673</w:t>
            </w: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40,621</w:t>
            </w: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1720" w:type="dxa"/>
            <w:vAlign w:val="bottom"/>
          </w:tcPr>
          <w:p>
            <w:pPr>
              <w:jc w:val="right"/>
              <w:ind w:right="340"/>
              <w:spacing w:after="0"/>
              <w:rPr>
                <w:sz w:val="20"/>
                <w:szCs w:val="20"/>
                <w:color w:val="auto"/>
              </w:rPr>
            </w:pPr>
            <w:r>
              <w:rPr>
                <w:rFonts w:ascii="Arial" w:cs="Arial" w:eastAsia="Arial" w:hAnsi="Arial"/>
                <w:sz w:val="16"/>
                <w:szCs w:val="16"/>
                <w:b w:val="1"/>
                <w:bCs w:val="1"/>
                <w:color w:val="auto"/>
              </w:rPr>
              <w:t>93,802</w:t>
            </w:r>
          </w:p>
        </w:tc>
        <w:tc>
          <w:tcPr>
            <w:tcW w:w="1580" w:type="dxa"/>
            <w:vAlign w:val="bottom"/>
          </w:tcPr>
          <w:p>
            <w:pPr>
              <w:jc w:val="right"/>
              <w:ind w:right="400"/>
              <w:spacing w:after="0"/>
              <w:rPr>
                <w:sz w:val="20"/>
                <w:szCs w:val="20"/>
                <w:color w:val="auto"/>
              </w:rPr>
            </w:pPr>
            <w:r>
              <w:rPr>
                <w:rFonts w:ascii="Arial" w:cs="Arial" w:eastAsia="Arial" w:hAnsi="Arial"/>
                <w:sz w:val="16"/>
                <w:szCs w:val="16"/>
                <w:b w:val="1"/>
                <w:bCs w:val="1"/>
                <w:color w:val="auto"/>
              </w:rPr>
              <w:t>27,770</w:t>
            </w:r>
          </w:p>
        </w:tc>
        <w:tc>
          <w:tcPr>
            <w:tcW w:w="1700" w:type="dxa"/>
            <w:vAlign w:val="bottom"/>
          </w:tcPr>
          <w:p>
            <w:pPr>
              <w:jc w:val="right"/>
              <w:ind w:right="480"/>
              <w:spacing w:after="0"/>
              <w:rPr>
                <w:sz w:val="20"/>
                <w:szCs w:val="20"/>
                <w:color w:val="auto"/>
              </w:rPr>
            </w:pPr>
            <w:r>
              <w:rPr>
                <w:rFonts w:ascii="Arial" w:cs="Arial" w:eastAsia="Arial" w:hAnsi="Arial"/>
                <w:sz w:val="16"/>
                <w:szCs w:val="16"/>
                <w:b w:val="1"/>
                <w:bCs w:val="1"/>
                <w:color w:val="auto"/>
              </w:rPr>
              <w:t>(23,969)</w:t>
            </w:r>
          </w:p>
        </w:tc>
        <w:tc>
          <w:tcPr>
            <w:tcW w:w="1520" w:type="dxa"/>
            <w:vAlign w:val="bottom"/>
          </w:tcPr>
          <w:p>
            <w:pPr>
              <w:jc w:val="right"/>
              <w:ind w:right="400"/>
              <w:spacing w:after="0"/>
              <w:rPr>
                <w:sz w:val="20"/>
                <w:szCs w:val="20"/>
                <w:color w:val="auto"/>
              </w:rPr>
            </w:pPr>
            <w:r>
              <w:rPr>
                <w:rFonts w:ascii="Arial" w:cs="Arial" w:eastAsia="Arial" w:hAnsi="Arial"/>
                <w:sz w:val="16"/>
                <w:szCs w:val="16"/>
                <w:b w:val="1"/>
                <w:bCs w:val="1"/>
                <w:color w:val="auto"/>
              </w:rPr>
              <w:t>97,603</w:t>
            </w:r>
          </w:p>
        </w:tc>
        <w:tc>
          <w:tcPr>
            <w:tcW w:w="0" w:type="dxa"/>
            <w:vAlign w:val="bottom"/>
          </w:tcPr>
          <w:p>
            <w:pPr>
              <w:spacing w:after="0"/>
              <w:rPr>
                <w:sz w:val="1"/>
                <w:szCs w:val="1"/>
                <w:color w:val="auto"/>
              </w:rPr>
            </w:pPr>
          </w:p>
        </w:tc>
      </w:tr>
      <w:tr>
        <w:trPr>
          <w:trHeight w:val="211"/>
        </w:trPr>
        <w:tc>
          <w:tcPr>
            <w:tcW w:w="490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1720" w:type="dxa"/>
            <w:vAlign w:val="bottom"/>
          </w:tcPr>
          <w:p>
            <w:pPr>
              <w:jc w:val="right"/>
              <w:ind w:right="340"/>
              <w:spacing w:after="0"/>
              <w:rPr>
                <w:sz w:val="20"/>
                <w:szCs w:val="20"/>
                <w:color w:val="auto"/>
              </w:rPr>
            </w:pPr>
            <w:r>
              <w:rPr>
                <w:rFonts w:ascii="Arial" w:cs="Arial" w:eastAsia="Arial" w:hAnsi="Arial"/>
                <w:sz w:val="16"/>
                <w:szCs w:val="16"/>
                <w:color w:val="auto"/>
              </w:rPr>
              <w:t>10,152</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779</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231</w:t>
            </w:r>
          </w:p>
        </w:tc>
        <w:tc>
          <w:tcPr>
            <w:tcW w:w="1520" w:type="dxa"/>
            <w:vAlign w:val="bottom"/>
          </w:tcPr>
          <w:p>
            <w:pPr>
              <w:jc w:val="right"/>
              <w:ind w:right="400"/>
              <w:spacing w:after="0"/>
              <w:rPr>
                <w:sz w:val="20"/>
                <w:szCs w:val="20"/>
                <w:color w:val="auto"/>
              </w:rPr>
            </w:pPr>
            <w:r>
              <w:rPr>
                <w:rFonts w:ascii="Arial" w:cs="Arial" w:eastAsia="Arial" w:hAnsi="Arial"/>
                <w:sz w:val="16"/>
                <w:szCs w:val="16"/>
                <w:color w:val="auto"/>
              </w:rPr>
              <w:t>11,162</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w:t>
            </w:r>
          </w:p>
        </w:tc>
        <w:tc>
          <w:tcPr>
            <w:tcW w:w="1720" w:type="dxa"/>
            <w:vAlign w:val="bottom"/>
          </w:tcPr>
          <w:p>
            <w:pPr>
              <w:jc w:val="right"/>
              <w:ind w:right="300"/>
              <w:spacing w:after="0"/>
              <w:rPr>
                <w:sz w:val="20"/>
                <w:szCs w:val="20"/>
                <w:color w:val="auto"/>
              </w:rPr>
            </w:pPr>
            <w:r>
              <w:rPr>
                <w:rFonts w:ascii="Arial" w:cs="Arial" w:eastAsia="Arial" w:hAnsi="Arial"/>
                <w:sz w:val="16"/>
                <w:szCs w:val="16"/>
                <w:color w:val="auto"/>
              </w:rPr>
              <w:t>(813)</w:t>
            </w:r>
          </w:p>
        </w:tc>
        <w:tc>
          <w:tcPr>
            <w:tcW w:w="1580" w:type="dxa"/>
            <w:vAlign w:val="bottom"/>
          </w:tcPr>
          <w:p>
            <w:pPr>
              <w:jc w:val="right"/>
              <w:ind w:right="400"/>
              <w:spacing w:after="0"/>
              <w:rPr>
                <w:sz w:val="20"/>
                <w:szCs w:val="20"/>
                <w:color w:val="auto"/>
              </w:rPr>
            </w:pPr>
            <w:r>
              <w:rPr>
                <w:rFonts w:ascii="Arial" w:cs="Arial" w:eastAsia="Arial" w:hAnsi="Arial"/>
                <w:sz w:val="16"/>
                <w:szCs w:val="16"/>
                <w:color w:val="auto"/>
              </w:rPr>
              <w:t>301</w:t>
            </w:r>
          </w:p>
        </w:tc>
        <w:tc>
          <w:tcPr>
            <w:tcW w:w="1700" w:type="dxa"/>
            <w:vAlign w:val="bottom"/>
          </w:tcPr>
          <w:p>
            <w:pPr>
              <w:jc w:val="right"/>
              <w:ind w:right="500"/>
              <w:spacing w:after="0"/>
              <w:rPr>
                <w:sz w:val="20"/>
                <w:szCs w:val="20"/>
                <w:color w:val="auto"/>
              </w:rPr>
            </w:pPr>
            <w:r>
              <w:rPr>
                <w:rFonts w:ascii="Arial" w:cs="Arial" w:eastAsia="Arial" w:hAnsi="Arial"/>
                <w:sz w:val="16"/>
                <w:szCs w:val="16"/>
                <w:color w:val="auto"/>
              </w:rPr>
              <w:t>499</w:t>
            </w:r>
          </w:p>
        </w:tc>
        <w:tc>
          <w:tcPr>
            <w:tcW w:w="1520" w:type="dxa"/>
            <w:vAlign w:val="bottom"/>
          </w:tcPr>
          <w:p>
            <w:pPr>
              <w:jc w:val="right"/>
              <w:ind w:right="38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the noncontrolling interest in ASC</w:t>
            </w:r>
          </w:p>
        </w:tc>
        <w:tc>
          <w:tcPr>
            <w:tcW w:w="17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60"/>
              <w:spacing w:after="0"/>
              <w:rPr>
                <w:sz w:val="20"/>
                <w:szCs w:val="20"/>
                <w:color w:val="auto"/>
              </w:rPr>
            </w:pPr>
            <w:r>
              <w:rPr>
                <w:rFonts w:ascii="Arial" w:cs="Arial" w:eastAsia="Arial" w:hAnsi="Arial"/>
                <w:sz w:val="16"/>
                <w:szCs w:val="16"/>
                <w:color w:val="auto"/>
              </w:rPr>
              <w:t>(222)</w:t>
            </w:r>
          </w:p>
        </w:tc>
        <w:tc>
          <w:tcPr>
            <w:tcW w:w="170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2"/>
        </w:trPr>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720" w:type="dxa"/>
            <w:vAlign w:val="bottom"/>
            <w:tcBorders>
              <w:bottom w:val="single" w:sz="8" w:color="auto"/>
            </w:tcBorders>
          </w:tcPr>
          <w:p>
            <w:pPr>
              <w:jc w:val="right"/>
              <w:ind w:right="340"/>
              <w:spacing w:after="0"/>
              <w:rPr>
                <w:sz w:val="20"/>
                <w:szCs w:val="20"/>
                <w:color w:val="auto"/>
              </w:rPr>
            </w:pPr>
            <w:r>
              <w:rPr>
                <w:rFonts w:ascii="Arial" w:cs="Arial" w:eastAsia="Arial" w:hAnsi="Arial"/>
                <w:sz w:val="16"/>
                <w:szCs w:val="16"/>
                <w:b w:val="1"/>
                <w:bCs w:val="1"/>
                <w:color w:val="auto"/>
              </w:rPr>
              <w:t>$103,141</w:t>
            </w:r>
          </w:p>
        </w:tc>
        <w:tc>
          <w:tcPr>
            <w:tcW w:w="15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$28,628</w:t>
            </w:r>
          </w:p>
        </w:tc>
        <w:tc>
          <w:tcPr>
            <w:tcW w:w="1700" w:type="dxa"/>
            <w:vAlign w:val="bottom"/>
            <w:tcBorders>
              <w:bottom w:val="single" w:sz="8" w:color="auto"/>
            </w:tcBorders>
          </w:tcPr>
          <w:p>
            <w:pPr>
              <w:jc w:val="right"/>
              <w:ind w:right="480"/>
              <w:spacing w:after="0"/>
              <w:rPr>
                <w:sz w:val="20"/>
                <w:szCs w:val="20"/>
                <w:color w:val="auto"/>
              </w:rPr>
            </w:pPr>
            <w:r>
              <w:rPr>
                <w:rFonts w:ascii="Arial" w:cs="Arial" w:eastAsia="Arial" w:hAnsi="Arial"/>
                <w:sz w:val="16"/>
                <w:szCs w:val="16"/>
                <w:b w:val="1"/>
                <w:bCs w:val="1"/>
                <w:color w:val="auto"/>
              </w:rPr>
              <w:t>$(23,239)</w:t>
            </w:r>
          </w:p>
        </w:tc>
        <w:tc>
          <w:tcPr>
            <w:tcW w:w="152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$108,530</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 Beginning in 2019, the Company no longer includes discrete tax adjustments or the effect of changes in income tax rates in its calculation of Adjusted EPS. Prior year results have been revised to conform to this calculation.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Three months ended June 30, 2019</w:t>
            </w:r>
          </w:p>
        </w:tc>
        <w:tc>
          <w:tcPr>
            <w:tcW w:w="2460" w:type="dxa"/>
            <w:vAlign w:val="bottom"/>
            <w:tcBorders>
              <w:top w:val="single" w:sz="8" w:color="auto"/>
            </w:tcBorders>
          </w:tcPr>
          <w:p>
            <w:pPr>
              <w:jc w:val="center"/>
              <w:ind w:left="743"/>
              <w:spacing w:after="0"/>
              <w:rPr>
                <w:sz w:val="20"/>
                <w:szCs w:val="20"/>
                <w:color w:val="auto"/>
              </w:rPr>
            </w:pPr>
            <w:r>
              <w:rPr>
                <w:rFonts w:ascii="Arial" w:cs="Arial" w:eastAsia="Arial" w:hAnsi="Arial"/>
                <w:sz w:val="14"/>
                <w:szCs w:val="14"/>
                <w:b w:val="1"/>
                <w:bCs w:val="1"/>
                <w:color w:val="auto"/>
              </w:rPr>
              <w:t>Pre tax</w:t>
            </w: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Tax</w:t>
            </w: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After tax</w:t>
            </w:r>
          </w:p>
        </w:tc>
        <w:tc>
          <w:tcPr>
            <w:tcW w:w="16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b w:val="1"/>
                <w:bCs w:val="1"/>
                <w:color w:val="auto"/>
              </w:rPr>
              <w:t>Amounts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204"/>
        </w:trPr>
        <w:tc>
          <w:tcPr>
            <w:tcW w:w="422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2460" w:type="dxa"/>
            <w:vAlign w:val="bottom"/>
          </w:tcPr>
          <w:p>
            <w:pPr>
              <w:jc w:val="center"/>
              <w:ind w:left="743"/>
              <w:spacing w:after="0"/>
              <w:rPr>
                <w:sz w:val="20"/>
                <w:szCs w:val="20"/>
                <w:color w:val="auto"/>
              </w:rPr>
            </w:pPr>
            <w:r>
              <w:rPr>
                <w:rFonts w:ascii="Arial" w:cs="Arial" w:eastAsia="Arial" w:hAnsi="Arial"/>
                <w:sz w:val="16"/>
                <w:szCs w:val="16"/>
                <w:color w:val="auto"/>
              </w:rPr>
              <w:t>$899</w:t>
            </w:r>
          </w:p>
        </w:tc>
        <w:tc>
          <w:tcPr>
            <w:tcW w:w="1520" w:type="dxa"/>
            <w:vAlign w:val="bottom"/>
          </w:tcPr>
          <w:p>
            <w:pPr>
              <w:jc w:val="right"/>
              <w:ind w:right="503"/>
              <w:spacing w:after="0"/>
              <w:rPr>
                <w:sz w:val="20"/>
                <w:szCs w:val="20"/>
                <w:color w:val="auto"/>
              </w:rPr>
            </w:pPr>
            <w:r>
              <w:rPr>
                <w:rFonts w:ascii="Arial" w:cs="Arial" w:eastAsia="Arial" w:hAnsi="Arial"/>
                <w:sz w:val="16"/>
                <w:szCs w:val="16"/>
                <w:color w:val="auto"/>
              </w:rPr>
              <w:t>$255</w:t>
            </w:r>
          </w:p>
        </w:tc>
        <w:tc>
          <w:tcPr>
            <w:tcW w:w="1580" w:type="dxa"/>
            <w:vAlign w:val="bottom"/>
          </w:tcPr>
          <w:p>
            <w:pPr>
              <w:jc w:val="center"/>
              <w:spacing w:after="0"/>
              <w:rPr>
                <w:sz w:val="20"/>
                <w:szCs w:val="20"/>
                <w:color w:val="auto"/>
              </w:rPr>
            </w:pPr>
            <w:r>
              <w:rPr>
                <w:rFonts w:ascii="Arial" w:cs="Arial" w:eastAsia="Arial" w:hAnsi="Arial"/>
                <w:sz w:val="16"/>
                <w:szCs w:val="16"/>
                <w:color w:val="auto"/>
              </w:rPr>
              <w:t>$644</w:t>
            </w:r>
          </w:p>
        </w:tc>
        <w:tc>
          <w:tcPr>
            <w:tcW w:w="1640" w:type="dxa"/>
            <w:vAlign w:val="bottom"/>
          </w:tcPr>
          <w:p>
            <w:pPr>
              <w:jc w:val="right"/>
              <w:ind w:right="543"/>
              <w:spacing w:after="0"/>
              <w:rPr>
                <w:sz w:val="20"/>
                <w:szCs w:val="20"/>
                <w:color w:val="auto"/>
              </w:rPr>
            </w:pPr>
            <w:r>
              <w:rPr>
                <w:rFonts w:ascii="Arial" w:cs="Arial" w:eastAsia="Arial" w:hAnsi="Arial"/>
                <w:sz w:val="16"/>
                <w:szCs w:val="16"/>
                <w:color w:val="auto"/>
              </w:rPr>
              <w:t>$0.02</w:t>
            </w:r>
          </w:p>
        </w:tc>
      </w:tr>
      <w:tr>
        <w:trPr>
          <w:trHeight w:val="21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Borders>
              <w:bottom w:val="single" w:sz="8" w:color="auto"/>
            </w:tcBorders>
          </w:tcPr>
          <w:p>
            <w:pPr>
              <w:jc w:val="center"/>
              <w:ind w:left="843"/>
              <w:spacing w:after="0"/>
              <w:rPr>
                <w:sz w:val="20"/>
                <w:szCs w:val="20"/>
                <w:color w:val="auto"/>
              </w:rPr>
            </w:pPr>
            <w:r>
              <w:rPr>
                <w:rFonts w:ascii="Arial" w:cs="Arial" w:eastAsia="Arial" w:hAnsi="Arial"/>
                <w:sz w:val="16"/>
                <w:szCs w:val="16"/>
                <w:color w:val="auto"/>
                <w:w w:val="97"/>
              </w:rPr>
              <w:t>741</w:t>
            </w:r>
          </w:p>
        </w:tc>
        <w:tc>
          <w:tcPr>
            <w:tcW w:w="1520" w:type="dxa"/>
            <w:vAlign w:val="bottom"/>
            <w:tcBorders>
              <w:bottom w:val="single" w:sz="8" w:color="auto"/>
            </w:tcBorders>
          </w:tcPr>
          <w:p>
            <w:pPr>
              <w:jc w:val="right"/>
              <w:ind w:right="503"/>
              <w:spacing w:after="0"/>
              <w:rPr>
                <w:sz w:val="20"/>
                <w:szCs w:val="20"/>
                <w:color w:val="auto"/>
              </w:rPr>
            </w:pPr>
            <w:r>
              <w:rPr>
                <w:rFonts w:ascii="Arial" w:cs="Arial" w:eastAsia="Arial" w:hAnsi="Arial"/>
                <w:sz w:val="16"/>
                <w:szCs w:val="16"/>
                <w:color w:val="auto"/>
              </w:rPr>
              <w:t>210</w:t>
            </w:r>
          </w:p>
        </w:tc>
        <w:tc>
          <w:tcPr>
            <w:tcW w:w="1580" w:type="dxa"/>
            <w:vAlign w:val="bottom"/>
            <w:tcBorders>
              <w:bottom w:val="single" w:sz="8" w:color="auto"/>
            </w:tcBorders>
          </w:tcPr>
          <w:p>
            <w:pPr>
              <w:jc w:val="center"/>
              <w:ind w:left="23"/>
              <w:spacing w:after="0"/>
              <w:rPr>
                <w:sz w:val="20"/>
                <w:szCs w:val="20"/>
                <w:color w:val="auto"/>
              </w:rPr>
            </w:pPr>
            <w:r>
              <w:rPr>
                <w:rFonts w:ascii="Arial" w:cs="Arial" w:eastAsia="Arial" w:hAnsi="Arial"/>
                <w:sz w:val="16"/>
                <w:szCs w:val="16"/>
                <w:color w:val="auto"/>
              </w:rPr>
              <w:t>531</w:t>
            </w:r>
          </w:p>
        </w:tc>
        <w:tc>
          <w:tcPr>
            <w:tcW w:w="1640" w:type="dxa"/>
            <w:vAlign w:val="bottom"/>
            <w:tcBorders>
              <w:bottom w:val="single" w:sz="8" w:color="auto"/>
            </w:tcBorders>
          </w:tcPr>
          <w:p>
            <w:pPr>
              <w:jc w:val="right"/>
              <w:ind w:right="543"/>
              <w:spacing w:after="0"/>
              <w:rPr>
                <w:sz w:val="20"/>
                <w:szCs w:val="20"/>
                <w:color w:val="auto"/>
              </w:rPr>
            </w:pPr>
            <w:r>
              <w:rPr>
                <w:rFonts w:ascii="Arial" w:cs="Arial" w:eastAsia="Arial" w:hAnsi="Arial"/>
                <w:sz w:val="16"/>
                <w:szCs w:val="16"/>
                <w:color w:val="auto"/>
              </w:rPr>
              <w:t>0.02</w:t>
            </w:r>
          </w:p>
        </w:tc>
      </w:tr>
      <w:tr>
        <w:trPr>
          <w:trHeight w:val="159"/>
        </w:trPr>
        <w:tc>
          <w:tcPr>
            <w:tcW w:w="42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Three months ended June 30, 2018</w:t>
            </w:r>
          </w:p>
        </w:tc>
        <w:tc>
          <w:tcPr>
            <w:tcW w:w="2460" w:type="dxa"/>
            <w:vAlign w:val="bottom"/>
          </w:tcPr>
          <w:p>
            <w:pPr>
              <w:jc w:val="center"/>
              <w:ind w:left="743"/>
              <w:spacing w:after="0"/>
              <w:rPr>
                <w:sz w:val="20"/>
                <w:szCs w:val="20"/>
                <w:color w:val="auto"/>
              </w:rPr>
            </w:pPr>
            <w:r>
              <w:rPr>
                <w:rFonts w:ascii="Arial" w:cs="Arial" w:eastAsia="Arial" w:hAnsi="Arial"/>
                <w:sz w:val="14"/>
                <w:szCs w:val="14"/>
                <w:b w:val="1"/>
                <w:bCs w:val="1"/>
                <w:color w:val="auto"/>
              </w:rPr>
              <w:t>Pre tax</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After tax</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b w:val="1"/>
                <w:bCs w:val="1"/>
                <w:color w:val="auto"/>
              </w:rPr>
              <w:t>Amounts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204"/>
        </w:trPr>
        <w:tc>
          <w:tcPr>
            <w:tcW w:w="422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2460" w:type="dxa"/>
            <w:vAlign w:val="bottom"/>
          </w:tcPr>
          <w:p>
            <w:pPr>
              <w:jc w:val="center"/>
              <w:ind w:left="763"/>
              <w:spacing w:after="0"/>
              <w:rPr>
                <w:sz w:val="20"/>
                <w:szCs w:val="20"/>
                <w:color w:val="auto"/>
              </w:rPr>
            </w:pPr>
            <w:r>
              <w:rPr>
                <w:rFonts w:ascii="Arial" w:cs="Arial" w:eastAsia="Arial" w:hAnsi="Arial"/>
                <w:sz w:val="16"/>
                <w:szCs w:val="16"/>
                <w:color w:val="auto"/>
              </w:rPr>
              <w:t>$ 2,589</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$ 779</w:t>
            </w:r>
          </w:p>
        </w:tc>
        <w:tc>
          <w:tcPr>
            <w:tcW w:w="1580" w:type="dxa"/>
            <w:vAlign w:val="bottom"/>
          </w:tcPr>
          <w:p>
            <w:pPr>
              <w:jc w:val="center"/>
              <w:spacing w:after="0"/>
              <w:rPr>
                <w:sz w:val="20"/>
                <w:szCs w:val="20"/>
                <w:color w:val="auto"/>
              </w:rPr>
            </w:pPr>
            <w:r>
              <w:rPr>
                <w:rFonts w:ascii="Arial" w:cs="Arial" w:eastAsia="Arial" w:hAnsi="Arial"/>
                <w:sz w:val="16"/>
                <w:szCs w:val="16"/>
                <w:color w:val="auto"/>
              </w:rPr>
              <w:t>$ 1,810</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$ 0.06</w:t>
            </w:r>
          </w:p>
        </w:tc>
      </w:tr>
      <w:tr>
        <w:trPr>
          <w:trHeight w:val="21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Borders>
              <w:bottom w:val="single" w:sz="8" w:color="auto"/>
            </w:tcBorders>
          </w:tcPr>
          <w:p>
            <w:pPr>
              <w:jc w:val="center"/>
              <w:ind w:left="843"/>
              <w:spacing w:after="0"/>
              <w:rPr>
                <w:sz w:val="20"/>
                <w:szCs w:val="20"/>
                <w:color w:val="auto"/>
              </w:rPr>
            </w:pPr>
            <w:r>
              <w:rPr>
                <w:rFonts w:ascii="Arial" w:cs="Arial" w:eastAsia="Arial" w:hAnsi="Arial"/>
                <w:sz w:val="16"/>
                <w:szCs w:val="16"/>
                <w:color w:val="auto"/>
                <w:w w:val="98"/>
              </w:rPr>
              <w:t>(2,403)</w:t>
            </w:r>
          </w:p>
        </w:tc>
        <w:tc>
          <w:tcPr>
            <w:tcW w:w="152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color w:val="auto"/>
              </w:rPr>
              <w:t>(723)</w:t>
            </w:r>
          </w:p>
        </w:tc>
        <w:tc>
          <w:tcPr>
            <w:tcW w:w="1580" w:type="dxa"/>
            <w:vAlign w:val="bottom"/>
            <w:tcBorders>
              <w:bottom w:val="single" w:sz="8" w:color="auto"/>
            </w:tcBorders>
          </w:tcPr>
          <w:p>
            <w:pPr>
              <w:jc w:val="center"/>
              <w:ind w:left="23"/>
              <w:spacing w:after="0"/>
              <w:rPr>
                <w:sz w:val="20"/>
                <w:szCs w:val="20"/>
                <w:color w:val="auto"/>
              </w:rPr>
            </w:pPr>
            <w:r>
              <w:rPr>
                <w:rFonts w:ascii="Arial" w:cs="Arial" w:eastAsia="Arial" w:hAnsi="Arial"/>
                <w:sz w:val="16"/>
                <w:szCs w:val="16"/>
                <w:color w:val="auto"/>
              </w:rPr>
              <w:t>(1,680)</w:t>
            </w:r>
          </w:p>
        </w:tc>
        <w:tc>
          <w:tcPr>
            <w:tcW w:w="16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(0.05)</w:t>
            </w:r>
          </w:p>
        </w:tc>
      </w:tr>
      <w:tr>
        <w:trPr>
          <w:trHeight w:val="159"/>
        </w:trPr>
        <w:tc>
          <w:tcPr>
            <w:tcW w:w="422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83"/>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2460" w:type="dxa"/>
            <w:vAlign w:val="bottom"/>
          </w:tcPr>
          <w:p>
            <w:pPr>
              <w:jc w:val="center"/>
              <w:ind w:left="743"/>
              <w:spacing w:after="0"/>
              <w:rPr>
                <w:sz w:val="20"/>
                <w:szCs w:val="20"/>
                <w:color w:val="auto"/>
              </w:rPr>
            </w:pPr>
            <w:r>
              <w:rPr>
                <w:rFonts w:ascii="Arial" w:cs="Arial" w:eastAsia="Arial" w:hAnsi="Arial"/>
                <w:sz w:val="14"/>
                <w:szCs w:val="14"/>
                <w:b w:val="1"/>
                <w:bCs w:val="1"/>
                <w:color w:val="auto"/>
              </w:rPr>
              <w:t>Pre tax</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After tax</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b w:val="1"/>
                <w:bCs w:val="1"/>
                <w:color w:val="auto"/>
              </w:rPr>
              <w:t>Amounts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204"/>
        </w:trPr>
        <w:tc>
          <w:tcPr>
            <w:tcW w:w="422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2460" w:type="dxa"/>
            <w:vAlign w:val="bottom"/>
          </w:tcPr>
          <w:p>
            <w:pPr>
              <w:jc w:val="center"/>
              <w:ind w:left="763"/>
              <w:spacing w:after="0"/>
              <w:rPr>
                <w:sz w:val="20"/>
                <w:szCs w:val="20"/>
                <w:color w:val="auto"/>
              </w:rPr>
            </w:pPr>
            <w:r>
              <w:rPr>
                <w:rFonts w:ascii="Arial" w:cs="Arial" w:eastAsia="Arial" w:hAnsi="Arial"/>
                <w:sz w:val="16"/>
                <w:szCs w:val="16"/>
                <w:color w:val="auto"/>
              </w:rPr>
              <w:t>$ 1,383</w:t>
            </w:r>
          </w:p>
        </w:tc>
        <w:tc>
          <w:tcPr>
            <w:tcW w:w="1520" w:type="dxa"/>
            <w:vAlign w:val="bottom"/>
          </w:tcPr>
          <w:p>
            <w:pPr>
              <w:jc w:val="center"/>
              <w:spacing w:after="0"/>
              <w:rPr>
                <w:sz w:val="20"/>
                <w:szCs w:val="20"/>
                <w:color w:val="auto"/>
              </w:rPr>
            </w:pPr>
            <w:r>
              <w:rPr>
                <w:rFonts w:ascii="Arial" w:cs="Arial" w:eastAsia="Arial" w:hAnsi="Arial"/>
                <w:sz w:val="16"/>
                <w:szCs w:val="16"/>
                <w:color w:val="auto"/>
                <w:w w:val="99"/>
              </w:rPr>
              <w:t>$ 397</w:t>
            </w:r>
          </w:p>
        </w:tc>
        <w:tc>
          <w:tcPr>
            <w:tcW w:w="1580" w:type="dxa"/>
            <w:vAlign w:val="bottom"/>
          </w:tcPr>
          <w:p>
            <w:pPr>
              <w:jc w:val="center"/>
              <w:spacing w:after="0"/>
              <w:rPr>
                <w:sz w:val="20"/>
                <w:szCs w:val="20"/>
                <w:color w:val="auto"/>
              </w:rPr>
            </w:pPr>
            <w:r>
              <w:rPr>
                <w:rFonts w:ascii="Arial" w:cs="Arial" w:eastAsia="Arial" w:hAnsi="Arial"/>
                <w:sz w:val="16"/>
                <w:szCs w:val="16"/>
                <w:color w:val="auto"/>
                <w:w w:val="99"/>
              </w:rPr>
              <w:t>$ 986</w:t>
            </w:r>
          </w:p>
        </w:tc>
        <w:tc>
          <w:tcPr>
            <w:tcW w:w="1640" w:type="dxa"/>
            <w:vAlign w:val="bottom"/>
          </w:tcPr>
          <w:p>
            <w:pPr>
              <w:jc w:val="center"/>
              <w:spacing w:after="0"/>
              <w:rPr>
                <w:sz w:val="20"/>
                <w:szCs w:val="20"/>
                <w:color w:val="auto"/>
              </w:rPr>
            </w:pPr>
            <w:r>
              <w:rPr>
                <w:rFonts w:ascii="Arial" w:cs="Arial" w:eastAsia="Arial" w:hAnsi="Arial"/>
                <w:sz w:val="16"/>
                <w:szCs w:val="16"/>
                <w:color w:val="auto"/>
                <w:w w:val="98"/>
              </w:rPr>
              <w:t>$ 0.03</w:t>
            </w:r>
          </w:p>
        </w:tc>
      </w:tr>
      <w:tr>
        <w:trPr>
          <w:trHeight w:val="21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Borders>
              <w:bottom w:val="single" w:sz="8" w:color="auto"/>
            </w:tcBorders>
          </w:tcPr>
          <w:p>
            <w:pPr>
              <w:jc w:val="center"/>
              <w:ind w:left="843"/>
              <w:spacing w:after="0"/>
              <w:rPr>
                <w:sz w:val="20"/>
                <w:szCs w:val="20"/>
                <w:color w:val="auto"/>
              </w:rPr>
            </w:pPr>
            <w:r>
              <w:rPr>
                <w:rFonts w:ascii="Arial" w:cs="Arial" w:eastAsia="Arial" w:hAnsi="Arial"/>
                <w:sz w:val="16"/>
                <w:szCs w:val="16"/>
                <w:color w:val="auto"/>
                <w:w w:val="98"/>
              </w:rPr>
              <w:t>(1,091)</w:t>
            </w:r>
          </w:p>
        </w:tc>
        <w:tc>
          <w:tcPr>
            <w:tcW w:w="1520" w:type="dxa"/>
            <w:vAlign w:val="bottom"/>
            <w:tcBorders>
              <w:bottom w:val="single" w:sz="8" w:color="auto"/>
            </w:tcBorders>
          </w:tcPr>
          <w:p>
            <w:pPr>
              <w:jc w:val="right"/>
              <w:ind w:right="463"/>
              <w:spacing w:after="0"/>
              <w:rPr>
                <w:sz w:val="20"/>
                <w:szCs w:val="20"/>
                <w:color w:val="auto"/>
              </w:rPr>
            </w:pPr>
            <w:r>
              <w:rPr>
                <w:rFonts w:ascii="Arial" w:cs="Arial" w:eastAsia="Arial" w:hAnsi="Arial"/>
                <w:sz w:val="16"/>
                <w:szCs w:val="16"/>
                <w:color w:val="auto"/>
              </w:rPr>
              <w:t>(329)</w:t>
            </w:r>
          </w:p>
        </w:tc>
        <w:tc>
          <w:tcPr>
            <w:tcW w:w="1580" w:type="dxa"/>
            <w:vAlign w:val="bottom"/>
            <w:tcBorders>
              <w:bottom w:val="single" w:sz="8" w:color="auto"/>
            </w:tcBorders>
          </w:tcPr>
          <w:p>
            <w:pPr>
              <w:jc w:val="center"/>
              <w:ind w:left="43"/>
              <w:spacing w:after="0"/>
              <w:rPr>
                <w:sz w:val="20"/>
                <w:szCs w:val="20"/>
                <w:color w:val="auto"/>
              </w:rPr>
            </w:pPr>
            <w:r>
              <w:rPr>
                <w:rFonts w:ascii="Arial" w:cs="Arial" w:eastAsia="Arial" w:hAnsi="Arial"/>
                <w:sz w:val="16"/>
                <w:szCs w:val="16"/>
                <w:color w:val="auto"/>
              </w:rPr>
              <w:t>(762)</w:t>
            </w:r>
          </w:p>
        </w:tc>
        <w:tc>
          <w:tcPr>
            <w:tcW w:w="1640" w:type="dxa"/>
            <w:vAlign w:val="bottom"/>
            <w:tcBorders>
              <w:bottom w:val="single" w:sz="8" w:color="auto"/>
            </w:tcBorders>
          </w:tcPr>
          <w:p>
            <w:pPr>
              <w:jc w:val="right"/>
              <w:ind w:right="483"/>
              <w:spacing w:after="0"/>
              <w:rPr>
                <w:sz w:val="20"/>
                <w:szCs w:val="20"/>
                <w:color w:val="auto"/>
              </w:rPr>
            </w:pPr>
            <w:r>
              <w:rPr>
                <w:rFonts w:ascii="Arial" w:cs="Arial" w:eastAsia="Arial" w:hAnsi="Arial"/>
                <w:sz w:val="16"/>
                <w:szCs w:val="16"/>
                <w:color w:val="auto"/>
              </w:rPr>
              <w:t>(0.02)</w:t>
            </w:r>
          </w:p>
        </w:tc>
      </w:tr>
      <w:tr>
        <w:trPr>
          <w:trHeight w:val="348"/>
        </w:trPr>
        <w:tc>
          <w:tcPr>
            <w:tcW w:w="4220" w:type="dxa"/>
            <w:vAlign w:val="bottom"/>
          </w:tcPr>
          <w:p>
            <w:pPr>
              <w:ind w:left="20"/>
              <w:spacing w:after="0"/>
              <w:rPr>
                <w:sz w:val="20"/>
                <w:szCs w:val="20"/>
                <w:color w:val="auto"/>
              </w:rPr>
            </w:pPr>
            <w:r>
              <w:rPr>
                <w:rFonts w:ascii="Arial" w:cs="Arial" w:eastAsia="Arial" w:hAnsi="Arial"/>
                <w:sz w:val="14"/>
                <w:szCs w:val="14"/>
                <w:b w:val="1"/>
                <w:bCs w:val="1"/>
                <w:color w:val="auto"/>
              </w:rPr>
              <w:t>Six months ended June 30, 2018</w:t>
            </w:r>
          </w:p>
        </w:tc>
        <w:tc>
          <w:tcPr>
            <w:tcW w:w="2460" w:type="dxa"/>
            <w:vAlign w:val="bottom"/>
          </w:tcPr>
          <w:p>
            <w:pPr>
              <w:jc w:val="center"/>
              <w:ind w:left="743"/>
              <w:spacing w:after="0"/>
              <w:rPr>
                <w:sz w:val="20"/>
                <w:szCs w:val="20"/>
                <w:color w:val="auto"/>
              </w:rPr>
            </w:pPr>
            <w:r>
              <w:rPr>
                <w:rFonts w:ascii="Arial" w:cs="Arial" w:eastAsia="Arial" w:hAnsi="Arial"/>
                <w:sz w:val="14"/>
                <w:szCs w:val="14"/>
                <w:b w:val="1"/>
                <w:bCs w:val="1"/>
                <w:color w:val="auto"/>
              </w:rPr>
              <w:t>Pre tax</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9"/>
              </w:rPr>
              <w:t>Tax</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rPr>
              <w:t>After tax</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rPr>
              <w:t>Per Share</w:t>
            </w:r>
          </w:p>
        </w:tc>
      </w:tr>
      <w:tr>
        <w:trPr>
          <w:trHeight w:val="189"/>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2460" w:type="dxa"/>
            <w:vAlign w:val="bottom"/>
            <w:tcBorders>
              <w:bottom w:val="single" w:sz="8" w:color="auto"/>
            </w:tcBorders>
          </w:tcPr>
          <w:p>
            <w:pPr>
              <w:jc w:val="center"/>
              <w:ind w:left="763"/>
              <w:spacing w:after="0"/>
              <w:rPr>
                <w:sz w:val="20"/>
                <w:szCs w:val="20"/>
                <w:color w:val="auto"/>
              </w:rPr>
            </w:pPr>
            <w:r>
              <w:rPr>
                <w:rFonts w:ascii="Arial" w:cs="Arial" w:eastAsia="Arial" w:hAnsi="Arial"/>
                <w:sz w:val="14"/>
                <w:szCs w:val="14"/>
                <w:b w:val="1"/>
                <w:bCs w:val="1"/>
                <w:color w:val="auto"/>
              </w:rPr>
              <w:t>Amounts</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Effect</w:t>
            </w:r>
          </w:p>
        </w:tc>
      </w:tr>
      <w:tr>
        <w:trPr>
          <w:trHeight w:val="204"/>
        </w:trPr>
        <w:tc>
          <w:tcPr>
            <w:tcW w:w="4220" w:type="dxa"/>
            <w:vAlign w:val="bottom"/>
          </w:tcPr>
          <w:p>
            <w:pPr>
              <w:ind w:left="20"/>
              <w:spacing w:after="0"/>
              <w:rPr>
                <w:sz w:val="20"/>
                <w:szCs w:val="20"/>
                <w:color w:val="auto"/>
              </w:rPr>
            </w:pPr>
            <w:r>
              <w:rPr>
                <w:rFonts w:ascii="Arial" w:cs="Arial" w:eastAsia="Arial" w:hAnsi="Arial"/>
                <w:sz w:val="16"/>
                <w:szCs w:val="16"/>
                <w:color w:val="auto"/>
              </w:rPr>
              <w:t>Restructuring expenses, net</w:t>
            </w:r>
          </w:p>
        </w:tc>
        <w:tc>
          <w:tcPr>
            <w:tcW w:w="2460" w:type="dxa"/>
            <w:vAlign w:val="bottom"/>
          </w:tcPr>
          <w:p>
            <w:pPr>
              <w:jc w:val="center"/>
              <w:ind w:left="763"/>
              <w:spacing w:after="0"/>
              <w:rPr>
                <w:sz w:val="20"/>
                <w:szCs w:val="20"/>
                <w:color w:val="auto"/>
              </w:rPr>
            </w:pPr>
            <w:r>
              <w:rPr>
                <w:rFonts w:ascii="Arial" w:cs="Arial" w:eastAsia="Arial" w:hAnsi="Arial"/>
                <w:sz w:val="16"/>
                <w:szCs w:val="16"/>
                <w:color w:val="auto"/>
              </w:rPr>
              <w:t>$11,162</w:t>
            </w:r>
          </w:p>
        </w:tc>
        <w:tc>
          <w:tcPr>
            <w:tcW w:w="1520" w:type="dxa"/>
            <w:vAlign w:val="bottom"/>
          </w:tcPr>
          <w:p>
            <w:pPr>
              <w:jc w:val="center"/>
              <w:spacing w:after="0"/>
              <w:rPr>
                <w:sz w:val="20"/>
                <w:szCs w:val="20"/>
                <w:color w:val="auto"/>
              </w:rPr>
            </w:pPr>
            <w:r>
              <w:rPr>
                <w:rFonts w:ascii="Arial" w:cs="Arial" w:eastAsia="Arial" w:hAnsi="Arial"/>
                <w:sz w:val="16"/>
                <w:szCs w:val="16"/>
                <w:color w:val="auto"/>
              </w:rPr>
              <w:t>$3,565</w:t>
            </w:r>
          </w:p>
        </w:tc>
        <w:tc>
          <w:tcPr>
            <w:tcW w:w="1580" w:type="dxa"/>
            <w:vAlign w:val="bottom"/>
          </w:tcPr>
          <w:p>
            <w:pPr>
              <w:jc w:val="center"/>
              <w:spacing w:after="0"/>
              <w:rPr>
                <w:sz w:val="20"/>
                <w:szCs w:val="20"/>
                <w:color w:val="auto"/>
              </w:rPr>
            </w:pPr>
            <w:r>
              <w:rPr>
                <w:rFonts w:ascii="Arial" w:cs="Arial" w:eastAsia="Arial" w:hAnsi="Arial"/>
                <w:sz w:val="16"/>
                <w:szCs w:val="16"/>
                <w:color w:val="auto"/>
              </w:rPr>
              <w:t>$7,597</w:t>
            </w:r>
          </w:p>
        </w:tc>
        <w:tc>
          <w:tcPr>
            <w:tcW w:w="1640" w:type="dxa"/>
            <w:vAlign w:val="bottom"/>
          </w:tcPr>
          <w:p>
            <w:pPr>
              <w:jc w:val="right"/>
              <w:ind w:right="543"/>
              <w:spacing w:after="0"/>
              <w:rPr>
                <w:sz w:val="20"/>
                <w:szCs w:val="20"/>
                <w:color w:val="auto"/>
              </w:rPr>
            </w:pPr>
            <w:r>
              <w:rPr>
                <w:rFonts w:ascii="Arial" w:cs="Arial" w:eastAsia="Arial" w:hAnsi="Arial"/>
                <w:sz w:val="16"/>
                <w:szCs w:val="16"/>
                <w:color w:val="auto"/>
              </w:rPr>
              <w:t>$0.24</w:t>
            </w:r>
          </w:p>
        </w:tc>
      </w:tr>
      <w:tr>
        <w:trPr>
          <w:trHeight w:val="216"/>
        </w:trPr>
        <w:tc>
          <w:tcPr>
            <w:tcW w:w="4220" w:type="dxa"/>
            <w:vAlign w:val="bottom"/>
          </w:tcPr>
          <w:p>
            <w:pPr>
              <w:ind w:left="20"/>
              <w:spacing w:after="0"/>
              <w:rPr>
                <w:sz w:val="20"/>
                <w:szCs w:val="20"/>
                <w:color w:val="auto"/>
              </w:rPr>
            </w:pPr>
            <w:r>
              <w:rPr>
                <w:rFonts w:ascii="Arial" w:cs="Arial" w:eastAsia="Arial" w:hAnsi="Arial"/>
                <w:sz w:val="16"/>
                <w:szCs w:val="16"/>
                <w:color w:val="auto"/>
              </w:rPr>
              <w:t>Foreign currency revaluation gains</w:t>
            </w:r>
          </w:p>
        </w:tc>
        <w:tc>
          <w:tcPr>
            <w:tcW w:w="2460" w:type="dxa"/>
            <w:vAlign w:val="bottom"/>
          </w:tcPr>
          <w:p>
            <w:pPr>
              <w:jc w:val="right"/>
              <w:ind w:right="423"/>
              <w:spacing w:after="0"/>
              <w:rPr>
                <w:sz w:val="20"/>
                <w:szCs w:val="20"/>
                <w:color w:val="auto"/>
              </w:rPr>
            </w:pPr>
            <w:r>
              <w:rPr>
                <w:rFonts w:ascii="Arial" w:cs="Arial" w:eastAsia="Arial" w:hAnsi="Arial"/>
                <w:sz w:val="16"/>
                <w:szCs w:val="16"/>
                <w:color w:val="auto"/>
              </w:rPr>
              <w:t>(13)</w:t>
            </w:r>
          </w:p>
        </w:tc>
        <w:tc>
          <w:tcPr>
            <w:tcW w:w="1520" w:type="dxa"/>
            <w:vAlign w:val="bottom"/>
          </w:tcPr>
          <w:p>
            <w:pPr>
              <w:jc w:val="right"/>
              <w:ind w:right="443"/>
              <w:spacing w:after="0"/>
              <w:rPr>
                <w:sz w:val="20"/>
                <w:szCs w:val="20"/>
                <w:color w:val="auto"/>
              </w:rPr>
            </w:pPr>
            <w:r>
              <w:rPr>
                <w:rFonts w:ascii="Arial" w:cs="Arial" w:eastAsia="Arial" w:hAnsi="Arial"/>
                <w:sz w:val="16"/>
                <w:szCs w:val="16"/>
                <w:color w:val="auto"/>
              </w:rPr>
              <w:t>54</w:t>
            </w:r>
          </w:p>
        </w:tc>
        <w:tc>
          <w:tcPr>
            <w:tcW w:w="1580" w:type="dxa"/>
            <w:vAlign w:val="bottom"/>
          </w:tcPr>
          <w:p>
            <w:pPr>
              <w:jc w:val="right"/>
              <w:ind w:right="423"/>
              <w:spacing w:after="0"/>
              <w:rPr>
                <w:sz w:val="20"/>
                <w:szCs w:val="20"/>
                <w:color w:val="auto"/>
              </w:rPr>
            </w:pPr>
            <w:r>
              <w:rPr>
                <w:rFonts w:ascii="Arial" w:cs="Arial" w:eastAsia="Arial" w:hAnsi="Arial"/>
                <w:sz w:val="16"/>
                <w:szCs w:val="16"/>
                <w:color w:val="auto"/>
              </w:rPr>
              <w:t>(67)</w:t>
            </w:r>
          </w:p>
        </w:tc>
        <w:tc>
          <w:tcPr>
            <w:tcW w:w="1640" w:type="dxa"/>
            <w:vAlign w:val="bottom"/>
          </w:tcPr>
          <w:p>
            <w:pPr>
              <w:jc w:val="right"/>
              <w:ind w:right="543"/>
              <w:spacing w:after="0"/>
              <w:rPr>
                <w:sz w:val="20"/>
                <w:szCs w:val="20"/>
                <w:color w:val="auto"/>
              </w:rPr>
            </w:pPr>
            <w:r>
              <w:rPr>
                <w:rFonts w:ascii="Arial" w:cs="Arial" w:eastAsia="Arial" w:hAnsi="Arial"/>
                <w:sz w:val="16"/>
                <w:szCs w:val="16"/>
                <w:color w:val="auto"/>
              </w:rPr>
              <w:t>0.00</w:t>
            </w: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Adjusted EPS:</w:t>
      </w:r>
    </w:p>
    <w:p>
      <w:pPr>
        <w:spacing w:after="0" w:line="139" w:lineRule="exact"/>
        <w:rPr>
          <w:sz w:val="20"/>
          <w:szCs w:val="20"/>
          <w:color w:val="auto"/>
        </w:rPr>
      </w:pPr>
    </w:p>
    <w:tbl>
      <w:tblPr>
        <w:tblLayout w:type="fixed"/>
        <w:tblInd w:w="1000" w:type="dxa"/>
        <w:tblCellMar>
          <w:top w:w="0" w:type="dxa"/>
          <w:left w:w="0" w:type="dxa"/>
          <w:bottom w:w="0" w:type="dxa"/>
          <w:right w:w="0" w:type="dxa"/>
        </w:tblCellMar>
      </w:tblPr>
      <w:tr>
        <w:trPr>
          <w:trHeight w:val="176"/>
        </w:trPr>
        <w:tc>
          <w:tcPr>
            <w:tcW w:w="5660" w:type="dxa"/>
            <w:vAlign w:val="bottom"/>
            <w:tcBorders>
              <w:top w:val="single" w:sz="8" w:color="auto"/>
            </w:tcBorders>
          </w:tcPr>
          <w:p>
            <w:pPr>
              <w:spacing w:after="0"/>
              <w:rPr>
                <w:sz w:val="15"/>
                <w:szCs w:val="15"/>
                <w:color w:val="auto"/>
              </w:rPr>
            </w:pPr>
          </w:p>
        </w:tc>
        <w:tc>
          <w:tcPr>
            <w:tcW w:w="1940" w:type="dxa"/>
            <w:vAlign w:val="bottom"/>
            <w:tcBorders>
              <w:top w:val="single" w:sz="8" w:color="auto"/>
            </w:tcBorders>
            <w:gridSpan w:val="2"/>
          </w:tcPr>
          <w:p>
            <w:pPr>
              <w:jc w:val="right"/>
              <w:ind w:right="22"/>
              <w:spacing w:after="0"/>
              <w:rPr>
                <w:sz w:val="20"/>
                <w:szCs w:val="20"/>
                <w:color w:val="auto"/>
              </w:rPr>
            </w:pPr>
            <w:r>
              <w:rPr>
                <w:rFonts w:ascii="Arial" w:cs="Arial" w:eastAsia="Arial" w:hAnsi="Arial"/>
                <w:sz w:val="14"/>
                <w:szCs w:val="14"/>
                <w:b w:val="1"/>
                <w:bCs w:val="1"/>
                <w:color w:val="auto"/>
              </w:rPr>
              <w:t>Three months ended June</w:t>
            </w:r>
          </w:p>
        </w:tc>
        <w:tc>
          <w:tcPr>
            <w:tcW w:w="182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4"/>
                <w:szCs w:val="14"/>
                <w:b w:val="1"/>
                <w:bCs w:val="1"/>
                <w:color w:val="auto"/>
              </w:rPr>
              <w:t>Six months ended June</w:t>
            </w:r>
          </w:p>
        </w:tc>
      </w:tr>
      <w:tr>
        <w:trPr>
          <w:trHeight w:val="189"/>
        </w:trPr>
        <w:tc>
          <w:tcPr>
            <w:tcW w:w="56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802"/>
              <w:spacing w:after="0"/>
              <w:rPr>
                <w:sz w:val="20"/>
                <w:szCs w:val="20"/>
                <w:color w:val="auto"/>
              </w:rPr>
            </w:pPr>
            <w:r>
              <w:rPr>
                <w:rFonts w:ascii="Arial" w:cs="Arial" w:eastAsia="Arial" w:hAnsi="Arial"/>
                <w:sz w:val="14"/>
                <w:szCs w:val="14"/>
                <w:b w:val="1"/>
                <w:bCs w:val="1"/>
                <w:color w:val="auto"/>
              </w:rPr>
              <w:t>30,</w:t>
            </w:r>
          </w:p>
        </w:tc>
        <w:tc>
          <w:tcPr>
            <w:tcW w:w="7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762"/>
              <w:spacing w:after="0"/>
              <w:rPr>
                <w:sz w:val="20"/>
                <w:szCs w:val="20"/>
                <w:color w:val="auto"/>
              </w:rPr>
            </w:pPr>
            <w:r>
              <w:rPr>
                <w:rFonts w:ascii="Arial" w:cs="Arial" w:eastAsia="Arial" w:hAnsi="Arial"/>
                <w:sz w:val="14"/>
                <w:szCs w:val="14"/>
                <w:b w:val="1"/>
                <w:bCs w:val="1"/>
                <w:color w:val="auto"/>
              </w:rPr>
              <w:t>30,</w:t>
            </w:r>
          </w:p>
        </w:tc>
      </w:tr>
      <w:tr>
        <w:trPr>
          <w:trHeight w:val="183"/>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w:t>
            </w:r>
          </w:p>
        </w:tc>
        <w:tc>
          <w:tcPr>
            <w:tcW w:w="7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2018</w:t>
            </w:r>
          </w:p>
        </w:tc>
        <w:tc>
          <w:tcPr>
            <w:tcW w:w="74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0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2018</w:t>
            </w:r>
          </w:p>
        </w:tc>
      </w:tr>
      <w:tr>
        <w:trPr>
          <w:trHeight w:val="208"/>
        </w:trPr>
        <w:tc>
          <w:tcPr>
            <w:tcW w:w="5660" w:type="dxa"/>
            <w:vAlign w:val="bottom"/>
          </w:tcPr>
          <w:p>
            <w:pPr>
              <w:ind w:left="20"/>
              <w:spacing w:after="0"/>
              <w:rPr>
                <w:sz w:val="20"/>
                <w:szCs w:val="20"/>
                <w:color w:val="auto"/>
              </w:rPr>
            </w:pPr>
            <w:r>
              <w:rPr>
                <w:rFonts w:ascii="Arial" w:cs="Arial" w:eastAsia="Arial" w:hAnsi="Arial"/>
                <w:sz w:val="16"/>
                <w:szCs w:val="16"/>
                <w:color w:val="auto"/>
              </w:rPr>
              <w:t>Earnings per share - basic (GAAP)</w:t>
            </w:r>
          </w:p>
        </w:tc>
        <w:tc>
          <w:tcPr>
            <w:tcW w:w="760" w:type="dxa"/>
            <w:vAlign w:val="bottom"/>
          </w:tcPr>
          <w:p>
            <w:pPr>
              <w:jc w:val="right"/>
              <w:ind w:right="2"/>
              <w:spacing w:after="0"/>
              <w:rPr>
                <w:sz w:val="20"/>
                <w:szCs w:val="20"/>
                <w:color w:val="auto"/>
              </w:rPr>
            </w:pPr>
            <w:r>
              <w:rPr>
                <w:rFonts w:ascii="Arial" w:cs="Arial" w:eastAsia="Arial" w:hAnsi="Arial"/>
                <w:sz w:val="16"/>
                <w:szCs w:val="16"/>
                <w:b w:val="1"/>
                <w:bCs w:val="1"/>
                <w:color w:val="auto"/>
              </w:rPr>
              <w:t>$1.05</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$ 0.93</w:t>
            </w:r>
          </w:p>
        </w:tc>
        <w:tc>
          <w:tcPr>
            <w:tcW w:w="740" w:type="dxa"/>
            <w:vAlign w:val="bottom"/>
          </w:tcPr>
          <w:p>
            <w:pPr>
              <w:jc w:val="right"/>
              <w:ind w:right="22"/>
              <w:spacing w:after="0"/>
              <w:rPr>
                <w:sz w:val="20"/>
                <w:szCs w:val="20"/>
                <w:color w:val="auto"/>
              </w:rPr>
            </w:pPr>
            <w:r>
              <w:rPr>
                <w:rFonts w:ascii="Arial" w:cs="Arial" w:eastAsia="Arial" w:hAnsi="Arial"/>
                <w:sz w:val="16"/>
                <w:szCs w:val="16"/>
                <w:b w:val="1"/>
                <w:bCs w:val="1"/>
                <w:color w:val="auto"/>
              </w:rPr>
              <w:t>$ 1.96</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$1.17</w:t>
            </w:r>
          </w:p>
        </w:tc>
      </w:tr>
      <w:tr>
        <w:trPr>
          <w:trHeight w:val="211"/>
        </w:trPr>
        <w:tc>
          <w:tcPr>
            <w:tcW w:w="5660" w:type="dxa"/>
            <w:vAlign w:val="bottom"/>
          </w:tcPr>
          <w:p>
            <w:pPr>
              <w:ind w:left="20"/>
              <w:spacing w:after="0"/>
              <w:rPr>
                <w:sz w:val="20"/>
                <w:szCs w:val="20"/>
                <w:color w:val="auto"/>
              </w:rPr>
            </w:pPr>
            <w:r>
              <w:rPr>
                <w:rFonts w:ascii="Arial" w:cs="Arial" w:eastAsia="Arial" w:hAnsi="Arial"/>
                <w:sz w:val="16"/>
                <w:szCs w:val="16"/>
                <w:color w:val="auto"/>
              </w:rPr>
              <w:t>Adjustments:</w:t>
            </w:r>
          </w:p>
        </w:tc>
        <w:tc>
          <w:tcPr>
            <w:tcW w:w="7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6"/>
                <w:szCs w:val="16"/>
                <w:color w:val="auto"/>
              </w:rPr>
              <w:t>Restructuring expenses, net (after-tax)</w:t>
            </w:r>
          </w:p>
        </w:tc>
        <w:tc>
          <w:tcPr>
            <w:tcW w:w="760" w:type="dxa"/>
            <w:vAlign w:val="bottom"/>
          </w:tcPr>
          <w:p>
            <w:pPr>
              <w:jc w:val="right"/>
              <w:ind w:right="2"/>
              <w:spacing w:after="0"/>
              <w:rPr>
                <w:sz w:val="20"/>
                <w:szCs w:val="20"/>
                <w:color w:val="auto"/>
              </w:rPr>
            </w:pPr>
            <w:r>
              <w:rPr>
                <w:rFonts w:ascii="Arial" w:cs="Arial" w:eastAsia="Arial" w:hAnsi="Arial"/>
                <w:sz w:val="16"/>
                <w:szCs w:val="16"/>
                <w:b w:val="1"/>
                <w:bCs w:val="1"/>
                <w:color w:val="auto"/>
              </w:rPr>
              <w:t>0.02</w:t>
            </w:r>
          </w:p>
        </w:tc>
        <w:tc>
          <w:tcPr>
            <w:tcW w:w="1180" w:type="dxa"/>
            <w:vAlign w:val="bottom"/>
          </w:tcPr>
          <w:p>
            <w:pPr>
              <w:jc w:val="right"/>
              <w:ind w:right="222"/>
              <w:spacing w:after="0"/>
              <w:rPr>
                <w:sz w:val="20"/>
                <w:szCs w:val="20"/>
                <w:color w:val="auto"/>
              </w:rPr>
            </w:pPr>
            <w:r>
              <w:rPr>
                <w:rFonts w:ascii="Arial" w:cs="Arial" w:eastAsia="Arial" w:hAnsi="Arial"/>
                <w:sz w:val="16"/>
                <w:szCs w:val="16"/>
                <w:color w:val="auto"/>
              </w:rPr>
              <w:t>0.06</w:t>
            </w:r>
          </w:p>
        </w:tc>
        <w:tc>
          <w:tcPr>
            <w:tcW w:w="740" w:type="dxa"/>
            <w:vAlign w:val="bottom"/>
          </w:tcPr>
          <w:p>
            <w:pPr>
              <w:jc w:val="right"/>
              <w:ind w:right="22"/>
              <w:spacing w:after="0"/>
              <w:rPr>
                <w:sz w:val="20"/>
                <w:szCs w:val="20"/>
                <w:color w:val="auto"/>
              </w:rPr>
            </w:pPr>
            <w:r>
              <w:rPr>
                <w:rFonts w:ascii="Arial" w:cs="Arial" w:eastAsia="Arial" w:hAnsi="Arial"/>
                <w:sz w:val="16"/>
                <w:szCs w:val="16"/>
                <w:b w:val="1"/>
                <w:bCs w:val="1"/>
                <w:color w:val="auto"/>
              </w:rPr>
              <w:t>0.03</w:t>
            </w:r>
          </w:p>
        </w:tc>
        <w:tc>
          <w:tcPr>
            <w:tcW w:w="1080" w:type="dxa"/>
            <w:vAlign w:val="bottom"/>
          </w:tcPr>
          <w:p>
            <w:pPr>
              <w:jc w:val="right"/>
              <w:ind w:right="182"/>
              <w:spacing w:after="0"/>
              <w:rPr>
                <w:sz w:val="20"/>
                <w:szCs w:val="20"/>
                <w:color w:val="auto"/>
              </w:rPr>
            </w:pPr>
            <w:r>
              <w:rPr>
                <w:rFonts w:ascii="Arial" w:cs="Arial" w:eastAsia="Arial" w:hAnsi="Arial"/>
                <w:sz w:val="16"/>
                <w:szCs w:val="16"/>
                <w:color w:val="auto"/>
              </w:rPr>
              <w:t>0.24</w:t>
            </w:r>
          </w:p>
        </w:tc>
      </w:tr>
      <w:tr>
        <w:trPr>
          <w:trHeight w:val="21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(gains)/losses (after-tax)</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0.02</w:t>
            </w:r>
          </w:p>
        </w:tc>
        <w:tc>
          <w:tcPr>
            <w:tcW w:w="11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(0.05)</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(0.02)</w:t>
            </w: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r>
      <w:tr>
        <w:trPr>
          <w:trHeight w:val="212"/>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Adjusted Earnings per share</w:t>
            </w:r>
          </w:p>
        </w:tc>
        <w:tc>
          <w:tcPr>
            <w:tcW w:w="7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$1.09</w:t>
            </w:r>
          </w:p>
        </w:tc>
        <w:tc>
          <w:tcPr>
            <w:tcW w:w="1180" w:type="dxa"/>
            <w:vAlign w:val="bottom"/>
            <w:tcBorders>
              <w:bottom w:val="single" w:sz="8" w:color="auto"/>
            </w:tcBorders>
          </w:tcPr>
          <w:p>
            <w:pPr>
              <w:jc w:val="right"/>
              <w:ind w:right="222"/>
              <w:spacing w:after="0"/>
              <w:rPr>
                <w:sz w:val="20"/>
                <w:szCs w:val="20"/>
                <w:color w:val="auto"/>
              </w:rPr>
            </w:pPr>
            <w:r>
              <w:rPr>
                <w:rFonts w:ascii="Arial" w:cs="Arial" w:eastAsia="Arial" w:hAnsi="Arial"/>
                <w:sz w:val="16"/>
                <w:szCs w:val="16"/>
                <w:color w:val="auto"/>
              </w:rPr>
              <w:t>$ 0.94</w:t>
            </w:r>
          </w:p>
        </w:tc>
        <w:tc>
          <w:tcPr>
            <w:tcW w:w="74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rPr>
              <w:t>$ 1.97</w:t>
            </w:r>
          </w:p>
        </w:tc>
        <w:tc>
          <w:tcPr>
            <w:tcW w:w="108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$1.41</w:t>
            </w:r>
          </w:p>
        </w:tc>
      </w:tr>
    </w:tbl>
    <w:p>
      <w:pPr>
        <w:spacing w:after="0" w:line="202" w:lineRule="exact"/>
        <w:rPr>
          <w:sz w:val="20"/>
          <w:szCs w:val="20"/>
          <w:color w:val="auto"/>
        </w:rPr>
      </w:pPr>
    </w:p>
    <w:p>
      <w:pPr>
        <w:jc w:val="both"/>
        <w:ind w:right="20" w:firstLine="324"/>
        <w:spacing w:after="0"/>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2000" w:type="dxa"/>
            <w:vAlign w:val="bottom"/>
            <w:tcBorders>
              <w:top w:val="single" w:sz="8" w:color="auto"/>
              <w:bottom w:val="single" w:sz="8" w:color="auto"/>
            </w:tcBorders>
            <w:gridSpan w:val="2"/>
          </w:tcPr>
          <w:p>
            <w:pPr>
              <w:jc w:val="right"/>
              <w:ind w:right="399"/>
              <w:spacing w:after="0"/>
              <w:rPr>
                <w:sz w:val="20"/>
                <w:szCs w:val="20"/>
                <w:color w:val="auto"/>
              </w:rPr>
            </w:pPr>
            <w:r>
              <w:rPr>
                <w:rFonts w:ascii="Arial" w:cs="Arial" w:eastAsia="Arial" w:hAnsi="Arial"/>
                <w:sz w:val="14"/>
                <w:szCs w:val="14"/>
                <w:b w:val="1"/>
                <w:bCs w:val="1"/>
                <w:color w:val="auto"/>
              </w:rPr>
              <w:t>June 30, 2019</w:t>
            </w:r>
          </w:p>
        </w:tc>
        <w:tc>
          <w:tcPr>
            <w:tcW w:w="2020" w:type="dxa"/>
            <w:vAlign w:val="bottom"/>
            <w:tcBorders>
              <w:top w:val="single" w:sz="8" w:color="auto"/>
              <w:bottom w:val="single" w:sz="8" w:color="auto"/>
            </w:tcBorders>
            <w:gridSpan w:val="2"/>
          </w:tcPr>
          <w:p>
            <w:pPr>
              <w:jc w:val="right"/>
              <w:ind w:right="439"/>
              <w:spacing w:after="0"/>
              <w:rPr>
                <w:sz w:val="20"/>
                <w:szCs w:val="20"/>
                <w:color w:val="auto"/>
              </w:rPr>
            </w:pPr>
            <w:r>
              <w:rPr>
                <w:rFonts w:ascii="Arial" w:cs="Arial" w:eastAsia="Arial" w:hAnsi="Arial"/>
                <w:sz w:val="14"/>
                <w:szCs w:val="14"/>
                <w:b w:val="1"/>
                <w:bCs w:val="1"/>
                <w:color w:val="auto"/>
              </w:rPr>
              <w:t>March 31, 2019</w:t>
            </w:r>
          </w:p>
        </w:tc>
        <w:tc>
          <w:tcPr>
            <w:tcW w:w="2380" w:type="dxa"/>
            <w:vAlign w:val="bottom"/>
            <w:tcBorders>
              <w:top w:val="single" w:sz="8" w:color="auto"/>
              <w:bottom w:val="single" w:sz="8" w:color="auto"/>
            </w:tcBorders>
            <w:gridSpan w:val="2"/>
          </w:tcPr>
          <w:p>
            <w:pPr>
              <w:jc w:val="right"/>
              <w:ind w:right="499"/>
              <w:spacing w:after="0"/>
              <w:rPr>
                <w:sz w:val="20"/>
                <w:szCs w:val="20"/>
                <w:color w:val="auto"/>
              </w:rPr>
            </w:pPr>
            <w:r>
              <w:rPr>
                <w:rFonts w:ascii="Arial" w:cs="Arial" w:eastAsia="Arial" w:hAnsi="Arial"/>
                <w:sz w:val="14"/>
                <w:szCs w:val="14"/>
                <w:b w:val="1"/>
                <w:bCs w:val="1"/>
                <w:color w:val="auto"/>
              </w:rPr>
              <w:t>December 31, 2018</w:t>
            </w:r>
          </w:p>
        </w:tc>
      </w:tr>
      <w:tr>
        <w:trPr>
          <w:trHeight w:val="204"/>
        </w:trPr>
        <w:tc>
          <w:tcPr>
            <w:tcW w:w="5020" w:type="dxa"/>
            <w:vAlign w:val="bottom"/>
          </w:tcPr>
          <w:p>
            <w:pPr>
              <w:ind w:left="20"/>
              <w:spacing w:after="0"/>
              <w:rPr>
                <w:sz w:val="20"/>
                <w:szCs w:val="20"/>
                <w:color w:val="auto"/>
              </w:rPr>
            </w:pPr>
            <w:r>
              <w:rPr>
                <w:rFonts w:ascii="Arial" w:cs="Arial" w:eastAsia="Arial" w:hAnsi="Arial"/>
                <w:sz w:val="16"/>
                <w:szCs w:val="16"/>
                <w:color w:val="auto"/>
              </w:rPr>
              <w:t>Current maturities of long-term debt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519"/>
              <w:spacing w:after="0"/>
              <w:rPr>
                <w:sz w:val="20"/>
                <w:szCs w:val="20"/>
                <w:color w:val="auto"/>
              </w:rPr>
            </w:pPr>
            <w:r>
              <w:rPr>
                <w:rFonts w:ascii="Arial" w:cs="Arial" w:eastAsia="Arial" w:hAnsi="Arial"/>
                <w:sz w:val="16"/>
                <w:szCs w:val="16"/>
                <w:color w:val="auto"/>
              </w:rPr>
              <w:t>19</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619"/>
              <w:spacing w:after="0"/>
              <w:rPr>
                <w:sz w:val="20"/>
                <w:szCs w:val="20"/>
                <w:color w:val="auto"/>
              </w:rPr>
            </w:pPr>
            <w:r>
              <w:rPr>
                <w:rFonts w:ascii="Arial" w:cs="Arial" w:eastAsia="Arial" w:hAnsi="Arial"/>
                <w:sz w:val="16"/>
                <w:szCs w:val="16"/>
                <w:color w:val="auto"/>
              </w:rPr>
              <w:t>19</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799"/>
              <w:spacing w:after="0"/>
              <w:rPr>
                <w:sz w:val="20"/>
                <w:szCs w:val="20"/>
                <w:color w:val="auto"/>
              </w:rPr>
            </w:pPr>
            <w:r>
              <w:rPr>
                <w:rFonts w:ascii="Arial" w:cs="Arial" w:eastAsia="Arial" w:hAnsi="Arial"/>
                <w:sz w:val="16"/>
                <w:szCs w:val="16"/>
                <w:color w:val="auto"/>
              </w:rPr>
              <w:t>1,224</w:t>
            </w:r>
          </w:p>
        </w:tc>
      </w:tr>
      <w:tr>
        <w:trPr>
          <w:trHeight w:val="21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Long-term debt</w:t>
            </w:r>
          </w:p>
        </w:tc>
        <w:tc>
          <w:tcPr>
            <w:tcW w:w="200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482,019</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color w:val="auto"/>
              </w:rPr>
              <w:t>491,022</w:t>
            </w:r>
          </w:p>
        </w:tc>
        <w:tc>
          <w:tcPr>
            <w:tcW w:w="23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color w:val="auto"/>
              </w:rPr>
              <w:t>523,707</w:t>
            </w:r>
          </w:p>
        </w:tc>
      </w:tr>
      <w:tr>
        <w:trPr>
          <w:trHeight w:val="21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Total debt</w:t>
            </w:r>
          </w:p>
        </w:tc>
        <w:tc>
          <w:tcPr>
            <w:tcW w:w="200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b w:val="1"/>
                <w:bCs w:val="1"/>
                <w:color w:val="auto"/>
              </w:rPr>
              <w:t>482,038</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491,041</w:t>
            </w:r>
          </w:p>
        </w:tc>
        <w:tc>
          <w:tcPr>
            <w:tcW w:w="23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524,931</w:t>
            </w:r>
          </w:p>
        </w:tc>
      </w:tr>
      <w:tr>
        <w:trPr>
          <w:trHeight w:val="20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and cash equivalents</w:t>
            </w:r>
          </w:p>
        </w:tc>
        <w:tc>
          <w:tcPr>
            <w:tcW w:w="2000" w:type="dxa"/>
            <w:vAlign w:val="bottom"/>
            <w:tcBorders>
              <w:bottom w:val="single" w:sz="8" w:color="auto"/>
            </w:tcBorders>
            <w:gridSpan w:val="2"/>
          </w:tcPr>
          <w:p>
            <w:pPr>
              <w:jc w:val="right"/>
              <w:ind w:right="519"/>
              <w:spacing w:after="0"/>
              <w:rPr>
                <w:sz w:val="20"/>
                <w:szCs w:val="20"/>
                <w:color w:val="auto"/>
              </w:rPr>
            </w:pPr>
            <w:r>
              <w:rPr>
                <w:rFonts w:ascii="Arial" w:cs="Arial" w:eastAsia="Arial" w:hAnsi="Arial"/>
                <w:sz w:val="16"/>
                <w:szCs w:val="16"/>
                <w:color w:val="auto"/>
              </w:rPr>
              <w:t>215,233</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color w:val="auto"/>
              </w:rPr>
              <w:t>187,385</w:t>
            </w:r>
          </w:p>
        </w:tc>
        <w:tc>
          <w:tcPr>
            <w:tcW w:w="23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color w:val="auto"/>
              </w:rPr>
              <w:t>197,755</w:t>
            </w:r>
          </w:p>
        </w:tc>
      </w:tr>
      <w:tr>
        <w:trPr>
          <w:trHeight w:val="212"/>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Net debt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w w:val="96"/>
              </w:rPr>
              <w:t>266,805</w:t>
            </w:r>
          </w:p>
        </w:tc>
        <w:tc>
          <w:tcPr>
            <w:tcW w:w="2020" w:type="dxa"/>
            <w:vAlign w:val="bottom"/>
            <w:tcBorders>
              <w:bottom w:val="single" w:sz="8" w:color="auto"/>
            </w:tcBorders>
            <w:gridSpan w:val="2"/>
          </w:tcPr>
          <w:p>
            <w:pPr>
              <w:jc w:val="right"/>
              <w:ind w:right="619"/>
              <w:spacing w:after="0"/>
              <w:rPr>
                <w:sz w:val="20"/>
                <w:szCs w:val="20"/>
                <w:color w:val="auto"/>
              </w:rPr>
            </w:pPr>
            <w:r>
              <w:rPr>
                <w:rFonts w:ascii="Arial" w:cs="Arial" w:eastAsia="Arial" w:hAnsi="Arial"/>
                <w:sz w:val="16"/>
                <w:szCs w:val="16"/>
                <w:b w:val="1"/>
                <w:bCs w:val="1"/>
                <w:color w:val="auto"/>
              </w:rPr>
              <w:t>$303,656</w:t>
            </w:r>
          </w:p>
        </w:tc>
        <w:tc>
          <w:tcPr>
            <w:tcW w:w="2380" w:type="dxa"/>
            <w:vAlign w:val="bottom"/>
            <w:tcBorders>
              <w:bottom w:val="single" w:sz="8" w:color="auto"/>
            </w:tcBorders>
            <w:gridSpan w:val="2"/>
          </w:tcPr>
          <w:p>
            <w:pPr>
              <w:jc w:val="right"/>
              <w:ind w:right="799"/>
              <w:spacing w:after="0"/>
              <w:rPr>
                <w:sz w:val="20"/>
                <w:szCs w:val="20"/>
                <w:color w:val="auto"/>
              </w:rPr>
            </w:pPr>
            <w:r>
              <w:rPr>
                <w:rFonts w:ascii="Arial" w:cs="Arial" w:eastAsia="Arial" w:hAnsi="Arial"/>
                <w:sz w:val="16"/>
                <w:szCs w:val="16"/>
                <w:b w:val="1"/>
                <w:bCs w:val="1"/>
                <w:color w:val="auto"/>
              </w:rPr>
              <w:t>$327,176</w:t>
            </w:r>
          </w:p>
        </w:tc>
      </w:tr>
      <w:tr>
        <w:trPr>
          <w:trHeight w:val="204"/>
        </w:trPr>
        <w:tc>
          <w:tcPr>
            <w:tcW w:w="5020" w:type="dxa"/>
            <w:vAlign w:val="bottom"/>
          </w:tcPr>
          <w:p>
            <w:pPr>
              <w:ind w:left="20"/>
              <w:spacing w:after="0"/>
              <w:rPr>
                <w:sz w:val="20"/>
                <w:szCs w:val="20"/>
                <w:color w:val="auto"/>
              </w:rPr>
            </w:pPr>
            <w:r>
              <w:rPr>
                <w:rFonts w:ascii="Arial" w:cs="Arial" w:eastAsia="Arial" w:hAnsi="Arial"/>
                <w:sz w:val="16"/>
                <w:szCs w:val="16"/>
                <w:color w:val="auto"/>
              </w:rPr>
              <w:t>Quarterly increase/(decrease)</w:t>
            </w:r>
          </w:p>
        </w:tc>
        <w:tc>
          <w:tcPr>
            <w:tcW w:w="820" w:type="dxa"/>
            <w:vAlign w:val="bottom"/>
          </w:tcPr>
          <w:p>
            <w:pPr>
              <w:spacing w:after="0"/>
              <w:rPr>
                <w:sz w:val="17"/>
                <w:szCs w:val="17"/>
                <w:color w:val="auto"/>
              </w:rPr>
            </w:pPr>
          </w:p>
        </w:tc>
        <w:tc>
          <w:tcPr>
            <w:tcW w:w="1180" w:type="dxa"/>
            <w:vAlign w:val="bottom"/>
          </w:tcPr>
          <w:p>
            <w:pPr>
              <w:jc w:val="right"/>
              <w:ind w:right="499"/>
              <w:spacing w:after="0"/>
              <w:rPr>
                <w:sz w:val="20"/>
                <w:szCs w:val="20"/>
                <w:color w:val="auto"/>
              </w:rPr>
            </w:pPr>
            <w:r>
              <w:rPr>
                <w:rFonts w:ascii="Arial" w:cs="Arial" w:eastAsia="Arial" w:hAnsi="Arial"/>
                <w:sz w:val="16"/>
                <w:szCs w:val="16"/>
                <w:color w:val="auto"/>
                <w:w w:val="97"/>
              </w:rPr>
              <w:t>(36,851)</w:t>
            </w:r>
          </w:p>
        </w:tc>
        <w:tc>
          <w:tcPr>
            <w:tcW w:w="740" w:type="dxa"/>
            <w:vAlign w:val="bottom"/>
          </w:tcPr>
          <w:p>
            <w:pPr>
              <w:spacing w:after="0"/>
              <w:rPr>
                <w:sz w:val="17"/>
                <w:szCs w:val="17"/>
                <w:color w:val="auto"/>
              </w:rPr>
            </w:pPr>
          </w:p>
        </w:tc>
        <w:tc>
          <w:tcPr>
            <w:tcW w:w="1280" w:type="dxa"/>
            <w:vAlign w:val="bottom"/>
          </w:tcPr>
          <w:p>
            <w:pPr>
              <w:jc w:val="right"/>
              <w:ind w:right="579"/>
              <w:spacing w:after="0"/>
              <w:rPr>
                <w:sz w:val="20"/>
                <w:szCs w:val="20"/>
                <w:color w:val="auto"/>
              </w:rPr>
            </w:pPr>
            <w:r>
              <w:rPr>
                <w:rFonts w:ascii="Arial" w:cs="Arial" w:eastAsia="Arial" w:hAnsi="Arial"/>
                <w:sz w:val="16"/>
                <w:szCs w:val="16"/>
                <w:color w:val="auto"/>
              </w:rPr>
              <w:t>(23,520)</w:t>
            </w:r>
          </w:p>
        </w:tc>
        <w:tc>
          <w:tcPr>
            <w:tcW w:w="10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ASC 842 adoption</w:t>
            </w:r>
          </w:p>
        </w:tc>
        <w:tc>
          <w:tcPr>
            <w:tcW w:w="8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(25,886)</w:t>
            </w:r>
          </w:p>
        </w:tc>
        <w:tc>
          <w:tcPr>
            <w:tcW w:w="10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r>
      <w:tr>
        <w:trPr>
          <w:trHeight w:val="237"/>
        </w:trPr>
        <w:tc>
          <w:tcPr>
            <w:tcW w:w="5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Increase/(decrease) excluding effect of ASC 842 adoption</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w w:val="97"/>
              </w:rPr>
              <w:t>(36,851)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2,366</w:t>
            </w:r>
          </w:p>
        </w:tc>
        <w:tc>
          <w:tcPr>
            <w:tcW w:w="10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bl>
    <w:p>
      <w:pPr>
        <w:spacing w:after="0" w:line="202"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The following table contains the reconciliation of forecasted full-year 2019 Adjusted EBITDA and Adjusted EPS (non-GAAP measures) to comparable GAAP measures: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80" w:type="dxa"/>
            <w:vAlign w:val="bottom"/>
            <w:tcBorders>
              <w:top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tcPr>
          <w:p>
            <w:pPr>
              <w:jc w:val="right"/>
              <w:ind w:right="1461"/>
              <w:spacing w:after="0"/>
              <w:rPr>
                <w:sz w:val="20"/>
                <w:szCs w:val="20"/>
                <w:color w:val="auto"/>
              </w:rPr>
            </w:pPr>
            <w:r>
              <w:rPr>
                <w:rFonts w:ascii="Arial" w:cs="Arial" w:eastAsia="Arial" w:hAnsi="Arial"/>
                <w:sz w:val="14"/>
                <w:szCs w:val="14"/>
                <w:b w:val="1"/>
                <w:bCs w:val="1"/>
                <w:color w:val="auto"/>
              </w:rPr>
              <w:t>Total Company</w:t>
            </w:r>
          </w:p>
        </w:tc>
        <w:tc>
          <w:tcPr>
            <w:tcW w:w="52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Machine Clothing</w:t>
            </w:r>
          </w:p>
        </w:tc>
        <w:tc>
          <w:tcPr>
            <w:tcW w:w="10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Forecast of full year 2019 Adjusted EBITDA (in millions)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Low</w:t>
            </w:r>
          </w:p>
        </w:tc>
        <w:tc>
          <w:tcPr>
            <w:tcW w:w="2600" w:type="dxa"/>
            <w:vAlign w:val="bottom"/>
            <w:tcBorders>
              <w:bottom w:val="single" w:sz="8" w:color="auto"/>
            </w:tcBorders>
          </w:tcPr>
          <w:p>
            <w:pPr>
              <w:jc w:val="right"/>
              <w:ind w:right="1021"/>
              <w:spacing w:after="0"/>
              <w:rPr>
                <w:sz w:val="20"/>
                <w:szCs w:val="20"/>
                <w:color w:val="auto"/>
              </w:rPr>
            </w:pPr>
            <w:r>
              <w:rPr>
                <w:rFonts w:ascii="Arial" w:cs="Arial" w:eastAsia="Arial" w:hAnsi="Arial"/>
                <w:sz w:val="14"/>
                <w:szCs w:val="14"/>
                <w:b w:val="1"/>
                <w:bCs w:val="1"/>
                <w:color w:val="auto"/>
              </w:rPr>
              <w:t>High</w:t>
            </w:r>
          </w:p>
        </w:tc>
        <w:tc>
          <w:tcPr>
            <w:tcW w:w="1720" w:type="dxa"/>
            <w:vAlign w:val="bottom"/>
            <w:tcBorders>
              <w:bottom w:val="single" w:sz="8" w:color="auto"/>
            </w:tcBorders>
            <w:gridSpan w:val="2"/>
          </w:tcPr>
          <w:p>
            <w:pPr>
              <w:jc w:val="right"/>
              <w:ind w:right="1208"/>
              <w:spacing w:after="0"/>
              <w:rPr>
                <w:sz w:val="20"/>
                <w:szCs w:val="20"/>
                <w:color w:val="auto"/>
              </w:rPr>
            </w:pPr>
            <w:r>
              <w:rPr>
                <w:rFonts w:ascii="Arial" w:cs="Arial" w:eastAsia="Arial" w:hAnsi="Arial"/>
                <w:sz w:val="14"/>
                <w:szCs w:val="14"/>
                <w:b w:val="1"/>
                <w:bCs w:val="1"/>
                <w:color w:val="auto"/>
              </w:rPr>
              <w:t>Low</w:t>
            </w:r>
          </w:p>
        </w:tc>
        <w:tc>
          <w:tcPr>
            <w:tcW w:w="1000" w:type="dxa"/>
            <w:vAlign w:val="bottom"/>
            <w:tcBorders>
              <w:bottom w:val="single" w:sz="8" w:color="auto"/>
            </w:tcBorders>
          </w:tcPr>
          <w:p>
            <w:pPr>
              <w:jc w:val="right"/>
              <w:ind w:right="58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08"/>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Net income attributable to the Company (GAAP)</w:t>
            </w:r>
          </w:p>
        </w:tc>
        <w:tc>
          <w:tcPr>
            <w:tcW w:w="1020" w:type="dxa"/>
            <w:vAlign w:val="bottom"/>
          </w:tcPr>
          <w:p>
            <w:pPr>
              <w:jc w:val="right"/>
              <w:spacing w:after="0"/>
              <w:rPr>
                <w:sz w:val="20"/>
                <w:szCs w:val="20"/>
                <w:color w:val="auto"/>
              </w:rPr>
            </w:pPr>
            <w:r>
              <w:rPr>
                <w:rFonts w:ascii="Arial" w:cs="Arial" w:eastAsia="Arial" w:hAnsi="Arial"/>
                <w:sz w:val="16"/>
                <w:szCs w:val="16"/>
                <w:color w:val="auto"/>
              </w:rPr>
              <w:t>$ 98</w:t>
            </w:r>
          </w:p>
        </w:tc>
        <w:tc>
          <w:tcPr>
            <w:tcW w:w="2600" w:type="dxa"/>
            <w:vAlign w:val="bottom"/>
          </w:tcPr>
          <w:p>
            <w:pPr>
              <w:jc w:val="right"/>
              <w:ind w:right="1001"/>
              <w:spacing w:after="0"/>
              <w:rPr>
                <w:sz w:val="20"/>
                <w:szCs w:val="20"/>
                <w:color w:val="auto"/>
              </w:rPr>
            </w:pPr>
            <w:r>
              <w:rPr>
                <w:rFonts w:ascii="Arial" w:cs="Arial" w:eastAsia="Arial" w:hAnsi="Arial"/>
                <w:sz w:val="16"/>
                <w:szCs w:val="16"/>
                <w:color w:val="auto"/>
              </w:rPr>
              <w:t>$108</w:t>
            </w:r>
          </w:p>
        </w:tc>
        <w:tc>
          <w:tcPr>
            <w:tcW w:w="520" w:type="dxa"/>
            <w:vAlign w:val="bottom"/>
          </w:tcPr>
          <w:p>
            <w:pPr>
              <w:jc w:val="right"/>
              <w:spacing w:after="0"/>
              <w:rPr>
                <w:sz w:val="20"/>
                <w:szCs w:val="20"/>
                <w:color w:val="auto"/>
              </w:rPr>
            </w:pPr>
            <w:r>
              <w:rPr>
                <w:rFonts w:ascii="Arial" w:cs="Arial" w:eastAsia="Arial" w:hAnsi="Arial"/>
                <w:sz w:val="16"/>
                <w:szCs w:val="16"/>
                <w:color w:val="auto"/>
              </w:rPr>
              <w:t>$172</w:t>
            </w:r>
          </w:p>
        </w:tc>
        <w:tc>
          <w:tcPr>
            <w:tcW w:w="1200" w:type="dxa"/>
            <w:vAlign w:val="bottom"/>
          </w:tcPr>
          <w:p>
            <w:pPr>
              <w:spacing w:after="0"/>
              <w:rPr>
                <w:sz w:val="18"/>
                <w:szCs w:val="18"/>
                <w:color w:val="auto"/>
              </w:rPr>
            </w:pPr>
          </w:p>
        </w:tc>
        <w:tc>
          <w:tcPr>
            <w:tcW w:w="1000" w:type="dxa"/>
            <w:vAlign w:val="bottom"/>
          </w:tcPr>
          <w:p>
            <w:pPr>
              <w:jc w:val="right"/>
              <w:ind w:right="560"/>
              <w:spacing w:after="0"/>
              <w:rPr>
                <w:sz w:val="20"/>
                <w:szCs w:val="20"/>
                <w:color w:val="auto"/>
              </w:rPr>
            </w:pPr>
            <w:r>
              <w:rPr>
                <w:rFonts w:ascii="Arial" w:cs="Arial" w:eastAsia="Arial" w:hAnsi="Arial"/>
                <w:sz w:val="16"/>
                <w:szCs w:val="16"/>
                <w:color w:val="auto"/>
                <w:w w:val="95"/>
              </w:rPr>
              <w:t>$180</w:t>
            </w:r>
          </w:p>
        </w:tc>
        <w:tc>
          <w:tcPr>
            <w:tcW w:w="0" w:type="dxa"/>
            <w:vAlign w:val="bottom"/>
          </w:tcPr>
          <w:p>
            <w:pPr>
              <w:spacing w:after="0"/>
              <w:rPr>
                <w:sz w:val="1"/>
                <w:szCs w:val="1"/>
                <w:color w:val="auto"/>
              </w:rPr>
            </w:pPr>
          </w:p>
        </w:tc>
      </w:tr>
      <w:tr>
        <w:trPr>
          <w:trHeight w:val="211"/>
        </w:trPr>
        <w:tc>
          <w:tcPr>
            <w:tcW w:w="50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2600" w:type="dxa"/>
            <w:vAlign w:val="bottom"/>
          </w:tcPr>
          <w:p>
            <w:pPr>
              <w:jc w:val="right"/>
              <w:ind w:right="1001"/>
              <w:spacing w:after="0"/>
              <w:rPr>
                <w:sz w:val="20"/>
                <w:szCs w:val="20"/>
                <w:color w:val="auto"/>
              </w:rPr>
            </w:pPr>
            <w:r>
              <w:rPr>
                <w:rFonts w:ascii="Arial" w:cs="Arial" w:eastAsia="Arial" w:hAnsi="Arial"/>
                <w:sz w:val="16"/>
                <w:szCs w:val="16"/>
                <w:color w:val="auto"/>
              </w:rPr>
              <w:t>16</w:t>
            </w:r>
          </w:p>
        </w:tc>
        <w:tc>
          <w:tcPr>
            <w:tcW w:w="1720" w:type="dxa"/>
            <w:vAlign w:val="bottom"/>
            <w:gridSpan w:val="2"/>
          </w:tcPr>
          <w:p>
            <w:pPr>
              <w:jc w:val="right"/>
              <w:ind w:right="116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40</w:t>
            </w:r>
          </w:p>
        </w:tc>
        <w:tc>
          <w:tcPr>
            <w:tcW w:w="2600" w:type="dxa"/>
            <w:vAlign w:val="bottom"/>
          </w:tcPr>
          <w:p>
            <w:pPr>
              <w:jc w:val="right"/>
              <w:ind w:right="1001"/>
              <w:spacing w:after="0"/>
              <w:rPr>
                <w:sz w:val="20"/>
                <w:szCs w:val="20"/>
                <w:color w:val="auto"/>
              </w:rPr>
            </w:pPr>
            <w:r>
              <w:rPr>
                <w:rFonts w:ascii="Arial" w:cs="Arial" w:eastAsia="Arial" w:hAnsi="Arial"/>
                <w:sz w:val="16"/>
                <w:szCs w:val="16"/>
                <w:color w:val="auto"/>
              </w:rPr>
              <w:t>41</w:t>
            </w:r>
          </w:p>
        </w:tc>
        <w:tc>
          <w:tcPr>
            <w:tcW w:w="1720" w:type="dxa"/>
            <w:vAlign w:val="bottom"/>
            <w:gridSpan w:val="2"/>
          </w:tcPr>
          <w:p>
            <w:pPr>
              <w:jc w:val="right"/>
              <w:ind w:right="116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260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75</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1"/>
        </w:trPr>
        <w:tc>
          <w:tcPr>
            <w:tcW w:w="5080" w:type="dxa"/>
            <w:vAlign w:val="bottom"/>
          </w:tcPr>
          <w:p>
            <w:pPr>
              <w:ind w:left="20"/>
              <w:spacing w:after="0"/>
              <w:rPr>
                <w:sz w:val="20"/>
                <w:szCs w:val="20"/>
                <w:color w:val="auto"/>
              </w:rPr>
            </w:pPr>
            <w:r>
              <w:rPr>
                <w:rFonts w:ascii="Arial" w:cs="Arial" w:eastAsia="Arial" w:hAnsi="Arial"/>
                <w:sz w:val="16"/>
                <w:szCs w:val="16"/>
                <w:b w:val="1"/>
                <w:bCs w:val="1"/>
                <w:color w:val="auto"/>
              </w:rPr>
              <w:t>EBITDA (non-GAAP)</w:t>
            </w:r>
          </w:p>
        </w:tc>
        <w:tc>
          <w:tcPr>
            <w:tcW w:w="1020" w:type="dxa"/>
            <w:vAlign w:val="bottom"/>
          </w:tcPr>
          <w:p>
            <w:pPr>
              <w:jc w:val="right"/>
              <w:spacing w:after="0"/>
              <w:rPr>
                <w:sz w:val="20"/>
                <w:szCs w:val="20"/>
                <w:color w:val="auto"/>
              </w:rPr>
            </w:pPr>
            <w:r>
              <w:rPr>
                <w:rFonts w:ascii="Arial" w:cs="Arial" w:eastAsia="Arial" w:hAnsi="Arial"/>
                <w:sz w:val="16"/>
                <w:szCs w:val="16"/>
                <w:color w:val="auto"/>
              </w:rPr>
              <w:t>225</w:t>
            </w:r>
          </w:p>
        </w:tc>
        <w:tc>
          <w:tcPr>
            <w:tcW w:w="2600" w:type="dxa"/>
            <w:vAlign w:val="bottom"/>
          </w:tcPr>
          <w:p>
            <w:pPr>
              <w:jc w:val="right"/>
              <w:ind w:right="1001"/>
              <w:spacing w:after="0"/>
              <w:rPr>
                <w:sz w:val="20"/>
                <w:szCs w:val="20"/>
                <w:color w:val="auto"/>
              </w:rPr>
            </w:pPr>
            <w:r>
              <w:rPr>
                <w:rFonts w:ascii="Arial" w:cs="Arial" w:eastAsia="Arial" w:hAnsi="Arial"/>
                <w:sz w:val="16"/>
                <w:szCs w:val="16"/>
                <w:color w:val="auto"/>
              </w:rPr>
              <w:t>240</w:t>
            </w:r>
          </w:p>
        </w:tc>
        <w:tc>
          <w:tcPr>
            <w:tcW w:w="520" w:type="dxa"/>
            <w:vAlign w:val="bottom"/>
          </w:tcPr>
          <w:p>
            <w:pPr>
              <w:jc w:val="right"/>
              <w:spacing w:after="0"/>
              <w:rPr>
                <w:sz w:val="20"/>
                <w:szCs w:val="20"/>
                <w:color w:val="auto"/>
              </w:rPr>
            </w:pPr>
            <w:r>
              <w:rPr>
                <w:rFonts w:ascii="Arial" w:cs="Arial" w:eastAsia="Arial" w:hAnsi="Arial"/>
                <w:sz w:val="16"/>
                <w:szCs w:val="16"/>
                <w:color w:val="auto"/>
              </w:rPr>
              <w:t>194</w:t>
            </w:r>
          </w:p>
        </w:tc>
        <w:tc>
          <w:tcPr>
            <w:tcW w:w="1200" w:type="dxa"/>
            <w:vAlign w:val="bottom"/>
          </w:tcPr>
          <w:p>
            <w:pPr>
              <w:spacing w:after="0"/>
              <w:rPr>
                <w:sz w:val="18"/>
                <w:szCs w:val="18"/>
                <w:color w:val="auto"/>
              </w:rPr>
            </w:pPr>
          </w:p>
        </w:tc>
        <w:tc>
          <w:tcPr>
            <w:tcW w:w="1000" w:type="dxa"/>
            <w:vAlign w:val="bottom"/>
          </w:tcPr>
          <w:p>
            <w:pPr>
              <w:jc w:val="right"/>
              <w:ind w:right="560"/>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1"/>
        </w:trPr>
        <w:tc>
          <w:tcPr>
            <w:tcW w:w="5080" w:type="dxa"/>
            <w:vAlign w:val="bottom"/>
          </w:tcPr>
          <w:p>
            <w:pPr>
              <w:ind w:left="20"/>
              <w:spacing w:after="0"/>
              <w:rPr>
                <w:sz w:val="20"/>
                <w:szCs w:val="20"/>
                <w:color w:val="auto"/>
              </w:rPr>
            </w:pPr>
            <w:r>
              <w:rPr>
                <w:rFonts w:ascii="Arial" w:cs="Arial" w:eastAsia="Arial" w:hAnsi="Arial"/>
                <w:sz w:val="16"/>
                <w:szCs w:val="16"/>
                <w:color w:val="auto"/>
              </w:rPr>
              <w:t>Restructuring expenses(a)</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600" w:type="dxa"/>
            <w:vAlign w:val="bottom"/>
          </w:tcPr>
          <w:p>
            <w:pPr>
              <w:jc w:val="right"/>
              <w:ind w:right="1001"/>
              <w:spacing w:after="0"/>
              <w:rPr>
                <w:sz w:val="20"/>
                <w:szCs w:val="20"/>
                <w:color w:val="auto"/>
              </w:rPr>
            </w:pPr>
            <w:r>
              <w:rPr>
                <w:rFonts w:ascii="Arial" w:cs="Arial" w:eastAsia="Arial" w:hAnsi="Arial"/>
                <w:sz w:val="16"/>
                <w:szCs w:val="16"/>
                <w:color w:val="auto"/>
              </w:rPr>
              <w:t>1</w:t>
            </w: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1200" w:type="dxa"/>
            <w:vAlign w:val="bottom"/>
          </w:tcPr>
          <w:p>
            <w:pPr>
              <w:spacing w:after="0"/>
              <w:rPr>
                <w:sz w:val="18"/>
                <w:szCs w:val="18"/>
                <w:color w:val="auto"/>
              </w:rPr>
            </w:pPr>
          </w:p>
        </w:tc>
        <w:tc>
          <w:tcPr>
            <w:tcW w:w="1000" w:type="dxa"/>
            <w:vAlign w:val="bottom"/>
          </w:tcPr>
          <w:p>
            <w:pPr>
              <w:jc w:val="right"/>
              <w:ind w:right="56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auto"/>
              </w:rPr>
              <w:t>Foreign currency revaluation gains/(losses)(a)</w:t>
            </w: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600" w:type="dxa"/>
            <w:vAlign w:val="bottom"/>
          </w:tcPr>
          <w:p>
            <w:pPr>
              <w:jc w:val="right"/>
              <w:ind w:right="981"/>
              <w:spacing w:after="0"/>
              <w:rPr>
                <w:sz w:val="20"/>
                <w:szCs w:val="20"/>
                <w:color w:val="auto"/>
              </w:rPr>
            </w:pPr>
            <w:r>
              <w:rPr>
                <w:rFonts w:ascii="Arial" w:cs="Arial" w:eastAsia="Arial" w:hAnsi="Arial"/>
                <w:sz w:val="16"/>
                <w:szCs w:val="16"/>
                <w:color w:val="auto"/>
              </w:rPr>
              <w:t>(1)</w:t>
            </w:r>
          </w:p>
        </w:tc>
        <w:tc>
          <w:tcPr>
            <w:tcW w:w="1720" w:type="dxa"/>
            <w:vAlign w:val="bottom"/>
            <w:gridSpan w:val="2"/>
          </w:tcPr>
          <w:p>
            <w:pPr>
              <w:jc w:val="right"/>
              <w:ind w:right="1168"/>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Pretax income attributable to the noncontrolling interest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gridSpan w:val="2"/>
          </w:tcPr>
          <w:p>
            <w:pPr>
              <w:jc w:val="right"/>
              <w:ind w:right="116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c>
          <w:tcPr>
            <w:tcW w:w="2600" w:type="dxa"/>
            <w:vAlign w:val="bottom"/>
            <w:tcBorders>
              <w:bottom w:val="single" w:sz="8" w:color="auto"/>
            </w:tcBorders>
          </w:tcPr>
          <w:p>
            <w:pPr>
              <w:jc w:val="right"/>
              <w:ind w:right="1001"/>
              <w:spacing w:after="0"/>
              <w:rPr>
                <w:sz w:val="20"/>
                <w:szCs w:val="20"/>
                <w:color w:val="auto"/>
              </w:rPr>
            </w:pPr>
            <w:r>
              <w:rPr>
                <w:rFonts w:ascii="Arial" w:cs="Arial" w:eastAsia="Arial" w:hAnsi="Arial"/>
                <w:sz w:val="16"/>
                <w:szCs w:val="16"/>
                <w:b w:val="1"/>
                <w:bCs w:val="1"/>
                <w:color w:val="auto"/>
              </w:rPr>
              <w:t>$240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$195</w:t>
            </w:r>
          </w:p>
        </w:tc>
        <w:tc>
          <w:tcPr>
            <w:tcW w:w="1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60"/>
              <w:spacing w:after="0"/>
              <w:rPr>
                <w:sz w:val="20"/>
                <w:szCs w:val="20"/>
                <w:color w:val="auto"/>
              </w:rPr>
            </w:pPr>
            <w:r>
              <w:rPr>
                <w:rFonts w:ascii="Arial" w:cs="Arial" w:eastAsia="Arial" w:hAnsi="Arial"/>
                <w:sz w:val="16"/>
                <w:szCs w:val="16"/>
                <w:b w:val="1"/>
                <w:bCs w:val="1"/>
                <w:color w:val="auto"/>
                <w:w w:val="95"/>
              </w:rPr>
              <w:t>$205</w:t>
            </w:r>
          </w:p>
        </w:tc>
        <w:tc>
          <w:tcPr>
            <w:tcW w:w="0" w:type="dxa"/>
            <w:vAlign w:val="bottom"/>
          </w:tcPr>
          <w:p>
            <w:pPr>
              <w:spacing w:after="0"/>
              <w:rPr>
                <w:sz w:val="1"/>
                <w:szCs w:val="1"/>
                <w:color w:val="auto"/>
              </w:rPr>
            </w:pPr>
          </w:p>
        </w:tc>
      </w:tr>
      <w:tr>
        <w:trPr>
          <w:trHeight w:val="156"/>
        </w:trPr>
        <w:tc>
          <w:tcPr>
            <w:tcW w:w="50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Forecast of full year 2019 Adjusted Earnings Per Share(b)</w:t>
            </w: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4"/>
                <w:szCs w:val="14"/>
                <w:b w:val="1"/>
                <w:bCs w:val="1"/>
                <w:color w:val="auto"/>
              </w:rPr>
              <w:t>Total Company</w:t>
            </w:r>
          </w:p>
        </w:tc>
        <w:tc>
          <w:tcPr>
            <w:tcW w:w="0" w:type="dxa"/>
            <w:vAlign w:val="bottom"/>
          </w:tcPr>
          <w:p>
            <w:pPr>
              <w:spacing w:after="0"/>
              <w:rPr>
                <w:sz w:val="1"/>
                <w:szCs w:val="1"/>
                <w:color w:val="auto"/>
              </w:rPr>
            </w:pPr>
          </w:p>
        </w:tc>
      </w:tr>
      <w:tr>
        <w:trPr>
          <w:trHeight w:val="177"/>
        </w:trPr>
        <w:tc>
          <w:tcPr>
            <w:tcW w:w="5080" w:type="dxa"/>
            <w:vAlign w:val="bottom"/>
            <w:vMerge w:val="continue"/>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Per share amounts- Basic(b)</w:t>
            </w:r>
          </w:p>
        </w:tc>
        <w:tc>
          <w:tcPr>
            <w:tcW w:w="102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520"/>
              <w:spacing w:after="0"/>
              <w:rPr>
                <w:sz w:val="20"/>
                <w:szCs w:val="20"/>
                <w:color w:val="auto"/>
              </w:rPr>
            </w:pPr>
            <w:r>
              <w:rPr>
                <w:rFonts w:ascii="Arial" w:cs="Arial" w:eastAsia="Arial" w:hAnsi="Arial"/>
                <w:sz w:val="14"/>
                <w:szCs w:val="14"/>
                <w:b w:val="1"/>
                <w:bCs w:val="1"/>
                <w:color w:val="auto"/>
              </w:rPr>
              <w:t>Low</w:t>
            </w:r>
          </w:p>
        </w:tc>
        <w:tc>
          <w:tcPr>
            <w:tcW w:w="100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204"/>
        </w:trPr>
        <w:tc>
          <w:tcPr>
            <w:tcW w:w="5080" w:type="dxa"/>
            <w:vAlign w:val="bottom"/>
          </w:tcPr>
          <w:p>
            <w:pPr>
              <w:ind w:left="20"/>
              <w:spacing w:after="0"/>
              <w:rPr>
                <w:sz w:val="20"/>
                <w:szCs w:val="20"/>
                <w:color w:val="auto"/>
              </w:rPr>
            </w:pPr>
            <w:r>
              <w:rPr>
                <w:rFonts w:ascii="Arial" w:cs="Arial" w:eastAsia="Arial" w:hAnsi="Arial"/>
                <w:sz w:val="16"/>
                <w:szCs w:val="16"/>
                <w:color w:val="auto"/>
              </w:rPr>
              <w:t>Earnings per share (GAAP)</w:t>
            </w:r>
          </w:p>
        </w:tc>
        <w:tc>
          <w:tcPr>
            <w:tcW w:w="10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720" w:type="dxa"/>
            <w:vAlign w:val="bottom"/>
            <w:gridSpan w:val="2"/>
          </w:tcPr>
          <w:p>
            <w:pPr>
              <w:jc w:val="right"/>
              <w:ind w:right="768"/>
              <w:spacing w:after="0"/>
              <w:rPr>
                <w:sz w:val="20"/>
                <w:szCs w:val="20"/>
                <w:color w:val="auto"/>
              </w:rPr>
            </w:pPr>
            <w:r>
              <w:rPr>
                <w:rFonts w:ascii="Arial" w:cs="Arial" w:eastAsia="Arial" w:hAnsi="Arial"/>
                <w:sz w:val="16"/>
                <w:szCs w:val="16"/>
                <w:color w:val="auto"/>
              </w:rPr>
              <w:t>$ 3.04</w:t>
            </w:r>
          </w:p>
        </w:tc>
        <w:tc>
          <w:tcPr>
            <w:tcW w:w="1000" w:type="dxa"/>
            <w:vAlign w:val="bottom"/>
          </w:tcPr>
          <w:p>
            <w:pPr>
              <w:jc w:val="right"/>
              <w:ind w:right="400"/>
              <w:spacing w:after="0"/>
              <w:rPr>
                <w:sz w:val="20"/>
                <w:szCs w:val="20"/>
                <w:color w:val="auto"/>
              </w:rPr>
            </w:pPr>
            <w:r>
              <w:rPr>
                <w:rFonts w:ascii="Arial" w:cs="Arial" w:eastAsia="Arial" w:hAnsi="Arial"/>
                <w:sz w:val="16"/>
                <w:szCs w:val="16"/>
                <w:color w:val="auto"/>
              </w:rPr>
              <w:t>$ 3.34</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Arial" w:cs="Arial" w:eastAsia="Arial" w:hAnsi="Arial"/>
                <w:sz w:val="16"/>
                <w:szCs w:val="16"/>
                <w:color w:val="auto"/>
              </w:rPr>
              <w:t>Restructuring expenses, net(a)</w:t>
            </w:r>
          </w:p>
        </w:tc>
        <w:tc>
          <w:tcPr>
            <w:tcW w:w="10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20" w:type="dxa"/>
            <w:vAlign w:val="bottom"/>
            <w:gridSpan w:val="2"/>
          </w:tcPr>
          <w:p>
            <w:pPr>
              <w:jc w:val="right"/>
              <w:ind w:right="768"/>
              <w:spacing w:after="0"/>
              <w:rPr>
                <w:sz w:val="20"/>
                <w:szCs w:val="20"/>
                <w:color w:val="auto"/>
              </w:rPr>
            </w:pPr>
            <w:r>
              <w:rPr>
                <w:rFonts w:ascii="Arial" w:cs="Arial" w:eastAsia="Arial" w:hAnsi="Arial"/>
                <w:sz w:val="16"/>
                <w:szCs w:val="16"/>
                <w:color w:val="auto"/>
              </w:rPr>
              <w:t>0.03</w:t>
            </w:r>
          </w:p>
        </w:tc>
        <w:tc>
          <w:tcPr>
            <w:tcW w:w="1000" w:type="dxa"/>
            <w:vAlign w:val="bottom"/>
          </w:tcPr>
          <w:p>
            <w:pPr>
              <w:jc w:val="right"/>
              <w:ind w:right="400"/>
              <w:spacing w:after="0"/>
              <w:rPr>
                <w:sz w:val="20"/>
                <w:szCs w:val="20"/>
                <w:color w:val="auto"/>
              </w:rPr>
            </w:pPr>
            <w:r>
              <w:rPr>
                <w:rFonts w:ascii="Arial" w:cs="Arial" w:eastAsia="Arial" w:hAnsi="Arial"/>
                <w:sz w:val="16"/>
                <w:szCs w:val="16"/>
                <w:color w:val="auto"/>
              </w:rPr>
              <w:t>0.03</w:t>
            </w:r>
          </w:p>
        </w:tc>
        <w:tc>
          <w:tcPr>
            <w:tcW w:w="0" w:type="dxa"/>
            <w:vAlign w:val="bottom"/>
          </w:tcPr>
          <w:p>
            <w:pPr>
              <w:spacing w:after="0"/>
              <w:rPr>
                <w:sz w:val="1"/>
                <w:szCs w:val="1"/>
                <w:color w:val="auto"/>
              </w:rPr>
            </w:pPr>
          </w:p>
        </w:tc>
      </w:tr>
      <w:tr>
        <w:trPr>
          <w:trHeight w:val="21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Foreign currency revaluation gains/(losses)(a)</w:t>
            </w:r>
          </w:p>
        </w:tc>
        <w:tc>
          <w:tcPr>
            <w:tcW w:w="102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728"/>
              <w:spacing w:after="0"/>
              <w:rPr>
                <w:sz w:val="20"/>
                <w:szCs w:val="20"/>
                <w:color w:val="auto"/>
              </w:rPr>
            </w:pPr>
            <w:r>
              <w:rPr>
                <w:rFonts w:ascii="Arial" w:cs="Arial" w:eastAsia="Arial" w:hAnsi="Arial"/>
                <w:sz w:val="16"/>
                <w:szCs w:val="16"/>
                <w:color w:val="auto"/>
              </w:rPr>
              <w:t>(0.02)</w:t>
            </w: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color w:val="auto"/>
              </w:rPr>
              <w:t>(0.02)</w:t>
            </w:r>
          </w:p>
        </w:tc>
        <w:tc>
          <w:tcPr>
            <w:tcW w:w="0" w:type="dxa"/>
            <w:vAlign w:val="bottom"/>
          </w:tcPr>
          <w:p>
            <w:pPr>
              <w:spacing w:after="0"/>
              <w:rPr>
                <w:sz w:val="1"/>
                <w:szCs w:val="1"/>
                <w:color w:val="auto"/>
              </w:rPr>
            </w:pPr>
          </w:p>
        </w:tc>
      </w:tr>
      <w:tr>
        <w:trPr>
          <w:trHeight w:val="212"/>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Adjusted Earnings per share (non-GAAP)</w:t>
            </w:r>
          </w:p>
        </w:tc>
        <w:tc>
          <w:tcPr>
            <w:tcW w:w="10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768"/>
              <w:spacing w:after="0"/>
              <w:rPr>
                <w:sz w:val="20"/>
                <w:szCs w:val="20"/>
                <w:color w:val="auto"/>
              </w:rPr>
            </w:pPr>
            <w:r>
              <w:rPr>
                <w:rFonts w:ascii="Arial" w:cs="Arial" w:eastAsia="Arial" w:hAnsi="Arial"/>
                <w:sz w:val="16"/>
                <w:szCs w:val="16"/>
                <w:color w:val="auto"/>
              </w:rPr>
              <w:t>$ 3.05</w:t>
            </w:r>
          </w:p>
        </w:tc>
        <w:tc>
          <w:tcPr>
            <w:tcW w:w="100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color w:val="auto"/>
              </w:rPr>
              <w:t>$ 3.35</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340" w:hanging="318"/>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Due to uncertainty of these items, the full year forecast is estimated as equal to actual results for the six months of 2019.</w:t>
      </w:r>
    </w:p>
    <w:p>
      <w:pPr>
        <w:spacing w:after="0" w:line="32" w:lineRule="exact"/>
        <w:rPr>
          <w:rFonts w:ascii="Arial" w:cs="Arial" w:eastAsia="Arial" w:hAnsi="Arial"/>
          <w:sz w:val="16"/>
          <w:szCs w:val="16"/>
          <w:color w:val="auto"/>
        </w:rPr>
      </w:pPr>
    </w:p>
    <w:p>
      <w:pPr>
        <w:ind w:left="340" w:hanging="318"/>
        <w:spacing w:after="0"/>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Calculations are based on shares outstanding estimate of 32.3 million.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6" w:lineRule="exact"/>
        <w:rPr>
          <w:sz w:val="20"/>
          <w:szCs w:val="20"/>
          <w:color w:val="auto"/>
        </w:rPr>
      </w:pPr>
    </w:p>
    <w:p>
      <w:pPr>
        <w:jc w:val="both"/>
        <w:ind w:right="20" w:firstLine="324"/>
        <w:spacing w:after="0" w:line="24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Disclosure controls and procedures.</w:t>
      </w:r>
    </w:p>
    <w:p>
      <w:pPr>
        <w:spacing w:after="0" w:line="10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Plans for Material Weaknesses in Internal Control over Financial Reporting</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the fourth quarter of 2018, and as previously reported in our Annual Report on Form 10-K for the year ended December 31, 2018, we identified a material weakness in our internal control over financial reporting as described below:</w:t>
      </w:r>
    </w:p>
    <w:p>
      <w:pPr>
        <w:spacing w:after="0" w:line="89"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 xml:space="preserve">The Company did not conduct an effective risk assessment process over the design and implementation of the systems development plan affecting the financial reporting process and process level controls impacted by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for certain revenue transactions in the Company’s Machine Clothing business that are recognized at a point-in-time.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did not have effective reconciliation controls over the unbilled accounts receivable and inventory accounts related to those point-in-time transactions.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fourth quarter of 2018, we commenced active steps towards remediating the material weakness. These efforts include:</w:t>
      </w:r>
    </w:p>
    <w:p>
      <w:pPr>
        <w:spacing w:after="0" w:line="50" w:lineRule="exact"/>
        <w:rPr>
          <w:sz w:val="20"/>
          <w:szCs w:val="20"/>
          <w:color w:val="auto"/>
        </w:rPr>
      </w:pPr>
    </w:p>
    <w:p>
      <w:pPr>
        <w:ind w:left="360" w:hanging="352"/>
        <w:spacing w:after="0" w:line="246"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Improving our risk assessment process related to pre-production and post-implementation testing and documentation of conclusions for significant systems development changes affecting financial reporting and internal controls; and,</w:t>
      </w:r>
    </w:p>
    <w:p>
      <w:pPr>
        <w:spacing w:after="0" w:line="34" w:lineRule="exact"/>
        <w:rPr>
          <w:rFonts w:ascii="Arial" w:cs="Arial" w:eastAsia="Arial" w:hAnsi="Arial"/>
          <w:sz w:val="18"/>
          <w:szCs w:val="18"/>
          <w:color w:val="auto"/>
        </w:rPr>
      </w:pPr>
    </w:p>
    <w:p>
      <w:pPr>
        <w:ind w:left="360" w:right="20" w:hanging="352"/>
        <w:spacing w:after="0" w:line="246" w:lineRule="auto"/>
        <w:tabs>
          <w:tab w:leader="none" w:pos="3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Revising our financial reporting processes and related reconciliation controls over the unbilled accounts receivable and inventory accounts related to those point-in-time transactions.</w:t>
      </w:r>
    </w:p>
    <w:p>
      <w:pPr>
        <w:spacing w:after="0" w:line="89"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are working to remediate the material weakness as quickly and efficiently as possible and believe that such efforts will effectively remediate the reported material weakness by the end of 2019. However, the material weakness will not be considered remediated until the remediated controls operate for a sufficient period of time and management has concluded, through testing, that these controls are operating effectively.</w:t>
      </w:r>
    </w:p>
    <w:p>
      <w:pPr>
        <w:spacing w:after="0" w:line="9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Notwithstanding the material weakness described above,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 over financial reporting.</w:t>
      </w:r>
    </w:p>
    <w:p>
      <w:pPr>
        <w:spacing w:after="0" w:line="104"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Other than the items noted above, no changes occurred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In addition to the items below, for discussion of risk factors, refer to Item 1A of our Annual Report on Form 10-K for the year ended December 31, 2018.</w:t>
      </w:r>
    </w:p>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The Standish Family no longer holds more than 50% of the voting power of the company, and we are no longer a “controlled company” within the meaning of the NYSE listing rules.</w:t>
      </w:r>
    </w:p>
    <w:p>
      <w:pPr>
        <w:spacing w:after="0" w:line="68"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As of May 8, 2019, the Standish Family held in the aggregate shares entitling them to cast approximately 52.7 percent of the combined votes entitled to be cast by all stockholders of the Company. After a public offering of a portion of their shares, the Standish Family now holds in the aggregate shares entitling them to cast approximately 34.5 percent of the combined votes entitled to be cast by all stockholders of the Company. As a result, we are no longer a “controlled company” within the meaning of the corporate governance requirements of the NYSE. Pursuant to these requirements, our Compensation Committee and Governance Committee are now required to be composed entirely of “independent directors” (as defined by NYSE listing rules), and a majority of our board of directors are required to be independent. Even before such offering, a majority of our board of directors and these two committees consisted of directors that our board of directors had determined to be independent. Even though we are no longer a “controlled company” under NYSE listing rules, the Standish Family will continue to have considerable influence over the management and affairs of the Company and matters requiring stockholder approval, including the election of directors and approval of significant corporate transactions. This could have the effect of delaying or preventing a change in control or a merger, consolidation, or other business combination at a premium price, even if such transaction were favored by our other stockholders.</w:t>
      </w:r>
    </w:p>
    <w:p>
      <w:pPr>
        <w:spacing w:after="0" w:line="7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Certain provisions of our Certificate of Incorporation, our Bylaws and Delaware law could hinder, delay or prevent a change in control of us that you might consider favorable, which could also adversely affect the price of our Class A Common Stock.</w:t>
      </w:r>
    </w:p>
    <w:p>
      <w:pPr>
        <w:spacing w:after="0" w:line="68"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Certain provisions under our Certificate of Incorporation, our Bylaws and Delaware law could discourage, delay or prevent a transaction involving a change in control of the Company, even if doing so would benefit our stockholders. These provisions could delay or prevent a change in control of and could limit the price that investors might be willing to pay in the future for shares of our Class A Common Stock.</w:t>
      </w:r>
    </w:p>
    <w:p>
      <w:pPr>
        <w:spacing w:after="0" w:line="95"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Our certificate of incorporation authorizes our board of directors to issue new series of preferred stock without stockholder approval. Depending on the rights and terms of any new series created, and the reaction of the market to the series, the value of our Class A Common Stock could be negatively affected. For example, subject to applicable law, our board of directors could create a series of preferred stock with superior voting rights to our existing common stock. The ability of our board of directors to issue this new series of preferred stock could also prevent or delay a third party from acquiring us, even if doing so would be beneficial to our stockholders.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pay cash dividends on our Class A Common Stock.</w:t>
      </w:r>
    </w:p>
    <w:p>
      <w:pPr>
        <w:spacing w:after="0" w:line="126"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It is our current practice to pay cash dividends on our common stock. There can be no assurance, however, that we will pay dividends in the future in the amounts that we have in the past, or at all. Our board of directors may change the timing and amount of any future dividend payments or eliminate the payment of future dividends in its sole discretion, without any prior notice to our stockholders. Our ability to pay dividends will depend upon many factors, including our financial position and liquidity, results of operations, legal requirements, restrictions that may be imposed by the terms of our current and future credit facilities and other debt obligations and other factors deemed relevant by our board of directors. For example, we have a substantial amount of indebtedness and while we feel that we generate sufficient cash from operations and have sufficient borrowing capacity to make required capital expenditures to maintain and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4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grow our business, any decrease in our cash generation could result in higher leverage. Higher leverage could hinder our ability to make acquisitions, capital expenditures, or other investments in our businesses, pay dividends, or withstand business and economic downturns.</w:t>
      </w:r>
    </w:p>
    <w:p>
      <w:pPr>
        <w:spacing w:after="0" w:line="170"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18"/>
          <w:szCs w:val="18"/>
          <w:color w:val="auto"/>
        </w:rPr>
        <w:t>In the future, we may also enter into other credit agreements or other borrowing arrangements or issue debt securities that, in each case, restrict or limit our ability to pay cash dividends on our Class A Common Stock. In addition, since a significant portion of our cash is generated from operations of our subsidiaries, our ability to pay dividends is in part dependent on the ability of our subsidiaries — some of which are located outside of the United States — to make distributions to us. Such distributions will be subject to their operating results, cash requirements and financial condition, as well as our ability to repatriate cash held by non-U.S. subsidiaries. Any change in the level of our dividends or the suspension of the payment thereof could adversely affect the market price of our Class A Common Stock.</w:t>
      </w:r>
    </w:p>
    <w:p>
      <w:pPr>
        <w:spacing w:after="0" w:line="7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The trading market for our Class A Common Stock depends in part on the research and reports that securities or industry analysts publish about us or our business. If one or more of the analysts who covers us downgrades our Class A Common Stock or publishes inaccurate or unfavorable research about our business, our stock price would likely decline. If one or more of these analysts ceases coverage of us or fails to publish reports on us regularly, demand for our Class A Common Stock could decrease, which could cause our stock price and trading volume to decline.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Future sales of shares by us or our existing stockholders could cause our stock price to decline.</w:t>
      </w:r>
    </w:p>
    <w:p>
      <w:pPr>
        <w:spacing w:after="0" w:line="126" w:lineRule="exact"/>
        <w:rPr>
          <w:sz w:val="20"/>
          <w:szCs w:val="20"/>
          <w:color w:val="auto"/>
        </w:rPr>
      </w:pPr>
    </w:p>
    <w:p>
      <w:pPr>
        <w:jc w:val="both"/>
        <w:ind w:firstLine="324"/>
        <w:spacing w:after="0"/>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or might make it more difficult for us to sell equity securities in the future at a time and at a price that we deem appropriate.</w:t>
      </w:r>
    </w:p>
    <w:p>
      <w:pPr>
        <w:spacing w:after="0" w:line="95"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We currently have 30,687,222 shares of Class A Common Stock outstanding and 1,617,998 shares of Class B Common Stock outstanding, each of which is convertible at any time into an equal number of shares of Class A Common Stock. In addition, shares of Class A Common Stock are issuable upon the exercise of outstanding stock options or the vesting of outstanding equity awards, and certain shares are reserved for future issuance under our equity compensation plans.</w:t>
      </w:r>
    </w:p>
    <w:p>
      <w:pPr>
        <w:spacing w:after="0" w:line="94"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8"/>
          <w:szCs w:val="18"/>
          <w:color w:val="auto"/>
        </w:rPr>
        <w:t>In connection with the offering during the second quarter of 2019 by the Standish Family of a portion of their holdings of our common stock, our directors, certain executive officers, and the Standish Family entered into lock-up agreements pursuant to which each of them, with certain exceptions, until August 28, 2019, may not sell, transfer, dispose of or hedge any shares of our common stock. After that date, any shares of common stock held by them may be sold into the public market, subject to compliance with the Securities Act and other applicable securities laws.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6"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made no share purchases during the second quarter of 2019. We remain authorized by the Board of Directors to purchase up to 2 million shares of our Class A Common Stock.</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Exhibit No.</w:t>
            </w:r>
          </w:p>
        </w:tc>
        <w:tc>
          <w:tcPr>
            <w:tcW w:w="988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20" w:type="dxa"/>
            <w:vAlign w:val="bottom"/>
          </w:tcPr>
          <w:p>
            <w:pPr>
              <w:spacing w:after="0"/>
              <w:rPr>
                <w:sz w:val="15"/>
                <w:szCs w:val="15"/>
                <w:color w:val="auto"/>
              </w:rPr>
            </w:pPr>
          </w:p>
        </w:tc>
        <w:tc>
          <w:tcPr>
            <w:tcW w:w="360" w:type="dxa"/>
            <w:vAlign w:val="bottom"/>
          </w:tcPr>
          <w:p>
            <w:pPr>
              <w:spacing w:after="0" w:line="182" w:lineRule="exact"/>
              <w:rPr>
                <w:rFonts w:ascii="Arial" w:cs="Arial" w:eastAsia="Arial" w:hAnsi="Arial"/>
                <w:sz w:val="18"/>
                <w:szCs w:val="18"/>
                <w:color w:val="0000EE"/>
                <w:w w:val="96"/>
              </w:rPr>
            </w:pPr>
            <w:hyperlink w:anchor="page53">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1</w:t>
              </w:r>
            </w:hyperlink>
          </w:p>
        </w:tc>
        <w:tc>
          <w:tcPr>
            <w:tcW w:w="1160" w:type="dxa"/>
            <w:vAlign w:val="bottom"/>
          </w:tcPr>
          <w:p>
            <w:pPr>
              <w:spacing w:after="0"/>
              <w:rPr>
                <w:sz w:val="15"/>
                <w:szCs w:val="15"/>
                <w:color w:val="auto"/>
              </w:rPr>
            </w:pPr>
          </w:p>
        </w:tc>
        <w:tc>
          <w:tcPr>
            <w:tcW w:w="9880" w:type="dxa"/>
            <w:vAlign w:val="bottom"/>
            <w:gridSpan w:val="6"/>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Certification of the Chief Executive Officer pursuant to Rule 13a-14(a)/15d-14(a) of the Exchange Act.</w:t>
              </w:r>
            </w:hyperlink>
          </w:p>
        </w:tc>
      </w:tr>
      <w:tr>
        <w:trPr>
          <w:trHeight w:val="210"/>
        </w:trPr>
        <w:tc>
          <w:tcPr>
            <w:tcW w:w="20" w:type="dxa"/>
            <w:vAlign w:val="bottom"/>
          </w:tcPr>
          <w:p>
            <w:pPr>
              <w:spacing w:after="0"/>
              <w:rPr>
                <w:sz w:val="18"/>
                <w:szCs w:val="18"/>
                <w:color w:val="auto"/>
              </w:rPr>
            </w:pPr>
          </w:p>
        </w:tc>
        <w:tc>
          <w:tcPr>
            <w:tcW w:w="360" w:type="dxa"/>
            <w:vAlign w:val="bottom"/>
            <w:tcBorders>
              <w:top w:val="single" w:sz="8" w:color="0000EE"/>
            </w:tcBorders>
          </w:tcPr>
          <w:p>
            <w:pPr>
              <w:spacing w:after="0"/>
              <w:rPr>
                <w:rFonts w:ascii="Arial" w:cs="Arial" w:eastAsia="Arial" w:hAnsi="Arial"/>
                <w:sz w:val="18"/>
                <w:szCs w:val="18"/>
                <w:color w:val="0000EE"/>
                <w:w w:val="96"/>
              </w:rPr>
            </w:pPr>
            <w:hyperlink w:anchor="page54">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2</w:t>
              </w:r>
            </w:hyperlink>
          </w:p>
        </w:tc>
        <w:tc>
          <w:tcPr>
            <w:tcW w:w="1160" w:type="dxa"/>
            <w:vAlign w:val="bottom"/>
          </w:tcPr>
          <w:p>
            <w:pPr>
              <w:spacing w:after="0"/>
              <w:rPr>
                <w:sz w:val="18"/>
                <w:szCs w:val="18"/>
                <w:color w:val="auto"/>
              </w:rPr>
            </w:pPr>
          </w:p>
        </w:tc>
        <w:tc>
          <w:tcPr>
            <w:tcW w:w="8060" w:type="dxa"/>
            <w:vAlign w:val="bottom"/>
            <w:tcBorders>
              <w:top w:val="single" w:sz="8" w:color="0000EE"/>
            </w:tcBorders>
            <w:gridSpan w:val="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Certification of the Chief Financial Officer pursuant to Rule 13a-14(a)/15d-14(a) of the Exchange Act.</w:t>
              </w:r>
            </w:hyperlink>
          </w:p>
        </w:tc>
        <w:tc>
          <w:tcPr>
            <w:tcW w:w="1820" w:type="dxa"/>
            <w:vAlign w:val="bottom"/>
            <w:gridSpan w:val="2"/>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42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0000EE"/>
            </w:tcBorders>
          </w:tcPr>
          <w:p>
            <w:pPr>
              <w:spacing w:after="0"/>
              <w:rPr>
                <w:rFonts w:ascii="Arial" w:cs="Arial" w:eastAsia="Arial" w:hAnsi="Arial"/>
                <w:sz w:val="18"/>
                <w:szCs w:val="18"/>
                <w:color w:val="0000EE"/>
                <w:w w:val="96"/>
              </w:rPr>
            </w:pPr>
            <w:hyperlink w:anchor="page55">
              <w:r>
                <w:rPr>
                  <w:rFonts w:ascii="Arial" w:cs="Arial" w:eastAsia="Arial" w:hAnsi="Arial"/>
                  <w:sz w:val="18"/>
                  <w:szCs w:val="18"/>
                  <w:color w:val="0000EE"/>
                  <w:w w:val="96"/>
                </w:rPr>
                <w:t>32.</w:t>
              </w:r>
              <w:r>
                <w:rPr>
                  <w:rFonts w:ascii="Arial" w:cs="Arial" w:eastAsia="Arial" w:hAnsi="Arial"/>
                  <w:sz w:val="18"/>
                  <w:szCs w:val="18"/>
                  <w:u w:val="single" w:color="auto"/>
                  <w:color w:val="0000EE"/>
                  <w:w w:val="96"/>
                </w:rPr>
                <w:t>1</w:t>
              </w:r>
            </w:hyperlink>
          </w:p>
        </w:tc>
        <w:tc>
          <w:tcPr>
            <w:tcW w:w="1160" w:type="dxa"/>
            <w:vAlign w:val="bottom"/>
          </w:tcPr>
          <w:p>
            <w:pPr>
              <w:spacing w:after="0"/>
              <w:rPr>
                <w:sz w:val="18"/>
                <w:szCs w:val="18"/>
                <w:color w:val="auto"/>
              </w:rPr>
            </w:pPr>
          </w:p>
        </w:tc>
        <w:tc>
          <w:tcPr>
            <w:tcW w:w="9720" w:type="dxa"/>
            <w:vAlign w:val="bottom"/>
            <w:tcBorders>
              <w:bottom w:val="single" w:sz="8" w:color="0000EE"/>
            </w:tcBorders>
            <w:gridSpan w:val="5"/>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Certification pursuant to Section 906 of the Sarbanes-Oxley Act of 2002 (Subsections (a) and (b) of Section 1350, Chapter</w:t>
              </w:r>
            </w:hyperlink>
          </w:p>
        </w:tc>
        <w:tc>
          <w:tcPr>
            <w:tcW w:w="160" w:type="dxa"/>
            <w:vAlign w:val="bottom"/>
          </w:tcPr>
          <w:p>
            <w:pPr>
              <w:spacing w:after="0"/>
              <w:rPr>
                <w:sz w:val="18"/>
                <w:szCs w:val="18"/>
                <w:color w:val="auto"/>
              </w:rPr>
            </w:pPr>
          </w:p>
        </w:tc>
      </w:tr>
      <w:tr>
        <w:trPr>
          <w:trHeight w:val="183"/>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63 of Title 18, United States Code).</w:t>
              </w:r>
            </w:hyperlink>
          </w:p>
        </w:tc>
        <w:tc>
          <w:tcPr>
            <w:tcW w:w="7080" w:type="dxa"/>
            <w:vAlign w:val="bottom"/>
            <w:gridSpan w:val="5"/>
          </w:tcPr>
          <w:p>
            <w:pPr>
              <w:spacing w:after="0"/>
              <w:rPr>
                <w:sz w:val="15"/>
                <w:szCs w:val="15"/>
                <w:color w:val="auto"/>
              </w:rPr>
            </w:pPr>
          </w:p>
        </w:tc>
      </w:tr>
      <w:tr>
        <w:trPr>
          <w:trHeight w:val="210"/>
        </w:trPr>
        <w:tc>
          <w:tcPr>
            <w:tcW w:w="20" w:type="dxa"/>
            <w:vAlign w:val="bottom"/>
          </w:tcPr>
          <w:p>
            <w:pPr>
              <w:spacing w:after="0"/>
              <w:rPr>
                <w:sz w:val="18"/>
                <w:szCs w:val="18"/>
                <w:color w:val="auto"/>
              </w:rPr>
            </w:pPr>
          </w:p>
        </w:tc>
        <w:tc>
          <w:tcPr>
            <w:tcW w:w="360" w:type="dxa"/>
            <w:vAlign w:val="bottom"/>
            <w:tcBorders>
              <w:bottom w:val="single" w:sz="8" w:color="0000EE"/>
            </w:tcBorders>
          </w:tcPr>
          <w:p>
            <w:pPr>
              <w:spacing w:after="0"/>
              <w:rPr>
                <w:rFonts w:ascii="Arial" w:cs="Arial" w:eastAsia="Arial" w:hAnsi="Arial"/>
                <w:sz w:val="18"/>
                <w:szCs w:val="18"/>
                <w:color w:val="0000EE"/>
                <w:w w:val="96"/>
              </w:rPr>
            </w:pPr>
            <w:hyperlink w:anchor="page56">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1160" w:type="dxa"/>
            <w:vAlign w:val="bottom"/>
          </w:tcPr>
          <w:p>
            <w:pPr>
              <w:spacing w:after="0"/>
              <w:rPr>
                <w:sz w:val="18"/>
                <w:szCs w:val="18"/>
                <w:color w:val="auto"/>
              </w:rPr>
            </w:pPr>
          </w:p>
        </w:tc>
        <w:tc>
          <w:tcPr>
            <w:tcW w:w="7040" w:type="dxa"/>
            <w:vAlign w:val="bottom"/>
            <w:tcBorders>
              <w:bottom w:val="single" w:sz="8" w:color="0000EE"/>
            </w:tcBorders>
            <w:gridSpan w:val="2"/>
          </w:tcPr>
          <w:p>
            <w:pPr>
              <w:spacing w:after="0"/>
              <w:rPr>
                <w:rFonts w:ascii="Arial" w:cs="Arial" w:eastAsia="Arial" w:hAnsi="Arial"/>
                <w:sz w:val="18"/>
                <w:szCs w:val="18"/>
                <w:color w:val="0000EE"/>
                <w:w w:val="99"/>
              </w:rPr>
            </w:pPr>
            <w:hyperlink w:anchor="page56">
              <w:r>
                <w:rPr>
                  <w:rFonts w:ascii="Arial" w:cs="Arial" w:eastAsia="Arial" w:hAnsi="Arial"/>
                  <w:sz w:val="18"/>
                  <w:szCs w:val="18"/>
                  <w:color w:val="0000EE"/>
                  <w:w w:val="99"/>
                </w:rPr>
                <w:t>Quantitative and qualitative disclosures about market risks as reported at June 30, 2019.</w:t>
              </w:r>
            </w:hyperlink>
          </w:p>
        </w:tc>
        <w:tc>
          <w:tcPr>
            <w:tcW w:w="2840" w:type="dxa"/>
            <w:vAlign w:val="bottom"/>
            <w:gridSpan w:val="4"/>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17"/>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88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30"/>
        </w:trPr>
        <w:tc>
          <w:tcPr>
            <w:tcW w:w="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30"/>
        </w:trPr>
        <w:tc>
          <w:tcPr>
            <w:tcW w:w="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30"/>
        </w:trPr>
        <w:tc>
          <w:tcPr>
            <w:tcW w:w="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30"/>
        </w:trPr>
        <w:tc>
          <w:tcPr>
            <w:tcW w:w="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Document.</w:t>
            </w:r>
          </w:p>
        </w:tc>
      </w:tr>
    </w:tbl>
    <w:p>
      <w:pPr>
        <w:spacing w:after="0" w:line="202"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FF"/>
        </w:rPr>
      </w:pPr>
      <w:hyperlink w:anchor="page3">
        <w:r>
          <w:rPr>
            <w:rFonts w:ascii="Arial" w:cs="Arial" w:eastAsia="Arial" w:hAnsi="Arial"/>
            <w:sz w:val="14"/>
            <w:szCs w:val="14"/>
            <w:i w:val="1"/>
            <w:iCs w:val="1"/>
            <w:u w:val="single" w:color="auto"/>
            <w:color w:val="0000FF"/>
          </w:rPr>
          <w:t>Index</w:t>
        </w:r>
      </w:hyperlink>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6" w:lineRule="exact"/>
        <w:rPr>
          <w:sz w:val="20"/>
          <w:szCs w:val="20"/>
          <w:color w:val="auto"/>
        </w:rPr>
      </w:pPr>
    </w:p>
    <w:p>
      <w:pPr>
        <w:ind w:firstLine="324"/>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ALBANY INTERNATIONAL CORP.</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b w:val="1"/>
          <w:bCs w:val="1"/>
          <w:color w:val="auto"/>
        </w:rPr>
        <w:t>(Registrant)</w:t>
      </w:r>
    </w:p>
    <w:p>
      <w:pPr>
        <w:spacing w:after="0" w:line="382" w:lineRule="exact"/>
        <w:rPr>
          <w:sz w:val="20"/>
          <w:szCs w:val="20"/>
          <w:color w:val="auto"/>
        </w:rPr>
      </w:pPr>
    </w:p>
    <w:p>
      <w:pPr>
        <w:ind w:left="20"/>
        <w:spacing w:after="0"/>
        <w:tabs>
          <w:tab w:leader="none" w:pos="5720" w:val="left"/>
          <w:tab w:leader="none" w:pos="6100" w:val="left"/>
        </w:tabs>
        <w:rPr>
          <w:sz w:val="20"/>
          <w:szCs w:val="20"/>
          <w:color w:val="auto"/>
        </w:rPr>
      </w:pPr>
      <w:r>
        <w:rPr>
          <w:rFonts w:ascii="Arial" w:cs="Arial" w:eastAsia="Arial" w:hAnsi="Arial"/>
          <w:sz w:val="18"/>
          <w:szCs w:val="18"/>
          <w:color w:val="auto"/>
        </w:rPr>
        <w:t>Date: July 31,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6350</wp:posOffset>
            </wp:positionV>
            <wp:extent cx="33788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Stephen M. Nolan</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Chief Financial Officer and Treasurer</w:t>
      </w:r>
    </w:p>
    <w:p>
      <w:pPr>
        <w:spacing w:after="0" w:line="36"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69" w:right="239"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EXHIBIT (31.1)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Olivier M. Jarrault, certify that:</w:t>
      </w:r>
    </w:p>
    <w:p>
      <w:pPr>
        <w:spacing w:after="0" w:line="50"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63" w:lineRule="exact"/>
        <w:rPr>
          <w:rFonts w:ascii="Arial" w:cs="Arial" w:eastAsia="Arial" w:hAnsi="Arial"/>
          <w:sz w:val="18"/>
          <w:szCs w:val="18"/>
          <w:color w:val="auto"/>
        </w:rPr>
      </w:pPr>
    </w:p>
    <w:p>
      <w:pPr>
        <w:jc w:val="both"/>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700" w:hanging="368"/>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jc w:val="both"/>
        <w:ind w:left="700" w:right="20" w:hanging="368"/>
        <w:spacing w:after="0"/>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jc w:val="both"/>
        <w:ind w:left="340" w:right="2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8"/>
          <w:szCs w:val="18"/>
          <w:color w:val="auto"/>
        </w:rPr>
      </w:pPr>
    </w:p>
    <w:p>
      <w:pPr>
        <w:ind w:left="700" w:right="20" w:hanging="368"/>
        <w:spacing w:after="0" w:line="246" w:lineRule="auto"/>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700" w:hanging="368"/>
        <w:spacing w:after="0" w:line="246" w:lineRule="auto"/>
        <w:tabs>
          <w:tab w:leader="none" w:pos="70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20"/>
        <w:spacing w:after="0"/>
        <w:tabs>
          <w:tab w:leader="none" w:pos="5720" w:val="left"/>
          <w:tab w:leader="none" w:pos="6100" w:val="left"/>
        </w:tabs>
        <w:rPr>
          <w:sz w:val="20"/>
          <w:szCs w:val="20"/>
          <w:color w:val="auto"/>
        </w:rPr>
      </w:pPr>
      <w:r>
        <w:rPr>
          <w:rFonts w:ascii="Arial" w:cs="Arial" w:eastAsia="Arial" w:hAnsi="Arial"/>
          <w:sz w:val="16"/>
          <w:szCs w:val="16"/>
          <w:color w:val="auto"/>
        </w:rPr>
        <w:t>Date: July 31, 2019</w:t>
      </w:r>
      <w:r>
        <w:rPr>
          <w:sz w:val="20"/>
          <w:szCs w:val="20"/>
          <w:color w:val="auto"/>
        </w:rPr>
        <w:tab/>
      </w:r>
      <w:r>
        <w:rPr>
          <w:rFonts w:ascii="Arial" w:cs="Arial" w:eastAsia="Arial" w:hAnsi="Arial"/>
          <w:sz w:val="16"/>
          <w:szCs w:val="16"/>
          <w:color w:val="auto"/>
        </w:rPr>
        <w:t>By</w:t>
        <w:tab/>
        <w:t>/s/ Olivier M. Jarrault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10795</wp:posOffset>
            </wp:positionV>
            <wp:extent cx="33788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Olivier M. Jarrault</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President and Chief Executive Officer</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11420"/>
          </w:cols>
          <w:pgMar w:left="240" w:top="118"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EXHIBIT (31.2)</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 Stephen M. Nolan, certify that:</w:t>
      </w:r>
    </w:p>
    <w:p>
      <w:pPr>
        <w:spacing w:after="0" w:line="50"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report on Form 10-Q of Albany International Corp.;</w:t>
      </w:r>
    </w:p>
    <w:p>
      <w:pPr>
        <w:spacing w:after="0" w:line="63" w:lineRule="exact"/>
        <w:rPr>
          <w:rFonts w:ascii="Arial" w:cs="Arial" w:eastAsia="Arial" w:hAnsi="Arial"/>
          <w:sz w:val="18"/>
          <w:szCs w:val="18"/>
          <w:color w:val="auto"/>
        </w:rPr>
      </w:pPr>
    </w:p>
    <w:p>
      <w:pPr>
        <w:jc w:val="both"/>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Arial" w:cs="Arial" w:eastAsia="Arial" w:hAnsi="Arial"/>
          <w:sz w:val="18"/>
          <w:szCs w:val="18"/>
          <w:color w:val="auto"/>
        </w:rPr>
      </w:pPr>
    </w:p>
    <w:p>
      <w:pPr>
        <w:ind w:left="340" w:hanging="332"/>
        <w:spacing w:after="0" w:line="246" w:lineRule="auto"/>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4" w:lineRule="exact"/>
        <w:rPr>
          <w:rFonts w:ascii="Arial" w:cs="Arial" w:eastAsia="Arial" w:hAnsi="Arial"/>
          <w:sz w:val="18"/>
          <w:szCs w:val="18"/>
          <w:color w:val="auto"/>
        </w:rPr>
      </w:pPr>
    </w:p>
    <w:p>
      <w:pPr>
        <w:jc w:val="both"/>
        <w:ind w:left="34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jc w:val="both"/>
        <w:ind w:left="700" w:hanging="368"/>
        <w:spacing w:after="0"/>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Arial" w:cs="Arial" w:eastAsia="Arial" w:hAnsi="Arial"/>
          <w:sz w:val="18"/>
          <w:szCs w:val="18"/>
          <w:color w:val="auto"/>
        </w:rPr>
      </w:pPr>
    </w:p>
    <w:p>
      <w:pPr>
        <w:jc w:val="both"/>
        <w:ind w:left="700" w:hanging="368"/>
        <w:spacing w:after="0"/>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jc w:val="both"/>
        <w:ind w:left="700" w:right="20" w:hanging="368"/>
        <w:spacing w:after="0"/>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0" w:lineRule="exact"/>
        <w:rPr>
          <w:rFonts w:ascii="Arial" w:cs="Arial" w:eastAsia="Arial" w:hAnsi="Arial"/>
          <w:sz w:val="18"/>
          <w:szCs w:val="18"/>
          <w:color w:val="auto"/>
        </w:rPr>
      </w:pPr>
    </w:p>
    <w:p>
      <w:pPr>
        <w:jc w:val="both"/>
        <w:ind w:left="340" w:right="20" w:hanging="332"/>
        <w:spacing w:after="0"/>
        <w:tabs>
          <w:tab w:leader="none" w:pos="3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Arial" w:cs="Arial" w:eastAsia="Arial" w:hAnsi="Arial"/>
          <w:sz w:val="18"/>
          <w:szCs w:val="18"/>
          <w:color w:val="auto"/>
        </w:rPr>
      </w:pPr>
    </w:p>
    <w:p>
      <w:pPr>
        <w:ind w:left="700" w:right="20" w:hanging="368"/>
        <w:spacing w:after="0" w:line="246"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700" w:hanging="368"/>
        <w:spacing w:after="0" w:line="246" w:lineRule="auto"/>
        <w:tabs>
          <w:tab w:leader="none" w:pos="7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21" w:lineRule="exact"/>
        <w:rPr>
          <w:sz w:val="20"/>
          <w:szCs w:val="20"/>
          <w:color w:val="auto"/>
        </w:rPr>
      </w:pPr>
    </w:p>
    <w:p>
      <w:pPr>
        <w:ind w:left="20"/>
        <w:spacing w:after="0"/>
        <w:tabs>
          <w:tab w:leader="none" w:pos="5720" w:val="left"/>
          <w:tab w:leader="none" w:pos="6100" w:val="left"/>
        </w:tabs>
        <w:rPr>
          <w:sz w:val="20"/>
          <w:szCs w:val="20"/>
          <w:color w:val="auto"/>
        </w:rPr>
      </w:pPr>
      <w:r>
        <w:rPr>
          <w:rFonts w:ascii="Arial" w:cs="Arial" w:eastAsia="Arial" w:hAnsi="Arial"/>
          <w:sz w:val="16"/>
          <w:szCs w:val="16"/>
          <w:color w:val="auto"/>
        </w:rPr>
        <w:t>Date: July 31, 2019</w:t>
      </w:r>
      <w:r>
        <w:rPr>
          <w:sz w:val="20"/>
          <w:szCs w:val="20"/>
          <w:color w:val="auto"/>
        </w:rPr>
        <w:tab/>
      </w:r>
      <w:r>
        <w:rPr>
          <w:rFonts w:ascii="Arial" w:cs="Arial" w:eastAsia="Arial" w:hAnsi="Arial"/>
          <w:sz w:val="16"/>
          <w:szCs w:val="16"/>
          <w:color w:val="auto"/>
        </w:rPr>
        <w:t>By</w:t>
        <w:tab/>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10795</wp:posOffset>
            </wp:positionV>
            <wp:extent cx="337883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6"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Stephen M. Nolan</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Financial Officer and Treasurer</w:t>
      </w:r>
    </w:p>
    <w:p>
      <w:pPr>
        <w:spacing w:after="0" w:line="32"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11420"/>
          </w:cols>
          <w:pgMar w:left="240" w:top="118"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EXHIBIT (32.1)</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w:t>
      </w:r>
    </w:p>
    <w:p>
      <w:pPr>
        <w:jc w:val="center"/>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4"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June 30, 2019, as filed with the Securities and Exchange Commission on the date hereof (the Report), Olivier M. Jarrault, President and Chief Executive Officer, and Stephen M. Nolan, Chief Financial Officer and Treasurer of the Company, certify, pursuant to 18 U.S.C. § 1350, as adopted pursuant to § 906 of the Sarbanes-Oxley Act of 2002, that:</w:t>
      </w:r>
    </w:p>
    <w:p>
      <w:pPr>
        <w:spacing w:after="0" w:line="40" w:lineRule="exact"/>
        <w:rPr>
          <w:sz w:val="20"/>
          <w:szCs w:val="20"/>
          <w:color w:val="auto"/>
        </w:rPr>
      </w:pPr>
    </w:p>
    <w:p>
      <w:pPr>
        <w:ind w:left="360" w:hanging="352"/>
        <w:spacing w:after="0"/>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63" w:lineRule="exact"/>
        <w:rPr>
          <w:rFonts w:ascii="Arial" w:cs="Arial" w:eastAsia="Arial" w:hAnsi="Arial"/>
          <w:sz w:val="18"/>
          <w:szCs w:val="18"/>
          <w:color w:val="auto"/>
        </w:rPr>
      </w:pPr>
    </w:p>
    <w:p>
      <w:pPr>
        <w:ind w:left="360" w:hanging="352"/>
        <w:spacing w:after="0" w:line="246" w:lineRule="auto"/>
        <w:tabs>
          <w:tab w:leader="none" w:pos="3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21"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6840" w:type="dxa"/>
            <w:vAlign w:val="bottom"/>
          </w:tcPr>
          <w:p>
            <w:pPr>
              <w:spacing w:after="0"/>
              <w:rPr>
                <w:sz w:val="20"/>
                <w:szCs w:val="20"/>
                <w:color w:val="auto"/>
              </w:rPr>
            </w:pPr>
            <w:r>
              <w:rPr>
                <w:rFonts w:ascii="Arial" w:cs="Arial" w:eastAsia="Arial" w:hAnsi="Arial"/>
                <w:sz w:val="16"/>
                <w:szCs w:val="16"/>
                <w:color w:val="auto"/>
              </w:rPr>
              <w:t>Dated: July 31,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Olivier M. Jarrault</w:t>
            </w:r>
          </w:p>
        </w:tc>
      </w:tr>
      <w:tr>
        <w:trPr>
          <w:trHeight w:val="207"/>
        </w:trPr>
        <w:tc>
          <w:tcPr>
            <w:tcW w:w="684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Olivier M. Jarrault</w:t>
            </w:r>
          </w:p>
        </w:tc>
      </w:tr>
      <w:tr>
        <w:trPr>
          <w:trHeight w:val="216"/>
        </w:trPr>
        <w:tc>
          <w:tcPr>
            <w:tcW w:w="68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r>
      <w:tr>
        <w:trPr>
          <w:trHeight w:val="216"/>
        </w:trPr>
        <w:tc>
          <w:tcPr>
            <w:tcW w:w="68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6"/>
                <w:szCs w:val="16"/>
                <w:color w:val="auto"/>
              </w:rPr>
              <w:t>(Principal Executive Officer)</w:t>
            </w:r>
          </w:p>
        </w:tc>
      </w:tr>
      <w:tr>
        <w:trPr>
          <w:trHeight w:val="246"/>
        </w:trPr>
        <w:tc>
          <w:tcPr>
            <w:tcW w:w="6840" w:type="dxa"/>
            <w:vAlign w:val="bottom"/>
          </w:tcPr>
          <w:p>
            <w:pPr>
              <w:spacing w:after="0"/>
              <w:rPr>
                <w:sz w:val="21"/>
                <w:szCs w:val="21"/>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Stephen M. Nolan</w:t>
            </w:r>
          </w:p>
        </w:tc>
      </w:tr>
      <w:tr>
        <w:trPr>
          <w:trHeight w:val="226"/>
        </w:trPr>
        <w:tc>
          <w:tcPr>
            <w:tcW w:w="68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Stephen M. Nolan</w:t>
            </w:r>
          </w:p>
        </w:tc>
      </w:tr>
      <w:tr>
        <w:trPr>
          <w:trHeight w:val="230"/>
        </w:trPr>
        <w:tc>
          <w:tcPr>
            <w:tcW w:w="68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684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118"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EXHIBIT (99.1)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RISK SENSITIVITY – As of June 30, 2019</w:t>
      </w:r>
    </w:p>
    <w:p>
      <w:pPr>
        <w:spacing w:after="0" w:line="1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26" w:lineRule="exact"/>
        <w:rPr>
          <w:sz w:val="20"/>
          <w:szCs w:val="20"/>
          <w:color w:val="auto"/>
        </w:rPr>
      </w:pPr>
    </w:p>
    <w:p>
      <w:pPr>
        <w:jc w:val="both"/>
        <w:ind w:firstLine="324"/>
        <w:spacing w:after="0" w:line="236"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$560.6 million. The potential loss in fair value resulting from a hypothetical 10% adverse change in quoted foreign currency exchange rates amounts to $ 56.1 million. Furthermore, related to foreign currency transactions, we have exposure to various nonfunctional currency balances totaling $68.3 million. This amount includes, on an absolute basis, exposures to assets and liabilities held in currencies other than our local entity’s functional currency. On a net basis, we had $34.5 million of foreign currency liabilities as of June 30, 2019. As currency rates change, these nonfunctional currency balances are revalued, and the corresponding adjustment is recorded in the income statement. A hypothetical change of 10% in currency rates could result in an adjustment to the income statement of approximately $3.4 million. Actual results may differ.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30, 2019,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66040</wp:posOffset>
            </wp:positionV>
            <wp:extent cx="5977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77255" cy="8890"/>
                    </a:xfrm>
                    <a:prstGeom prst="rect">
                      <a:avLst/>
                    </a:prstGeom>
                    <a:noFill/>
                  </pic:spPr>
                </pic:pic>
              </a:graphicData>
            </a:graphic>
          </wp:anchor>
        </w:drawing>
      </w:r>
    </w:p>
    <w:p>
      <w:pPr>
        <w:spacing w:after="0" w:line="93" w:lineRule="exact"/>
        <w:rPr>
          <w:sz w:val="20"/>
          <w:szCs w:val="20"/>
          <w:color w:val="auto"/>
        </w:rPr>
      </w:pPr>
    </w:p>
    <w:p>
      <w:pPr>
        <w:ind w:left="1020"/>
        <w:spacing w:after="0"/>
        <w:rPr>
          <w:sz w:val="20"/>
          <w:szCs w:val="20"/>
          <w:color w:val="auto"/>
        </w:rPr>
      </w:pPr>
      <w:r>
        <w:rPr>
          <w:rFonts w:ascii="Arial" w:cs="Arial" w:eastAsia="Arial" w:hAnsi="Arial"/>
          <w:sz w:val="16"/>
          <w:szCs w:val="16"/>
          <w:b w:val="1"/>
          <w:bCs w:val="1"/>
          <w:color w:val="auto"/>
        </w:rPr>
        <w:t>(in thousands, except interest rates)</w:t>
      </w:r>
    </w:p>
    <w:p>
      <w:pPr>
        <w:spacing w:after="0" w:line="31" w:lineRule="exact"/>
        <w:rPr>
          <w:sz w:val="20"/>
          <w:szCs w:val="20"/>
          <w:color w:val="auto"/>
        </w:rPr>
      </w:pPr>
    </w:p>
    <w:tbl>
      <w:tblPr>
        <w:tblLayout w:type="fixed"/>
        <w:tblInd w:w="1000" w:type="dxa"/>
        <w:tblCellMar>
          <w:top w:w="0" w:type="dxa"/>
          <w:left w:w="0" w:type="dxa"/>
          <w:bottom w:w="0" w:type="dxa"/>
          <w:right w:w="0" w:type="dxa"/>
        </w:tblCellMar>
      </w:tblPr>
      <w:tr>
        <w:trPr>
          <w:trHeight w:val="215"/>
        </w:trPr>
        <w:tc>
          <w:tcPr>
            <w:tcW w:w="77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Long-term debt</w:t>
            </w:r>
          </w:p>
        </w:tc>
        <w:tc>
          <w:tcPr>
            <w:tcW w:w="1640" w:type="dxa"/>
            <w:vAlign w:val="bottom"/>
            <w:tcBorders>
              <w:top w:val="single" w:sz="8" w:color="auto"/>
            </w:tcBorders>
          </w:tcPr>
          <w:p>
            <w:pPr>
              <w:spacing w:after="0"/>
              <w:rPr>
                <w:sz w:val="18"/>
                <w:szCs w:val="18"/>
                <w:color w:val="auto"/>
              </w:rPr>
            </w:pPr>
          </w:p>
        </w:tc>
      </w:tr>
      <w:tr>
        <w:trPr>
          <w:trHeight w:val="205"/>
        </w:trPr>
        <w:tc>
          <w:tcPr>
            <w:tcW w:w="7780" w:type="dxa"/>
            <w:vAlign w:val="bottom"/>
          </w:tcPr>
          <w:p>
            <w:pPr>
              <w:ind w:left="20"/>
              <w:spacing w:after="0"/>
              <w:rPr>
                <w:sz w:val="20"/>
                <w:szCs w:val="20"/>
                <w:color w:val="auto"/>
              </w:rPr>
            </w:pPr>
            <w:r>
              <w:rPr>
                <w:rFonts w:ascii="Arial" w:cs="Arial" w:eastAsia="Arial" w:hAnsi="Arial"/>
                <w:sz w:val="16"/>
                <w:szCs w:val="16"/>
                <w:color w:val="auto"/>
              </w:rPr>
              <w:t>Credit agreement with borrowings outstanding, net of fixed rate portion, at an end of period interest rate</w:t>
            </w:r>
          </w:p>
        </w:tc>
        <w:tc>
          <w:tcPr>
            <w:tcW w:w="1640" w:type="dxa"/>
            <w:vAlign w:val="bottom"/>
          </w:tcPr>
          <w:p>
            <w:pPr>
              <w:spacing w:after="0"/>
              <w:rPr>
                <w:sz w:val="17"/>
                <w:szCs w:val="17"/>
                <w:color w:val="auto"/>
              </w:rPr>
            </w:pPr>
          </w:p>
        </w:tc>
      </w:tr>
      <w:tr>
        <w:trPr>
          <w:trHeight w:val="195"/>
        </w:trPr>
        <w:tc>
          <w:tcPr>
            <w:tcW w:w="7780" w:type="dxa"/>
            <w:vAlign w:val="bottom"/>
          </w:tcPr>
          <w:p>
            <w:pPr>
              <w:ind w:left="20"/>
              <w:spacing w:after="0"/>
              <w:rPr>
                <w:sz w:val="20"/>
                <w:szCs w:val="20"/>
                <w:color w:val="auto"/>
              </w:rPr>
            </w:pPr>
            <w:r>
              <w:rPr>
                <w:rFonts w:ascii="Arial" w:cs="Arial" w:eastAsia="Arial" w:hAnsi="Arial"/>
                <w:sz w:val="16"/>
                <w:szCs w:val="16"/>
                <w:color w:val="auto"/>
              </w:rPr>
              <w:t>of 3.811% in 2019, due in 2022</w:t>
            </w:r>
          </w:p>
        </w:tc>
        <w:tc>
          <w:tcPr>
            <w:tcW w:w="1640" w:type="dxa"/>
            <w:vAlign w:val="bottom"/>
          </w:tcPr>
          <w:p>
            <w:pPr>
              <w:jc w:val="right"/>
              <w:ind w:right="519"/>
              <w:spacing w:after="0"/>
              <w:rPr>
                <w:sz w:val="20"/>
                <w:szCs w:val="20"/>
                <w:color w:val="auto"/>
              </w:rPr>
            </w:pPr>
            <w:r>
              <w:rPr>
                <w:rFonts w:ascii="Arial" w:cs="Arial" w:eastAsia="Arial" w:hAnsi="Arial"/>
                <w:sz w:val="16"/>
                <w:szCs w:val="16"/>
                <w:color w:val="auto"/>
              </w:rPr>
              <w:t>$132,000</w:t>
            </w:r>
          </w:p>
        </w:tc>
      </w:tr>
      <w:tr>
        <w:trPr>
          <w:trHeight w:val="33"/>
        </w:trPr>
        <w:tc>
          <w:tcPr>
            <w:tcW w:w="7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4"/>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16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$132,000</w:t>
            </w:r>
          </w:p>
        </w:tc>
      </w:tr>
    </w:tbl>
    <w:p>
      <w:pPr>
        <w:spacing w:after="0" w:line="202"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$1.3 million. To manage interest rate risk, we may periodically enter into interest rate swap agreements to effectively fix the interest rates on variable debt to a specific rate for a period of time. (See Note 15 to the Consolidated Financial Statements in Item 1, which is incorporated herein by reference).</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1)"/>
      <w:numFmt w:val="decimal"/>
      <w:start w:val="316"/>
    </w:lvl>
  </w:abstractNum>
  <w:abstractNum w:abstractNumId="3">
    <w:nsid w:val="836C40E"/>
    <w:multiLevelType w:val="hybridMultilevel"/>
    <w:lvl w:ilvl="0">
      <w:lvlJc w:val="left"/>
      <w:lvlText w:val="(%1)"/>
      <w:numFmt w:val="decimal"/>
      <w:start w:val="46"/>
    </w:lvl>
  </w:abstractNum>
  <w:abstractNum w:abstractNumId="4">
    <w:nsid w:val="2901D82"/>
    <w:multiLevelType w:val="hybridMultilevel"/>
    <w:lvl w:ilvl="0">
      <w:lvlJc w:val="left"/>
      <w:lvlText w:val="(%1)"/>
      <w:numFmt w:val="decimal"/>
      <w:start w:val="481"/>
    </w:lvl>
  </w:abstractNum>
  <w:abstractNum w:abstractNumId="5">
    <w:nsid w:val="3A95F874"/>
    <w:multiLevelType w:val="hybridMultilevel"/>
    <w:lvl w:ilvl="0">
      <w:lvlJc w:val="left"/>
      <w:lvlText w:val="(%1)"/>
      <w:numFmt w:val="decimal"/>
      <w:start w:val="448"/>
    </w:lvl>
  </w:abstractNum>
  <w:abstractNum w:abstractNumId="6">
    <w:nsid w:val="8138641"/>
    <w:multiLevelType w:val="hybridMultilevel"/>
    <w:lvl w:ilvl="0">
      <w:lvlJc w:val="left"/>
      <w:lvlText w:val="(%1)"/>
      <w:numFmt w:val="decimal"/>
      <w:start w:val="27"/>
    </w:lvl>
  </w:abstractNum>
  <w:abstractNum w:abstractNumId="7">
    <w:nsid w:val="1E7FF521"/>
    <w:multiLevelType w:val="hybridMultilevel"/>
    <w:lvl w:ilvl="0">
      <w:lvlJc w:val="left"/>
      <w:lvlText w:val="\emdash "/>
      <w:numFmt w:val="bullet"/>
      <w:start w:val="1"/>
    </w:lvl>
  </w:abstractNum>
  <w:abstractNum w:abstractNumId="8">
    <w:nsid w:val="7C3DBD3D"/>
    <w:multiLevelType w:val="hybridMultilevel"/>
    <w:lvl w:ilvl="0">
      <w:lvlJc w:val="left"/>
      <w:lvlText w:val="(%1)"/>
      <w:numFmt w:val="decimal"/>
      <w:start w:val="178"/>
    </w:lvl>
  </w:abstractNum>
  <w:abstractNum w:abstractNumId="9">
    <w:nsid w:val="737B8DDC"/>
    <w:multiLevelType w:val="hybridMultilevel"/>
    <w:lvl w:ilvl="0">
      <w:lvlJc w:val="left"/>
      <w:lvlText w:val="%1"/>
      <w:numFmt w:val="decimal"/>
      <w:start w:val="28"/>
    </w:lvl>
  </w:abstractNum>
  <w:abstractNum w:abstractNumId="10">
    <w:nsid w:val="6CEAF087"/>
    <w:multiLevelType w:val="hybridMultilevel"/>
    <w:lvl w:ilvl="0">
      <w:lvlJc w:val="left"/>
      <w:lvlText w:val="(%1)"/>
      <w:numFmt w:val="decimal"/>
      <w:start w:val="746"/>
    </w:lvl>
  </w:abstractNum>
  <w:abstractNum w:abstractNumId="11">
    <w:nsid w:val="22221A70"/>
    <w:multiLevelType w:val="hybridMultilevel"/>
    <w:lvl w:ilvl="0">
      <w:lvlJc w:val="left"/>
      <w:lvlText w:val="%1"/>
      <w:numFmt w:val="decimal"/>
      <w:start w:val="623"/>
    </w:lvl>
  </w:abstractNum>
  <w:abstractNum w:abstractNumId="12">
    <w:nsid w:val="4516DDE9"/>
    <w:multiLevelType w:val="hybridMultilevel"/>
    <w:lvl w:ilvl="0">
      <w:lvlJc w:val="left"/>
      <w:lvlText w:val="%1"/>
      <w:numFmt w:val="decimal"/>
      <w:start w:val="358"/>
    </w:lvl>
  </w:abstractNum>
  <w:abstractNum w:abstractNumId="13">
    <w:nsid w:val="3006C83E"/>
    <w:multiLevelType w:val="hybridMultilevel"/>
    <w:lvl w:ilvl="0">
      <w:lvlJc w:val="left"/>
      <w:lvlText w:val="(%1)"/>
      <w:numFmt w:val="decimal"/>
      <w:start w:val="340"/>
    </w:lvl>
  </w:abstractNum>
  <w:abstractNum w:abstractNumId="14">
    <w:nsid w:val="614FD4A1"/>
    <w:multiLevelType w:val="hybridMultilevel"/>
    <w:lvl w:ilvl="0">
      <w:lvlJc w:val="left"/>
      <w:lvlText w:val="(%1)"/>
      <w:numFmt w:val="decimal"/>
      <w:start w:val="49"/>
    </w:lvl>
  </w:abstractNum>
  <w:abstractNum w:abstractNumId="15">
    <w:nsid w:val="419AC241"/>
    <w:multiLevelType w:val="hybridMultilevel"/>
    <w:lvl w:ilvl="0">
      <w:lvlJc w:val="left"/>
      <w:lvlText w:val="(%1)"/>
      <w:numFmt w:val="decimal"/>
      <w:start w:val="578"/>
    </w:lvl>
  </w:abstractNum>
  <w:abstractNum w:abstractNumId="16">
    <w:nsid w:val="5577F8E1"/>
    <w:multiLevelType w:val="hybridMultilevel"/>
    <w:lvl w:ilvl="0">
      <w:lvlJc w:val="left"/>
      <w:lvlText w:val="(%1)"/>
      <w:numFmt w:val="decimal"/>
      <w:start w:val="971"/>
    </w:lvl>
  </w:abstractNum>
  <w:abstractNum w:abstractNumId="17">
    <w:nsid w:val="440BADFC"/>
    <w:multiLevelType w:val="hybridMultilevel"/>
    <w:lvl w:ilvl="0">
      <w:lvlJc w:val="left"/>
      <w:lvlText w:val="%1."/>
      <w:numFmt w:val="decimal"/>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4"/>
    </w:lvl>
  </w:abstractNum>
  <w:abstractNum w:abstractNumId="20">
    <w:nsid w:val="77465F01"/>
    <w:multiLevelType w:val="hybridMultilevel"/>
    <w:lvl w:ilvl="0">
      <w:lvlJc w:val="left"/>
      <w:lvlText w:val="(%1)"/>
      <w:numFmt w:val="lowerLetter"/>
      <w:start w:val="1"/>
    </w:lvl>
  </w:abstractNum>
  <w:abstractNum w:abstractNumId="21">
    <w:nsid w:val="7724C67E"/>
    <w:multiLevelType w:val="hybridMultilevel"/>
    <w:lvl w:ilvl="0">
      <w:lvlJc w:val="left"/>
      <w:lvlText w:val="(%1)"/>
      <w:numFmt w:val="lowerLetter"/>
      <w:start w:val="1"/>
    </w:lvl>
  </w:abstractNum>
  <w:abstractNum w:abstractNumId="22">
    <w:nsid w:val="5C482A97"/>
    <w:multiLevelType w:val="hybridMultilevel"/>
    <w:lvl w:ilvl="0">
      <w:lvlJc w:val="left"/>
      <w:lvlText w:val="%1."/>
      <w:numFmt w:val="decimal"/>
      <w:start w:val="17"/>
    </w:lvl>
  </w:abstractNum>
  <w:abstractNum w:abstractNumId="23">
    <w:nsid w:val="2463B9EA"/>
    <w:multiLevelType w:val="hybridMultilevel"/>
    <w:lvl w:ilvl="0">
      <w:lvlJc w:val="left"/>
      <w:lvlText w:val="(%1)"/>
      <w:numFmt w:val="lowerLetter"/>
      <w:start w:val="1"/>
    </w:lvl>
  </w:abstractNum>
  <w:abstractNum w:abstractNumId="24">
    <w:nsid w:val="5E884ADC"/>
    <w:multiLevelType w:val="hybridMultilevel"/>
    <w:lvl w:ilvl="0">
      <w:lvlJc w:val="left"/>
      <w:lvlText w:val="•"/>
      <w:numFmt w:val="bullet"/>
      <w:start w:val="1"/>
    </w:lvl>
  </w:abstractNum>
  <w:abstractNum w:abstractNumId="25">
    <w:nsid w:val="51EAD36B"/>
    <w:multiLevelType w:val="hybridMultilevel"/>
    <w:lvl w:ilvl="0">
      <w:lvlJc w:val="left"/>
      <w:lvlText w:val="•"/>
      <w:numFmt w:val="bullet"/>
      <w:start w:val="1"/>
    </w:lvl>
    <w:lvl w:ilvl="1">
      <w:lvlJc w:val="left"/>
      <w:lvlText w:val="•"/>
      <w:numFmt w:val="bullet"/>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
      <w:numFmt w:val="bullet"/>
      <w:start w:val="1"/>
    </w:lvl>
  </w:abstractNum>
  <w:abstractNum w:abstractNumId="35">
    <w:nsid w:val="2CD89A32"/>
    <w:multiLevelType w:val="hybridMultilevel"/>
    <w:lvl w:ilvl="0">
      <w:lvlJc w:val="left"/>
      <w:lvlText w:val="•"/>
      <w:numFmt w:val="bullet"/>
      <w:start w:val="1"/>
    </w:lvl>
  </w:abstractNum>
  <w:abstractNum w:abstractNumId="36">
    <w:nsid w:val="57E4CCAF"/>
    <w:multiLevelType w:val="hybridMultilevel"/>
    <w:lvl w:ilvl="0">
      <w:lvlJc w:val="left"/>
      <w:lvlText w:val="•"/>
      <w:numFmt w:val="bullet"/>
      <w:start w:val="1"/>
    </w:lvl>
  </w:abstractNum>
  <w:abstractNum w:abstractNumId="37">
    <w:nsid w:val="7A6D8D3C"/>
    <w:multiLevelType w:val="hybridMultilevel"/>
    <w:lvl w:ilvl="0">
      <w:lvlJc w:val="left"/>
      <w:lvlText w:val="•"/>
      <w:numFmt w:val="bullet"/>
      <w:start w:val="1"/>
    </w:lvl>
  </w:abstractNum>
  <w:abstractNum w:abstractNumId="38">
    <w:nsid w:val="4B588F54"/>
    <w:multiLevelType w:val="hybridMultilevel"/>
    <w:lvl w:ilvl="0">
      <w:lvlJc w:val="left"/>
      <w:lvlText w:val="•"/>
      <w:numFmt w:val="bullet"/>
      <w:start w:val="1"/>
    </w:lvl>
    <w:lvl w:ilvl="1">
      <w:lvlJc w:val="left"/>
      <w:lvlText w:val="•"/>
      <w:numFmt w:val="bullet"/>
      <w:start w:val="1"/>
    </w:lvl>
  </w:abstractNum>
  <w:abstractNum w:abstractNumId="39">
    <w:nsid w:val="542289EC"/>
    <w:multiLevelType w:val="hybridMultilevel"/>
    <w:lvl w:ilvl="0">
      <w:lvlJc w:val="left"/>
      <w:lvlText w:val="•"/>
      <w:numFmt w:val="bullet"/>
      <w:start w:val="1"/>
    </w:lvl>
    <w:lvl w:ilvl="1">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
      <w:numFmt w:val="bullet"/>
      <w:start w:val="1"/>
    </w:lvl>
  </w:abstractNum>
  <w:abstractNum w:abstractNumId="45">
    <w:nsid w:val="579478FE"/>
    <w:multiLevelType w:val="hybridMultilevel"/>
    <w:lvl w:ilvl="0">
      <w:lvlJc w:val="left"/>
      <w:lvlText w:val="•"/>
      <w:numFmt w:val="bullet"/>
      <w:start w:val="1"/>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1)"/>
      <w:numFmt w:val="lowerLetter"/>
      <w:start w:val="1"/>
    </w:lvl>
  </w:abstractNum>
  <w:abstractNum w:abstractNumId="49">
    <w:nsid w:val="79A1DEAA"/>
    <w:multiLevelType w:val="hybridMultilevel"/>
    <w:lvl w:ilvl="0">
      <w:lvlJc w:val="left"/>
      <w:lvlText w:val="(%1)"/>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2019-12-28T09:30:18Z</dcterms:created>
  <dcterms:modified xsi:type="dcterms:W3CDTF">2019-12-28T09:30:18Z</dcterms:modified>
</cp:coreProperties>
</file>