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000" w:right="2000" w:hanging="3992"/>
        <w:spacing w:after="0" w:line="503" w:lineRule="auto"/>
        <w:tabs>
          <w:tab w:leader="none" w:pos="27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2014</w:t>
      </w:r>
    </w:p>
    <w:p>
      <w:pPr>
        <w:ind w:left="5580"/>
        <w:spacing w:after="0"/>
        <w:rPr>
          <w:rFonts w:ascii="Arial" w:cs="Arial" w:eastAsia="Arial" w:hAnsi="Arial"/>
          <w:sz w:val="18"/>
          <w:szCs w:val="18"/>
          <w:b w:val="1"/>
          <w:bCs w:val="1"/>
          <w:color w:val="auto"/>
        </w:rPr>
      </w:pPr>
      <w:r>
        <w:rPr>
          <w:rFonts w:ascii="Arial" w:cs="Arial" w:eastAsia="Arial" w:hAnsi="Arial"/>
          <w:sz w:val="18"/>
          <w:szCs w:val="18"/>
          <w:color w:val="auto"/>
        </w:rPr>
        <w:t>OR</w:t>
      </w:r>
    </w:p>
    <w:p>
      <w:pPr>
        <w:spacing w:after="0" w:line="221" w:lineRule="exact"/>
        <w:rPr>
          <w:sz w:val="24"/>
          <w:szCs w:val="24"/>
          <w:color w:val="auto"/>
        </w:rPr>
      </w:pPr>
    </w:p>
    <w:p>
      <w:pPr>
        <w:ind w:left="3600" w:right="2000" w:hanging="3592"/>
        <w:spacing w:after="0" w:line="503" w:lineRule="auto"/>
        <w:tabs>
          <w:tab w:leader="none" w:pos="15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tbl>
      <w:tblPr>
        <w:tblLayout w:type="fixed"/>
        <w:tblInd w:w="0" w:type="dxa"/>
        <w:tblCellMar>
          <w:top w:w="0" w:type="dxa"/>
          <w:left w:w="0" w:type="dxa"/>
          <w:bottom w:w="0" w:type="dxa"/>
          <w:right w:w="0" w:type="dxa"/>
        </w:tblCellMar>
      </w:tblPr>
      <w:tr>
        <w:trPr>
          <w:trHeight w:val="191"/>
        </w:trPr>
        <w:tc>
          <w:tcPr>
            <w:tcW w:w="4320" w:type="dxa"/>
            <w:vAlign w:val="bottom"/>
          </w:tcPr>
          <w:p>
            <w:pPr>
              <w:spacing w:after="0"/>
              <w:rPr>
                <w:sz w:val="16"/>
                <w:szCs w:val="16"/>
                <w:color w:val="auto"/>
              </w:rPr>
            </w:pPr>
          </w:p>
        </w:tc>
        <w:tc>
          <w:tcPr>
            <w:tcW w:w="3380" w:type="dxa"/>
            <w:vAlign w:val="bottom"/>
            <w:gridSpan w:val="6"/>
          </w:tcPr>
          <w:p>
            <w:pPr>
              <w:jc w:val="center"/>
              <w:ind w:right="580"/>
              <w:spacing w:after="0" w:line="191" w:lineRule="exact"/>
              <w:rPr>
                <w:sz w:val="20"/>
                <w:szCs w:val="20"/>
                <w:color w:val="auto"/>
              </w:rPr>
            </w:pPr>
            <w:r>
              <w:rPr>
                <w:rFonts w:ascii="Arial" w:cs="Arial" w:eastAsia="Arial" w:hAnsi="Arial"/>
                <w:sz w:val="18"/>
                <w:szCs w:val="18"/>
                <w:color w:val="auto"/>
                <w:w w:val="92"/>
              </w:rPr>
              <w:t>Commission file number: 1-10026</w:t>
            </w:r>
          </w:p>
        </w:tc>
        <w:tc>
          <w:tcPr>
            <w:tcW w:w="3720" w:type="dxa"/>
            <w:vAlign w:val="bottom"/>
          </w:tcPr>
          <w:p>
            <w:pPr>
              <w:spacing w:after="0"/>
              <w:rPr>
                <w:sz w:val="16"/>
                <w:szCs w:val="16"/>
                <w:color w:val="auto"/>
              </w:rPr>
            </w:pPr>
          </w:p>
        </w:tc>
      </w:tr>
      <w:tr>
        <w:trPr>
          <w:trHeight w:val="20"/>
        </w:trPr>
        <w:tc>
          <w:tcPr>
            <w:tcW w:w="43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12"/>
        </w:trPr>
        <w:tc>
          <w:tcPr>
            <w:tcW w:w="4320" w:type="dxa"/>
            <w:vAlign w:val="bottom"/>
          </w:tcPr>
          <w:p>
            <w:pPr>
              <w:spacing w:after="0"/>
              <w:rPr>
                <w:sz w:val="24"/>
                <w:szCs w:val="24"/>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ALBANY INTERNATIONAL CORP.</w:t>
            </w:r>
          </w:p>
        </w:tc>
        <w:tc>
          <w:tcPr>
            <w:tcW w:w="6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7"/>
        </w:trPr>
        <w:tc>
          <w:tcPr>
            <w:tcW w:w="7700" w:type="dxa"/>
            <w:vAlign w:val="bottom"/>
            <w:gridSpan w:val="7"/>
          </w:tcPr>
          <w:p>
            <w:pPr>
              <w:jc w:val="center"/>
              <w:ind w:left="3650"/>
              <w:spacing w:after="0"/>
              <w:rPr>
                <w:sz w:val="20"/>
                <w:szCs w:val="20"/>
                <w:color w:val="auto"/>
              </w:rPr>
            </w:pPr>
            <w:r>
              <w:rPr>
                <w:rFonts w:ascii="Arial" w:cs="Arial" w:eastAsia="Arial" w:hAnsi="Arial"/>
                <w:sz w:val="18"/>
                <w:szCs w:val="18"/>
                <w:color w:val="auto"/>
                <w:w w:val="90"/>
              </w:rPr>
              <w:t>(Exact name of registrant as specified in its charter)</w:t>
            </w:r>
          </w:p>
        </w:tc>
        <w:tc>
          <w:tcPr>
            <w:tcW w:w="3720" w:type="dxa"/>
            <w:vAlign w:val="bottom"/>
          </w:tcPr>
          <w:p>
            <w:pPr>
              <w:spacing w:after="0"/>
              <w:rPr>
                <w:sz w:val="20"/>
                <w:szCs w:val="20"/>
                <w:color w:val="auto"/>
              </w:rPr>
            </w:pPr>
          </w:p>
        </w:tc>
      </w:tr>
      <w:tr>
        <w:trPr>
          <w:trHeight w:val="432"/>
        </w:trPr>
        <w:tc>
          <w:tcPr>
            <w:tcW w:w="7700" w:type="dxa"/>
            <w:vAlign w:val="bottom"/>
            <w:gridSpan w:val="7"/>
          </w:tcPr>
          <w:p>
            <w:pPr>
              <w:jc w:val="center"/>
              <w:ind w:right="2380"/>
              <w:spacing w:after="0"/>
              <w:rPr>
                <w:sz w:val="20"/>
                <w:szCs w:val="20"/>
                <w:color w:val="auto"/>
              </w:rPr>
            </w:pPr>
            <w:r>
              <w:rPr>
                <w:rFonts w:ascii="Arial" w:cs="Arial" w:eastAsia="Arial" w:hAnsi="Arial"/>
                <w:sz w:val="18"/>
                <w:szCs w:val="18"/>
                <w:color w:val="auto"/>
                <w:w w:val="89"/>
              </w:rPr>
              <w:t>Delaware</w:t>
            </w:r>
          </w:p>
        </w:tc>
        <w:tc>
          <w:tcPr>
            <w:tcW w:w="3720" w:type="dxa"/>
            <w:vAlign w:val="bottom"/>
          </w:tcPr>
          <w:p>
            <w:pPr>
              <w:jc w:val="right"/>
              <w:ind w:right="185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7700" w:type="dxa"/>
            <w:vAlign w:val="bottom"/>
            <w:gridSpan w:val="7"/>
          </w:tcPr>
          <w:p>
            <w:pPr>
              <w:ind w:left="1520"/>
              <w:spacing w:after="0"/>
              <w:rPr>
                <w:sz w:val="20"/>
                <w:szCs w:val="20"/>
                <w:color w:val="auto"/>
              </w:rPr>
            </w:pPr>
            <w:r>
              <w:rPr>
                <w:rFonts w:ascii="Arial" w:cs="Arial" w:eastAsia="Arial" w:hAnsi="Arial"/>
                <w:sz w:val="18"/>
                <w:szCs w:val="18"/>
                <w:color w:val="auto"/>
              </w:rPr>
              <w:t>incorporation or organization)</w:t>
            </w:r>
          </w:p>
        </w:tc>
        <w:tc>
          <w:tcPr>
            <w:tcW w:w="3720" w:type="dxa"/>
            <w:vAlign w:val="bottom"/>
          </w:tcPr>
          <w:p>
            <w:pPr>
              <w:spacing w:after="0"/>
              <w:rPr>
                <w:sz w:val="20"/>
                <w:szCs w:val="20"/>
                <w:color w:val="auto"/>
              </w:rPr>
            </w:pPr>
          </w:p>
        </w:tc>
      </w:tr>
      <w:tr>
        <w:trPr>
          <w:trHeight w:val="419"/>
        </w:trPr>
        <w:tc>
          <w:tcPr>
            <w:tcW w:w="7700" w:type="dxa"/>
            <w:vAlign w:val="bottom"/>
            <w:gridSpan w:val="7"/>
          </w:tcPr>
          <w:p>
            <w:pPr>
              <w:jc w:val="center"/>
              <w:ind w:right="2380"/>
              <w:spacing w:after="0"/>
              <w:rPr>
                <w:sz w:val="20"/>
                <w:szCs w:val="20"/>
                <w:color w:val="auto"/>
              </w:rPr>
            </w:pPr>
            <w:r>
              <w:rPr>
                <w:rFonts w:ascii="Arial" w:cs="Arial" w:eastAsia="Arial" w:hAnsi="Arial"/>
                <w:sz w:val="18"/>
                <w:szCs w:val="18"/>
                <w:color w:val="auto"/>
                <w:w w:val="92"/>
              </w:rPr>
              <w:t>216 Airport Drive, Rochester, New Hampshire</w:t>
            </w:r>
          </w:p>
        </w:tc>
        <w:tc>
          <w:tcPr>
            <w:tcW w:w="3720" w:type="dxa"/>
            <w:vAlign w:val="bottom"/>
          </w:tcPr>
          <w:p>
            <w:pPr>
              <w:jc w:val="right"/>
              <w:ind w:right="2050"/>
              <w:spacing w:after="0"/>
              <w:rPr>
                <w:sz w:val="20"/>
                <w:szCs w:val="20"/>
                <w:color w:val="auto"/>
              </w:rPr>
            </w:pPr>
            <w:r>
              <w:rPr>
                <w:rFonts w:ascii="Arial" w:cs="Arial" w:eastAsia="Arial" w:hAnsi="Arial"/>
                <w:sz w:val="18"/>
                <w:szCs w:val="18"/>
                <w:color w:val="auto"/>
              </w:rPr>
              <w:t>03867</w:t>
            </w:r>
          </w:p>
        </w:tc>
      </w:tr>
      <w:tr>
        <w:trPr>
          <w:trHeight w:val="224"/>
        </w:trPr>
        <w:tc>
          <w:tcPr>
            <w:tcW w:w="52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72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(Zip Code)</w:t>
            </w:r>
          </w:p>
        </w:tc>
      </w:tr>
    </w:tbl>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1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640"/>
              <w:spacing w:after="0"/>
              <w:rPr>
                <w:sz w:val="20"/>
                <w:szCs w:val="20"/>
                <w:color w:val="auto"/>
              </w:rPr>
            </w:pPr>
            <w:r>
              <w:rPr>
                <w:rFonts w:ascii="Arial" w:cs="Arial" w:eastAsia="Arial" w:hAnsi="Arial"/>
                <w:sz w:val="18"/>
                <w:szCs w:val="18"/>
                <w:color w:val="auto"/>
              </w:rPr>
              <w:t>[ √ ]</w:t>
            </w:r>
          </w:p>
        </w:tc>
        <w:tc>
          <w:tcPr>
            <w:tcW w:w="422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640"/>
              <w:spacing w:after="0"/>
              <w:rPr>
                <w:sz w:val="20"/>
                <w:szCs w:val="20"/>
                <w:color w:val="auto"/>
              </w:rPr>
            </w:pPr>
            <w:r>
              <w:rPr>
                <w:rFonts w:ascii="Arial" w:cs="Arial" w:eastAsia="Arial" w:hAnsi="Arial"/>
                <w:sz w:val="18"/>
                <w:szCs w:val="18"/>
                <w:color w:val="auto"/>
              </w:rPr>
              <w:t>[  ]</w:t>
            </w:r>
          </w:p>
        </w:tc>
        <w:tc>
          <w:tcPr>
            <w:tcW w:w="422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No [ √ ]</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28.6 million shares of Class A Common Stock and 3.2 million shares of Class B Common Stock outstanding as of April 18, 2014.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Page</w:t>
            </w:r>
          </w:p>
        </w:tc>
      </w:tr>
      <w:tr>
        <w:trPr>
          <w:trHeight w:val="203"/>
        </w:trPr>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0" w:type="dxa"/>
            <w:vAlign w:val="bottom"/>
          </w:tcPr>
          <w:p>
            <w:pPr>
              <w:spacing w:after="0"/>
              <w:rPr>
                <w:sz w:val="24"/>
                <w:szCs w:val="24"/>
                <w:color w:val="auto"/>
              </w:rPr>
            </w:pPr>
          </w:p>
        </w:tc>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8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income– three months ended March 31, 2014 and 2013</w:t>
              </w:r>
            </w:hyperlink>
          </w:p>
        </w:tc>
        <w:tc>
          <w:tcPr>
            <w:tcW w:w="3460" w:type="dxa"/>
            <w:vAlign w:val="bottom"/>
            <w:gridSpan w:val="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three months ended March 31, 2014 and 2013</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 March 31, 2014 and December 31, 2013</w:t>
              </w:r>
            </w:hyperlink>
          </w:p>
        </w:tc>
        <w:tc>
          <w:tcPr>
            <w:tcW w:w="22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months ended March 31, 2014 and 2013</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3600" w:type="dxa"/>
            <w:vAlign w:val="bottom"/>
            <w:tcBorders>
              <w:top w:val="single" w:sz="8" w:color="0000EE"/>
            </w:tcBorders>
            <w:gridSpan w:val="5"/>
          </w:tcPr>
          <w:p>
            <w:pPr>
              <w:spacing w:after="0"/>
              <w:rPr>
                <w:sz w:val="15"/>
                <w:szCs w:val="15"/>
                <w:color w:val="auto"/>
              </w:rPr>
            </w:pPr>
          </w:p>
        </w:tc>
        <w:tc>
          <w:tcPr>
            <w:tcW w:w="316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Forward-looking statements</w:t>
              </w:r>
            </w:hyperlink>
          </w:p>
        </w:tc>
        <w:tc>
          <w:tcPr>
            <w:tcW w:w="8000" w:type="dxa"/>
            <w:vAlign w:val="bottom"/>
            <w:gridSpan w:val="11"/>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Item 2. Management’s Discussion and Analysis of Financial Condition and Results of Operations</w:t>
              </w:r>
            </w:hyperlink>
          </w:p>
        </w:tc>
        <w:tc>
          <w:tcPr>
            <w:tcW w:w="260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Item 3. Quantitative and Qualitative Disclosures about Market Risk</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Item 4. Controls and Procedures</w:t>
              </w:r>
            </w:hyperlink>
          </w:p>
        </w:tc>
        <w:tc>
          <w:tcPr>
            <w:tcW w:w="5000" w:type="dxa"/>
            <w:vAlign w:val="bottom"/>
            <w:gridSpan w:val="7"/>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85"/>
        </w:trPr>
        <w:tc>
          <w:tcPr>
            <w:tcW w:w="100" w:type="dxa"/>
            <w:vAlign w:val="bottom"/>
          </w:tcPr>
          <w:p>
            <w:pPr>
              <w:spacing w:after="0"/>
              <w:rPr>
                <w:sz w:val="24"/>
                <w:szCs w:val="24"/>
                <w:color w:val="auto"/>
              </w:rPr>
            </w:pPr>
          </w:p>
        </w:tc>
        <w:tc>
          <w:tcPr>
            <w:tcW w:w="208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 Other Information</w:t>
              </w:r>
            </w:hyperlink>
          </w:p>
        </w:tc>
        <w:tc>
          <w:tcPr>
            <w:tcW w:w="856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5"/>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 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5"/>
                <w:szCs w:val="15"/>
                <w:color w:val="auto"/>
              </w:rPr>
            </w:pPr>
          </w:p>
        </w:tc>
        <w:tc>
          <w:tcPr>
            <w:tcW w:w="8200" w:type="dxa"/>
            <w:vAlign w:val="bottom"/>
            <w:gridSpan w:val="1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Item 2. Unregistered Sales of Equity Securities and Use of Proceeds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Item 3. Defaults upon Senior Securities</w:t>
              </w:r>
            </w:hyperlink>
          </w:p>
        </w:tc>
        <w:tc>
          <w:tcPr>
            <w:tcW w:w="2320" w:type="dxa"/>
            <w:vAlign w:val="bottom"/>
            <w:tcBorders>
              <w:top w:val="single" w:sz="8" w:color="0000EE"/>
            </w:tcBorders>
            <w:gridSpan w:val="3"/>
          </w:tcPr>
          <w:p>
            <w:pPr>
              <w:spacing w:after="0"/>
              <w:rPr>
                <w:sz w:val="15"/>
                <w:szCs w:val="15"/>
                <w:color w:val="auto"/>
              </w:rPr>
            </w:pPr>
          </w:p>
        </w:tc>
        <w:tc>
          <w:tcPr>
            <w:tcW w:w="484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Item 4. Mine Safety Disclosures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3"/>
          </w:tcPr>
          <w:p>
            <w:pPr>
              <w:spacing w:after="0"/>
              <w:rPr>
                <w:sz w:val="15"/>
                <w:szCs w:val="15"/>
                <w:color w:val="auto"/>
              </w:rPr>
            </w:pPr>
          </w:p>
        </w:tc>
        <w:tc>
          <w:tcPr>
            <w:tcW w:w="7700" w:type="dxa"/>
            <w:vAlign w:val="bottom"/>
            <w:gridSpan w:val="10"/>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844"/>
        </w:trPr>
        <w:tc>
          <w:tcPr>
            <w:tcW w:w="480" w:type="dxa"/>
            <w:vAlign w:val="bottom"/>
            <w:gridSpan w:val="3"/>
          </w:tcPr>
          <w:p>
            <w:pPr>
              <w:spacing w:after="0"/>
              <w:rPr>
                <w:sz w:val="24"/>
                <w:szCs w:val="24"/>
                <w:color w:val="auto"/>
              </w:rPr>
            </w:pPr>
          </w:p>
        </w:tc>
        <w:tc>
          <w:tcPr>
            <w:tcW w:w="1200" w:type="dxa"/>
            <w:vAlign w:val="bottom"/>
            <w:tcBorders>
              <w:top w:val="single" w:sz="8" w:color="0000EE"/>
            </w:tcBorders>
            <w:gridSpan w:val="2"/>
          </w:tcPr>
          <w:p>
            <w:pPr>
              <w:spacing w:after="0"/>
              <w:rPr>
                <w:sz w:val="24"/>
                <w:szCs w:val="24"/>
                <w:color w:val="auto"/>
              </w:rPr>
            </w:pPr>
          </w:p>
        </w:tc>
        <w:tc>
          <w:tcPr>
            <w:tcW w:w="4220" w:type="dxa"/>
            <w:vAlign w:val="bottom"/>
            <w:gridSpan w:val="9"/>
          </w:tcPr>
          <w:p>
            <w:pPr>
              <w:jc w:val="right"/>
              <w:ind w:right="14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2"/>
        </w:trPr>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Three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460" w:type="dxa"/>
            <w:vAlign w:val="bottom"/>
            <w:gridSpan w:val="3"/>
            <w:vMerge w:val="restart"/>
          </w:tcPr>
          <w:p>
            <w:pPr>
              <w:jc w:val="right"/>
              <w:ind w:right="510"/>
              <w:spacing w:after="0"/>
              <w:rPr>
                <w:sz w:val="20"/>
                <w:szCs w:val="20"/>
                <w:color w:val="auto"/>
              </w:rPr>
            </w:pPr>
            <w:r>
              <w:rPr>
                <w:rFonts w:ascii="Arial" w:cs="Arial" w:eastAsia="Arial" w:hAnsi="Arial"/>
                <w:sz w:val="18"/>
                <w:szCs w:val="18"/>
                <w:color w:val="auto"/>
              </w:rPr>
              <w:t>2014</w:t>
            </w:r>
          </w:p>
        </w:tc>
        <w:tc>
          <w:tcPr>
            <w:tcW w:w="13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March 31,</w:t>
            </w:r>
          </w:p>
        </w:tc>
        <w:tc>
          <w:tcPr>
            <w:tcW w:w="1100" w:type="dxa"/>
            <w:vAlign w:val="bottom"/>
            <w:vMerge w:val="restart"/>
          </w:tcPr>
          <w:p>
            <w:pPr>
              <w:jc w:val="right"/>
              <w:ind w:right="4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46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Net sales</w:t>
            </w:r>
          </w:p>
        </w:tc>
        <w:tc>
          <w:tcPr>
            <w:tcW w:w="3460" w:type="dxa"/>
            <w:vAlign w:val="bottom"/>
            <w:gridSpan w:val="3"/>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$180,307</w:t>
            </w:r>
          </w:p>
        </w:tc>
        <w:tc>
          <w:tcPr>
            <w:tcW w:w="9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1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$186,654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 of goods sold</w:t>
            </w:r>
          </w:p>
        </w:tc>
        <w:tc>
          <w:tcPr>
            <w:tcW w:w="3460" w:type="dxa"/>
            <w:vAlign w:val="bottom"/>
            <w:gridSpan w:val="3"/>
          </w:tcPr>
          <w:p>
            <w:pPr>
              <w:jc w:val="right"/>
              <w:ind w:right="30"/>
              <w:spacing w:after="0"/>
              <w:rPr>
                <w:sz w:val="20"/>
                <w:szCs w:val="20"/>
                <w:color w:val="auto"/>
              </w:rPr>
            </w:pPr>
            <w:r>
              <w:rPr>
                <w:rFonts w:ascii="Arial" w:cs="Arial" w:eastAsia="Arial" w:hAnsi="Arial"/>
                <w:sz w:val="18"/>
                <w:szCs w:val="18"/>
                <w:color w:val="auto"/>
              </w:rPr>
              <w:t>105,498</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113,885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Gross profit</w:t>
            </w:r>
          </w:p>
        </w:tc>
        <w:tc>
          <w:tcPr>
            <w:tcW w:w="3460" w:type="dxa"/>
            <w:vAlign w:val="bottom"/>
            <w:gridSpan w:val="3"/>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74,809</w:t>
            </w:r>
          </w:p>
        </w:tc>
        <w:tc>
          <w:tcPr>
            <w:tcW w:w="90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110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72,769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4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39,157</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3460" w:type="dxa"/>
            <w:vAlign w:val="bottom"/>
            <w:gridSpan w:val="3"/>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13,869</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Restructuring and other, net</w:t>
            </w:r>
          </w:p>
        </w:tc>
        <w:tc>
          <w:tcPr>
            <w:tcW w:w="3460" w:type="dxa"/>
            <w:vAlign w:val="bottom"/>
            <w:gridSpan w:val="3"/>
          </w:tcPr>
          <w:p>
            <w:pPr>
              <w:jc w:val="right"/>
              <w:ind w:right="30"/>
              <w:spacing w:after="0"/>
              <w:rPr>
                <w:sz w:val="20"/>
                <w:szCs w:val="20"/>
                <w:color w:val="auto"/>
              </w:rPr>
            </w:pPr>
            <w:r>
              <w:rPr>
                <w:rFonts w:ascii="Arial" w:cs="Arial" w:eastAsia="Arial" w:hAnsi="Arial"/>
                <w:sz w:val="18"/>
                <w:szCs w:val="18"/>
                <w:color w:val="auto"/>
              </w:rPr>
              <w:t>1,182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480" w:type="dxa"/>
            <w:vAlign w:val="bottom"/>
            <w:tcBorders>
              <w:top w:val="single" w:sz="8" w:color="auto"/>
            </w:tcBorders>
            <w:shd w:val="clear" w:color="auto" w:fill="BFBFBF"/>
          </w:tcPr>
          <w:p>
            <w:pPr>
              <w:spacing w:after="0"/>
              <w:rPr>
                <w:sz w:val="17"/>
                <w:szCs w:val="17"/>
                <w:color w:val="auto"/>
              </w:rPr>
            </w:pPr>
          </w:p>
        </w:tc>
        <w:tc>
          <w:tcPr>
            <w:tcW w:w="1100" w:type="dxa"/>
            <w:vAlign w:val="bottom"/>
            <w:tcBorders>
              <w:top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34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20,601</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3460" w:type="dxa"/>
            <w:vAlign w:val="bottom"/>
            <w:gridSpan w:val="3"/>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2,918</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Other (income)/expenses, net</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(467)</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tcBorders>
            <w:shd w:val="clear" w:color="auto" w:fill="BFBFBF"/>
          </w:tcPr>
          <w:p>
            <w:pPr>
              <w:spacing w:after="0"/>
              <w:rPr>
                <w:sz w:val="17"/>
                <w:szCs w:val="17"/>
                <w:color w:val="auto"/>
              </w:rPr>
            </w:pP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tcBorders>
            <w:shd w:val="clear" w:color="auto" w:fill="BFBFBF"/>
          </w:tcPr>
          <w:p>
            <w:pPr>
              <w:spacing w:after="0"/>
              <w:rPr>
                <w:sz w:val="17"/>
                <w:szCs w:val="17"/>
                <w:color w:val="auto"/>
              </w:rPr>
            </w:pPr>
          </w:p>
        </w:tc>
        <w:tc>
          <w:tcPr>
            <w:tcW w:w="900" w:type="dxa"/>
            <w:vAlign w:val="bottom"/>
            <w:tcBorders>
              <w:top w:val="single" w:sz="8" w:color="BFBFBF"/>
            </w:tcBorders>
            <w:shd w:val="clear" w:color="auto" w:fill="BFBFBF"/>
          </w:tcPr>
          <w:p>
            <w:pPr>
              <w:spacing w:after="0"/>
              <w:rPr>
                <w:sz w:val="17"/>
                <w:szCs w:val="17"/>
                <w:color w:val="auto"/>
              </w:rPr>
            </w:pPr>
          </w:p>
        </w:tc>
        <w:tc>
          <w:tcPr>
            <w:tcW w:w="480" w:type="dxa"/>
            <w:vAlign w:val="bottom"/>
            <w:tcBorders>
              <w:top w:val="single" w:sz="8" w:color="auto"/>
            </w:tcBorders>
            <w:shd w:val="clear" w:color="auto" w:fill="BFBFBF"/>
          </w:tcPr>
          <w:p>
            <w:pPr>
              <w:spacing w:after="0"/>
              <w:rPr>
                <w:sz w:val="17"/>
                <w:szCs w:val="17"/>
                <w:color w:val="auto"/>
              </w:rPr>
            </w:pPr>
          </w:p>
        </w:tc>
        <w:tc>
          <w:tcPr>
            <w:tcW w:w="1100" w:type="dxa"/>
            <w:vAlign w:val="bottom"/>
            <w:tcBorders>
              <w:top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34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18,150</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Income tax expense</w:t>
            </w:r>
          </w:p>
        </w:tc>
        <w:tc>
          <w:tcPr>
            <w:tcW w:w="1840" w:type="dxa"/>
            <w:vAlign w:val="bottom"/>
            <w:gridSpan w:val="2"/>
            <w:shd w:val="clear" w:color="auto" w:fill="BFBFBF"/>
          </w:tcPr>
          <w:p>
            <w:pPr>
              <w:spacing w:after="0"/>
              <w:rPr>
                <w:sz w:val="18"/>
                <w:szCs w:val="18"/>
                <w:color w:val="auto"/>
              </w:rPr>
            </w:pPr>
          </w:p>
        </w:tc>
        <w:tc>
          <w:tcPr>
            <w:tcW w:w="162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7,457</w:t>
            </w:r>
          </w:p>
        </w:tc>
        <w:tc>
          <w:tcPr>
            <w:tcW w:w="900" w:type="dxa"/>
            <w:vAlign w:val="bottom"/>
            <w:shd w:val="clear" w:color="auto" w:fill="BFBFBF"/>
          </w:tcPr>
          <w:p>
            <w:pPr>
              <w:spacing w:after="0"/>
              <w:rPr>
                <w:sz w:val="18"/>
                <w:szCs w:val="18"/>
                <w:color w:val="auto"/>
              </w:rPr>
            </w:pPr>
          </w:p>
        </w:tc>
        <w:tc>
          <w:tcPr>
            <w:tcW w:w="48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6,248</w:t>
            </w:r>
          </w:p>
        </w:tc>
        <w:tc>
          <w:tcPr>
            <w:tcW w:w="0" w:type="dxa"/>
            <w:vAlign w:val="bottom"/>
          </w:tcPr>
          <w:p>
            <w:pPr>
              <w:spacing w:after="0"/>
              <w:rPr>
                <w:sz w:val="1"/>
                <w:szCs w:val="1"/>
                <w:color w:val="auto"/>
              </w:rPr>
            </w:pPr>
          </w:p>
        </w:tc>
      </w:tr>
      <w:tr>
        <w:trPr>
          <w:trHeight w:val="412"/>
        </w:trPr>
        <w:tc>
          <w:tcPr>
            <w:tcW w:w="54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460" w:type="dxa"/>
            <w:vAlign w:val="bottom"/>
            <w:gridSpan w:val="3"/>
          </w:tcPr>
          <w:p>
            <w:pPr>
              <w:jc w:val="right"/>
              <w:ind w:right="30"/>
              <w:spacing w:after="0"/>
              <w:rPr>
                <w:sz w:val="20"/>
                <w:szCs w:val="20"/>
                <w:color w:val="auto"/>
              </w:rPr>
            </w:pPr>
            <w:r>
              <w:rPr>
                <w:rFonts w:ascii="Arial" w:cs="Arial" w:eastAsia="Arial" w:hAnsi="Arial"/>
                <w:sz w:val="18"/>
                <w:szCs w:val="18"/>
                <w:color w:val="auto"/>
              </w:rPr>
              <w:t>10,693</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(Loss)/income from operations of discontinued business</w:t>
            </w:r>
          </w:p>
        </w:tc>
        <w:tc>
          <w:tcPr>
            <w:tcW w:w="3460" w:type="dxa"/>
            <w:vAlign w:val="bottom"/>
            <w:gridSpan w:val="3"/>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Gain/(loss) on sale of discontinued business</w:t>
            </w:r>
          </w:p>
        </w:tc>
        <w:tc>
          <w:tcPr>
            <w:tcW w:w="34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BFBFBF"/>
          </w:tcPr>
          <w:p>
            <w:pPr>
              <w:ind w:left="140"/>
              <w:spacing w:after="0"/>
              <w:rPr>
                <w:sz w:val="20"/>
                <w:szCs w:val="20"/>
                <w:color w:val="auto"/>
              </w:rPr>
            </w:pPr>
            <w:r>
              <w:rPr>
                <w:rFonts w:ascii="Arial" w:cs="Arial" w:eastAsia="Arial" w:hAnsi="Arial"/>
                <w:sz w:val="18"/>
                <w:szCs w:val="18"/>
                <w:color w:val="auto"/>
              </w:rPr>
              <w:t>Income tax (benefit)/expense on discontinued operations</w:t>
            </w:r>
          </w:p>
        </w:tc>
        <w:tc>
          <w:tcPr>
            <w:tcW w:w="3460" w:type="dxa"/>
            <w:vAlign w:val="bottom"/>
            <w:gridSpan w:val="3"/>
            <w:shd w:val="clear" w:color="auto" w:fill="BFBFB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BFBFBF"/>
          </w:tcPr>
          <w:p>
            <w:pPr>
              <w:spacing w:after="0"/>
              <w:rPr>
                <w:sz w:val="18"/>
                <w:szCs w:val="18"/>
                <w:color w:val="auto"/>
              </w:rPr>
            </w:pPr>
          </w:p>
        </w:tc>
        <w:tc>
          <w:tcPr>
            <w:tcW w:w="480" w:type="dxa"/>
            <w:vAlign w:val="bottom"/>
            <w:shd w:val="clear" w:color="auto" w:fill="BFBFBF"/>
          </w:tcPr>
          <w:p>
            <w:pPr>
              <w:spacing w:after="0"/>
              <w:rPr>
                <w:sz w:val="18"/>
                <w:szCs w:val="18"/>
                <w:color w:val="auto"/>
              </w:rPr>
            </w:pPr>
          </w:p>
        </w:tc>
        <w:tc>
          <w:tcPr>
            <w:tcW w:w="110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line="196" w:lineRule="exact"/>
              <w:rPr>
                <w:sz w:val="20"/>
                <w:szCs w:val="20"/>
                <w:color w:val="auto"/>
              </w:rPr>
            </w:pPr>
            <w:r>
              <w:rPr>
                <w:rFonts w:ascii="Arial" w:cs="Arial" w:eastAsia="Arial" w:hAnsi="Arial"/>
                <w:sz w:val="18"/>
                <w:szCs w:val="18"/>
                <w:color w:val="auto"/>
              </w:rPr>
              <w:t>(Loss)/income from discontinued operations</w:t>
            </w:r>
          </w:p>
        </w:tc>
        <w:tc>
          <w:tcPr>
            <w:tcW w:w="1840" w:type="dxa"/>
            <w:vAlign w:val="bottom"/>
            <w:gridSpan w:val="2"/>
          </w:tcPr>
          <w:p>
            <w:pPr>
              <w:spacing w:after="0"/>
              <w:rPr>
                <w:sz w:val="17"/>
                <w:szCs w:val="17"/>
                <w:color w:val="auto"/>
              </w:rPr>
            </w:pPr>
          </w:p>
        </w:tc>
        <w:tc>
          <w:tcPr>
            <w:tcW w:w="16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Net income</w:t>
            </w:r>
          </w:p>
        </w:tc>
        <w:tc>
          <w:tcPr>
            <w:tcW w:w="3460" w:type="dxa"/>
            <w:vAlign w:val="bottom"/>
            <w:gridSpan w:val="3"/>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10,693</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920" w:type="dxa"/>
            <w:vAlign w:val="bottom"/>
            <w:tcBorders>
              <w:bottom w:val="single" w:sz="8" w:color="BFBFBF"/>
            </w:tcBorders>
          </w:tcPr>
          <w:p>
            <w:pPr>
              <w:spacing w:after="0"/>
              <w:rPr>
                <w:sz w:val="18"/>
                <w:szCs w:val="18"/>
                <w:color w:val="auto"/>
              </w:rPr>
            </w:pPr>
          </w:p>
        </w:tc>
        <w:tc>
          <w:tcPr>
            <w:tcW w:w="920" w:type="dxa"/>
            <w:vAlign w:val="bottom"/>
            <w:tcBorders>
              <w:bottom w:val="single" w:sz="8" w:color="C0C0C0"/>
            </w:tcBorders>
          </w:tcPr>
          <w:p>
            <w:pPr>
              <w:spacing w:after="0"/>
              <w:rPr>
                <w:sz w:val="18"/>
                <w:szCs w:val="18"/>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900" w:type="dxa"/>
            <w:vAlign w:val="bottom"/>
            <w:tcBorders>
              <w:bottom w:val="single" w:sz="8" w:color="BFBFB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BFBFBF"/>
            </w:tcBorders>
            <w:shd w:val="clear" w:color="auto" w:fill="BFBFBF"/>
          </w:tcPr>
          <w:p>
            <w:pPr>
              <w:ind w:left="40"/>
              <w:spacing w:after="0" w:line="197" w:lineRule="exact"/>
              <w:rPr>
                <w:sz w:val="20"/>
                <w:szCs w:val="20"/>
                <w:color w:val="auto"/>
              </w:rPr>
            </w:pPr>
            <w:r>
              <w:rPr>
                <w:rFonts w:ascii="Arial" w:cs="Arial" w:eastAsia="Arial" w:hAnsi="Arial"/>
                <w:sz w:val="18"/>
                <w:szCs w:val="18"/>
                <w:color w:val="auto"/>
              </w:rPr>
              <w:t>Net income attributable to the Company</w:t>
            </w:r>
          </w:p>
        </w:tc>
        <w:tc>
          <w:tcPr>
            <w:tcW w:w="920" w:type="dxa"/>
            <w:vAlign w:val="bottom"/>
            <w:tcBorders>
              <w:bottom w:val="single" w:sz="8" w:color="BFBFBF"/>
            </w:tcBorders>
            <w:shd w:val="clear" w:color="auto" w:fill="BFBFBF"/>
          </w:tcPr>
          <w:p>
            <w:pPr>
              <w:spacing w:after="0"/>
              <w:rPr>
                <w:sz w:val="18"/>
                <w:szCs w:val="18"/>
                <w:color w:val="auto"/>
              </w:rPr>
            </w:pPr>
          </w:p>
        </w:tc>
        <w:tc>
          <w:tcPr>
            <w:tcW w:w="920" w:type="dxa"/>
            <w:vAlign w:val="bottom"/>
            <w:tcBorders>
              <w:bottom w:val="single" w:sz="8" w:color="C0C0C0"/>
            </w:tcBorders>
            <w:shd w:val="clear" w:color="auto" w:fill="C0C0C0"/>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$10,621</w:t>
            </w:r>
          </w:p>
        </w:tc>
        <w:tc>
          <w:tcPr>
            <w:tcW w:w="900" w:type="dxa"/>
            <w:vAlign w:val="bottom"/>
            <w:tcBorders>
              <w:bottom w:val="single" w:sz="8" w:color="BFBFBF"/>
            </w:tcBorders>
            <w:shd w:val="clear" w:color="auto" w:fill="BFBFBF"/>
          </w:tcPr>
          <w:p>
            <w:pPr>
              <w:spacing w:after="0"/>
              <w:rPr>
                <w:sz w:val="18"/>
                <w:szCs w:val="18"/>
                <w:color w:val="auto"/>
              </w:rPr>
            </w:pPr>
          </w:p>
        </w:tc>
        <w:tc>
          <w:tcPr>
            <w:tcW w:w="480" w:type="dxa"/>
            <w:vAlign w:val="bottom"/>
            <w:tcBorders>
              <w:bottom w:val="single" w:sz="8" w:color="auto"/>
            </w:tcBorders>
            <w:shd w:val="clear" w:color="auto" w:fill="C0C0C0"/>
          </w:tcPr>
          <w:p>
            <w:pPr>
              <w:spacing w:after="0"/>
              <w:rPr>
                <w:sz w:val="18"/>
                <w:szCs w:val="18"/>
                <w:color w:val="auto"/>
              </w:rPr>
            </w:pPr>
          </w:p>
        </w:tc>
        <w:tc>
          <w:tcPr>
            <w:tcW w:w="11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Company shareholders - Basic</w:t>
            </w: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3460" w:type="dxa"/>
            <w:vAlign w:val="bottom"/>
            <w:gridSpan w:val="3"/>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$0.33</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Discontinued operations</w:t>
            </w:r>
          </w:p>
        </w:tc>
        <w:tc>
          <w:tcPr>
            <w:tcW w:w="1840" w:type="dxa"/>
            <w:vAlign w:val="bottom"/>
            <w:tcBorders>
              <w:bottom w:val="single" w:sz="8" w:color="BFBFBF"/>
            </w:tcBorders>
            <w:gridSpan w:val="2"/>
          </w:tcPr>
          <w:p>
            <w:pPr>
              <w:spacing w:after="0"/>
              <w:rPr>
                <w:sz w:val="18"/>
                <w:szCs w:val="18"/>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900" w:type="dxa"/>
            <w:vAlign w:val="bottom"/>
            <w:tcBorders>
              <w:bottom w:val="single" w:sz="8" w:color="BFBFB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BFBFBF"/>
            </w:tcBorders>
            <w:shd w:val="clear" w:color="auto" w:fill="BFBFBF"/>
          </w:tcPr>
          <w:p>
            <w:pPr>
              <w:spacing w:after="0" w:line="197" w:lineRule="exact"/>
              <w:rPr>
                <w:sz w:val="20"/>
                <w:szCs w:val="20"/>
                <w:color w:val="auto"/>
              </w:rPr>
            </w:pPr>
            <w:r>
              <w:rPr>
                <w:rFonts w:ascii="Arial" w:cs="Arial" w:eastAsia="Arial" w:hAnsi="Arial"/>
                <w:sz w:val="18"/>
                <w:szCs w:val="18"/>
                <w:color w:val="auto"/>
              </w:rPr>
              <w:t>Net income attributable to the Company</w:t>
            </w:r>
          </w:p>
        </w:tc>
        <w:tc>
          <w:tcPr>
            <w:tcW w:w="1840" w:type="dxa"/>
            <w:vAlign w:val="bottom"/>
            <w:tcBorders>
              <w:bottom w:val="single" w:sz="8" w:color="BFBFBF"/>
            </w:tcBorders>
            <w:gridSpan w:val="2"/>
            <w:shd w:val="clear" w:color="auto" w:fill="BFBFBF"/>
          </w:tcPr>
          <w:p>
            <w:pPr>
              <w:spacing w:after="0"/>
              <w:rPr>
                <w:sz w:val="18"/>
                <w:szCs w:val="18"/>
                <w:color w:val="auto"/>
              </w:rPr>
            </w:pPr>
          </w:p>
        </w:tc>
        <w:tc>
          <w:tcPr>
            <w:tcW w:w="162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$0.33</w:t>
            </w:r>
          </w:p>
        </w:tc>
        <w:tc>
          <w:tcPr>
            <w:tcW w:w="900" w:type="dxa"/>
            <w:vAlign w:val="bottom"/>
            <w:tcBorders>
              <w:bottom w:val="single" w:sz="8" w:color="BFBFBF"/>
            </w:tcBorders>
            <w:shd w:val="clear" w:color="auto" w:fill="BFBFBF"/>
          </w:tcPr>
          <w:p>
            <w:pPr>
              <w:spacing w:after="0"/>
              <w:rPr>
                <w:sz w:val="18"/>
                <w:szCs w:val="18"/>
                <w:color w:val="auto"/>
              </w:rPr>
            </w:pPr>
          </w:p>
        </w:tc>
        <w:tc>
          <w:tcPr>
            <w:tcW w:w="48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Company shareholders - Diluted</w:t>
            </w: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4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3460" w:type="dxa"/>
            <w:vAlign w:val="bottom"/>
            <w:gridSpan w:val="3"/>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$0.33</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Discontinued operations</w:t>
            </w:r>
          </w:p>
        </w:tc>
        <w:tc>
          <w:tcPr>
            <w:tcW w:w="1840" w:type="dxa"/>
            <w:vAlign w:val="bottom"/>
            <w:tcBorders>
              <w:bottom w:val="single" w:sz="8" w:color="BFBFBF"/>
            </w:tcBorders>
            <w:gridSpan w:val="2"/>
          </w:tcPr>
          <w:p>
            <w:pPr>
              <w:spacing w:after="0"/>
              <w:rPr>
                <w:sz w:val="18"/>
                <w:szCs w:val="18"/>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0.00</w:t>
            </w:r>
          </w:p>
        </w:tc>
        <w:tc>
          <w:tcPr>
            <w:tcW w:w="900" w:type="dxa"/>
            <w:vAlign w:val="bottom"/>
            <w:tcBorders>
              <w:bottom w:val="single" w:sz="8" w:color="BFBFB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BFBFBF"/>
            </w:tcBorders>
            <w:shd w:val="clear" w:color="auto" w:fill="BFBFBF"/>
          </w:tcPr>
          <w:p>
            <w:pPr>
              <w:spacing w:after="0" w:line="197" w:lineRule="exact"/>
              <w:rPr>
                <w:sz w:val="20"/>
                <w:szCs w:val="20"/>
                <w:color w:val="auto"/>
              </w:rPr>
            </w:pPr>
            <w:r>
              <w:rPr>
                <w:rFonts w:ascii="Arial" w:cs="Arial" w:eastAsia="Arial" w:hAnsi="Arial"/>
                <w:sz w:val="18"/>
                <w:szCs w:val="18"/>
                <w:color w:val="auto"/>
              </w:rPr>
              <w:t>Net income attributable to the Company</w:t>
            </w:r>
          </w:p>
        </w:tc>
        <w:tc>
          <w:tcPr>
            <w:tcW w:w="1840" w:type="dxa"/>
            <w:vAlign w:val="bottom"/>
            <w:tcBorders>
              <w:bottom w:val="single" w:sz="8" w:color="BFBFBF"/>
            </w:tcBorders>
            <w:gridSpan w:val="2"/>
            <w:shd w:val="clear" w:color="auto" w:fill="BFBFBF"/>
          </w:tcPr>
          <w:p>
            <w:pPr>
              <w:spacing w:after="0"/>
              <w:rPr>
                <w:sz w:val="18"/>
                <w:szCs w:val="18"/>
                <w:color w:val="auto"/>
              </w:rPr>
            </w:pPr>
          </w:p>
        </w:tc>
        <w:tc>
          <w:tcPr>
            <w:tcW w:w="162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$0.33</w:t>
            </w:r>
          </w:p>
        </w:tc>
        <w:tc>
          <w:tcPr>
            <w:tcW w:w="900" w:type="dxa"/>
            <w:vAlign w:val="bottom"/>
            <w:tcBorders>
              <w:bottom w:val="single" w:sz="8" w:color="BFBFBF"/>
            </w:tcBorders>
            <w:shd w:val="clear" w:color="auto" w:fill="BFBFBF"/>
          </w:tcPr>
          <w:p>
            <w:pPr>
              <w:spacing w:after="0"/>
              <w:rPr>
                <w:sz w:val="18"/>
                <w:szCs w:val="18"/>
                <w:color w:val="auto"/>
              </w:rPr>
            </w:pPr>
          </w:p>
        </w:tc>
        <w:tc>
          <w:tcPr>
            <w:tcW w:w="48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Shares of the Company used in computing earnings per share:</w:t>
            </w: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line="203" w:lineRule="exact"/>
              <w:rPr>
                <w:sz w:val="20"/>
                <w:szCs w:val="20"/>
                <w:color w:val="auto"/>
              </w:rPr>
            </w:pPr>
            <w:r>
              <w:rPr>
                <w:rFonts w:ascii="Arial" w:cs="Arial" w:eastAsia="Arial" w:hAnsi="Arial"/>
                <w:sz w:val="18"/>
                <w:szCs w:val="18"/>
                <w:color w:val="auto"/>
              </w:rPr>
              <w:t>Basic</w:t>
            </w:r>
          </w:p>
        </w:tc>
        <w:tc>
          <w:tcPr>
            <w:tcW w:w="3460" w:type="dxa"/>
            <w:vAlign w:val="bottom"/>
            <w:gridSpan w:val="3"/>
          </w:tcPr>
          <w:p>
            <w:pPr>
              <w:jc w:val="right"/>
              <w:ind w:right="30"/>
              <w:spacing w:after="0" w:line="203" w:lineRule="exact"/>
              <w:rPr>
                <w:sz w:val="20"/>
                <w:szCs w:val="20"/>
                <w:color w:val="auto"/>
              </w:rPr>
            </w:pPr>
            <w:r>
              <w:rPr>
                <w:rFonts w:ascii="Arial" w:cs="Arial" w:eastAsia="Arial" w:hAnsi="Arial"/>
                <w:sz w:val="18"/>
                <w:szCs w:val="18"/>
                <w:color w:val="auto"/>
              </w:rPr>
              <w:t>31,786</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31,496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Diluted</w:t>
            </w:r>
          </w:p>
        </w:tc>
        <w:tc>
          <w:tcPr>
            <w:tcW w:w="3460" w:type="dxa"/>
            <w:vAlign w:val="bottom"/>
            <w:gridSpan w:val="3"/>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32,051</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31,782</w:t>
            </w:r>
          </w:p>
        </w:tc>
        <w:tc>
          <w:tcPr>
            <w:tcW w:w="0" w:type="dxa"/>
            <w:vAlign w:val="bottom"/>
          </w:tcPr>
          <w:p>
            <w:pPr>
              <w:spacing w:after="0"/>
              <w:rPr>
                <w:sz w:val="1"/>
                <w:szCs w:val="1"/>
                <w:color w:val="auto"/>
              </w:rPr>
            </w:pPr>
          </w:p>
        </w:tc>
      </w:tr>
      <w:tr>
        <w:trPr>
          <w:trHeight w:val="419"/>
        </w:trPr>
        <w:tc>
          <w:tcPr>
            <w:tcW w:w="5480" w:type="dxa"/>
            <w:vAlign w:val="bottom"/>
            <w:gridSpan w:val="2"/>
          </w:tcPr>
          <w:p>
            <w:pPr>
              <w:spacing w:after="0"/>
              <w:rPr>
                <w:sz w:val="20"/>
                <w:szCs w:val="20"/>
                <w:color w:val="auto"/>
              </w:rPr>
            </w:pPr>
            <w:r>
              <w:rPr>
                <w:rFonts w:ascii="Arial" w:cs="Arial" w:eastAsia="Arial" w:hAnsi="Arial"/>
                <w:sz w:val="18"/>
                <w:szCs w:val="18"/>
                <w:color w:val="auto"/>
              </w:rPr>
              <w:t>Dividends per share</w:t>
            </w:r>
          </w:p>
        </w:tc>
        <w:tc>
          <w:tcPr>
            <w:tcW w:w="3460" w:type="dxa"/>
            <w:vAlign w:val="bottom"/>
            <w:gridSpan w:val="3"/>
          </w:tcPr>
          <w:p>
            <w:pPr>
              <w:jc w:val="right"/>
              <w:ind w:right="30"/>
              <w:spacing w:after="0"/>
              <w:rPr>
                <w:sz w:val="20"/>
                <w:szCs w:val="20"/>
                <w:color w:val="auto"/>
              </w:rPr>
            </w:pPr>
            <w:r>
              <w:rPr>
                <w:rFonts w:ascii="Arial" w:cs="Arial" w:eastAsia="Arial" w:hAnsi="Arial"/>
                <w:sz w:val="18"/>
                <w:szCs w:val="18"/>
                <w:color w:val="auto"/>
              </w:rPr>
              <w:t>$0.15</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300" w:type="dxa"/>
            <w:vAlign w:val="bottom"/>
            <w:gridSpan w:val="6"/>
          </w:tcPr>
          <w:p>
            <w:pPr>
              <w:jc w:val="center"/>
              <w:ind w:left="990"/>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300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Three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20" w:type="dxa"/>
            <w:vAlign w:val="bottom"/>
            <w:vMerge w:val="restart"/>
          </w:tcPr>
          <w:p>
            <w:pPr>
              <w:jc w:val="right"/>
              <w:ind w:right="510"/>
              <w:spacing w:after="0"/>
              <w:rPr>
                <w:sz w:val="20"/>
                <w:szCs w:val="20"/>
                <w:color w:val="auto"/>
              </w:rPr>
            </w:pPr>
            <w:r>
              <w:rPr>
                <w:rFonts w:ascii="Arial" w:cs="Arial" w:eastAsia="Arial" w:hAnsi="Arial"/>
                <w:sz w:val="18"/>
                <w:szCs w:val="18"/>
                <w:color w:val="auto"/>
              </w:rPr>
              <w:t>2014</w:t>
            </w:r>
          </w:p>
        </w:tc>
        <w:tc>
          <w:tcPr>
            <w:tcW w:w="13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March 31,</w:t>
            </w:r>
          </w:p>
        </w:tc>
        <w:tc>
          <w:tcPr>
            <w:tcW w:w="1100" w:type="dxa"/>
            <w:vAlign w:val="bottom"/>
            <w:vMerge w:val="restart"/>
          </w:tcPr>
          <w:p>
            <w:pPr>
              <w:jc w:val="right"/>
              <w:ind w:right="4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tcBorders>
              <w:bottom w:val="single" w:sz="8" w:color="BFBFB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BFBFB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BFBFBF"/>
          </w:tcPr>
          <w:p>
            <w:pPr>
              <w:spacing w:after="0" w:line="196" w:lineRule="exact"/>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$10,693</w:t>
            </w:r>
          </w:p>
        </w:tc>
        <w:tc>
          <w:tcPr>
            <w:tcW w:w="900" w:type="dxa"/>
            <w:vAlign w:val="bottom"/>
            <w:shd w:val="clear" w:color="auto" w:fill="BFBFBF"/>
          </w:tcPr>
          <w:p>
            <w:pPr>
              <w:spacing w:after="0"/>
              <w:rPr>
                <w:sz w:val="17"/>
                <w:szCs w:val="17"/>
                <w:color w:val="auto"/>
              </w:rPr>
            </w:pPr>
          </w:p>
        </w:tc>
        <w:tc>
          <w:tcPr>
            <w:tcW w:w="480" w:type="dxa"/>
            <w:vAlign w:val="bottom"/>
            <w:tcBorders>
              <w:bottom w:val="single" w:sz="8" w:color="auto"/>
            </w:tcBorders>
            <w:shd w:val="clear" w:color="auto" w:fill="BFBFBF"/>
          </w:tcPr>
          <w:p>
            <w:pPr>
              <w:spacing w:after="0"/>
              <w:rPr>
                <w:sz w:val="17"/>
                <w:szCs w:val="17"/>
                <w:color w:val="auto"/>
              </w:rPr>
            </w:pPr>
          </w:p>
        </w:tc>
        <w:tc>
          <w:tcPr>
            <w:tcW w:w="110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399"/>
        </w:trPr>
        <w:tc>
          <w:tcPr>
            <w:tcW w:w="7320" w:type="dxa"/>
            <w:vAlign w:val="bottom"/>
            <w:gridSpan w:val="2"/>
          </w:tcPr>
          <w:p>
            <w:pPr>
              <w:spacing w:after="0"/>
              <w:rPr>
                <w:sz w:val="20"/>
                <w:szCs w:val="20"/>
                <w:color w:val="auto"/>
              </w:rPr>
            </w:pPr>
            <w:r>
              <w:rPr>
                <w:rFonts w:ascii="Arial" w:cs="Arial" w:eastAsia="Arial" w:hAnsi="Arial"/>
                <w:sz w:val="18"/>
                <w:szCs w:val="18"/>
                <w:color w:val="auto"/>
              </w:rPr>
              <w:t>Other comprehensive income, before tax:</w:t>
            </w: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6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(5,228)</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240"/>
              <w:spacing w:after="0" w:line="202" w:lineRule="exact"/>
              <w:rPr>
                <w:sz w:val="20"/>
                <w:szCs w:val="20"/>
                <w:color w:val="auto"/>
              </w:rPr>
            </w:pPr>
            <w:r>
              <w:rPr>
                <w:rFonts w:ascii="Arial" w:cs="Arial" w:eastAsia="Arial" w:hAnsi="Arial"/>
                <w:sz w:val="18"/>
                <w:szCs w:val="18"/>
                <w:color w:val="auto"/>
              </w:rPr>
              <w:t>Transition obligation</w:t>
            </w:r>
          </w:p>
        </w:tc>
        <w:tc>
          <w:tcPr>
            <w:tcW w:w="162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240"/>
              <w:spacing w:after="0" w:line="202" w:lineRule="exact"/>
              <w:rPr>
                <w:sz w:val="20"/>
                <w:szCs w:val="20"/>
                <w:color w:val="auto"/>
              </w:rPr>
            </w:pPr>
            <w:r>
              <w:rPr>
                <w:rFonts w:ascii="Arial" w:cs="Arial" w:eastAsia="Arial" w:hAnsi="Arial"/>
                <w:sz w:val="18"/>
                <w:szCs w:val="18"/>
                <w:color w:val="auto"/>
              </w:rPr>
              <w:t>Prior service (credit)/cost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(1,109)</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240"/>
              <w:spacing w:after="0" w:line="202" w:lineRule="exact"/>
              <w:rPr>
                <w:sz w:val="20"/>
                <w:szCs w:val="20"/>
                <w:color w:val="auto"/>
              </w:rPr>
            </w:pPr>
            <w:r>
              <w:rPr>
                <w:rFonts w:ascii="Arial" w:cs="Arial" w:eastAsia="Arial" w:hAnsi="Arial"/>
                <w:sz w:val="18"/>
                <w:szCs w:val="18"/>
                <w:color w:val="auto"/>
              </w:rPr>
              <w:t>Net actuarial loss</w:t>
            </w:r>
          </w:p>
        </w:tc>
        <w:tc>
          <w:tcPr>
            <w:tcW w:w="162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1,328</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4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478</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Derivative valuation adjustment</w:t>
            </w:r>
          </w:p>
        </w:tc>
        <w:tc>
          <w:tcPr>
            <w:tcW w:w="16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(360)</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 taxes related to items of other comprehensive income:</w:t>
            </w: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6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(186)</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BFBFBF"/>
            </w:tcBorders>
          </w:tcPr>
          <w:p>
            <w:pPr>
              <w:ind w:left="40"/>
              <w:spacing w:after="0"/>
              <w:rPr>
                <w:sz w:val="20"/>
                <w:szCs w:val="20"/>
                <w:color w:val="auto"/>
              </w:rPr>
            </w:pPr>
            <w:r>
              <w:rPr>
                <w:rFonts w:ascii="Arial" w:cs="Arial" w:eastAsia="Arial" w:hAnsi="Arial"/>
                <w:sz w:val="18"/>
                <w:szCs w:val="18"/>
                <w:color w:val="auto"/>
              </w:rPr>
              <w:t>Derivative valuation adjustment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900" w:type="dxa"/>
            <w:vAlign w:val="bottom"/>
            <w:tcBorders>
              <w:bottom w:val="single" w:sz="8" w:color="BFBFB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BFBFBF"/>
          </w:tcPr>
          <w:p>
            <w:pPr>
              <w:ind w:left="40"/>
              <w:spacing w:after="0" w:line="196" w:lineRule="exact"/>
              <w:rPr>
                <w:sz w:val="20"/>
                <w:szCs w:val="20"/>
                <w:color w:val="auto"/>
              </w:rPr>
            </w:pPr>
            <w:r>
              <w:rPr>
                <w:rFonts w:ascii="Arial" w:cs="Arial" w:eastAsia="Arial" w:hAnsi="Arial"/>
                <w:sz w:val="18"/>
                <w:szCs w:val="18"/>
                <w:color w:val="auto"/>
              </w:rPr>
              <w:t>Comprehensive Income</w:t>
            </w:r>
          </w:p>
        </w:tc>
        <w:tc>
          <w:tcPr>
            <w:tcW w:w="1620" w:type="dxa"/>
            <w:vAlign w:val="bottom"/>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5,668</w:t>
            </w:r>
          </w:p>
        </w:tc>
        <w:tc>
          <w:tcPr>
            <w:tcW w:w="90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Comprehensive income attributable to the noncontrolling interest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BFB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BFBFBF"/>
            </w:tcBorders>
            <w:shd w:val="clear" w:color="auto" w:fill="BFBFBF"/>
          </w:tcPr>
          <w:p>
            <w:pPr>
              <w:spacing w:after="0" w:line="197" w:lineRule="exact"/>
              <w:rPr>
                <w:sz w:val="20"/>
                <w:szCs w:val="20"/>
                <w:color w:val="auto"/>
              </w:rPr>
            </w:pPr>
            <w:r>
              <w:rPr>
                <w:rFonts w:ascii="Arial" w:cs="Arial" w:eastAsia="Arial" w:hAnsi="Arial"/>
                <w:sz w:val="18"/>
                <w:szCs w:val="18"/>
                <w:color w:val="auto"/>
              </w:rPr>
              <w:t>Comprehensive income attributable to the Company</w:t>
            </w:r>
          </w:p>
        </w:tc>
        <w:tc>
          <w:tcPr>
            <w:tcW w:w="162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$5,668</w:t>
            </w:r>
          </w:p>
        </w:tc>
        <w:tc>
          <w:tcPr>
            <w:tcW w:w="900" w:type="dxa"/>
            <w:vAlign w:val="bottom"/>
            <w:tcBorders>
              <w:bottom w:val="single" w:sz="8" w:color="BFBFBF"/>
            </w:tcBorders>
            <w:shd w:val="clear" w:color="auto" w:fill="BFBFBF"/>
          </w:tcPr>
          <w:p>
            <w:pPr>
              <w:spacing w:after="0"/>
              <w:rPr>
                <w:sz w:val="18"/>
                <w:szCs w:val="18"/>
                <w:color w:val="auto"/>
              </w:rPr>
            </w:pPr>
          </w:p>
        </w:tc>
        <w:tc>
          <w:tcPr>
            <w:tcW w:w="48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March 31,</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64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540" w:type="dxa"/>
            <w:vAlign w:val="bottom"/>
            <w:gridSpan w:val="2"/>
          </w:tcPr>
          <w:p>
            <w:pPr>
              <w:jc w:val="right"/>
              <w:ind w:right="510"/>
              <w:spacing w:after="0" w:line="203" w:lineRule="exact"/>
              <w:rPr>
                <w:sz w:val="20"/>
                <w:szCs w:val="20"/>
                <w:color w:val="auto"/>
              </w:rPr>
            </w:pPr>
            <w:r>
              <w:rPr>
                <w:rFonts w:ascii="Arial" w:cs="Arial" w:eastAsia="Arial" w:hAnsi="Arial"/>
                <w:sz w:val="18"/>
                <w:szCs w:val="18"/>
                <w:color w:val="auto"/>
              </w:rPr>
              <w:t>2014</w:t>
            </w:r>
          </w:p>
        </w:tc>
        <w:tc>
          <w:tcPr>
            <w:tcW w:w="900" w:type="dxa"/>
            <w:vAlign w:val="bottom"/>
          </w:tcPr>
          <w:p>
            <w:pPr>
              <w:spacing w:after="0"/>
              <w:rPr>
                <w:sz w:val="17"/>
                <w:szCs w:val="17"/>
                <w:color w:val="auto"/>
              </w:rPr>
            </w:pPr>
          </w:p>
        </w:tc>
        <w:tc>
          <w:tcPr>
            <w:tcW w:w="158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$208,379</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$222,666</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152,373</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163,547</w:t>
            </w: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Inventories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121,410</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112,739</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13,864</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11,868</w:t>
            </w:r>
          </w:p>
        </w:tc>
        <w:tc>
          <w:tcPr>
            <w:tcW w:w="90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507,894</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522,484</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415,344</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418,830</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Intangibles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559</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3"/>
        </w:trPr>
        <w:tc>
          <w:tcPr>
            <w:tcW w:w="6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78,944</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78,890</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Income taxes receivable and deferred</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116,205</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119,612</w:t>
            </w: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27,565</w:t>
            </w:r>
          </w:p>
        </w:tc>
        <w:tc>
          <w:tcPr>
            <w:tcW w:w="90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26,456</w:t>
            </w: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line="197" w:lineRule="exact"/>
              <w:rPr>
                <w:sz w:val="20"/>
                <w:szCs w:val="20"/>
                <w:color w:val="auto"/>
              </w:rPr>
            </w:pPr>
            <w:r>
              <w:rPr>
                <w:rFonts w:ascii="Arial" w:cs="Arial" w:eastAsia="Arial" w:hAnsi="Arial"/>
                <w:sz w:val="18"/>
                <w:szCs w:val="18"/>
                <w:color w:val="auto"/>
              </w:rPr>
              <w:t>Total assets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$1,146,511</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$1,166,888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9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$797</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35,134</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36,397</w:t>
            </w: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99,473</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112,331</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2,514</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Income taxes payable and deferred</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3,678</w:t>
            </w:r>
          </w:p>
        </w:tc>
        <w:tc>
          <w:tcPr>
            <w:tcW w:w="90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141,596</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158,508</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Long-term debt</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299,108</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300,111</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102,720</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106,014</w:t>
            </w:r>
          </w:p>
        </w:tc>
        <w:tc>
          <w:tcPr>
            <w:tcW w:w="0" w:type="dxa"/>
            <w:vAlign w:val="bottom"/>
          </w:tcPr>
          <w:p>
            <w:pPr>
              <w:spacing w:after="0"/>
              <w:rPr>
                <w:sz w:val="1"/>
                <w:szCs w:val="1"/>
                <w:color w:val="auto"/>
              </w:rPr>
            </w:pPr>
          </w:p>
        </w:tc>
      </w:tr>
      <w:tr>
        <w:trPr>
          <w:trHeight w:val="216"/>
        </w:trPr>
        <w:tc>
          <w:tcPr>
            <w:tcW w:w="6400" w:type="dxa"/>
            <w:vAlign w:val="bottom"/>
            <w:shd w:val="clear" w:color="auto" w:fill="BFBFBF"/>
          </w:tcPr>
          <w:p>
            <w:pPr>
              <w:ind w:left="100"/>
              <w:spacing w:after="0"/>
              <w:rPr>
                <w:sz w:val="20"/>
                <w:szCs w:val="20"/>
                <w:color w:val="auto"/>
              </w:rPr>
            </w:pPr>
            <w:r>
              <w:rPr>
                <w:rFonts w:ascii="Arial" w:cs="Arial" w:eastAsia="Arial" w:hAnsi="Arial"/>
                <w:sz w:val="18"/>
                <w:szCs w:val="18"/>
                <w:color w:val="auto"/>
              </w:rPr>
              <w:t>Deferred taxes and other credits</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53,707</w:t>
            </w:r>
          </w:p>
        </w:tc>
        <w:tc>
          <w:tcPr>
            <w:tcW w:w="900" w:type="dxa"/>
            <w:vAlign w:val="bottom"/>
            <w:tcBorders>
              <w:bottom w:val="single" w:sz="8" w:color="auto"/>
            </w:tcBorders>
            <w:shd w:val="clear" w:color="auto" w:fill="C0C0C0"/>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54,476</w:t>
            </w:r>
          </w:p>
        </w:tc>
        <w:tc>
          <w:tcPr>
            <w:tcW w:w="0" w:type="dxa"/>
            <w:vAlign w:val="bottom"/>
          </w:tcPr>
          <w:p>
            <w:pPr>
              <w:spacing w:after="0"/>
              <w:rPr>
                <w:sz w:val="1"/>
                <w:szCs w:val="1"/>
                <w:color w:val="auto"/>
              </w:rPr>
            </w:pPr>
          </w:p>
        </w:tc>
      </w:tr>
      <w:tr>
        <w:trPr>
          <w:trHeight w:val="196"/>
        </w:trPr>
        <w:tc>
          <w:tcPr>
            <w:tcW w:w="640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17"/>
                <w:szCs w:val="17"/>
                <w:color w:val="auto"/>
              </w:rPr>
            </w:pPr>
          </w:p>
        </w:tc>
        <w:tc>
          <w:tcPr>
            <w:tcW w:w="1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597,131</w:t>
            </w:r>
          </w:p>
        </w:tc>
        <w:tc>
          <w:tcPr>
            <w:tcW w:w="900" w:type="dxa"/>
            <w:vAlign w:val="bottom"/>
          </w:tcPr>
          <w:p>
            <w:pPr>
              <w:spacing w:after="0"/>
              <w:rPr>
                <w:sz w:val="17"/>
                <w:szCs w:val="17"/>
                <w:color w:val="auto"/>
              </w:rPr>
            </w:pP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619,109</w:t>
            </w:r>
          </w:p>
        </w:tc>
        <w:tc>
          <w:tcPr>
            <w:tcW w:w="0" w:type="dxa"/>
            <w:vAlign w:val="bottom"/>
          </w:tcPr>
          <w:p>
            <w:pPr>
              <w:spacing w:after="0"/>
              <w:rPr>
                <w:sz w:val="1"/>
                <w:szCs w:val="1"/>
                <w:color w:val="auto"/>
              </w:rPr>
            </w:pPr>
          </w:p>
        </w:tc>
      </w:tr>
      <w:tr>
        <w:trPr>
          <w:trHeight w:val="398"/>
        </w:trPr>
        <w:tc>
          <w:tcPr>
            <w:tcW w:w="6400" w:type="dxa"/>
            <w:vAlign w:val="bottom"/>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2" w:lineRule="exact"/>
              <w:rPr>
                <w:sz w:val="20"/>
                <w:szCs w:val="20"/>
                <w:color w:val="auto"/>
              </w:rPr>
            </w:pPr>
            <w:r>
              <w:rPr>
                <w:rFonts w:ascii="Arial" w:cs="Arial" w:eastAsia="Arial" w:hAnsi="Arial"/>
                <w:sz w:val="18"/>
                <w:szCs w:val="18"/>
                <w:color w:val="auto"/>
              </w:rPr>
              <w:t>Preferred stock, par value $5.00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3" w:lineRule="exact"/>
              <w:rPr>
                <w:sz w:val="20"/>
                <w:szCs w:val="20"/>
                <w:color w:val="auto"/>
              </w:rPr>
            </w:pPr>
            <w:r>
              <w:rPr>
                <w:rFonts w:ascii="Arial" w:cs="Arial" w:eastAsia="Arial" w:hAnsi="Arial"/>
                <w:sz w:val="18"/>
                <w:szCs w:val="18"/>
                <w:color w:val="auto"/>
              </w:rPr>
              <w:t>authorized 2,000,000 shares; none issued</w:t>
            </w:r>
          </w:p>
        </w:tc>
        <w:tc>
          <w:tcPr>
            <w:tcW w:w="2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5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00" w:type="dxa"/>
            <w:vAlign w:val="bottom"/>
            <w:shd w:val="clear" w:color="auto" w:fill="BFBFBF"/>
          </w:tcPr>
          <w:p>
            <w:pPr>
              <w:ind w:left="10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authorized 100,000,000 shares; issued</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3" w:lineRule="exact"/>
              <w:rPr>
                <w:sz w:val="20"/>
                <w:szCs w:val="20"/>
                <w:color w:val="auto"/>
              </w:rPr>
            </w:pPr>
            <w:r>
              <w:rPr>
                <w:rFonts w:ascii="Arial" w:cs="Arial" w:eastAsia="Arial" w:hAnsi="Arial"/>
                <w:sz w:val="18"/>
                <w:szCs w:val="18"/>
                <w:color w:val="auto"/>
              </w:rPr>
              <w:t>37,049,339 in 2014 and 36,996,227 in 2013</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jc w:val="right"/>
              <w:ind w:right="30"/>
              <w:spacing w:after="0" w:line="203" w:lineRule="exact"/>
              <w:rPr>
                <w:sz w:val="20"/>
                <w:szCs w:val="20"/>
                <w:color w:val="auto"/>
              </w:rPr>
            </w:pPr>
            <w:r>
              <w:rPr>
                <w:rFonts w:ascii="Arial" w:cs="Arial" w:eastAsia="Arial" w:hAnsi="Arial"/>
                <w:sz w:val="18"/>
                <w:szCs w:val="18"/>
                <w:color w:val="auto"/>
              </w:rPr>
              <w:t>37</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authorized 25,000,000 shares; issued and</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3" w:lineRule="exact"/>
              <w:rPr>
                <w:sz w:val="20"/>
                <w:szCs w:val="20"/>
                <w:color w:val="auto"/>
              </w:rPr>
            </w:pPr>
            <w:r>
              <w:rPr>
                <w:rFonts w:ascii="Arial" w:cs="Arial" w:eastAsia="Arial" w:hAnsi="Arial"/>
                <w:sz w:val="18"/>
                <w:szCs w:val="18"/>
                <w:color w:val="auto"/>
              </w:rPr>
              <w:t>outstanding 3,236,098 in 2014 and 2013</w:t>
            </w:r>
          </w:p>
        </w:tc>
        <w:tc>
          <w:tcPr>
            <w:tcW w:w="2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900" w:type="dxa"/>
            <w:vAlign w:val="bottom"/>
          </w:tcPr>
          <w:p>
            <w:pPr>
              <w:spacing w:after="0"/>
              <w:rPr>
                <w:sz w:val="17"/>
                <w:szCs w:val="17"/>
                <w:color w:val="auto"/>
              </w:rPr>
            </w:pPr>
          </w:p>
        </w:tc>
        <w:tc>
          <w:tcPr>
            <w:tcW w:w="15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417,434</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416,728</w:t>
            </w:r>
          </w:p>
        </w:tc>
        <w:tc>
          <w:tcPr>
            <w:tcW w:w="0" w:type="dxa"/>
            <w:vAlign w:val="bottom"/>
          </w:tcPr>
          <w:p>
            <w:pPr>
              <w:spacing w:after="0"/>
              <w:rPr>
                <w:sz w:val="1"/>
                <w:szCs w:val="1"/>
                <w:color w:val="auto"/>
              </w:rPr>
            </w:pPr>
          </w:p>
        </w:tc>
      </w:tr>
      <w:tr>
        <w:trPr>
          <w:trHeight w:val="202"/>
        </w:trPr>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Retained earnings</w:t>
            </w:r>
          </w:p>
        </w:tc>
        <w:tc>
          <w:tcPr>
            <w:tcW w:w="25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440,446</w:t>
            </w:r>
          </w:p>
        </w:tc>
        <w:tc>
          <w:tcPr>
            <w:tcW w:w="900" w:type="dxa"/>
            <w:vAlign w:val="bottom"/>
          </w:tcPr>
          <w:p>
            <w:pPr>
              <w:spacing w:after="0"/>
              <w:rPr>
                <w:sz w:val="17"/>
                <w:szCs w:val="17"/>
                <w:color w:val="auto"/>
              </w:rPr>
            </w:pPr>
          </w:p>
        </w:tc>
        <w:tc>
          <w:tcPr>
            <w:tcW w:w="15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434,598</w:t>
            </w:r>
          </w:p>
        </w:tc>
        <w:tc>
          <w:tcPr>
            <w:tcW w:w="0" w:type="dxa"/>
            <w:vAlign w:val="bottom"/>
          </w:tcPr>
          <w:p>
            <w:pPr>
              <w:spacing w:after="0"/>
              <w:rPr>
                <w:sz w:val="1"/>
                <w:szCs w:val="1"/>
                <w:color w:val="auto"/>
              </w:rPr>
            </w:pPr>
          </w:p>
        </w:tc>
      </w:tr>
      <w:tr>
        <w:trPr>
          <w:trHeight w:val="203"/>
        </w:trPr>
        <w:tc>
          <w:tcPr>
            <w:tcW w:w="6400" w:type="dxa"/>
            <w:vAlign w:val="bottom"/>
          </w:tcPr>
          <w:p>
            <w:pPr>
              <w:ind w:left="100"/>
              <w:spacing w:after="0" w:line="203" w:lineRule="exact"/>
              <w:rPr>
                <w:sz w:val="20"/>
                <w:szCs w:val="20"/>
                <w:color w:val="auto"/>
              </w:rPr>
            </w:pPr>
            <w:r>
              <w:rPr>
                <w:rFonts w:ascii="Arial" w:cs="Arial" w:eastAsia="Arial" w:hAnsi="Arial"/>
                <w:sz w:val="18"/>
                <w:szCs w:val="18"/>
                <w:color w:val="auto"/>
              </w:rPr>
              <w:t>Accumulated items of other comprehensive income: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Translation adjustments</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(5,737)</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(47,881)</w:t>
            </w:r>
          </w:p>
        </w:tc>
        <w:tc>
          <w:tcPr>
            <w:tcW w:w="9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(48,383)</w:t>
            </w:r>
          </w:p>
        </w:tc>
        <w:tc>
          <w:tcPr>
            <w:tcW w:w="0" w:type="dxa"/>
            <w:vAlign w:val="bottom"/>
          </w:tcPr>
          <w:p>
            <w:pPr>
              <w:spacing w:after="0"/>
              <w:rPr>
                <w:sz w:val="1"/>
                <w:szCs w:val="1"/>
                <w:color w:val="auto"/>
              </w:rPr>
            </w:pPr>
          </w:p>
        </w:tc>
      </w:tr>
      <w:tr>
        <w:trPr>
          <w:trHeight w:val="203"/>
        </w:trPr>
        <w:tc>
          <w:tcPr>
            <w:tcW w:w="6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(905)</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2"/>
        </w:trPr>
        <w:tc>
          <w:tcPr>
            <w:tcW w:w="6400" w:type="dxa"/>
            <w:vAlign w:val="bottom"/>
          </w:tcPr>
          <w:p>
            <w:pPr>
              <w:ind w:left="100"/>
              <w:spacing w:after="0" w:line="201" w:lineRule="exact"/>
              <w:rPr>
                <w:sz w:val="20"/>
                <w:szCs w:val="20"/>
                <w:color w:val="auto"/>
              </w:rPr>
            </w:pPr>
            <w:r>
              <w:rPr>
                <w:rFonts w:ascii="Arial" w:cs="Arial" w:eastAsia="Arial" w:hAnsi="Arial"/>
                <w:sz w:val="18"/>
                <w:szCs w:val="18"/>
                <w:color w:val="auto"/>
              </w:rPr>
              <w:t>Treasury stock (Class A), at cost 8,463,635 shares</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8"/>
                <w:szCs w:val="18"/>
                <w:color w:val="auto"/>
              </w:rPr>
              <w:t>in 2014 and 2013</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(257,571)</w:t>
            </w: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(257,571)</w:t>
            </w:r>
          </w:p>
        </w:tc>
        <w:tc>
          <w:tcPr>
            <w:tcW w:w="0" w:type="dxa"/>
            <w:vAlign w:val="bottom"/>
          </w:tcPr>
          <w:p>
            <w:pPr>
              <w:spacing w:after="0"/>
              <w:rPr>
                <w:sz w:val="1"/>
                <w:szCs w:val="1"/>
                <w:color w:val="auto"/>
              </w:rPr>
            </w:pPr>
          </w:p>
        </w:tc>
      </w:tr>
      <w:tr>
        <w:trPr>
          <w:trHeight w:val="196"/>
        </w:trPr>
        <w:tc>
          <w:tcPr>
            <w:tcW w:w="6400" w:type="dxa"/>
            <w:vAlign w:val="bottom"/>
            <w:tcBorders>
              <w:top w:val="single" w:sz="8" w:color="BFBFBF"/>
            </w:tcBorders>
            <w:shd w:val="clear" w:color="auto" w:fill="BFBFBF"/>
          </w:tcPr>
          <w:p>
            <w:pPr>
              <w:ind w:left="300"/>
              <w:spacing w:after="0" w:line="196" w:lineRule="exact"/>
              <w:rPr>
                <w:sz w:val="20"/>
                <w:szCs w:val="20"/>
                <w:color w:val="auto"/>
              </w:rPr>
            </w:pPr>
            <w:r>
              <w:rPr>
                <w:rFonts w:ascii="Arial" w:cs="Arial" w:eastAsia="Arial" w:hAnsi="Arial"/>
                <w:sz w:val="18"/>
                <w:szCs w:val="18"/>
                <w:color w:val="auto"/>
              </w:rPr>
              <w:t>Total Company shareholders' equity</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545,826</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544,297</w:t>
            </w: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3,554</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196"/>
        </w:trPr>
        <w:tc>
          <w:tcPr>
            <w:tcW w:w="6400" w:type="dxa"/>
            <w:vAlign w:val="bottom"/>
            <w:tcBorders>
              <w:top w:val="single" w:sz="8" w:color="BFBFBF"/>
            </w:tcBorders>
            <w:shd w:val="clear" w:color="auto" w:fill="BFBFBF"/>
          </w:tcPr>
          <w:p>
            <w:pPr>
              <w:ind w:left="60"/>
              <w:spacing w:after="0" w:line="196" w:lineRule="exact"/>
              <w:rPr>
                <w:sz w:val="20"/>
                <w:szCs w:val="20"/>
                <w:color w:val="auto"/>
              </w:rPr>
            </w:pPr>
            <w:r>
              <w:rPr>
                <w:rFonts w:ascii="Arial" w:cs="Arial" w:eastAsia="Arial" w:hAnsi="Arial"/>
                <w:sz w:val="18"/>
                <w:szCs w:val="18"/>
                <w:color w:val="auto"/>
              </w:rPr>
              <w:t>Total equity</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549,380</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547,779</w:t>
            </w:r>
          </w:p>
        </w:tc>
        <w:tc>
          <w:tcPr>
            <w:tcW w:w="0" w:type="dxa"/>
            <w:vAlign w:val="bottom"/>
          </w:tcPr>
          <w:p>
            <w:pPr>
              <w:spacing w:after="0"/>
              <w:rPr>
                <w:sz w:val="1"/>
                <w:szCs w:val="1"/>
                <w:color w:val="auto"/>
              </w:rPr>
            </w:pPr>
          </w:p>
        </w:tc>
      </w:tr>
      <w:tr>
        <w:trPr>
          <w:trHeight w:val="210"/>
        </w:trPr>
        <w:tc>
          <w:tcPr>
            <w:tcW w:w="6400" w:type="dxa"/>
            <w:vAlign w:val="bottom"/>
          </w:tcPr>
          <w:p>
            <w:pPr>
              <w:ind w:left="30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$1,146,511</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$1,166,888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8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3060" w:type="dxa"/>
            <w:vAlign w:val="bottom"/>
            <w:gridSpan w:val="4"/>
          </w:tcPr>
          <w:p>
            <w:pPr>
              <w:jc w:val="right"/>
              <w:ind w:right="63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206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March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2014</w:t>
            </w: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6"/>
        </w:trPr>
        <w:tc>
          <w:tcPr>
            <w:tcW w:w="836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2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$10,693</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/(used in) operating</w:t>
            </w: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Depreciation</w:t>
            </w:r>
          </w:p>
        </w:tc>
        <w:tc>
          <w:tcPr>
            <w:tcW w:w="12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14,107</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Amortization</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1,801</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Change in long-term liabilities, deferred taxes and other credits</w:t>
            </w:r>
          </w:p>
        </w:tc>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(214)</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(Gain) on disposition of assets</w:t>
            </w:r>
          </w:p>
        </w:tc>
        <w:tc>
          <w:tcPr>
            <w:tcW w:w="12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Excess tax benefit of options exercised</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2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542</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405"/>
        </w:trPr>
        <w:tc>
          <w:tcPr>
            <w:tcW w:w="83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business divestitures:</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10,964</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Inventories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(8,996)</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(2,148)</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Income taxes prepaid and receivable</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(1,294)</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Accrued liabilities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(12,849)</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Income taxes payable</w:t>
            </w:r>
          </w:p>
        </w:tc>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(1,710)</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BFBFBF"/>
            </w:tcBorders>
          </w:tcPr>
          <w:p>
            <w:pPr>
              <w:ind w:left="380"/>
              <w:spacing w:after="0"/>
              <w:rPr>
                <w:sz w:val="20"/>
                <w:szCs w:val="20"/>
                <w:color w:val="auto"/>
              </w:rPr>
            </w:pPr>
            <w:r>
              <w:rPr>
                <w:rFonts w:ascii="Arial" w:cs="Arial" w:eastAsia="Arial" w:hAnsi="Arial"/>
                <w:sz w:val="18"/>
                <w:szCs w:val="18"/>
                <w:color w:val="auto"/>
              </w:rPr>
              <w:t>Other,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560" w:type="dxa"/>
            <w:vAlign w:val="bottom"/>
            <w:tcBorders>
              <w:bottom w:val="single" w:sz="8" w:color="BFBFB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8,848</w:t>
            </w:r>
          </w:p>
        </w:tc>
        <w:tc>
          <w:tcPr>
            <w:tcW w:w="560" w:type="dxa"/>
            <w:vAlign w:val="bottom"/>
            <w:shd w:val="clear" w:color="auto" w:fill="BFBFBF"/>
          </w:tcPr>
          <w:p>
            <w:pPr>
              <w:spacing w:after="0"/>
              <w:rPr>
                <w:sz w:val="17"/>
                <w:szCs w:val="17"/>
                <w:color w:val="auto"/>
              </w:rPr>
            </w:pPr>
          </w:p>
        </w:tc>
        <w:tc>
          <w:tcPr>
            <w:tcW w:w="240" w:type="dxa"/>
            <w:vAlign w:val="bottom"/>
            <w:tcBorders>
              <w:bottom w:val="single" w:sz="8" w:color="auto"/>
            </w:tcBorders>
            <w:shd w:val="clear" w:color="auto" w:fill="BFBFBF"/>
          </w:tcPr>
          <w:p>
            <w:pPr>
              <w:spacing w:after="0"/>
              <w:rPr>
                <w:sz w:val="17"/>
                <w:szCs w:val="17"/>
                <w:color w:val="auto"/>
              </w:rPr>
            </w:pPr>
          </w:p>
        </w:tc>
        <w:tc>
          <w:tcPr>
            <w:tcW w:w="100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385"/>
        </w:trPr>
        <w:tc>
          <w:tcPr>
            <w:tcW w:w="83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(14,603)</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Purchased software</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BFBFBF"/>
          </w:tcPr>
          <w:p>
            <w:pPr>
              <w:ind w:left="380"/>
              <w:spacing w:after="0"/>
              <w:rPr>
                <w:sz w:val="20"/>
                <w:szCs w:val="20"/>
                <w:color w:val="auto"/>
              </w:rPr>
            </w:pPr>
            <w:r>
              <w:rPr>
                <w:rFonts w:ascii="Arial" w:cs="Arial" w:eastAsia="Arial" w:hAnsi="Arial"/>
                <w:sz w:val="18"/>
                <w:szCs w:val="18"/>
                <w:color w:val="auto"/>
              </w:rPr>
              <w:t>Proceeds from sale of assets</w:t>
            </w:r>
          </w:p>
        </w:tc>
        <w:tc>
          <w:tcPr>
            <w:tcW w:w="12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8"/>
                <w:szCs w:val="18"/>
                <w:color w:val="auto"/>
              </w:rPr>
            </w:pPr>
          </w:p>
        </w:tc>
        <w:tc>
          <w:tcPr>
            <w:tcW w:w="240" w:type="dxa"/>
            <w:vAlign w:val="bottom"/>
            <w:tcBorders>
              <w:bottom w:val="single" w:sz="8" w:color="auto"/>
            </w:tcBorders>
            <w:shd w:val="clear" w:color="auto" w:fill="BFBFBF"/>
          </w:tcPr>
          <w:p>
            <w:pPr>
              <w:spacing w:after="0"/>
              <w:rPr>
                <w:sz w:val="18"/>
                <w:szCs w:val="18"/>
                <w:color w:val="auto"/>
              </w:rPr>
            </w:pPr>
          </w:p>
        </w:tc>
        <w:tc>
          <w:tcPr>
            <w:tcW w:w="10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Pr>
          <w:p>
            <w:pPr>
              <w:ind w:left="380"/>
              <w:spacing w:after="0" w:line="196" w:lineRule="exact"/>
              <w:rPr>
                <w:sz w:val="20"/>
                <w:szCs w:val="20"/>
                <w:color w:val="auto"/>
              </w:rPr>
            </w:pPr>
            <w:r>
              <w:rPr>
                <w:rFonts w:ascii="Arial" w:cs="Arial" w:eastAsia="Arial" w:hAnsi="Arial"/>
                <w:sz w:val="18"/>
                <w:szCs w:val="18"/>
                <w:color w:val="auto"/>
              </w:rPr>
              <w:t>Net cash (used in)/provided by investing activities</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(14,897)</w:t>
            </w: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385"/>
        </w:trPr>
        <w:tc>
          <w:tcPr>
            <w:tcW w:w="83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Proceeds from borrowings</w:t>
            </w:r>
          </w:p>
        </w:tc>
        <w:tc>
          <w:tcPr>
            <w:tcW w:w="12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4,435</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46,868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Principal payments on debt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(6,516)</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Proceeds from options exercised</w:t>
            </w:r>
          </w:p>
        </w:tc>
        <w:tc>
          <w:tcPr>
            <w:tcW w:w="12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126</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Excess tax benefit of options exercised</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Debt acquisition costs</w:t>
            </w:r>
          </w:p>
        </w:tc>
        <w:tc>
          <w:tcPr>
            <w:tcW w:w="12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BFBFBF"/>
            </w:tcBorders>
          </w:tcPr>
          <w:p>
            <w:pPr>
              <w:ind w:left="380"/>
              <w:spacing w:after="0"/>
              <w:rPr>
                <w:sz w:val="20"/>
                <w:szCs w:val="20"/>
                <w:color w:val="auto"/>
              </w:rPr>
            </w:pPr>
            <w:r>
              <w:rPr>
                <w:rFonts w:ascii="Arial" w:cs="Arial" w:eastAsia="Arial" w:hAnsi="Arial"/>
                <w:sz w:val="18"/>
                <w:szCs w:val="18"/>
                <w:color w:val="auto"/>
              </w:rPr>
              <w:t>Dividends paid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w:t>
            </w:r>
          </w:p>
        </w:tc>
        <w:tc>
          <w:tcPr>
            <w:tcW w:w="560" w:type="dxa"/>
            <w:vAlign w:val="bottom"/>
            <w:tcBorders>
              <w:bottom w:val="single" w:sz="8" w:color="BFBFB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BFBFBF"/>
          </w:tcPr>
          <w:p>
            <w:pPr>
              <w:ind w:left="380"/>
              <w:spacing w:after="0" w:line="196" w:lineRule="exact"/>
              <w:rPr>
                <w:sz w:val="20"/>
                <w:szCs w:val="20"/>
                <w:color w:val="auto"/>
              </w:rPr>
            </w:pPr>
            <w:r>
              <w:rPr>
                <w:rFonts w:ascii="Arial" w:cs="Arial" w:eastAsia="Arial" w:hAnsi="Arial"/>
                <w:sz w:val="18"/>
                <w:szCs w:val="18"/>
                <w:color w:val="auto"/>
              </w:rPr>
              <w:t>Net cash (used in)/provided by financing activities</w:t>
            </w:r>
          </w:p>
        </w:tc>
        <w:tc>
          <w:tcPr>
            <w:tcW w:w="126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(6,681)</w:t>
            </w:r>
          </w:p>
        </w:tc>
        <w:tc>
          <w:tcPr>
            <w:tcW w:w="560" w:type="dxa"/>
            <w:vAlign w:val="bottom"/>
            <w:shd w:val="clear" w:color="auto" w:fill="BFBFBF"/>
          </w:tcPr>
          <w:p>
            <w:pPr>
              <w:spacing w:after="0"/>
              <w:rPr>
                <w:sz w:val="17"/>
                <w:szCs w:val="17"/>
                <w:color w:val="auto"/>
              </w:rPr>
            </w:pPr>
          </w:p>
        </w:tc>
        <w:tc>
          <w:tcPr>
            <w:tcW w:w="240" w:type="dxa"/>
            <w:vAlign w:val="bottom"/>
            <w:tcBorders>
              <w:bottom w:val="single" w:sz="8" w:color="auto"/>
            </w:tcBorders>
            <w:shd w:val="clear" w:color="auto" w:fill="BFBFBF"/>
          </w:tcPr>
          <w:p>
            <w:pPr>
              <w:spacing w:after="0"/>
              <w:rPr>
                <w:sz w:val="17"/>
                <w:szCs w:val="17"/>
                <w:color w:val="auto"/>
              </w:rPr>
            </w:pPr>
          </w:p>
        </w:tc>
        <w:tc>
          <w:tcPr>
            <w:tcW w:w="100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BFBFB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(1,557)</w:t>
            </w:r>
          </w:p>
        </w:tc>
        <w:tc>
          <w:tcPr>
            <w:tcW w:w="560" w:type="dxa"/>
            <w:vAlign w:val="bottom"/>
            <w:shd w:val="clear" w:color="auto" w:fill="BFBFBF"/>
          </w:tcPr>
          <w:p>
            <w:pPr>
              <w:spacing w:after="0"/>
              <w:rPr>
                <w:sz w:val="18"/>
                <w:szCs w:val="18"/>
                <w:color w:val="auto"/>
              </w:rPr>
            </w:pPr>
          </w:p>
        </w:tc>
        <w:tc>
          <w:tcPr>
            <w:tcW w:w="240" w:type="dxa"/>
            <w:vAlign w:val="bottom"/>
            <w:tcBorders>
              <w:bottom w:val="single" w:sz="8" w:color="auto"/>
            </w:tcBorders>
            <w:shd w:val="clear" w:color="auto" w:fill="BFBFBF"/>
          </w:tcPr>
          <w:p>
            <w:pPr>
              <w:spacing w:after="0"/>
              <w:rPr>
                <w:sz w:val="18"/>
                <w:szCs w:val="18"/>
                <w:color w:val="auto"/>
              </w:rPr>
            </w:pPr>
          </w:p>
        </w:tc>
        <w:tc>
          <w:tcPr>
            <w:tcW w:w="10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(Decrease)/increase in cash and cash equivalents</w:t>
            </w:r>
          </w:p>
        </w:tc>
        <w:tc>
          <w:tcPr>
            <w:tcW w:w="12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(14,287)</w:t>
            </w:r>
          </w:p>
        </w:tc>
        <w:tc>
          <w:tcPr>
            <w:tcW w:w="5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10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222,666</w:t>
            </w:r>
          </w:p>
        </w:tc>
        <w:tc>
          <w:tcPr>
            <w:tcW w:w="560" w:type="dxa"/>
            <w:vAlign w:val="bottom"/>
            <w:tcBorders>
              <w:bottom w:val="single" w:sz="8" w:color="BFBFB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BFBFBF"/>
            </w:tcBorders>
            <w:shd w:val="clear" w:color="auto" w:fill="BFBFBF"/>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12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$208,379</w:t>
            </w:r>
          </w:p>
        </w:tc>
        <w:tc>
          <w:tcPr>
            <w:tcW w:w="560" w:type="dxa"/>
            <w:vAlign w:val="bottom"/>
            <w:tcBorders>
              <w:bottom w:val="single" w:sz="8" w:color="BFBFBF"/>
            </w:tcBorders>
            <w:shd w:val="clear" w:color="auto" w:fill="BFBFBF"/>
          </w:tcPr>
          <w:p>
            <w:pPr>
              <w:spacing w:after="0"/>
              <w:rPr>
                <w:sz w:val="18"/>
                <w:szCs w:val="18"/>
                <w:color w:val="auto"/>
              </w:rPr>
            </w:pPr>
          </w:p>
        </w:tc>
        <w:tc>
          <w:tcPr>
            <w:tcW w:w="240" w:type="dxa"/>
            <w:vAlign w:val="bottom"/>
            <w:tcBorders>
              <w:bottom w:val="single" w:sz="8" w:color="auto"/>
            </w:tcBorders>
            <w:shd w:val="clear" w:color="auto" w:fill="BFBFBF"/>
          </w:tcPr>
          <w:p>
            <w:pPr>
              <w:spacing w:after="0"/>
              <w:rPr>
                <w:sz w:val="18"/>
                <w:szCs w:val="18"/>
                <w:color w:val="auto"/>
              </w:rPr>
            </w:pPr>
          </w:p>
        </w:tc>
        <w:tc>
          <w:tcPr>
            <w:tcW w:w="10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$199,833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ALBANY INTERNATIONAL CORP.</w:t>
      </w:r>
    </w:p>
    <w:p>
      <w:pPr>
        <w:jc w:val="center"/>
        <w:ind w:right="-5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93"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consolidates the financial results of its subsidiaries for all periods presented. The results for any interim period are not necessarily indicative of results for the full year. The information included in this Quarterly Report on Form 10-Q should be read in conjunction with “Risk Factors,” “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fiscal year ended December 31, 2013.</w:t>
      </w:r>
    </w:p>
    <w:p>
      <w:pPr>
        <w:spacing w:after="0" w:line="168" w:lineRule="exact"/>
        <w:rPr>
          <w:sz w:val="20"/>
          <w:szCs w:val="20"/>
          <w:color w:val="auto"/>
        </w:rPr>
      </w:pPr>
    </w:p>
    <w:p>
      <w:pPr>
        <w:ind w:right="46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Noncontrolling Interest</w:t>
      </w:r>
    </w:p>
    <w:p>
      <w:pPr>
        <w:spacing w:after="0" w:line="193"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will be the exclusive supplier to Safran of advanced 3D-woven composite parts for use in aircraft and rocket engines, thrust reversers and nacelles, and aircraft landing and braking systems (the “Safran Applications). AEC will remain free to develop and supply parts other than advanced 3D-woven composite parts for all aerospace applications, as well as advanced 3D -woven composite parts for any aerospace applications that are not Safran Applications (such as airframe applications) and any non-aerospace applications.</w:t>
      </w:r>
    </w:p>
    <w:p>
      <w:pPr>
        <w:spacing w:after="0" w:line="165" w:lineRule="exact"/>
        <w:rPr>
          <w:sz w:val="20"/>
          <w:szCs w:val="20"/>
          <w:color w:val="auto"/>
        </w:rPr>
      </w:pPr>
    </w:p>
    <w:p>
      <w:pPr>
        <w:ind w:right="400" w:firstLine="648"/>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equity interest, and increases over time as LEAP production increases.</w:t>
      </w:r>
    </w:p>
    <w:p>
      <w:pPr>
        <w:spacing w:after="0" w:line="175"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701"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5"/>
        </w:trPr>
        <w:tc>
          <w:tcPr>
            <w:tcW w:w="77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Three months ended March</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auto"/>
            </w:tcBorders>
            <w:vMerge w:val="continue"/>
          </w:tcPr>
          <w:p>
            <w:pPr>
              <w:spacing w:after="0"/>
              <w:rPr>
                <w:sz w:val="17"/>
                <w:szCs w:val="17"/>
                <w:color w:val="auto"/>
              </w:rPr>
            </w:pPr>
          </w:p>
        </w:tc>
        <w:tc>
          <w:tcPr>
            <w:tcW w:w="3640" w:type="dxa"/>
            <w:vAlign w:val="bottom"/>
            <w:tcBorders>
              <w:bottom w:val="single" w:sz="8" w:color="auto"/>
            </w:tcBorders>
          </w:tcPr>
          <w:p>
            <w:pPr>
              <w:jc w:val="right"/>
              <w:ind w:right="730"/>
              <w:spacing w:after="0" w:line="203" w:lineRule="exact"/>
              <w:rPr>
                <w:sz w:val="20"/>
                <w:szCs w:val="20"/>
                <w:color w:val="auto"/>
              </w:rPr>
            </w:pPr>
            <w:r>
              <w:rPr>
                <w:rFonts w:ascii="Arial" w:cs="Arial" w:eastAsia="Arial" w:hAnsi="Arial"/>
                <w:sz w:val="18"/>
                <w:szCs w:val="18"/>
                <w:color w:val="auto"/>
              </w:rPr>
              <w:t>31, 2014</w:t>
            </w:r>
          </w:p>
        </w:tc>
        <w:tc>
          <w:tcPr>
            <w:tcW w:w="0" w:type="dxa"/>
            <w:vAlign w:val="bottom"/>
          </w:tcPr>
          <w:p>
            <w:pPr>
              <w:spacing w:after="0"/>
              <w:rPr>
                <w:sz w:val="1"/>
                <w:szCs w:val="1"/>
                <w:color w:val="auto"/>
              </w:rPr>
            </w:pPr>
          </w:p>
        </w:tc>
      </w:tr>
      <w:tr>
        <w:trPr>
          <w:trHeight w:val="173"/>
        </w:trPr>
        <w:tc>
          <w:tcPr>
            <w:tcW w:w="7780" w:type="dxa"/>
            <w:vAlign w:val="bottom"/>
          </w:tcPr>
          <w:p>
            <w:pPr>
              <w:spacing w:after="0" w:line="173" w:lineRule="exact"/>
              <w:rPr>
                <w:sz w:val="20"/>
                <w:szCs w:val="20"/>
                <w:color w:val="auto"/>
              </w:rPr>
            </w:pPr>
            <w:r>
              <w:rPr>
                <w:rFonts w:ascii="Arial" w:cs="Arial" w:eastAsia="Arial" w:hAnsi="Arial"/>
                <w:sz w:val="18"/>
                <w:szCs w:val="18"/>
                <w:color w:val="auto"/>
              </w:rPr>
              <w:t>Net income of ASC</w:t>
            </w:r>
          </w:p>
        </w:tc>
        <w:tc>
          <w:tcPr>
            <w:tcW w:w="364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$967</w:t>
            </w:r>
          </w:p>
        </w:tc>
        <w:tc>
          <w:tcPr>
            <w:tcW w:w="0" w:type="dxa"/>
            <w:vAlign w:val="bottom"/>
          </w:tcPr>
          <w:p>
            <w:pPr>
              <w:spacing w:after="0"/>
              <w:rPr>
                <w:sz w:val="1"/>
                <w:szCs w:val="1"/>
                <w:color w:val="auto"/>
              </w:rPr>
            </w:pPr>
          </w:p>
        </w:tc>
      </w:tr>
      <w:tr>
        <w:trPr>
          <w:trHeight w:val="225"/>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3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173"/>
        </w:trPr>
        <w:tc>
          <w:tcPr>
            <w:tcW w:w="7780" w:type="dxa"/>
            <w:vAlign w:val="bottom"/>
          </w:tcPr>
          <w:p>
            <w:pPr>
              <w:spacing w:after="0" w:line="173" w:lineRule="exact"/>
              <w:rPr>
                <w:sz w:val="20"/>
                <w:szCs w:val="20"/>
                <w:color w:val="auto"/>
              </w:rPr>
            </w:pPr>
            <w:r>
              <w:rPr>
                <w:rFonts w:ascii="Arial" w:cs="Arial" w:eastAsia="Arial" w:hAnsi="Arial"/>
                <w:sz w:val="18"/>
                <w:szCs w:val="18"/>
                <w:color w:val="auto"/>
              </w:rPr>
              <w:t>Net income of ASC available for common ownership</w:t>
            </w:r>
          </w:p>
        </w:tc>
        <w:tc>
          <w:tcPr>
            <w:tcW w:w="364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721</w:t>
            </w:r>
          </w:p>
        </w:tc>
        <w:tc>
          <w:tcPr>
            <w:tcW w:w="0" w:type="dxa"/>
            <w:vAlign w:val="bottom"/>
          </w:tcPr>
          <w:p>
            <w:pPr>
              <w:spacing w:after="0"/>
              <w:rPr>
                <w:sz w:val="1"/>
                <w:szCs w:val="1"/>
                <w:color w:val="auto"/>
              </w:rPr>
            </w:pPr>
          </w:p>
        </w:tc>
      </w:tr>
      <w:tr>
        <w:trPr>
          <w:trHeight w:val="225"/>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3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noncontrolling interest, quarter ended March 31, 2014</w:t>
            </w:r>
          </w:p>
        </w:tc>
        <w:tc>
          <w:tcPr>
            <w:tcW w:w="36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780" w:type="dxa"/>
            <w:vAlign w:val="bottom"/>
          </w:tcPr>
          <w:p>
            <w:pPr>
              <w:spacing w:after="0" w:line="173" w:lineRule="exact"/>
              <w:rPr>
                <w:sz w:val="20"/>
                <w:szCs w:val="20"/>
                <w:color w:val="auto"/>
              </w:rPr>
            </w:pPr>
            <w:r>
              <w:rPr>
                <w:rFonts w:ascii="Arial" w:cs="Arial" w:eastAsia="Arial" w:hAnsi="Arial"/>
                <w:sz w:val="18"/>
                <w:szCs w:val="18"/>
                <w:color w:val="auto"/>
              </w:rPr>
              <w:t>Noncontrolling interest as of December 31, 2013</w:t>
            </w:r>
          </w:p>
        </w:tc>
        <w:tc>
          <w:tcPr>
            <w:tcW w:w="364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$3,482</w:t>
            </w:r>
          </w:p>
        </w:tc>
        <w:tc>
          <w:tcPr>
            <w:tcW w:w="0" w:type="dxa"/>
            <w:vAlign w:val="bottom"/>
          </w:tcPr>
          <w:p>
            <w:pPr>
              <w:spacing w:after="0"/>
              <w:rPr>
                <w:sz w:val="1"/>
                <w:szCs w:val="1"/>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36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25"/>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3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7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 as of March 31, 2014</w:t>
            </w:r>
          </w:p>
        </w:tc>
        <w:tc>
          <w:tcPr>
            <w:tcW w:w="36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$3,554</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5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Effective January 1, 2014, Albany International Corp. (the “Company) changed its business segment reporting by recasting, for all prior periods, certain expenses previously identified as Research and Unallocated expenses to existing segments. The Company has two reportable segments: Machine Clothing (MC) and Albany Engineered Composites (AEC), and had Research and Unallocated expenses that were not allocated to the segments. Substantially all research and development expenses will now be included in segment operating expenses. Prior to this change, Unallocated expenses included long-term incentive compensation for all Company employees. To the extent such programs are related to MC and AEC employees, such expenses will now be included in segment operating expenses. Additionally, the segment previously referred to as Unallocated expenses, will now be referred to as Corporate expenses. These changes are being made to be consistent with how the chief operating decision maker assesses Company performance. On April 10, 2014, we filed a Form 8-K to show the effect of these changes on previously reported results and, accordingly, the 2013 segment results in this report include the effect of this change.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420" w:type="dxa"/>
            <w:vAlign w:val="bottom"/>
            <w:gridSpan w:val="2"/>
          </w:tcPr>
          <w:p>
            <w:pPr>
              <w:jc w:val="right"/>
              <w:ind w:right="3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56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5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5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$164,088</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56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$167,409</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2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16,219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5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$180,307</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$186,654</w:t>
            </w:r>
          </w:p>
        </w:tc>
        <w:tc>
          <w:tcPr>
            <w:tcW w:w="0" w:type="dxa"/>
            <w:vAlign w:val="bottom"/>
          </w:tcPr>
          <w:p>
            <w:pPr>
              <w:spacing w:after="0"/>
              <w:rPr>
                <w:sz w:val="1"/>
                <w:szCs w:val="1"/>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25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$36,142</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56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$37,556</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5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(3,475)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2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(12,066)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 before reconciling items</w:t>
            </w:r>
          </w:p>
        </w:tc>
        <w:tc>
          <w:tcPr>
            <w:tcW w:w="2560" w:type="dxa"/>
            <w:vAlign w:val="bottom"/>
          </w:tcPr>
          <w:p>
            <w:pPr>
              <w:jc w:val="right"/>
              <w:ind w:right="410"/>
              <w:spacing w:after="0" w:line="195" w:lineRule="exact"/>
              <w:rPr>
                <w:sz w:val="20"/>
                <w:szCs w:val="20"/>
                <w:color w:val="auto"/>
              </w:rPr>
            </w:pPr>
            <w:r>
              <w:rPr>
                <w:rFonts w:ascii="Arial" w:cs="Arial" w:eastAsia="Arial" w:hAnsi="Arial"/>
                <w:sz w:val="18"/>
                <w:szCs w:val="18"/>
                <w:b w:val="1"/>
                <w:bCs w:val="1"/>
                <w:color w:val="auto"/>
              </w:rPr>
              <w:t>20,601</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22,518</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5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(196)</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140"/>
              <w:spacing w:after="0" w:line="181" w:lineRule="exact"/>
              <w:rPr>
                <w:sz w:val="20"/>
                <w:szCs w:val="20"/>
                <w:color w:val="auto"/>
              </w:rPr>
            </w:pPr>
            <w:r>
              <w:rPr>
                <w:rFonts w:ascii="Arial" w:cs="Arial" w:eastAsia="Arial" w:hAnsi="Arial"/>
                <w:sz w:val="18"/>
                <w:szCs w:val="18"/>
                <w:color w:val="auto"/>
              </w:rPr>
              <w:t>Interest income</w:t>
            </w:r>
          </w:p>
        </w:tc>
        <w:tc>
          <w:tcPr>
            <w:tcW w:w="256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w:t>
            </w:r>
          </w:p>
        </w:tc>
        <w:tc>
          <w:tcPr>
            <w:tcW w:w="25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3,114</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expense /(income), net</w:t>
            </w:r>
          </w:p>
        </w:tc>
        <w:tc>
          <w:tcPr>
            <w:tcW w:w="2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(467)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25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$18,150</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gridSpan w:val="2"/>
          </w:tcPr>
          <w:p>
            <w:pPr>
              <w:jc w:val="right"/>
              <w:ind w:right="110"/>
              <w:spacing w:after="0" w:line="194" w:lineRule="exact"/>
              <w:rPr>
                <w:sz w:val="20"/>
                <w:szCs w:val="20"/>
                <w:color w:val="auto"/>
              </w:rPr>
            </w:pPr>
            <w:r>
              <w:rPr>
                <w:rFonts w:ascii="Arial" w:cs="Arial" w:eastAsia="Arial" w:hAnsi="Arial"/>
                <w:sz w:val="18"/>
                <w:szCs w:val="18"/>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900" w:type="dxa"/>
            <w:vAlign w:val="bottom"/>
          </w:tcPr>
          <w:p>
            <w:pPr>
              <w:spacing w:after="0" w:line="195" w:lineRule="exact"/>
              <w:rPr>
                <w:sz w:val="20"/>
                <w:szCs w:val="20"/>
                <w:color w:val="auto"/>
              </w:rPr>
            </w:pPr>
            <w:r>
              <w:rPr>
                <w:rFonts w:ascii="Arial" w:cs="Arial" w:eastAsia="Arial" w:hAnsi="Arial"/>
                <w:sz w:val="18"/>
                <w:szCs w:val="18"/>
                <w:b w:val="1"/>
                <w:bCs w:val="1"/>
                <w:color w:val="auto"/>
              </w:rPr>
              <w:t>Restructuring expense</w:t>
            </w:r>
          </w:p>
        </w:tc>
        <w:tc>
          <w:tcPr>
            <w:tcW w:w="29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$862</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2920" w:type="dxa"/>
            <w:vAlign w:val="bottom"/>
            <w:vMerge w:val="continue"/>
          </w:tcPr>
          <w:p>
            <w:pPr>
              <w:spacing w:after="0"/>
              <w:rPr>
                <w:sz w:val="15"/>
                <w:szCs w:val="15"/>
                <w:color w:val="auto"/>
              </w:rPr>
            </w:pPr>
          </w:p>
        </w:tc>
        <w:tc>
          <w:tcPr>
            <w:tcW w:w="11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29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$1,182</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2014 restructuring expense was principally related to the restructuring activities in the MC France production facilities. Restructuring expenses in the Albany Engineered Composites operations were principally related to organizational changes in 2013 and 2014, and exiting certain aerospace programs in 2013.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changes in the total assets of the reportable segments during this period.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203"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701" w:right="319" w:bottom="1440" w:gutter="0" w:footer="0" w:header="0"/>
        </w:sectPr>
      </w:pPr>
    </w:p>
    <w:bookmarkStart w:id="9" w:name="page10"/>
    <w:bookmarkEnd w:id="9"/>
    <w:p>
      <w:pPr>
        <w:ind w:right="1080"/>
        <w:spacing w:after="0" w:line="246" w:lineRule="auto"/>
        <w:rPr>
          <w:sz w:val="20"/>
          <w:szCs w:val="20"/>
          <w:color w:val="auto"/>
        </w:rPr>
      </w:pPr>
      <w:r>
        <w:rPr>
          <w:rFonts w:ascii="Arial" w:cs="Arial" w:eastAsia="Arial" w:hAnsi="Arial"/>
          <w:sz w:val="18"/>
          <w:szCs w:val="18"/>
          <w:color w:val="auto"/>
        </w:rPr>
        <w:t>the U.S. Supplemental Executive Retirement Plan ("SERP") were similarly frozen. The eligibility, benefit formulas, and contribution requirements for plans outside of the U.S. vary by location.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20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In September 2008, we changed the cost sharing arrangement under this program such that increases in health care costs are the responsibility of plan participants. In August 2013, we reduced the life insurance benefit for retirees and eliminated the benefit for active employees.</w:t>
      </w:r>
    </w:p>
    <w:p>
      <w:pPr>
        <w:spacing w:after="0" w:line="165"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periodic benefit plan cost for the three months ended March 31, 2014 and 2013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2"/>
          </w:tcPr>
          <w:p>
            <w:pPr>
              <w:jc w:val="right"/>
              <w:ind w:right="890"/>
              <w:spacing w:after="0" w:line="194" w:lineRule="exact"/>
              <w:rPr>
                <w:sz w:val="20"/>
                <w:szCs w:val="20"/>
                <w:color w:val="auto"/>
              </w:rPr>
            </w:pPr>
            <w:r>
              <w:rPr>
                <w:rFonts w:ascii="Arial" w:cs="Arial" w:eastAsia="Arial" w:hAnsi="Arial"/>
                <w:sz w:val="18"/>
                <w:szCs w:val="18"/>
                <w:color w:val="auto"/>
              </w:rPr>
              <w:t>Pension plans</w:t>
            </w:r>
          </w:p>
        </w:tc>
        <w:tc>
          <w:tcPr>
            <w:tcW w:w="2600" w:type="dxa"/>
            <w:vAlign w:val="bottom"/>
            <w:tcBorders>
              <w:top w:val="single" w:sz="8" w:color="auto"/>
            </w:tcBorders>
            <w:gridSpan w:val="2"/>
          </w:tcPr>
          <w:p>
            <w:pPr>
              <w:jc w:val="right"/>
              <w:ind w:right="10"/>
              <w:spacing w:after="0" w:line="194" w:lineRule="exact"/>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7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2013</w:t>
            </w: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98"/>
        </w:trPr>
        <w:tc>
          <w:tcPr>
            <w:tcW w:w="48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27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$825</w:t>
            </w:r>
          </w:p>
        </w:tc>
        <w:tc>
          <w:tcPr>
            <w:tcW w:w="1300" w:type="dxa"/>
            <w:vAlign w:val="bottom"/>
          </w:tcPr>
          <w:p>
            <w:pPr>
              <w:spacing w:after="0"/>
              <w:rPr>
                <w:sz w:val="24"/>
                <w:szCs w:val="24"/>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$79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80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720" w:type="dxa"/>
            <w:vAlign w:val="bottom"/>
            <w:vMerge w:val="continue"/>
          </w:tcPr>
          <w:p>
            <w:pPr>
              <w:spacing w:after="0"/>
              <w:rPr>
                <w:sz w:val="15"/>
                <w:szCs w:val="15"/>
                <w:color w:val="auto"/>
              </w:rPr>
            </w:pPr>
          </w:p>
        </w:tc>
        <w:tc>
          <w:tcPr>
            <w:tcW w:w="1300" w:type="dxa"/>
            <w:vAlign w:val="bottom"/>
          </w:tcPr>
          <w:p>
            <w:pPr>
              <w:jc w:val="right"/>
              <w:ind w:right="150"/>
              <w:spacing w:after="0" w:line="181" w:lineRule="exact"/>
              <w:rPr>
                <w:sz w:val="20"/>
                <w:szCs w:val="20"/>
                <w:color w:val="auto"/>
              </w:rPr>
            </w:pPr>
            <w:r>
              <w:rPr>
                <w:rFonts w:ascii="Arial" w:cs="Arial" w:eastAsia="Arial" w:hAnsi="Arial"/>
                <w:sz w:val="18"/>
                <w:szCs w:val="18"/>
                <w:color w:val="auto"/>
              </w:rPr>
              <w:t>$842</w:t>
            </w:r>
          </w:p>
        </w:tc>
        <w:tc>
          <w:tcPr>
            <w:tcW w:w="1440" w:type="dxa"/>
            <w:vAlign w:val="bottom"/>
            <w:vMerge w:val="continue"/>
          </w:tcPr>
          <w:p>
            <w:pPr>
              <w:spacing w:after="0"/>
              <w:rPr>
                <w:sz w:val="15"/>
                <w:szCs w:val="15"/>
                <w:color w:val="auto"/>
              </w:rPr>
            </w:pPr>
          </w:p>
        </w:tc>
        <w:tc>
          <w:tcPr>
            <w:tcW w:w="11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7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2,359</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2,000</w:t>
            </w:r>
          </w:p>
        </w:tc>
        <w:tc>
          <w:tcPr>
            <w:tcW w:w="14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686</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7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(2,371)</w:t>
            </w:r>
          </w:p>
        </w:tc>
        <w:tc>
          <w:tcPr>
            <w:tcW w:w="13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(2,034)</w:t>
            </w:r>
          </w:p>
        </w:tc>
        <w:tc>
          <w:tcPr>
            <w:tcW w:w="14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7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13</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w:t>
            </w:r>
          </w:p>
        </w:tc>
        <w:tc>
          <w:tcPr>
            <w:tcW w:w="14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(1,122)</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27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w:t>
            </w:r>
          </w:p>
        </w:tc>
        <w:tc>
          <w:tcPr>
            <w:tcW w:w="14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loss</w:t>
            </w:r>
          </w:p>
        </w:tc>
        <w:tc>
          <w:tcPr>
            <w:tcW w:w="27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601</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785</w:t>
            </w:r>
          </w:p>
        </w:tc>
        <w:tc>
          <w:tcPr>
            <w:tcW w:w="14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727</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Curtailment</w:t>
            </w:r>
          </w:p>
        </w:tc>
        <w:tc>
          <w:tcPr>
            <w:tcW w:w="2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(493)</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7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$934</w:t>
            </w:r>
          </w:p>
        </w:tc>
        <w:tc>
          <w:tcPr>
            <w:tcW w:w="13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$1,619</w:t>
            </w:r>
          </w:p>
        </w:tc>
        <w:tc>
          <w:tcPr>
            <w:tcW w:w="14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$370</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9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when completed, will have reduced employment by approximately 200 positions at these locations. As of March 31, 2014, approximately 180 positions had been eliminated.</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Under the terms of the restructuring plan, the Company provides training, outplacement and other benefits, the costs of which are recorded as restructuring when they are incurred. In the first quarter of 2014, the Company recorded a curtailment gain of $0.5 million related to the elimination of pension accruals, which reduced net restructuring expense as reflected in the table below. Such curtailment gains are recorded as employees terminate employment and, accordingly, we expect to record additional gains during 2014. The total amount of such gains has not yet been determined, but we expect it to be less than the first quarter gain. Remaining costs for this program, net of curtailment gains, are expected to be between $2 to $4 million, most of which we expect to be incurred in 2014. We expect the annual cost savings associated with this restructuring to be approximately $10 million. Whereas most of the affected employees were involved in the production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process, the full effect of the cost savings associated with this restructuring program will not be fully realized until mid-2014.</w:t>
      </w:r>
    </w:p>
    <w:p>
      <w:pPr>
        <w:spacing w:after="0" w:line="171"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Restructuring expenses in the Albany Engineered Composites operations were principally related to organizational changes in 2013 and 2014, and exiting certain aerospace programs in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and other”: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r>
      <w:tr>
        <w:trPr>
          <w:trHeight w:val="203"/>
        </w:trPr>
        <w:tc>
          <w:tcPr>
            <w:tcW w:w="3620" w:type="dxa"/>
            <w:vAlign w:val="bottom"/>
          </w:tcPr>
          <w:p>
            <w:pPr>
              <w:spacing w:after="0"/>
              <w:rPr>
                <w:sz w:val="17"/>
                <w:szCs w:val="17"/>
                <w:color w:val="auto"/>
              </w:rPr>
            </w:pPr>
          </w:p>
        </w:tc>
        <w:tc>
          <w:tcPr>
            <w:tcW w:w="25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March 31,</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6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5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r>
      <w:tr>
        <w:trPr>
          <w:trHeight w:val="173"/>
        </w:trPr>
        <w:tc>
          <w:tcPr>
            <w:tcW w:w="3620" w:type="dxa"/>
            <w:vAlign w:val="bottom"/>
            <w:tcBorders>
              <w:top w:val="single" w:sz="8" w:color="auto"/>
            </w:tcBorders>
          </w:tcPr>
          <w:p>
            <w:pPr>
              <w:ind w:left="60"/>
              <w:spacing w:after="0" w:line="173" w:lineRule="exact"/>
              <w:rPr>
                <w:sz w:val="20"/>
                <w:szCs w:val="20"/>
                <w:color w:val="auto"/>
              </w:rPr>
            </w:pPr>
            <w:r>
              <w:rPr>
                <w:rFonts w:ascii="Arial" w:cs="Arial" w:eastAsia="Arial" w:hAnsi="Arial"/>
                <w:sz w:val="18"/>
                <w:szCs w:val="18"/>
                <w:color w:val="auto"/>
              </w:rPr>
              <w:t>Machine Clothing</w:t>
            </w:r>
          </w:p>
        </w:tc>
        <w:tc>
          <w:tcPr>
            <w:tcW w:w="2560" w:type="dxa"/>
            <w:vAlign w:val="bottom"/>
            <w:tcBorders>
              <w:top w:val="single" w:sz="8" w:color="auto"/>
            </w:tcBorders>
          </w:tcPr>
          <w:p>
            <w:pPr>
              <w:jc w:val="right"/>
              <w:ind w:right="310"/>
              <w:spacing w:after="0" w:line="173" w:lineRule="exact"/>
              <w:rPr>
                <w:sz w:val="20"/>
                <w:szCs w:val="20"/>
                <w:color w:val="auto"/>
              </w:rPr>
            </w:pPr>
            <w:r>
              <w:rPr>
                <w:rFonts w:ascii="Arial" w:cs="Arial" w:eastAsia="Arial" w:hAnsi="Arial"/>
                <w:sz w:val="18"/>
                <w:szCs w:val="18"/>
                <w:b w:val="1"/>
                <w:bCs w:val="1"/>
                <w:color w:val="auto"/>
              </w:rPr>
              <w:t>$862</w:t>
            </w:r>
          </w:p>
        </w:tc>
        <w:tc>
          <w:tcPr>
            <w:tcW w:w="6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$193</w:t>
            </w:r>
          </w:p>
        </w:tc>
        <w:tc>
          <w:tcPr>
            <w:tcW w:w="20" w:type="dxa"/>
            <w:vAlign w:val="bottom"/>
          </w:tcPr>
          <w:p>
            <w:pPr>
              <w:spacing w:after="0"/>
              <w:rPr>
                <w:sz w:val="15"/>
                <w:szCs w:val="15"/>
                <w:color w:val="auto"/>
              </w:rPr>
            </w:pPr>
          </w:p>
        </w:tc>
      </w:tr>
      <w:tr>
        <w:trPr>
          <w:trHeight w:val="225"/>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Albany Engineered Composites</w:t>
            </w:r>
          </w:p>
        </w:tc>
        <w:tc>
          <w:tcPr>
            <w:tcW w:w="2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r>
      <w:tr>
        <w:trPr>
          <w:trHeight w:val="196"/>
        </w:trPr>
        <w:tc>
          <w:tcPr>
            <w:tcW w:w="36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$1,182</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Three months ended March 31, 2014</w:t>
            </w:r>
          </w:p>
        </w:tc>
        <w:tc>
          <w:tcPr>
            <w:tcW w:w="14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20"/>
              <w:spacing w:after="0" w:line="194" w:lineRule="exact"/>
              <w:rPr>
                <w:sz w:val="20"/>
                <w:szCs w:val="20"/>
                <w:color w:val="auto"/>
              </w:rPr>
            </w:pPr>
            <w:r>
              <w:rPr>
                <w:rFonts w:ascii="Arial" w:cs="Arial" w:eastAsia="Arial" w:hAnsi="Arial"/>
                <w:sz w:val="18"/>
                <w:szCs w:val="18"/>
                <w:b w:val="1"/>
                <w:bCs w:val="1"/>
                <w:color w:val="auto"/>
              </w:rPr>
              <w:t>Benefit plan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20" w:type="dxa"/>
            <w:vAlign w:val="bottom"/>
            <w:vMerge w:val="continue"/>
          </w:tcPr>
          <w:p>
            <w:pPr>
              <w:spacing w:after="0"/>
              <w:rPr>
                <w:sz w:val="11"/>
                <w:szCs w:val="11"/>
                <w:color w:val="auto"/>
              </w:rPr>
            </w:pPr>
          </w:p>
        </w:tc>
        <w:tc>
          <w:tcPr>
            <w:tcW w:w="3080" w:type="dxa"/>
            <w:vAlign w:val="bottom"/>
            <w:gridSpan w:val="2"/>
            <w:vMerge w:val="restart"/>
          </w:tcPr>
          <w:p>
            <w:pPr>
              <w:jc w:val="right"/>
              <w:ind w:right="70"/>
              <w:spacing w:after="0" w:line="202" w:lineRule="exact"/>
              <w:rPr>
                <w:sz w:val="20"/>
                <w:szCs w:val="20"/>
                <w:color w:val="auto"/>
              </w:rPr>
            </w:pPr>
            <w:r>
              <w:rPr>
                <w:rFonts w:ascii="Arial" w:cs="Arial" w:eastAsia="Arial" w:hAnsi="Arial"/>
                <w:sz w:val="18"/>
                <w:szCs w:val="18"/>
                <w:b w:val="1"/>
                <w:bCs w:val="1"/>
                <w:color w:val="auto"/>
              </w:rPr>
              <w:t>Total restructuring</w:t>
            </w:r>
          </w:p>
        </w:tc>
        <w:tc>
          <w:tcPr>
            <w:tcW w:w="1620" w:type="dxa"/>
            <w:vAlign w:val="bottom"/>
            <w:gridSpan w:val="2"/>
            <w:vMerge w:val="restart"/>
          </w:tcPr>
          <w:p>
            <w:pPr>
              <w:jc w:val="right"/>
              <w:ind w:right="50"/>
              <w:spacing w:after="0" w:line="202" w:lineRule="exact"/>
              <w:rPr>
                <w:sz w:val="20"/>
                <w:szCs w:val="20"/>
                <w:color w:val="auto"/>
              </w:rPr>
            </w:pPr>
            <w:r>
              <w:rPr>
                <w:rFonts w:ascii="Arial" w:cs="Arial" w:eastAsia="Arial" w:hAnsi="Arial"/>
                <w:sz w:val="18"/>
                <w:szCs w:val="18"/>
                <w:b w:val="1"/>
                <w:bCs w:val="1"/>
                <w:color w:val="auto"/>
              </w:rPr>
              <w:t>Termination and</w:t>
            </w:r>
          </w:p>
        </w:tc>
        <w:tc>
          <w:tcPr>
            <w:tcW w:w="2080" w:type="dxa"/>
            <w:vAlign w:val="bottom"/>
            <w:vMerge w:val="restart"/>
          </w:tcPr>
          <w:p>
            <w:pPr>
              <w:jc w:val="center"/>
              <w:ind w:right="290"/>
              <w:spacing w:after="0" w:line="202" w:lineRule="exact"/>
              <w:rPr>
                <w:sz w:val="20"/>
                <w:szCs w:val="20"/>
                <w:color w:val="auto"/>
              </w:rPr>
            </w:pPr>
            <w:r>
              <w:rPr>
                <w:rFonts w:ascii="Arial" w:cs="Arial" w:eastAsia="Arial" w:hAnsi="Arial"/>
                <w:sz w:val="18"/>
                <w:szCs w:val="18"/>
                <w:b w:val="1"/>
                <w:bCs w:val="1"/>
                <w:color w:val="auto"/>
                <w:w w:val="99"/>
              </w:rPr>
              <w:t>Impairment of plant</w:t>
            </w:r>
          </w:p>
        </w:tc>
        <w:tc>
          <w:tcPr>
            <w:tcW w:w="1360" w:type="dxa"/>
            <w:vAlign w:val="bottom"/>
            <w:gridSpan w:val="3"/>
            <w:vMerge w:val="restart"/>
          </w:tcPr>
          <w:p>
            <w:pPr>
              <w:jc w:val="right"/>
              <w:ind w:right="40"/>
              <w:spacing w:after="0" w:line="202" w:lineRule="exact"/>
              <w:rPr>
                <w:sz w:val="20"/>
                <w:szCs w:val="20"/>
                <w:color w:val="auto"/>
              </w:rPr>
            </w:pPr>
            <w:r>
              <w:rPr>
                <w:rFonts w:ascii="Arial" w:cs="Arial" w:eastAsia="Arial" w:hAnsi="Arial"/>
                <w:sz w:val="18"/>
                <w:szCs w:val="18"/>
                <w:b w:val="1"/>
                <w:bCs w:val="1"/>
                <w:color w:val="auto"/>
              </w:rPr>
              <w:t>curtailment/</w:t>
            </w:r>
          </w:p>
        </w:tc>
        <w:tc>
          <w:tcPr>
            <w:tcW w:w="0" w:type="dxa"/>
            <w:vAlign w:val="bottom"/>
          </w:tcPr>
          <w:p>
            <w:pPr>
              <w:spacing w:after="0"/>
              <w:rPr>
                <w:sz w:val="1"/>
                <w:szCs w:val="1"/>
                <w:color w:val="auto"/>
              </w:rPr>
            </w:pPr>
          </w:p>
        </w:tc>
      </w:tr>
      <w:tr>
        <w:trPr>
          <w:trHeight w:val="72"/>
        </w:trPr>
        <w:tc>
          <w:tcPr>
            <w:tcW w:w="3320" w:type="dxa"/>
            <w:vAlign w:val="bottom"/>
          </w:tcPr>
          <w:p>
            <w:pPr>
              <w:spacing w:after="0"/>
              <w:rPr>
                <w:sz w:val="6"/>
                <w:szCs w:val="6"/>
                <w:color w:val="auto"/>
              </w:rPr>
            </w:pPr>
          </w:p>
        </w:tc>
        <w:tc>
          <w:tcPr>
            <w:tcW w:w="3080" w:type="dxa"/>
            <w:vAlign w:val="bottom"/>
            <w:gridSpan w:val="2"/>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3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Pr>
          <w:p>
            <w:pPr>
              <w:spacing w:after="0"/>
              <w:rPr>
                <w:sz w:val="19"/>
                <w:szCs w:val="19"/>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costs incurred</w:t>
            </w:r>
          </w:p>
        </w:tc>
        <w:tc>
          <w:tcPr>
            <w:tcW w:w="18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other costs</w:t>
            </w:r>
          </w:p>
        </w:tc>
        <w:tc>
          <w:tcPr>
            <w:tcW w:w="208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and equipment</w:t>
            </w:r>
          </w:p>
        </w:tc>
        <w:tc>
          <w:tcPr>
            <w:tcW w:w="1360" w:type="dxa"/>
            <w:vAlign w:val="bottom"/>
            <w:gridSpan w:val="3"/>
          </w:tcPr>
          <w:p>
            <w:pPr>
              <w:ind w:left="320"/>
              <w:spacing w:after="0"/>
              <w:rPr>
                <w:sz w:val="20"/>
                <w:szCs w:val="20"/>
                <w:color w:val="auto"/>
              </w:rPr>
            </w:pPr>
            <w:r>
              <w:rPr>
                <w:rFonts w:ascii="Arial" w:cs="Arial" w:eastAsia="Arial" w:hAnsi="Arial"/>
                <w:sz w:val="18"/>
                <w:szCs w:val="18"/>
                <w:b w:val="1"/>
                <w:bCs w:val="1"/>
                <w:color w:val="auto"/>
              </w:rPr>
              <w:t>settlement</w:t>
            </w:r>
          </w:p>
        </w:tc>
        <w:tc>
          <w:tcPr>
            <w:tcW w:w="0" w:type="dxa"/>
            <w:vAlign w:val="bottom"/>
          </w:tcPr>
          <w:p>
            <w:pPr>
              <w:spacing w:after="0"/>
              <w:rPr>
                <w:sz w:val="1"/>
                <w:szCs w:val="1"/>
                <w:color w:val="auto"/>
              </w:rPr>
            </w:pPr>
          </w:p>
        </w:tc>
      </w:tr>
      <w:tr>
        <w:trPr>
          <w:trHeight w:val="195"/>
        </w:trPr>
        <w:tc>
          <w:tcPr>
            <w:tcW w:w="3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14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$862</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$1,355</w:t>
            </w:r>
          </w:p>
        </w:tc>
        <w:tc>
          <w:tcPr>
            <w:tcW w:w="208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($493)</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Albany Engineered Composites</w:t>
            </w:r>
          </w:p>
        </w:tc>
        <w:tc>
          <w:tcPr>
            <w:tcW w:w="1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320</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w:t>
            </w:r>
          </w:p>
        </w:tc>
        <w:tc>
          <w:tcPr>
            <w:tcW w:w="20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$1,182</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$1,675</w:t>
            </w:r>
          </w:p>
        </w:tc>
        <w:tc>
          <w:tcPr>
            <w:tcW w:w="20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3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2013</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Benefit plan</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20" w:type="dxa"/>
            <w:vAlign w:val="bottom"/>
            <w:vMerge w:val="continue"/>
          </w:tcPr>
          <w:p>
            <w:pPr>
              <w:spacing w:after="0"/>
              <w:rPr>
                <w:sz w:val="11"/>
                <w:szCs w:val="11"/>
                <w:color w:val="auto"/>
              </w:rPr>
            </w:pPr>
          </w:p>
        </w:tc>
        <w:tc>
          <w:tcPr>
            <w:tcW w:w="3080" w:type="dxa"/>
            <w:vAlign w:val="bottom"/>
            <w:gridSpan w:val="2"/>
            <w:vMerge w:val="restart"/>
          </w:tcPr>
          <w:p>
            <w:pPr>
              <w:jc w:val="right"/>
              <w:ind w:right="70"/>
              <w:spacing w:after="0" w:line="202" w:lineRule="exact"/>
              <w:rPr>
                <w:sz w:val="20"/>
                <w:szCs w:val="20"/>
                <w:color w:val="auto"/>
              </w:rPr>
            </w:pPr>
            <w:r>
              <w:rPr>
                <w:rFonts w:ascii="Arial" w:cs="Arial" w:eastAsia="Arial" w:hAnsi="Arial"/>
                <w:sz w:val="18"/>
                <w:szCs w:val="18"/>
                <w:b w:val="1"/>
                <w:bCs w:val="1"/>
                <w:color w:val="auto"/>
              </w:rPr>
              <w:t>Total restructuring</w:t>
            </w:r>
          </w:p>
        </w:tc>
        <w:tc>
          <w:tcPr>
            <w:tcW w:w="1620" w:type="dxa"/>
            <w:vAlign w:val="bottom"/>
            <w:gridSpan w:val="2"/>
            <w:vMerge w:val="restart"/>
          </w:tcPr>
          <w:p>
            <w:pPr>
              <w:jc w:val="right"/>
              <w:ind w:right="50"/>
              <w:spacing w:after="0" w:line="202" w:lineRule="exact"/>
              <w:rPr>
                <w:sz w:val="20"/>
                <w:szCs w:val="20"/>
                <w:color w:val="auto"/>
              </w:rPr>
            </w:pPr>
            <w:r>
              <w:rPr>
                <w:rFonts w:ascii="Arial" w:cs="Arial" w:eastAsia="Arial" w:hAnsi="Arial"/>
                <w:sz w:val="18"/>
                <w:szCs w:val="18"/>
                <w:b w:val="1"/>
                <w:bCs w:val="1"/>
                <w:color w:val="auto"/>
              </w:rPr>
              <w:t>Termination and</w:t>
            </w:r>
          </w:p>
        </w:tc>
        <w:tc>
          <w:tcPr>
            <w:tcW w:w="2080" w:type="dxa"/>
            <w:vAlign w:val="bottom"/>
            <w:vMerge w:val="restart"/>
          </w:tcPr>
          <w:p>
            <w:pPr>
              <w:jc w:val="center"/>
              <w:ind w:right="290"/>
              <w:spacing w:after="0" w:line="202" w:lineRule="exact"/>
              <w:rPr>
                <w:sz w:val="20"/>
                <w:szCs w:val="20"/>
                <w:color w:val="auto"/>
              </w:rPr>
            </w:pPr>
            <w:r>
              <w:rPr>
                <w:rFonts w:ascii="Arial" w:cs="Arial" w:eastAsia="Arial" w:hAnsi="Arial"/>
                <w:sz w:val="18"/>
                <w:szCs w:val="18"/>
                <w:b w:val="1"/>
                <w:bCs w:val="1"/>
                <w:color w:val="auto"/>
                <w:w w:val="99"/>
              </w:rPr>
              <w:t>Impairment of plant</w:t>
            </w:r>
          </w:p>
        </w:tc>
        <w:tc>
          <w:tcPr>
            <w:tcW w:w="1360" w:type="dxa"/>
            <w:vAlign w:val="bottom"/>
            <w:gridSpan w:val="3"/>
            <w:vMerge w:val="restart"/>
          </w:tcPr>
          <w:p>
            <w:pPr>
              <w:jc w:val="right"/>
              <w:ind w:right="40"/>
              <w:spacing w:after="0" w:line="202" w:lineRule="exact"/>
              <w:rPr>
                <w:sz w:val="20"/>
                <w:szCs w:val="20"/>
                <w:color w:val="auto"/>
              </w:rPr>
            </w:pPr>
            <w:r>
              <w:rPr>
                <w:rFonts w:ascii="Arial" w:cs="Arial" w:eastAsia="Arial" w:hAnsi="Arial"/>
                <w:sz w:val="18"/>
                <w:szCs w:val="18"/>
                <w:b w:val="1"/>
                <w:bCs w:val="1"/>
                <w:color w:val="auto"/>
              </w:rPr>
              <w:t>curtailment/</w:t>
            </w:r>
          </w:p>
        </w:tc>
        <w:tc>
          <w:tcPr>
            <w:tcW w:w="0" w:type="dxa"/>
            <w:vAlign w:val="bottom"/>
          </w:tcPr>
          <w:p>
            <w:pPr>
              <w:spacing w:after="0"/>
              <w:rPr>
                <w:sz w:val="1"/>
                <w:szCs w:val="1"/>
                <w:color w:val="auto"/>
              </w:rPr>
            </w:pPr>
          </w:p>
        </w:tc>
      </w:tr>
      <w:tr>
        <w:trPr>
          <w:trHeight w:val="72"/>
        </w:trPr>
        <w:tc>
          <w:tcPr>
            <w:tcW w:w="3320" w:type="dxa"/>
            <w:vAlign w:val="bottom"/>
          </w:tcPr>
          <w:p>
            <w:pPr>
              <w:spacing w:after="0"/>
              <w:rPr>
                <w:sz w:val="6"/>
                <w:szCs w:val="6"/>
                <w:color w:val="auto"/>
              </w:rPr>
            </w:pPr>
          </w:p>
        </w:tc>
        <w:tc>
          <w:tcPr>
            <w:tcW w:w="3080" w:type="dxa"/>
            <w:vAlign w:val="bottom"/>
            <w:gridSpan w:val="2"/>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3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Pr>
          <w:p>
            <w:pPr>
              <w:spacing w:after="0"/>
              <w:rPr>
                <w:sz w:val="19"/>
                <w:szCs w:val="19"/>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costs incurred</w:t>
            </w:r>
          </w:p>
        </w:tc>
        <w:tc>
          <w:tcPr>
            <w:tcW w:w="18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other costs</w:t>
            </w:r>
          </w:p>
        </w:tc>
        <w:tc>
          <w:tcPr>
            <w:tcW w:w="208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and equipment</w:t>
            </w:r>
          </w:p>
        </w:tc>
        <w:tc>
          <w:tcPr>
            <w:tcW w:w="1360" w:type="dxa"/>
            <w:vAlign w:val="bottom"/>
            <w:gridSpan w:val="3"/>
          </w:tcPr>
          <w:p>
            <w:pPr>
              <w:ind w:left="320"/>
              <w:spacing w:after="0"/>
              <w:rPr>
                <w:sz w:val="20"/>
                <w:szCs w:val="20"/>
                <w:color w:val="auto"/>
              </w:rPr>
            </w:pPr>
            <w:r>
              <w:rPr>
                <w:rFonts w:ascii="Arial" w:cs="Arial" w:eastAsia="Arial" w:hAnsi="Arial"/>
                <w:sz w:val="18"/>
                <w:szCs w:val="18"/>
                <w:b w:val="1"/>
                <w:bCs w:val="1"/>
                <w:color w:val="auto"/>
              </w:rPr>
              <w:t>settlement</w:t>
            </w:r>
          </w:p>
        </w:tc>
        <w:tc>
          <w:tcPr>
            <w:tcW w:w="0" w:type="dxa"/>
            <w:vAlign w:val="bottom"/>
          </w:tcPr>
          <w:p>
            <w:pPr>
              <w:spacing w:after="0"/>
              <w:rPr>
                <w:sz w:val="1"/>
                <w:szCs w:val="1"/>
                <w:color w:val="auto"/>
              </w:rPr>
            </w:pPr>
          </w:p>
        </w:tc>
      </w:tr>
      <w:tr>
        <w:trPr>
          <w:trHeight w:val="195"/>
        </w:trPr>
        <w:tc>
          <w:tcPr>
            <w:tcW w:w="3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Machine Clothing</w:t>
            </w:r>
          </w:p>
        </w:tc>
        <w:tc>
          <w:tcPr>
            <w:tcW w:w="14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$193</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$193</w:t>
            </w:r>
          </w:p>
        </w:tc>
        <w:tc>
          <w:tcPr>
            <w:tcW w:w="208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line="203" w:lineRule="exact"/>
              <w:rPr>
                <w:sz w:val="20"/>
                <w:szCs w:val="20"/>
                <w:color w:val="auto"/>
              </w:rPr>
            </w:pPr>
            <w:r>
              <w:rPr>
                <w:rFonts w:ascii="Arial" w:cs="Arial" w:eastAsia="Arial" w:hAnsi="Arial"/>
                <w:sz w:val="18"/>
                <w:szCs w:val="18"/>
                <w:color w:val="auto"/>
              </w:rPr>
              <w:t>Albany Engineered Composites</w:t>
            </w:r>
          </w:p>
        </w:tc>
        <w:tc>
          <w:tcPr>
            <w:tcW w:w="1420" w:type="dxa"/>
            <w:vAlign w:val="bottom"/>
          </w:tcPr>
          <w:p>
            <w:pPr>
              <w:spacing w:after="0"/>
              <w:rPr>
                <w:sz w:val="17"/>
                <w:szCs w:val="17"/>
                <w:color w:val="auto"/>
              </w:rPr>
            </w:pPr>
          </w:p>
        </w:tc>
        <w:tc>
          <w:tcPr>
            <w:tcW w:w="16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443</w:t>
            </w:r>
          </w:p>
        </w:tc>
        <w:tc>
          <w:tcPr>
            <w:tcW w:w="1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353</w:t>
            </w:r>
          </w:p>
        </w:tc>
        <w:tc>
          <w:tcPr>
            <w:tcW w:w="208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90</w:t>
            </w:r>
          </w:p>
        </w:tc>
        <w:tc>
          <w:tcPr>
            <w:tcW w:w="13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32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$636</w:t>
            </w:r>
          </w:p>
        </w:tc>
        <w:tc>
          <w:tcPr>
            <w:tcW w:w="18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w:t>
            </w:r>
          </w:p>
        </w:tc>
        <w:tc>
          <w:tcPr>
            <w:tcW w:w="20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$90</w:t>
            </w:r>
          </w:p>
        </w:tc>
        <w:tc>
          <w:tcPr>
            <w:tcW w:w="13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3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20" w:type="dxa"/>
            <w:vAlign w:val="bottom"/>
          </w:tcPr>
          <w:p>
            <w:pPr>
              <w:spacing w:after="0"/>
              <w:rPr>
                <w:sz w:val="17"/>
                <w:szCs w:val="17"/>
                <w:color w:val="auto"/>
              </w:rPr>
            </w:pPr>
          </w:p>
        </w:tc>
        <w:tc>
          <w:tcPr>
            <w:tcW w:w="14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December 31,</w:t>
            </w:r>
          </w:p>
        </w:tc>
        <w:tc>
          <w:tcPr>
            <w:tcW w:w="184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Restructuring</w:t>
            </w:r>
          </w:p>
        </w:tc>
        <w:tc>
          <w:tcPr>
            <w:tcW w:w="1440" w:type="dxa"/>
            <w:vAlign w:val="bottom"/>
          </w:tcPr>
          <w:p>
            <w:pPr>
              <w:spacing w:after="0"/>
              <w:rPr>
                <w:sz w:val="17"/>
                <w:szCs w:val="17"/>
                <w:color w:val="auto"/>
              </w:rPr>
            </w:pPr>
          </w:p>
        </w:tc>
        <w:tc>
          <w:tcPr>
            <w:tcW w:w="2080" w:type="dxa"/>
            <w:vAlign w:val="bottom"/>
          </w:tcPr>
          <w:p>
            <w:pPr>
              <w:jc w:val="right"/>
              <w:ind w:right="710"/>
              <w:spacing w:after="0" w:line="201" w:lineRule="exact"/>
              <w:rPr>
                <w:sz w:val="20"/>
                <w:szCs w:val="20"/>
                <w:color w:val="auto"/>
              </w:rPr>
            </w:pPr>
            <w:r>
              <w:rPr>
                <w:rFonts w:ascii="Arial" w:cs="Arial" w:eastAsia="Arial" w:hAnsi="Arial"/>
                <w:sz w:val="18"/>
                <w:szCs w:val="18"/>
                <w:b w:val="1"/>
                <w:bCs w:val="1"/>
                <w:color w:val="auto"/>
              </w:rPr>
              <w:t>Currency</w:t>
            </w:r>
          </w:p>
        </w:tc>
        <w:tc>
          <w:tcPr>
            <w:tcW w:w="13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March 31,</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charges accrued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Payments</w:t>
            </w:r>
          </w:p>
        </w:tc>
        <w:tc>
          <w:tcPr>
            <w:tcW w:w="2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translation/other</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Termination costs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$9,656</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2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$481</w:t>
            </w: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399"/>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$9,656</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2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$481</w:t>
            </w: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We expect that substantially all accruals for restructuring liabilities will be paid within one year. The table below presents year-to-date changes in restructuring liabilities for 2014 and 2013 all of which related to termination costs: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0"/>
        </w:trPr>
        <w:tc>
          <w:tcPr>
            <w:tcW w:w="31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8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Restructuring</w:t>
            </w:r>
          </w:p>
        </w:tc>
        <w:tc>
          <w:tcPr>
            <w:tcW w:w="12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Currency</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r>
      <w:tr>
        <w:trPr>
          <w:trHeight w:val="225"/>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charges accrued</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Payments</w:t>
            </w:r>
          </w:p>
        </w:tc>
        <w:tc>
          <w:tcPr>
            <w:tcW w:w="2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translation/other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r>
      <w:tr>
        <w:trPr>
          <w:trHeight w:val="399"/>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Termination costs</w:t>
            </w:r>
          </w:p>
        </w:tc>
        <w:tc>
          <w:tcPr>
            <w:tcW w:w="1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$4,947</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$636</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($1,716)</w:t>
            </w:r>
          </w:p>
        </w:tc>
        <w:tc>
          <w:tcPr>
            <w:tcW w:w="2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$71</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$3,938</w:t>
            </w:r>
          </w:p>
        </w:tc>
      </w:tr>
      <w:tr>
        <w:trPr>
          <w:trHeight w:val="399"/>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$4,947</w:t>
            </w:r>
          </w:p>
        </w:tc>
        <w:tc>
          <w:tcPr>
            <w:tcW w:w="1840" w:type="dxa"/>
            <w:vAlign w:val="bottom"/>
          </w:tcPr>
          <w:p>
            <w:pPr>
              <w:jc w:val="right"/>
              <w:ind w:right="210"/>
              <w:spacing w:after="0"/>
              <w:rPr>
                <w:sz w:val="20"/>
                <w:szCs w:val="20"/>
                <w:color w:val="auto"/>
              </w:rPr>
            </w:pPr>
            <w:r>
              <w:rPr>
                <w:rFonts w:ascii="Arial" w:cs="Arial" w:eastAsia="Arial" w:hAnsi="Arial"/>
                <w:sz w:val="18"/>
                <w:szCs w:val="18"/>
                <w:color w:val="auto"/>
              </w:rPr>
              <w:t>$636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($1,716)</w:t>
            </w:r>
          </w:p>
        </w:tc>
        <w:tc>
          <w:tcPr>
            <w:tcW w:w="202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$3,938</w:t>
            </w:r>
          </w:p>
        </w:tc>
      </w:tr>
      <w:tr>
        <w:trPr>
          <w:trHeight w:val="885"/>
        </w:trPr>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6. Other (Income)/Expense, net</w:t>
            </w:r>
          </w:p>
        </w:tc>
        <w:tc>
          <w:tcPr>
            <w:tcW w:w="190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000" w:type="dxa"/>
            <w:vAlign w:val="bottom"/>
            <w:gridSpan w:val="2"/>
          </w:tcPr>
          <w:p>
            <w:pPr>
              <w:ind w:left="660"/>
              <w:spacing w:after="0"/>
              <w:rPr>
                <w:sz w:val="20"/>
                <w:szCs w:val="20"/>
                <w:color w:val="auto"/>
              </w:rPr>
            </w:pPr>
            <w:r>
              <w:rPr>
                <w:rFonts w:ascii="Arial" w:cs="Arial" w:eastAsia="Arial" w:hAnsi="Arial"/>
                <w:sz w:val="18"/>
                <w:szCs w:val="18"/>
                <w:color w:val="auto"/>
              </w:rPr>
              <w:t>The components of other (income)/expense, net, are:</w:t>
            </w: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2"/>
        </w:trPr>
        <w:tc>
          <w:tcPr>
            <w:tcW w:w="3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40" w:type="dxa"/>
            <w:vAlign w:val="bottom"/>
            <w:gridSpan w:val="3"/>
          </w:tcPr>
          <w:p>
            <w:pPr>
              <w:jc w:val="right"/>
              <w:ind w:right="360"/>
              <w:spacing w:after="0"/>
              <w:rPr>
                <w:sz w:val="20"/>
                <w:szCs w:val="20"/>
                <w:color w:val="auto"/>
              </w:rPr>
            </w:pPr>
            <w:r>
              <w:rPr>
                <w:rFonts w:ascii="Arial" w:cs="Arial" w:eastAsia="Arial" w:hAnsi="Arial"/>
                <w:sz w:val="18"/>
                <w:szCs w:val="18"/>
                <w:color w:val="auto"/>
              </w:rPr>
              <w:t>Three months ended March 31,</w:t>
            </w:r>
          </w:p>
        </w:tc>
      </w:tr>
      <w:tr>
        <w:trPr>
          <w:trHeight w:val="225"/>
        </w:trPr>
        <w:tc>
          <w:tcPr>
            <w:tcW w:w="3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19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3100" w:type="dxa"/>
            <w:vAlign w:val="bottom"/>
          </w:tcPr>
          <w:p>
            <w:pPr>
              <w:ind w:left="60"/>
              <w:spacing w:after="0" w:line="173" w:lineRule="exact"/>
              <w:rPr>
                <w:sz w:val="20"/>
                <w:szCs w:val="20"/>
                <w:color w:val="auto"/>
              </w:rPr>
            </w:pPr>
            <w:r>
              <w:rPr>
                <w:rFonts w:ascii="Arial" w:cs="Arial" w:eastAsia="Arial" w:hAnsi="Arial"/>
                <w:sz w:val="18"/>
                <w:szCs w:val="18"/>
                <w:color w:val="auto"/>
              </w:rPr>
              <w:t>Currency transactions</w:t>
            </w: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2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($505)</w:t>
            </w:r>
          </w:p>
        </w:tc>
        <w:tc>
          <w:tcPr>
            <w:tcW w:w="13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r>
      <w:tr>
        <w:trPr>
          <w:trHeight w:val="203"/>
        </w:trPr>
        <w:tc>
          <w:tcPr>
            <w:tcW w:w="50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312</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621</w:t>
            </w:r>
          </w:p>
        </w:tc>
        <w:tc>
          <w:tcPr>
            <w:tcW w:w="20" w:type="dxa"/>
            <w:vAlign w:val="bottom"/>
          </w:tcPr>
          <w:p>
            <w:pPr>
              <w:spacing w:after="0"/>
              <w:rPr>
                <w:sz w:val="17"/>
                <w:szCs w:val="17"/>
                <w:color w:val="auto"/>
              </w:rPr>
            </w:pPr>
          </w:p>
        </w:tc>
      </w:tr>
      <w:tr>
        <w:trPr>
          <w:trHeight w:val="225"/>
        </w:trPr>
        <w:tc>
          <w:tcPr>
            <w:tcW w:w="3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(274)</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r>
      <w:tr>
        <w:trPr>
          <w:trHeight w:val="196"/>
        </w:trPr>
        <w:tc>
          <w:tcPr>
            <w:tcW w:w="3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($467)</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$734</w:t>
            </w:r>
          </w:p>
        </w:tc>
        <w:tc>
          <w:tcPr>
            <w:tcW w:w="20" w:type="dxa"/>
            <w:vAlign w:val="bottom"/>
          </w:tcPr>
          <w:p>
            <w:pPr>
              <w:spacing w:after="0"/>
              <w:rPr>
                <w:sz w:val="17"/>
                <w:szCs w:val="17"/>
                <w:color w:val="auto"/>
              </w:rPr>
            </w:pPr>
          </w:p>
        </w:tc>
      </w:tr>
    </w:tbl>
    <w:p>
      <w:pPr>
        <w:spacing w:after="0" w:line="215" w:lineRule="exact"/>
        <w:rPr>
          <w:sz w:val="20"/>
          <w:szCs w:val="20"/>
          <w:color w:val="auto"/>
        </w:rPr>
      </w:pPr>
    </w:p>
    <w:p>
      <w:pPr>
        <w:ind w:right="420" w:firstLine="648"/>
        <w:spacing w:after="0" w:line="239" w:lineRule="auto"/>
        <w:rPr>
          <w:sz w:val="20"/>
          <w:szCs w:val="20"/>
          <w:color w:val="auto"/>
        </w:rPr>
      </w:pPr>
      <w:r>
        <w:rPr>
          <w:rFonts w:ascii="Arial" w:cs="Arial" w:eastAsia="Arial" w:hAnsi="Arial"/>
          <w:sz w:val="18"/>
          <w:szCs w:val="18"/>
          <w:color w:val="auto"/>
        </w:rPr>
        <w:t>In July 2013, the Company’s manufacturing facility in Germany was damaged by severe weather. The Company expensed the remaining book value of the damaged property, but that value was minimal. We have filed an insurance claim, but the final amount that the Company will recover has not been determined. We expect to record a gain for this involuntary conversion when the insurance claim is settled, but the amount of the gain cannot presently be determined.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 for the three month period ended March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Three months ended March 31,</w:t>
      </w:r>
    </w:p>
    <w:tbl>
      <w:tblPr>
        <w:tblLayout w:type="fixed"/>
        <w:tblInd w:w="0" w:type="dxa"/>
        <w:tblCellMar>
          <w:top w:w="0" w:type="dxa"/>
          <w:left w:w="0" w:type="dxa"/>
          <w:bottom w:w="0" w:type="dxa"/>
          <w:right w:w="0" w:type="dxa"/>
        </w:tblCellMar>
      </w:tblPr>
      <w:tr>
        <w:trPr>
          <w:trHeight w:val="159"/>
        </w:trPr>
        <w:tc>
          <w:tcPr>
            <w:tcW w:w="86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rPr>
              <w:t>(in thousands)</w:t>
            </w:r>
          </w:p>
        </w:tc>
        <w:tc>
          <w:tcPr>
            <w:tcW w:w="1840" w:type="dxa"/>
            <w:vAlign w:val="bottom"/>
            <w:tcBorders>
              <w:bottom w:val="single" w:sz="8" w:color="auto"/>
            </w:tcBorders>
          </w:tcPr>
          <w:p>
            <w:pPr>
              <w:jc w:val="right"/>
              <w:ind w:right="273"/>
              <w:spacing w:after="0" w:line="159" w:lineRule="exact"/>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866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 at estimated tax rates of 35% and 34%,</w:t>
            </w:r>
          </w:p>
        </w:tc>
        <w:tc>
          <w:tcPr>
            <w:tcW w:w="18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$6,353</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66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1840" w:type="dxa"/>
            <w:vAlign w:val="bottom"/>
            <w:vMerge w:val="continue"/>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189"/>
        </w:trPr>
        <w:tc>
          <w:tcPr>
            <w:tcW w:w="8660" w:type="dxa"/>
            <w:vAlign w:val="bottom"/>
            <w:tcBorders>
              <w:bottom w:val="single" w:sz="8" w:color="auto"/>
            </w:tcBorders>
            <w:gridSpan w:val="2"/>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66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1840" w:type="dxa"/>
            <w:vAlign w:val="bottom"/>
          </w:tcPr>
          <w:p>
            <w:pPr>
              <w:jc w:val="right"/>
              <w:ind w:right="273"/>
              <w:spacing w:after="0"/>
              <w:rPr>
                <w:sz w:val="20"/>
                <w:szCs w:val="20"/>
                <w:color w:val="auto"/>
              </w:rPr>
            </w:pPr>
            <w:r>
              <w:rPr>
                <w:rFonts w:ascii="Arial" w:cs="Arial" w:eastAsia="Arial" w:hAnsi="Arial"/>
                <w:sz w:val="18"/>
                <w:szCs w:val="18"/>
                <w:b w:val="1"/>
                <w:bCs w:val="1"/>
                <w:color w:val="auto"/>
              </w:rPr>
              <w:t>6,353</w:t>
            </w:r>
          </w:p>
        </w:tc>
        <w:tc>
          <w:tcPr>
            <w:tcW w:w="920" w:type="dxa"/>
            <w:vAlign w:val="bottom"/>
          </w:tcPr>
          <w:p>
            <w:pPr>
              <w:jc w:val="right"/>
              <w:spacing w:after="0"/>
              <w:rPr>
                <w:sz w:val="20"/>
                <w:szCs w:val="20"/>
                <w:color w:val="auto"/>
              </w:rPr>
            </w:pPr>
            <w:r>
              <w:rPr>
                <w:rFonts w:ascii="Arial" w:cs="Arial" w:eastAsia="Arial" w:hAnsi="Arial"/>
                <w:sz w:val="18"/>
                <w:szCs w:val="18"/>
                <w:color w:val="auto"/>
              </w:rPr>
              <w:t>6,038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866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1840" w:type="dxa"/>
            <w:vAlign w:val="bottom"/>
            <w:vMerge w:val="restart"/>
          </w:tcPr>
          <w:p>
            <w:pPr>
              <w:jc w:val="right"/>
              <w:ind w:right="273"/>
              <w:spacing w:after="0"/>
              <w:rPr>
                <w:sz w:val="20"/>
                <w:szCs w:val="20"/>
                <w:color w:val="auto"/>
              </w:rPr>
            </w:pPr>
            <w:r>
              <w:rPr>
                <w:rFonts w:ascii="Arial" w:cs="Arial" w:eastAsia="Arial" w:hAnsi="Arial"/>
                <w:sz w:val="18"/>
                <w:szCs w:val="18"/>
                <w:b w:val="1"/>
                <w:bCs w:val="1"/>
                <w:color w:val="auto"/>
              </w:rPr>
              <w:t>880</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tcPr>
          <w:p>
            <w:pPr>
              <w:ind w:left="80"/>
              <w:spacing w:after="0" w:line="181" w:lineRule="exact"/>
              <w:rPr>
                <w:sz w:val="20"/>
                <w:szCs w:val="20"/>
                <w:color w:val="auto"/>
              </w:rPr>
            </w:pPr>
            <w:r>
              <w:rPr>
                <w:rFonts w:ascii="Arial" w:cs="Arial" w:eastAsia="Arial" w:hAnsi="Arial"/>
                <w:sz w:val="18"/>
                <w:szCs w:val="18"/>
                <w:color w:val="auto"/>
              </w:rPr>
              <w:t>Provision for/resolution of tax audits and contingencies, net</w:t>
            </w:r>
          </w:p>
        </w:tc>
        <w:tc>
          <w:tcPr>
            <w:tcW w:w="1840" w:type="dxa"/>
            <w:vAlign w:val="bottom"/>
            <w:vMerge w:val="continue"/>
          </w:tcPr>
          <w:p>
            <w:pPr>
              <w:spacing w:after="0"/>
              <w:rPr>
                <w:sz w:val="15"/>
                <w:szCs w:val="15"/>
                <w:color w:val="auto"/>
              </w:rPr>
            </w:pPr>
          </w:p>
        </w:tc>
        <w:tc>
          <w:tcPr>
            <w:tcW w:w="94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Adjustments to prior period tax liabilities</w:t>
            </w:r>
          </w:p>
        </w:tc>
        <w:tc>
          <w:tcPr>
            <w:tcW w:w="1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224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1840" w:type="dxa"/>
            <w:vAlign w:val="bottom"/>
            <w:tcBorders>
              <w:bottom w:val="single" w:sz="8" w:color="auto"/>
            </w:tcBorders>
          </w:tcPr>
          <w:p>
            <w:pPr>
              <w:jc w:val="right"/>
              <w:ind w:right="273"/>
              <w:spacing w:after="0" w:line="196" w:lineRule="exact"/>
              <w:rPr>
                <w:sz w:val="20"/>
                <w:szCs w:val="20"/>
                <w:color w:val="auto"/>
              </w:rPr>
            </w:pPr>
            <w:r>
              <w:rPr>
                <w:rFonts w:ascii="Arial" w:cs="Arial" w:eastAsia="Arial" w:hAnsi="Arial"/>
                <w:sz w:val="18"/>
                <w:szCs w:val="18"/>
                <w:b w:val="1"/>
                <w:bCs w:val="1"/>
                <w:color w:val="auto"/>
              </w:rPr>
              <w:t>$7,457</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first quarter estimated effective tax rate on continuing operations was 35.0 percent in 2014, as compared to 34.0 percent for the same period in 2013. The change in the estimated effective tax rate was primarily attributable to the amount and distribution of income and loss among the countries in which we operate.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2" w:name="page13"/>
    <w:bookmarkEnd w:id="12"/>
    <w:p>
      <w:pPr>
        <w:ind w:right="200" w:firstLine="648"/>
        <w:spacing w:after="0" w:line="239" w:lineRule="auto"/>
        <w:rPr>
          <w:sz w:val="20"/>
          <w:szCs w:val="20"/>
          <w:color w:val="auto"/>
        </w:rPr>
      </w:pPr>
      <w:r>
        <w:rPr>
          <w:rFonts w:ascii="Arial" w:cs="Arial" w:eastAsia="Arial" w:hAnsi="Arial"/>
          <w:sz w:val="18"/>
          <w:szCs w:val="18"/>
          <w:color w:val="auto"/>
        </w:rPr>
        <w:t>At March 31, 2014 the Company reported a deferred tax liability of $0.7 million on $11.8 million of prior year non-U.S. earnings that have been targeted for future repatriation to the U.S. The Company records the residual U.S. and foreign taxes on certain amounts of current foreign earnings that have been targeted for repatriation to the U.S. As a result, such amounts are not considered to be permanently reinvested, and the Company accrued for the residual taxes on these earnings to the extent they cannot be repatriated in a tax-free manner.</w:t>
      </w:r>
    </w:p>
    <w:p>
      <w:pPr>
        <w:spacing w:after="0" w:line="16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In the normal course of business we are subject to examination by taxing authorities throughout the world, including major jurisdictions such as the United States, Brazil, Canada, China, France, Germany, Italy, Mexico, and Switzerland. The open tax years in these jurisdictions range from 2000 to 2013. We are currently under audit in the U.S. and in other non-U.S. tax jurisdictions, including but not limited to Canada, Italy and Germany.</w:t>
      </w:r>
    </w:p>
    <w:p>
      <w:pPr>
        <w:spacing w:after="0" w:line="17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It is reasonably possible that over the next twelve months the amount of the liability on uncertain tax positions may change within a range of a net increase of $ 0 million to a net decrease of $9.7 million, from the reevaluation of uncertain tax positions arising in examinations, in appeals, or in the courts, or from the closure of tax statutes. Not included in the range is $24.0 million of tax benefits in Germany related to a 1999 reorganization that have been challenged by the German tax authorities in the course of an audit, of which $15.5 million would have a direct impact on our statement of income if resolved unfavorably.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Although we were required to pay tax and interest of approximately $16.5 million to the German tax authorities in order to continue to pursue the position, when taking into consideration the ECJ decision, the latest FTC decision and the lower court decision,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36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4180" w:type="dxa"/>
            <w:vAlign w:val="bottom"/>
            <w:tcBorders>
              <w:top w:val="single" w:sz="8" w:color="auto"/>
            </w:tcBorders>
            <w:gridSpan w:val="2"/>
          </w:tcPr>
          <w:p>
            <w:pPr>
              <w:jc w:val="right"/>
              <w:ind w:right="230"/>
              <w:spacing w:after="0" w:line="194" w:lineRule="exact"/>
              <w:rPr>
                <w:sz w:val="20"/>
                <w:szCs w:val="20"/>
                <w:color w:val="auto"/>
              </w:rPr>
            </w:pPr>
            <w:r>
              <w:rPr>
                <w:rFonts w:ascii="Arial" w:cs="Arial" w:eastAsia="Arial" w:hAnsi="Arial"/>
                <w:sz w:val="18"/>
                <w:szCs w:val="18"/>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data)</w:t>
            </w:r>
          </w:p>
        </w:tc>
        <w:tc>
          <w:tcPr>
            <w:tcW w:w="14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1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6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Weighted average number of shares used in</w:t>
            </w:r>
          </w:p>
        </w:tc>
        <w:tc>
          <w:tcPr>
            <w:tcW w:w="2140" w:type="dxa"/>
            <w:vAlign w:val="bottom"/>
          </w:tcPr>
          <w:p>
            <w:pPr>
              <w:spacing w:after="0"/>
              <w:rPr>
                <w:sz w:val="24"/>
                <w:szCs w:val="24"/>
                <w:color w:val="auto"/>
              </w:rPr>
            </w:pPr>
          </w:p>
        </w:tc>
        <w:tc>
          <w:tcPr>
            <w:tcW w:w="2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31,786</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calculating basic net income/(loss) per share</w:t>
            </w:r>
          </w:p>
        </w:tc>
        <w:tc>
          <w:tcPr>
            <w:tcW w:w="214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31,496</w:t>
            </w:r>
          </w:p>
        </w:tc>
        <w:tc>
          <w:tcPr>
            <w:tcW w:w="0" w:type="dxa"/>
            <w:vAlign w:val="bottom"/>
          </w:tcPr>
          <w:p>
            <w:pPr>
              <w:spacing w:after="0"/>
              <w:rPr>
                <w:sz w:val="1"/>
                <w:szCs w:val="1"/>
                <w:color w:val="auto"/>
              </w:rPr>
            </w:pPr>
          </w:p>
        </w:tc>
      </w:tr>
      <w:tr>
        <w:trPr>
          <w:trHeight w:val="405"/>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6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48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Long-term incentive plan</w:t>
            </w:r>
          </w:p>
        </w:tc>
        <w:tc>
          <w:tcPr>
            <w:tcW w:w="1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62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32,051</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1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15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31,782</w:t>
            </w:r>
          </w:p>
        </w:tc>
        <w:tc>
          <w:tcPr>
            <w:tcW w:w="0" w:type="dxa"/>
            <w:vAlign w:val="bottom"/>
          </w:tcPr>
          <w:p>
            <w:pPr>
              <w:spacing w:after="0"/>
              <w:rPr>
                <w:sz w:val="1"/>
                <w:szCs w:val="1"/>
                <w:color w:val="auto"/>
              </w:rPr>
            </w:pPr>
          </w:p>
        </w:tc>
      </w:tr>
      <w:tr>
        <w:trPr>
          <w:trHeight w:val="398"/>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 of stock-based compensation plans</w:t>
            </w:r>
          </w:p>
        </w:tc>
        <w:tc>
          <w:tcPr>
            <w:tcW w:w="148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that were not included in the computation of</w:t>
            </w:r>
          </w:p>
        </w:tc>
        <w:tc>
          <w:tcPr>
            <w:tcW w:w="1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diluted earnings per share because</w:t>
            </w:r>
          </w:p>
        </w:tc>
        <w:tc>
          <w:tcPr>
            <w:tcW w:w="1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3" w:lineRule="exact"/>
              <w:rPr>
                <w:sz w:val="20"/>
                <w:szCs w:val="20"/>
                <w:color w:val="auto"/>
              </w:rPr>
            </w:pPr>
            <w:r>
              <w:rPr>
                <w:rFonts w:ascii="Arial" w:cs="Arial" w:eastAsia="Arial" w:hAnsi="Arial"/>
                <w:sz w:val="18"/>
                <w:szCs w:val="18"/>
                <w:color w:val="auto"/>
              </w:rPr>
              <w:t>to do so would have been antidilutive</w:t>
            </w:r>
          </w:p>
        </w:tc>
        <w:tc>
          <w:tcPr>
            <w:tcW w:w="1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15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Average market price of common stock used</w:t>
            </w:r>
          </w:p>
        </w:tc>
        <w:tc>
          <w:tcPr>
            <w:tcW w:w="148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$35.68</w:t>
            </w:r>
          </w:p>
        </w:tc>
        <w:tc>
          <w:tcPr>
            <w:tcW w:w="1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1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15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412"/>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per share:</w:t>
            </w:r>
          </w:p>
        </w:tc>
        <w:tc>
          <w:tcPr>
            <w:tcW w:w="148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620" w:type="dxa"/>
            <w:vAlign w:val="bottom"/>
          </w:tcPr>
          <w:p>
            <w:pPr>
              <w:ind w:left="16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148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1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240" w:type="dxa"/>
            <w:vAlign w:val="bottom"/>
            <w:gridSpan w:val="3"/>
          </w:tcPr>
          <w:p>
            <w:pPr>
              <w:jc w:val="center"/>
              <w:spacing w:after="0"/>
              <w:rPr>
                <w:sz w:val="20"/>
                <w:szCs w:val="20"/>
                <w:color w:val="auto"/>
              </w:rPr>
            </w:pPr>
            <w:r>
              <w:rPr>
                <w:rFonts w:ascii="Arial" w:cs="Arial" w:eastAsia="Arial" w:hAnsi="Arial"/>
                <w:sz w:val="18"/>
                <w:szCs w:val="18"/>
                <w:color w:val="auto"/>
                <w:w w:val="99"/>
              </w:rPr>
              <w:t>The following table presents the number of shares issued and outstanding:</w:t>
            </w:r>
          </w:p>
        </w:tc>
        <w:tc>
          <w:tcPr>
            <w:tcW w:w="2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17"/>
                <w:szCs w:val="17"/>
                <w:color w:val="auto"/>
              </w:rPr>
            </w:pPr>
          </w:p>
        </w:tc>
        <w:tc>
          <w:tcPr>
            <w:tcW w:w="2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00" w:type="dxa"/>
            <w:vAlign w:val="bottom"/>
            <w:tcBorders>
              <w:top w:val="single" w:sz="8" w:color="auto"/>
            </w:tcBorders>
            <w:gridSpan w:val="2"/>
          </w:tcPr>
          <w:p>
            <w:pPr>
              <w:jc w:val="center"/>
              <w:ind w:left="2030"/>
              <w:spacing w:after="0" w:line="195" w:lineRule="exact"/>
              <w:rPr>
                <w:sz w:val="20"/>
                <w:szCs w:val="20"/>
                <w:color w:val="auto"/>
              </w:rPr>
            </w:pPr>
            <w:r>
              <w:rPr>
                <w:rFonts w:ascii="Arial" w:cs="Arial" w:eastAsia="Arial" w:hAnsi="Arial"/>
                <w:sz w:val="18"/>
                <w:szCs w:val="18"/>
                <w:color w:val="auto"/>
                <w:w w:val="99"/>
              </w:rPr>
              <w:t>Class A</w:t>
            </w:r>
          </w:p>
        </w:tc>
        <w:tc>
          <w:tcPr>
            <w:tcW w:w="2140" w:type="dxa"/>
            <w:vAlign w:val="bottom"/>
            <w:tcBorders>
              <w:top w:val="single" w:sz="8" w:color="auto"/>
            </w:tcBorders>
          </w:tcPr>
          <w:p>
            <w:pPr>
              <w:ind w:left="500"/>
              <w:spacing w:after="0" w:line="195" w:lineRule="exact"/>
              <w:rPr>
                <w:sz w:val="20"/>
                <w:szCs w:val="20"/>
                <w:color w:val="auto"/>
              </w:rPr>
            </w:pPr>
            <w:r>
              <w:rPr>
                <w:rFonts w:ascii="Arial" w:cs="Arial" w:eastAsia="Arial" w:hAnsi="Arial"/>
                <w:sz w:val="18"/>
                <w:szCs w:val="18"/>
                <w:color w:val="auto"/>
              </w:rPr>
              <w:t>Class B</w:t>
            </w:r>
          </w:p>
        </w:tc>
        <w:tc>
          <w:tcPr>
            <w:tcW w:w="2700" w:type="dxa"/>
            <w:vAlign w:val="bottom"/>
            <w:tcBorders>
              <w:top w:val="single" w:sz="8" w:color="auto"/>
            </w:tcBorders>
          </w:tcPr>
          <w:p>
            <w:pPr>
              <w:jc w:val="right"/>
              <w:ind w:right="1070"/>
              <w:spacing w:after="0" w:line="195" w:lineRule="exact"/>
              <w:rPr>
                <w:sz w:val="20"/>
                <w:szCs w:val="20"/>
                <w:color w:val="auto"/>
              </w:rPr>
            </w:pPr>
            <w:r>
              <w:rPr>
                <w:rFonts w:ascii="Arial" w:cs="Arial" w:eastAsia="Arial" w:hAnsi="Arial"/>
                <w:sz w:val="18"/>
                <w:szCs w:val="18"/>
                <w:color w:val="auto"/>
              </w:rPr>
              <w:t>Less: Treasury</w:t>
            </w:r>
          </w:p>
        </w:tc>
        <w:tc>
          <w:tcPr>
            <w:tcW w:w="1480" w:type="dxa"/>
            <w:vAlign w:val="bottom"/>
            <w:tcBorders>
              <w:top w:val="single" w:sz="8" w:color="auto"/>
            </w:tcBorders>
          </w:tcPr>
          <w:p>
            <w:pPr>
              <w:jc w:val="right"/>
              <w:ind w:right="450"/>
              <w:spacing w:after="0" w:line="195" w:lineRule="exact"/>
              <w:rPr>
                <w:sz w:val="20"/>
                <w:szCs w:val="20"/>
                <w:color w:val="auto"/>
              </w:rPr>
            </w:pPr>
            <w:r>
              <w:rPr>
                <w:rFonts w:ascii="Arial" w:cs="Arial" w:eastAsia="Arial" w:hAnsi="Arial"/>
                <w:sz w:val="18"/>
                <w:szCs w:val="18"/>
                <w:color w:val="auto"/>
              </w:rPr>
              <w:t>Net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jc w:val="center"/>
              <w:ind w:left="2030"/>
              <w:spacing w:after="0" w:line="203" w:lineRule="exact"/>
              <w:rPr>
                <w:sz w:val="20"/>
                <w:szCs w:val="20"/>
                <w:color w:val="auto"/>
              </w:rPr>
            </w:pPr>
            <w:r>
              <w:rPr>
                <w:rFonts w:ascii="Arial" w:cs="Arial" w:eastAsia="Arial" w:hAnsi="Arial"/>
                <w:sz w:val="18"/>
                <w:szCs w:val="18"/>
                <w:color w:val="auto"/>
              </w:rPr>
              <w:t>Shares</w:t>
            </w:r>
          </w:p>
        </w:tc>
        <w:tc>
          <w:tcPr>
            <w:tcW w:w="2140" w:type="dxa"/>
            <w:vAlign w:val="bottom"/>
          </w:tcPr>
          <w:p>
            <w:pPr>
              <w:ind w:left="520"/>
              <w:spacing w:after="0" w:line="203" w:lineRule="exact"/>
              <w:rPr>
                <w:sz w:val="20"/>
                <w:szCs w:val="20"/>
                <w:color w:val="auto"/>
              </w:rPr>
            </w:pPr>
            <w:r>
              <w:rPr>
                <w:rFonts w:ascii="Arial" w:cs="Arial" w:eastAsia="Arial" w:hAnsi="Arial"/>
                <w:sz w:val="18"/>
                <w:szCs w:val="18"/>
                <w:color w:val="auto"/>
              </w:rPr>
              <w:t>Shares</w:t>
            </w:r>
          </w:p>
        </w:tc>
        <w:tc>
          <w:tcPr>
            <w:tcW w:w="2700" w:type="dxa"/>
            <w:vAlign w:val="bottom"/>
          </w:tcPr>
          <w:p>
            <w:pPr>
              <w:jc w:val="right"/>
              <w:ind w:right="1370"/>
              <w:spacing w:after="0" w:line="203" w:lineRule="exact"/>
              <w:rPr>
                <w:sz w:val="20"/>
                <w:szCs w:val="20"/>
                <w:color w:val="auto"/>
              </w:rPr>
            </w:pPr>
            <w:r>
              <w:rPr>
                <w:rFonts w:ascii="Arial" w:cs="Arial" w:eastAsia="Arial" w:hAnsi="Arial"/>
                <w:sz w:val="18"/>
                <w:szCs w:val="18"/>
                <w:color w:val="auto"/>
              </w:rPr>
              <w:t>Shares</w:t>
            </w:r>
          </w:p>
        </w:tc>
        <w:tc>
          <w:tcPr>
            <w:tcW w:w="150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398"/>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March 31, 2014</w:t>
            </w:r>
          </w:p>
        </w:tc>
        <w:tc>
          <w:tcPr>
            <w:tcW w:w="14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37,049,339</w:t>
            </w:r>
          </w:p>
        </w:tc>
        <w:tc>
          <w:tcPr>
            <w:tcW w:w="2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3,236,098</w:t>
            </w:r>
          </w:p>
        </w:tc>
        <w:tc>
          <w:tcPr>
            <w:tcW w:w="27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(8,463,635)</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31,821,802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December 31, 2013</w:t>
            </w:r>
          </w:p>
        </w:tc>
        <w:tc>
          <w:tcPr>
            <w:tcW w:w="14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36,996,227</w:t>
            </w:r>
          </w:p>
        </w:tc>
        <w:tc>
          <w:tcPr>
            <w:tcW w:w="21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3,236,098</w:t>
            </w:r>
          </w:p>
        </w:tc>
        <w:tc>
          <w:tcPr>
            <w:tcW w:w="2700" w:type="dxa"/>
            <w:vAlign w:val="bottom"/>
          </w:tcPr>
          <w:p>
            <w:pPr>
              <w:jc w:val="right"/>
              <w:ind w:right="690"/>
              <w:spacing w:after="0" w:line="202" w:lineRule="exact"/>
              <w:rPr>
                <w:sz w:val="20"/>
                <w:szCs w:val="20"/>
                <w:color w:val="auto"/>
              </w:rPr>
            </w:pPr>
            <w:r>
              <w:rPr>
                <w:rFonts w:ascii="Arial" w:cs="Arial" w:eastAsia="Arial" w:hAnsi="Arial"/>
                <w:sz w:val="18"/>
                <w:szCs w:val="18"/>
                <w:color w:val="auto"/>
              </w:rPr>
              <w:t>(8,463,635)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31,768,690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March 31, 2013</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36,827,227</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3,236,098</w:t>
            </w:r>
          </w:p>
        </w:tc>
        <w:tc>
          <w:tcPr>
            <w:tcW w:w="2700" w:type="dxa"/>
            <w:vAlign w:val="bottom"/>
          </w:tcPr>
          <w:p>
            <w:pPr>
              <w:jc w:val="right"/>
              <w:ind w:right="690"/>
              <w:spacing w:after="0"/>
              <w:rPr>
                <w:sz w:val="20"/>
                <w:szCs w:val="20"/>
                <w:color w:val="auto"/>
              </w:rPr>
            </w:pPr>
            <w:r>
              <w:rPr>
                <w:rFonts w:ascii="Arial" w:cs="Arial" w:eastAsia="Arial" w:hAnsi="Arial"/>
                <w:sz w:val="18"/>
                <w:szCs w:val="18"/>
                <w:color w:val="auto"/>
              </w:rPr>
              <w:t>(8,467,873)</w:t>
            </w:r>
          </w:p>
        </w:tc>
        <w:tc>
          <w:tcPr>
            <w:tcW w:w="1480" w:type="dxa"/>
            <w:vAlign w:val="bottom"/>
          </w:tcPr>
          <w:p>
            <w:pPr>
              <w:jc w:val="right"/>
              <w:spacing w:after="0"/>
              <w:rPr>
                <w:sz w:val="20"/>
                <w:szCs w:val="20"/>
                <w:color w:val="auto"/>
              </w:rPr>
            </w:pPr>
            <w:r>
              <w:rPr>
                <w:rFonts w:ascii="Arial" w:cs="Arial" w:eastAsia="Arial" w:hAnsi="Arial"/>
                <w:sz w:val="18"/>
                <w:szCs w:val="18"/>
                <w:color w:val="auto"/>
              </w:rPr>
              <w:t>31,595,452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3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40" w:type="dxa"/>
            <w:vAlign w:val="bottom"/>
          </w:tcPr>
          <w:p>
            <w:pPr>
              <w:ind w:left="520"/>
              <w:spacing w:after="0"/>
              <w:rPr>
                <w:sz w:val="20"/>
                <w:szCs w:val="20"/>
                <w:color w:val="auto"/>
              </w:rPr>
            </w:pPr>
            <w:r>
              <w:rPr>
                <w:rFonts w:ascii="Arial" w:cs="Arial" w:eastAsia="Arial" w:hAnsi="Arial"/>
                <w:sz w:val="18"/>
                <w:szCs w:val="18"/>
                <w:color w:val="auto"/>
              </w:rPr>
              <w:t>14</w:t>
            </w:r>
          </w:p>
        </w:tc>
        <w:tc>
          <w:tcPr>
            <w:tcW w:w="2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9. Accumulated Other Comprehensive Income</w:t>
      </w:r>
    </w:p>
    <w:p>
      <w:pPr>
        <w:spacing w:after="0" w:line="193"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The table below presents changes in the components of Accumulated Other Comprehensive Income for the period December 31, 2013 to March 31,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color w:val="auto"/>
                <w:w w:val="99"/>
              </w:rPr>
              <w:t>Pension and</w:t>
            </w: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40" w:type="dxa"/>
            <w:vAlign w:val="bottom"/>
          </w:tcPr>
          <w:p>
            <w:pPr>
              <w:jc w:val="center"/>
              <w:ind w:right="30"/>
              <w:spacing w:after="0" w:line="202" w:lineRule="exact"/>
              <w:rPr>
                <w:sz w:val="20"/>
                <w:szCs w:val="20"/>
                <w:color w:val="auto"/>
              </w:rPr>
            </w:pPr>
            <w:r>
              <w:rPr>
                <w:rFonts w:ascii="Arial" w:cs="Arial" w:eastAsia="Arial" w:hAnsi="Arial"/>
                <w:sz w:val="18"/>
                <w:szCs w:val="18"/>
                <w:color w:val="auto"/>
              </w:rPr>
              <w:t>postretirement</w:t>
            </w:r>
          </w:p>
        </w:tc>
        <w:tc>
          <w:tcPr>
            <w:tcW w:w="12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Derivative</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6040" w:type="dxa"/>
            <w:vAlign w:val="bottom"/>
          </w:tcPr>
          <w:p>
            <w:pPr>
              <w:spacing w:after="0"/>
              <w:rPr>
                <w:sz w:val="17"/>
                <w:szCs w:val="17"/>
                <w:color w:val="auto"/>
              </w:rPr>
            </w:pPr>
          </w:p>
        </w:tc>
        <w:tc>
          <w:tcPr>
            <w:tcW w:w="13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Translation</w:t>
            </w: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liability</w:t>
            </w:r>
          </w:p>
        </w:tc>
        <w:tc>
          <w:tcPr>
            <w:tcW w:w="12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valuation</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60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13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adjustments</w:t>
            </w:r>
          </w:p>
        </w:tc>
        <w:tc>
          <w:tcPr>
            <w:tcW w:w="144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w w:val="98"/>
              </w:rPr>
              <w:t>adjustments</w:t>
            </w:r>
          </w:p>
        </w:tc>
        <w:tc>
          <w:tcPr>
            <w:tcW w:w="126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w w:val="99"/>
              </w:rPr>
              <w:t>adjustment</w:t>
            </w:r>
          </w:p>
        </w:tc>
        <w:tc>
          <w:tcPr>
            <w:tcW w:w="13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Income</w:t>
            </w:r>
          </w:p>
        </w:tc>
      </w:tr>
      <w:tr>
        <w:trPr>
          <w:trHeight w:val="399"/>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December 31, 2013</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($48,383)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($49,498)</w:t>
            </w:r>
          </w:p>
        </w:tc>
      </w:tr>
      <w:tr>
        <w:trPr>
          <w:trHeight w:val="195"/>
        </w:trPr>
        <w:tc>
          <w:tcPr>
            <w:tcW w:w="6040" w:type="dxa"/>
            <w:vAlign w:val="bottom"/>
          </w:tcPr>
          <w:p>
            <w:pPr>
              <w:spacing w:after="0" w:line="195" w:lineRule="exact"/>
              <w:rPr>
                <w:sz w:val="20"/>
                <w:szCs w:val="20"/>
                <w:color w:val="auto"/>
              </w:rPr>
            </w:pPr>
            <w:r>
              <w:rPr>
                <w:rFonts w:ascii="Arial" w:cs="Arial" w:eastAsia="Arial" w:hAnsi="Arial"/>
                <w:sz w:val="18"/>
                <w:szCs w:val="18"/>
                <w:color w:val="auto"/>
              </w:rPr>
              <w:t>Other comprehensive income before reclassifications</w:t>
            </w:r>
          </w:p>
        </w:tc>
        <w:tc>
          <w:tcPr>
            <w:tcW w:w="13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($5,599)</w:t>
            </w:r>
          </w:p>
        </w:tc>
        <w:tc>
          <w:tcPr>
            <w:tcW w:w="14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$371</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($220)</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(5,448)</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 of Income,</w:t>
            </w:r>
          </w:p>
        </w:tc>
        <w:tc>
          <w:tcPr>
            <w:tcW w:w="1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net of tax</w:t>
            </w:r>
          </w:p>
        </w:tc>
        <w:tc>
          <w:tcPr>
            <w:tcW w:w="1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 Statement</w:t>
            </w:r>
          </w:p>
        </w:tc>
        <w:tc>
          <w:tcPr>
            <w:tcW w:w="1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0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of Income, net of tax</w:t>
            </w:r>
          </w:p>
        </w:tc>
        <w:tc>
          <w:tcPr>
            <w:tcW w:w="13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131</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131</w:t>
            </w:r>
          </w:p>
        </w:tc>
      </w:tr>
      <w:tr>
        <w:trPr>
          <w:trHeight w:val="196"/>
        </w:trPr>
        <w:tc>
          <w:tcPr>
            <w:tcW w:w="6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(5,599)</w:t>
            </w:r>
          </w:p>
        </w:tc>
        <w:tc>
          <w:tcPr>
            <w:tcW w:w="14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502</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72</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(5,025)</w:t>
            </w:r>
          </w:p>
        </w:tc>
      </w:tr>
      <w:tr>
        <w:trPr>
          <w:trHeight w:val="399"/>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2014</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($5,737)</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($47,881)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($54,523)</w:t>
            </w:r>
          </w:p>
        </w:tc>
      </w:tr>
    </w:tbl>
    <w:p>
      <w:pPr>
        <w:spacing w:after="0" w:line="200" w:lineRule="exact"/>
        <w:rPr>
          <w:sz w:val="20"/>
          <w:szCs w:val="20"/>
          <w:color w:val="auto"/>
        </w:rPr>
      </w:pPr>
    </w:p>
    <w:p>
      <w:pPr>
        <w:spacing w:after="0" w:line="326"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 The table below presents the amounts reclassified, and the line items of the Statement of Income that were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1" w:lineRule="exact"/>
        <w:rPr>
          <w:sz w:val="20"/>
          <w:szCs w:val="20"/>
          <w:color w:val="auto"/>
        </w:rPr>
      </w:pPr>
    </w:p>
    <w:p>
      <w:pPr>
        <w:ind w:left="8440"/>
        <w:spacing w:after="0"/>
        <w:rPr>
          <w:sz w:val="20"/>
          <w:szCs w:val="20"/>
          <w:color w:val="auto"/>
        </w:rPr>
      </w:pPr>
      <w:r>
        <w:rPr>
          <w:rFonts w:ascii="Arial" w:cs="Arial" w:eastAsia="Arial" w:hAnsi="Arial"/>
          <w:sz w:val="20"/>
          <w:szCs w:val="20"/>
          <w:color w:val="auto"/>
        </w:rPr>
        <w:t>Three months ended March 31,</w:t>
      </w:r>
    </w:p>
    <w:tbl>
      <w:tblPr>
        <w:tblLayout w:type="fixed"/>
        <w:tblInd w:w="0" w:type="dxa"/>
        <w:tblCellMar>
          <w:top w:w="0" w:type="dxa"/>
          <w:left w:w="0" w:type="dxa"/>
          <w:bottom w:w="0" w:type="dxa"/>
          <w:right w:w="0" w:type="dxa"/>
        </w:tblCellMar>
      </w:tblP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Expense/(income)</w:t>
            </w:r>
          </w:p>
        </w:tc>
        <w:tc>
          <w:tcPr>
            <w:tcW w:w="186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8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5"/>
        </w:trPr>
        <w:tc>
          <w:tcPr>
            <w:tcW w:w="82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Pretax Derivative valuation reclassified from Accumulated Other Comprehensive Income:</w:t>
            </w:r>
          </w:p>
        </w:tc>
        <w:tc>
          <w:tcPr>
            <w:tcW w:w="18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$478</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20" w:type="dxa"/>
            <w:vAlign w:val="bottom"/>
          </w:tcPr>
          <w:p>
            <w:pPr>
              <w:ind w:left="140"/>
              <w:spacing w:after="0" w:line="181" w:lineRule="exact"/>
              <w:rPr>
                <w:sz w:val="20"/>
                <w:szCs w:val="20"/>
                <w:color w:val="auto"/>
              </w:rPr>
            </w:pPr>
            <w:r>
              <w:rPr>
                <w:rFonts w:ascii="Arial" w:cs="Arial" w:eastAsia="Arial" w:hAnsi="Arial"/>
                <w:sz w:val="18"/>
                <w:szCs w:val="18"/>
                <w:color w:val="auto"/>
              </w:rPr>
              <w:t>Swap interest expense</w:t>
            </w:r>
          </w:p>
        </w:tc>
        <w:tc>
          <w:tcPr>
            <w:tcW w:w="1860" w:type="dxa"/>
            <w:vAlign w:val="bottom"/>
            <w:vMerge w:val="continue"/>
          </w:tcPr>
          <w:p>
            <w:pPr>
              <w:spacing w:after="0"/>
              <w:rPr>
                <w:sz w:val="15"/>
                <w:szCs w:val="15"/>
                <w:color w:val="auto"/>
              </w:rPr>
            </w:pPr>
          </w:p>
        </w:tc>
        <w:tc>
          <w:tcPr>
            <w:tcW w:w="13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effect</w:t>
            </w: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(186)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18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$292</w:t>
            </w:r>
          </w:p>
        </w:tc>
        <w:tc>
          <w:tcPr>
            <w:tcW w:w="1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376"/>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 Accumulated Other</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8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($1,109)</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20" w:type="dxa"/>
            <w:vAlign w:val="bottom"/>
          </w:tcPr>
          <w:p>
            <w:pPr>
              <w:ind w:left="120"/>
              <w:spacing w:after="0" w:line="181" w:lineRule="exact"/>
              <w:rPr>
                <w:sz w:val="20"/>
                <w:szCs w:val="20"/>
                <w:color w:val="auto"/>
              </w:rPr>
            </w:pPr>
            <w:r>
              <w:rPr>
                <w:rFonts w:ascii="Arial" w:cs="Arial" w:eastAsia="Arial" w:hAnsi="Arial"/>
                <w:sz w:val="18"/>
                <w:szCs w:val="18"/>
                <w:color w:val="auto"/>
              </w:rPr>
              <w:t>Amortization of prior service cost/(credit)</w:t>
            </w:r>
          </w:p>
        </w:tc>
        <w:tc>
          <w:tcPr>
            <w:tcW w:w="1860" w:type="dxa"/>
            <w:vAlign w:val="bottom"/>
            <w:vMerge w:val="continue"/>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20"/>
              <w:spacing w:after="0" w:line="202" w:lineRule="exact"/>
              <w:rPr>
                <w:sz w:val="20"/>
                <w:szCs w:val="20"/>
                <w:color w:val="auto"/>
              </w:rPr>
            </w:pPr>
            <w:r>
              <w:rPr>
                <w:rFonts w:ascii="Arial" w:cs="Arial" w:eastAsia="Arial" w:hAnsi="Arial"/>
                <w:sz w:val="18"/>
                <w:szCs w:val="18"/>
                <w:color w:val="auto"/>
              </w:rPr>
              <w:t>Amortization of transition obligation</w:t>
            </w:r>
          </w:p>
        </w:tc>
        <w:tc>
          <w:tcPr>
            <w:tcW w:w="18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Amortization of net actuarial loss</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1,328</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pretax amount reclassified (a)</w:t>
            </w:r>
          </w:p>
        </w:tc>
        <w:tc>
          <w:tcPr>
            <w:tcW w:w="1860" w:type="dxa"/>
            <w:vAlign w:val="bottom"/>
          </w:tcPr>
          <w:p>
            <w:pPr>
              <w:jc w:val="right"/>
              <w:ind w:right="290"/>
              <w:spacing w:after="0"/>
              <w:rPr>
                <w:sz w:val="20"/>
                <w:szCs w:val="20"/>
                <w:color w:val="auto"/>
              </w:rPr>
            </w:pPr>
            <w:r>
              <w:rPr>
                <w:rFonts w:ascii="Arial" w:cs="Arial" w:eastAsia="Arial" w:hAnsi="Arial"/>
                <w:sz w:val="18"/>
                <w:szCs w:val="18"/>
                <w:b w:val="1"/>
                <w:bCs w:val="1"/>
                <w:color w:val="auto"/>
              </w:rPr>
              <w:t>219</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369"/>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(88)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96"/>
        </w:trPr>
        <w:tc>
          <w:tcPr>
            <w:tcW w:w="8240" w:type="dxa"/>
            <w:vAlign w:val="bottom"/>
            <w:gridSpan w:val="2"/>
          </w:tcPr>
          <w:p>
            <w:pPr>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186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$131</w:t>
            </w:r>
          </w:p>
        </w:tc>
        <w:tc>
          <w:tcPr>
            <w:tcW w:w="13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20" w:type="dxa"/>
            <w:vAlign w:val="bottom"/>
            <w:tcBorders>
              <w:top w:val="single" w:sz="8" w:color="auto"/>
            </w:tcBorders>
          </w:tcPr>
          <w:p>
            <w:pPr>
              <w:ind w:left="5600"/>
              <w:spacing w:after="0"/>
              <w:rPr>
                <w:sz w:val="20"/>
                <w:szCs w:val="20"/>
                <w:color w:val="auto"/>
              </w:rPr>
            </w:pPr>
            <w:r>
              <w:rPr>
                <w:rFonts w:ascii="Arial" w:cs="Arial" w:eastAsia="Arial" w:hAnsi="Arial"/>
                <w:sz w:val="18"/>
                <w:szCs w:val="18"/>
                <w:color w:val="auto"/>
              </w:rPr>
              <w:t>15</w:t>
            </w:r>
          </w:p>
        </w:tc>
        <w:tc>
          <w:tcPr>
            <w:tcW w:w="18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These accumulated other comprehensive income components are included in the computation of net periodic pension cost (see Note 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19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business.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Accounts receivable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4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March 31, 2014</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31, 2013</w:t>
            </w:r>
          </w:p>
        </w:tc>
      </w:tr>
      <w:tr>
        <w:trPr>
          <w:trHeight w:val="173"/>
        </w:trPr>
        <w:tc>
          <w:tcPr>
            <w:tcW w:w="20" w:type="dxa"/>
            <w:vAlign w:val="bottom"/>
          </w:tcPr>
          <w:p>
            <w:pPr>
              <w:spacing w:after="0"/>
              <w:rPr>
                <w:sz w:val="15"/>
                <w:szCs w:val="15"/>
                <w:color w:val="auto"/>
              </w:rPr>
            </w:pPr>
          </w:p>
        </w:tc>
        <w:tc>
          <w:tcPr>
            <w:tcW w:w="5580" w:type="dxa"/>
            <w:vAlign w:val="bottom"/>
          </w:tcPr>
          <w:p>
            <w:pPr>
              <w:spacing w:after="0" w:line="173" w:lineRule="exact"/>
              <w:rPr>
                <w:sz w:val="20"/>
                <w:szCs w:val="20"/>
                <w:color w:val="auto"/>
              </w:rPr>
            </w:pPr>
            <w:r>
              <w:rPr>
                <w:rFonts w:ascii="Arial" w:cs="Arial" w:eastAsia="Arial" w:hAnsi="Arial"/>
                <w:sz w:val="18"/>
                <w:szCs w:val="18"/>
                <w:color w:val="auto"/>
              </w:rPr>
              <w:t>Trade accounts receivable</w:t>
            </w:r>
          </w:p>
        </w:tc>
        <w:tc>
          <w:tcPr>
            <w:tcW w:w="402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$152,120</w:t>
            </w:r>
          </w:p>
        </w:tc>
        <w:tc>
          <w:tcPr>
            <w:tcW w:w="1800" w:type="dxa"/>
            <w:vAlign w:val="bottom"/>
          </w:tcPr>
          <w:p>
            <w:pPr>
              <w:jc w:val="right"/>
              <w:ind w:right="30"/>
              <w:spacing w:after="0" w:line="173" w:lineRule="exact"/>
              <w:rPr>
                <w:sz w:val="20"/>
                <w:szCs w:val="20"/>
                <w:color w:val="auto"/>
              </w:rPr>
            </w:pPr>
            <w:r>
              <w:rPr>
                <w:rFonts w:ascii="Arial" w:cs="Arial" w:eastAsia="Arial" w:hAnsi="Arial"/>
                <w:sz w:val="18"/>
                <w:szCs w:val="18"/>
                <w:color w:val="auto"/>
              </w:rPr>
              <w:t>$154,296</w:t>
            </w:r>
          </w:p>
        </w:tc>
      </w:tr>
      <w:tr>
        <w:trPr>
          <w:trHeight w:val="203"/>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0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10,680</w:t>
            </w:r>
          </w:p>
        </w:tc>
        <w:tc>
          <w:tcPr>
            <w:tcW w:w="1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20,525</w:t>
            </w:r>
          </w:p>
        </w:tc>
      </w:tr>
      <w:tr>
        <w:trPr>
          <w:trHeight w:val="225"/>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4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(10,427)</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(11,274)</w:t>
            </w:r>
          </w:p>
        </w:tc>
      </w:tr>
      <w:tr>
        <w:trPr>
          <w:trHeight w:val="196"/>
        </w:trPr>
        <w:tc>
          <w:tcPr>
            <w:tcW w:w="56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Accounts Receivable</w:t>
            </w:r>
          </w:p>
        </w:tc>
        <w:tc>
          <w:tcPr>
            <w:tcW w:w="40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$152,373</w:t>
            </w:r>
          </w:p>
        </w:tc>
        <w:tc>
          <w:tcPr>
            <w:tcW w:w="18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$163,547</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20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The Company maintains reserves for possible impairment in the value of inventories. Such reserves can be specific to certain inventory, or general based on judgments about the overall condition of the inventory. 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2014 and December 31, 2013, 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48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5820" w:type="dxa"/>
            <w:vAlign w:val="bottom"/>
          </w:tcPr>
          <w:p>
            <w:pPr>
              <w:jc w:val="right"/>
              <w:ind w:right="590"/>
              <w:spacing w:after="0"/>
              <w:rPr>
                <w:sz w:val="20"/>
                <w:szCs w:val="20"/>
                <w:color w:val="auto"/>
              </w:rPr>
            </w:pPr>
            <w:r>
              <w:rPr>
                <w:rFonts w:ascii="Arial" w:cs="Arial" w:eastAsia="Arial" w:hAnsi="Arial"/>
                <w:sz w:val="18"/>
                <w:szCs w:val="18"/>
                <w:b w:val="1"/>
                <w:bCs w:val="1"/>
                <w:color w:val="auto"/>
              </w:rPr>
              <w:t>March 31, 2014</w:t>
            </w:r>
          </w:p>
        </w:tc>
        <w:tc>
          <w:tcPr>
            <w:tcW w:w="2120" w:type="dxa"/>
            <w:vAlign w:val="bottom"/>
            <w:gridSpan w:val="2"/>
          </w:tcPr>
          <w:p>
            <w:pPr>
              <w:jc w:val="right"/>
              <w:ind w:right="380"/>
              <w:spacing w:after="0"/>
              <w:rPr>
                <w:sz w:val="20"/>
                <w:szCs w:val="20"/>
                <w:color w:val="auto"/>
              </w:rPr>
            </w:pPr>
            <w:r>
              <w:rPr>
                <w:rFonts w:ascii="Arial" w:cs="Arial" w:eastAsia="Arial" w:hAnsi="Arial"/>
                <w:sz w:val="18"/>
                <w:szCs w:val="18"/>
                <w:color w:val="auto"/>
              </w:rPr>
              <w:t>December 31, 2013</w:t>
            </w:r>
          </w:p>
        </w:tc>
      </w:tr>
      <w:tr>
        <w:trPr>
          <w:trHeight w:val="173"/>
        </w:trPr>
        <w:tc>
          <w:tcPr>
            <w:tcW w:w="20" w:type="dxa"/>
            <w:vAlign w:val="bottom"/>
          </w:tcPr>
          <w:p>
            <w:pPr>
              <w:spacing w:after="0"/>
              <w:rPr>
                <w:sz w:val="15"/>
                <w:szCs w:val="15"/>
                <w:color w:val="auto"/>
              </w:rPr>
            </w:pPr>
          </w:p>
        </w:tc>
        <w:tc>
          <w:tcPr>
            <w:tcW w:w="34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Raw materials</w:t>
            </w:r>
          </w:p>
        </w:tc>
        <w:tc>
          <w:tcPr>
            <w:tcW w:w="582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b w:val="1"/>
                <w:bCs w:val="1"/>
                <w:color w:val="auto"/>
              </w:rPr>
              <w:t>$28,229</w:t>
            </w:r>
          </w:p>
        </w:tc>
        <w:tc>
          <w:tcPr>
            <w:tcW w:w="21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$25,754</w:t>
            </w:r>
          </w:p>
        </w:tc>
        <w:tc>
          <w:tcPr>
            <w:tcW w:w="20" w:type="dxa"/>
            <w:vAlign w:val="bottom"/>
          </w:tcPr>
          <w:p>
            <w:pPr>
              <w:spacing w:after="0"/>
              <w:rPr>
                <w:sz w:val="15"/>
                <w:szCs w:val="15"/>
                <w:color w:val="auto"/>
              </w:rPr>
            </w:pPr>
          </w:p>
        </w:tc>
      </w:tr>
      <w:tr>
        <w:trPr>
          <w:trHeight w:val="203"/>
        </w:trPr>
        <w:tc>
          <w:tcPr>
            <w:tcW w:w="3500" w:type="dxa"/>
            <w:vAlign w:val="bottom"/>
            <w:gridSpan w:val="2"/>
          </w:tcPr>
          <w:p>
            <w:pPr>
              <w:spacing w:after="0" w:line="202" w:lineRule="exact"/>
              <w:rPr>
                <w:sz w:val="20"/>
                <w:szCs w:val="20"/>
                <w:color w:val="auto"/>
              </w:rPr>
            </w:pPr>
            <w:r>
              <w:rPr>
                <w:rFonts w:ascii="Arial" w:cs="Arial" w:eastAsia="Arial" w:hAnsi="Arial"/>
                <w:sz w:val="18"/>
                <w:szCs w:val="18"/>
                <w:color w:val="auto"/>
              </w:rPr>
              <w:t>Work in process</w:t>
            </w:r>
          </w:p>
        </w:tc>
        <w:tc>
          <w:tcPr>
            <w:tcW w:w="58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49,314</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45,998</w:t>
            </w:r>
          </w:p>
        </w:tc>
      </w:tr>
      <w:tr>
        <w:trPr>
          <w:trHeight w:val="225"/>
        </w:trPr>
        <w:tc>
          <w:tcPr>
            <w:tcW w:w="350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5820" w:type="dxa"/>
            <w:vAlign w:val="bottom"/>
          </w:tcPr>
          <w:p>
            <w:pPr>
              <w:jc w:val="right"/>
              <w:ind w:right="90"/>
              <w:spacing w:after="0"/>
              <w:rPr>
                <w:sz w:val="20"/>
                <w:szCs w:val="20"/>
                <w:color w:val="auto"/>
              </w:rPr>
            </w:pPr>
            <w:r>
              <w:rPr>
                <w:rFonts w:ascii="Arial" w:cs="Arial" w:eastAsia="Arial" w:hAnsi="Arial"/>
                <w:sz w:val="18"/>
                <w:szCs w:val="18"/>
                <w:b w:val="1"/>
                <w:bCs w:val="1"/>
                <w:color w:val="auto"/>
              </w:rPr>
              <w:t>43,867</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40,987</w:t>
            </w:r>
          </w:p>
        </w:tc>
      </w:tr>
      <w:tr>
        <w:trPr>
          <w:trHeight w:val="196"/>
        </w:trPr>
        <w:tc>
          <w:tcPr>
            <w:tcW w:w="20" w:type="dxa"/>
            <w:vAlign w:val="bottom"/>
          </w:tcPr>
          <w:p>
            <w:pPr>
              <w:spacing w:after="0"/>
              <w:rPr>
                <w:sz w:val="17"/>
                <w:szCs w:val="17"/>
                <w:color w:val="auto"/>
              </w:rPr>
            </w:pPr>
          </w:p>
        </w:tc>
        <w:tc>
          <w:tcPr>
            <w:tcW w:w="348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Total inventories</w:t>
            </w:r>
          </w:p>
        </w:tc>
        <w:tc>
          <w:tcPr>
            <w:tcW w:w="582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$121,410</w:t>
            </w:r>
          </w:p>
        </w:tc>
        <w:tc>
          <w:tcPr>
            <w:tcW w:w="212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$112,739</w:t>
            </w:r>
          </w:p>
        </w:tc>
      </w:tr>
      <w:tr>
        <w:trPr>
          <w:trHeight w:val="709"/>
        </w:trPr>
        <w:tc>
          <w:tcPr>
            <w:tcW w:w="20" w:type="dxa"/>
            <w:vAlign w:val="bottom"/>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5820" w:type="dxa"/>
            <w:vAlign w:val="bottom"/>
            <w:tcBorders>
              <w:top w:val="single" w:sz="8" w:color="auto"/>
            </w:tcBorders>
          </w:tcPr>
          <w:p>
            <w:pPr>
              <w:jc w:val="right"/>
              <w:ind w:right="3430"/>
              <w:spacing w:after="0"/>
              <w:rPr>
                <w:sz w:val="20"/>
                <w:szCs w:val="20"/>
                <w:color w:val="auto"/>
              </w:rPr>
            </w:pPr>
            <w:r>
              <w:rPr>
                <w:rFonts w:ascii="Arial" w:cs="Arial" w:eastAsia="Arial" w:hAnsi="Arial"/>
                <w:sz w:val="18"/>
                <w:szCs w:val="18"/>
                <w:color w:val="auto"/>
              </w:rPr>
              <w:t>16</w:t>
            </w:r>
          </w:p>
        </w:tc>
        <w:tc>
          <w:tcPr>
            <w:tcW w:w="2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480" w:type="dxa"/>
            <w:vAlign w:val="bottom"/>
            <w:tcBorders>
              <w:bottom w:val="single" w:sz="8" w:color="auto"/>
            </w:tcBorders>
          </w:tcPr>
          <w:p>
            <w:pPr>
              <w:spacing w:after="0"/>
              <w:rPr>
                <w:sz w:val="12"/>
                <w:szCs w:val="12"/>
                <w:color w:val="auto"/>
              </w:rPr>
            </w:pPr>
          </w:p>
        </w:tc>
        <w:tc>
          <w:tcPr>
            <w:tcW w:w="58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ectPr>
          <w:pgSz w:w="11900" w:h="16838" w:orient="portrait"/>
          <w:cols w:equalWidth="0" w:num="1">
            <w:col w:w="11420"/>
          </w:cols>
          <w:pgMar w:left="240" w:top="59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93"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8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8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89" w:lineRule="exact"/>
        <w:rPr>
          <w:sz w:val="20"/>
          <w:szCs w:val="20"/>
          <w:color w:val="auto"/>
        </w:rPr>
      </w:pPr>
    </w:p>
    <w:p>
      <w:pPr>
        <w:ind w:right="480" w:firstLine="648"/>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2013, the Company applied the quantitative assessment approach in performing its annual evaluation of goodwill and concluded that no impairment provision was required. In addition, there were no amounts at risk due to the large spread between the fair and carrying values.</w:t>
      </w:r>
    </w:p>
    <w:p>
      <w:pPr>
        <w:spacing w:after="0" w:line="189"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2013 to March 31, 2014,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tcPr>
          <w:p>
            <w:pPr>
              <w:jc w:val="right"/>
              <w:ind w:right="110"/>
              <w:spacing w:after="0" w:line="173" w:lineRule="exact"/>
              <w:rPr>
                <w:sz w:val="20"/>
                <w:szCs w:val="20"/>
                <w:color w:val="auto"/>
              </w:rPr>
            </w:pPr>
            <w:r>
              <w:rPr>
                <w:rFonts w:ascii="Arial" w:cs="Arial" w:eastAsia="Arial" w:hAnsi="Arial"/>
                <w:sz w:val="18"/>
                <w:szCs w:val="18"/>
                <w:b w:val="1"/>
                <w:bCs w:val="1"/>
                <w:color w:val="auto"/>
              </w:rPr>
              <w:t>Balance at</w:t>
            </w:r>
          </w:p>
        </w:tc>
        <w:tc>
          <w:tcPr>
            <w:tcW w:w="20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right"/>
              <w:ind w:right="290"/>
              <w:spacing w:after="0" w:line="173" w:lineRule="exact"/>
              <w:rPr>
                <w:sz w:val="20"/>
                <w:szCs w:val="20"/>
                <w:color w:val="auto"/>
              </w:rPr>
            </w:pPr>
            <w:r>
              <w:rPr>
                <w:rFonts w:ascii="Arial" w:cs="Arial" w:eastAsia="Arial" w:hAnsi="Arial"/>
                <w:sz w:val="18"/>
                <w:szCs w:val="18"/>
                <w:b w:val="1"/>
                <w:bCs w:val="1"/>
                <w:color w:val="auto"/>
              </w:rPr>
              <w:t>Currency</w:t>
            </w:r>
          </w:p>
        </w:tc>
        <w:tc>
          <w:tcPr>
            <w:tcW w:w="16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b w:val="1"/>
                <w:bCs w:val="1"/>
                <w:color w:val="auto"/>
              </w:rPr>
              <w:t>Balance at</w:t>
            </w:r>
          </w:p>
        </w:tc>
      </w:tr>
      <w:tr>
        <w:trPr>
          <w:trHeight w:val="225"/>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December 31, 2013</w:t>
            </w:r>
          </w:p>
        </w:tc>
        <w:tc>
          <w:tcPr>
            <w:tcW w:w="2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Amortization</w:t>
            </w:r>
          </w:p>
        </w:tc>
        <w:tc>
          <w:tcPr>
            <w:tcW w:w="15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Translation</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2014</w:t>
            </w:r>
          </w:p>
        </w:tc>
      </w:tr>
      <w:tr>
        <w:trPr>
          <w:trHeight w:val="398"/>
        </w:trPr>
        <w:tc>
          <w:tcPr>
            <w:tcW w:w="354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120"/>
              <w:spacing w:after="0" w:line="202" w:lineRule="exact"/>
              <w:rPr>
                <w:sz w:val="20"/>
                <w:szCs w:val="20"/>
                <w:color w:val="auto"/>
              </w:rPr>
            </w:pPr>
            <w:r>
              <w:rPr>
                <w:rFonts w:ascii="Arial" w:cs="Arial" w:eastAsia="Arial" w:hAnsi="Arial"/>
                <w:sz w:val="18"/>
                <w:szCs w:val="18"/>
                <w:color w:val="auto"/>
              </w:rPr>
              <w:t>AEC trade names</w:t>
            </w:r>
          </w:p>
        </w:tc>
        <w:tc>
          <w:tcPr>
            <w:tcW w:w="2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$33</w:t>
            </w:r>
          </w:p>
        </w:tc>
        <w:tc>
          <w:tcPr>
            <w:tcW w:w="20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20" w:type="dxa"/>
            <w:vAlign w:val="bottom"/>
          </w:tcPr>
          <w:p>
            <w:pPr>
              <w:spacing w:after="0"/>
              <w:rPr>
                <w:sz w:val="17"/>
                <w:szCs w:val="17"/>
                <w:color w:val="auto"/>
              </w:rPr>
            </w:pPr>
          </w:p>
        </w:tc>
        <w:tc>
          <w:tcPr>
            <w:tcW w:w="3520" w:type="dxa"/>
            <w:vAlign w:val="bottom"/>
          </w:tcPr>
          <w:p>
            <w:pPr>
              <w:ind w:left="120"/>
              <w:spacing w:after="0" w:line="202" w:lineRule="exact"/>
              <w:rPr>
                <w:sz w:val="20"/>
                <w:szCs w:val="20"/>
                <w:color w:val="auto"/>
              </w:rPr>
            </w:pPr>
            <w:r>
              <w:rPr>
                <w:rFonts w:ascii="Arial" w:cs="Arial" w:eastAsia="Arial" w:hAnsi="Arial"/>
                <w:sz w:val="18"/>
                <w:szCs w:val="18"/>
                <w:color w:val="auto"/>
              </w:rPr>
              <w:t>AEC customer contracts</w:t>
            </w:r>
          </w:p>
        </w:tc>
        <w:tc>
          <w:tcPr>
            <w:tcW w:w="2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404</w:t>
            </w:r>
          </w:p>
        </w:tc>
        <w:tc>
          <w:tcPr>
            <w:tcW w:w="20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(50)</w:t>
            </w:r>
          </w:p>
        </w:tc>
        <w:tc>
          <w:tcPr>
            <w:tcW w:w="1000" w:type="dxa"/>
            <w:vAlign w:val="bottom"/>
          </w:tcPr>
          <w:p>
            <w:pPr>
              <w:spacing w:after="0"/>
              <w:rPr>
                <w:sz w:val="17"/>
                <w:szCs w:val="17"/>
                <w:color w:val="auto"/>
              </w:rPr>
            </w:pPr>
          </w:p>
        </w:tc>
        <w:tc>
          <w:tcPr>
            <w:tcW w:w="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r>
      <w:tr>
        <w:trPr>
          <w:trHeight w:val="203"/>
        </w:trPr>
        <w:tc>
          <w:tcPr>
            <w:tcW w:w="20" w:type="dxa"/>
            <w:vAlign w:val="bottom"/>
          </w:tcPr>
          <w:p>
            <w:pPr>
              <w:spacing w:after="0"/>
              <w:rPr>
                <w:sz w:val="17"/>
                <w:szCs w:val="17"/>
                <w:color w:val="auto"/>
              </w:rPr>
            </w:pPr>
          </w:p>
        </w:tc>
        <w:tc>
          <w:tcPr>
            <w:tcW w:w="352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AEC technology</w:t>
            </w:r>
          </w:p>
        </w:tc>
        <w:tc>
          <w:tcPr>
            <w:tcW w:w="27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179</w:t>
            </w:r>
          </w:p>
        </w:tc>
        <w:tc>
          <w:tcPr>
            <w:tcW w:w="20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(6)</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w:t>
            </w:r>
          </w:p>
        </w:tc>
      </w:tr>
      <w:tr>
        <w:trPr>
          <w:trHeight w:val="196"/>
        </w:trPr>
        <w:tc>
          <w:tcPr>
            <w:tcW w:w="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7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$616</w:t>
            </w:r>
          </w:p>
        </w:tc>
        <w:tc>
          <w:tcPr>
            <w:tcW w:w="20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($57)</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w:t>
            </w:r>
          </w:p>
        </w:tc>
      </w:tr>
      <w:tr>
        <w:trPr>
          <w:trHeight w:val="398"/>
        </w:trPr>
        <w:tc>
          <w:tcPr>
            <w:tcW w:w="354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52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Goodwill</w:t>
            </w:r>
          </w:p>
        </w:tc>
        <w:tc>
          <w:tcPr>
            <w:tcW w:w="27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$78,890</w:t>
            </w:r>
          </w:p>
        </w:tc>
        <w:tc>
          <w:tcPr>
            <w:tcW w:w="20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  -</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89"/>
              </w:rPr>
              <w:t>54</w:t>
            </w: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$78,944</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2014 through 2018,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Annual amortization</w:t>
            </w:r>
          </w:p>
        </w:tc>
      </w:tr>
      <w:tr>
        <w:trPr>
          <w:trHeight w:val="225"/>
        </w:trPr>
        <w:tc>
          <w:tcPr>
            <w:tcW w:w="20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2000" w:type="dxa"/>
            <w:vAlign w:val="bottom"/>
          </w:tcPr>
          <w:p>
            <w:pPr>
              <w:ind w:left="760"/>
              <w:spacing w:after="0" w:line="195" w:lineRule="exact"/>
              <w:rPr>
                <w:sz w:val="20"/>
                <w:szCs w:val="20"/>
                <w:color w:val="auto"/>
              </w:rPr>
            </w:pPr>
            <w:r>
              <w:rPr>
                <w:rFonts w:ascii="Arial" w:cs="Arial" w:eastAsia="Arial" w:hAnsi="Arial"/>
                <w:sz w:val="18"/>
                <w:szCs w:val="18"/>
                <w:color w:val="auto"/>
              </w:rPr>
              <w:t>2014</w:t>
            </w:r>
          </w:p>
        </w:tc>
        <w:tc>
          <w:tcPr>
            <w:tcW w:w="25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231</w:t>
            </w:r>
          </w:p>
        </w:tc>
      </w:tr>
      <w:tr>
        <w:trPr>
          <w:trHeight w:val="203"/>
        </w:trPr>
        <w:tc>
          <w:tcPr>
            <w:tcW w:w="2000" w:type="dxa"/>
            <w:vAlign w:val="bottom"/>
          </w:tcPr>
          <w:p>
            <w:pPr>
              <w:ind w:left="760"/>
              <w:spacing w:after="0" w:line="202" w:lineRule="exact"/>
              <w:rPr>
                <w:sz w:val="20"/>
                <w:szCs w:val="20"/>
                <w:color w:val="auto"/>
              </w:rPr>
            </w:pPr>
            <w:r>
              <w:rPr>
                <w:rFonts w:ascii="Arial" w:cs="Arial" w:eastAsia="Arial" w:hAnsi="Arial"/>
                <w:sz w:val="18"/>
                <w:szCs w:val="18"/>
                <w:color w:val="auto"/>
              </w:rPr>
              <w:t>2015</w:t>
            </w:r>
          </w:p>
        </w:tc>
        <w:tc>
          <w:tcPr>
            <w:tcW w:w="2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2000" w:type="dxa"/>
            <w:vAlign w:val="bottom"/>
          </w:tcPr>
          <w:p>
            <w:pPr>
              <w:ind w:left="760"/>
              <w:spacing w:after="0" w:line="202" w:lineRule="exact"/>
              <w:rPr>
                <w:sz w:val="20"/>
                <w:szCs w:val="20"/>
                <w:color w:val="auto"/>
              </w:rPr>
            </w:pPr>
            <w:r>
              <w:rPr>
                <w:rFonts w:ascii="Arial" w:cs="Arial" w:eastAsia="Arial" w:hAnsi="Arial"/>
                <w:sz w:val="18"/>
                <w:szCs w:val="18"/>
                <w:color w:val="auto"/>
              </w:rPr>
              <w:t>2016</w:t>
            </w:r>
          </w:p>
        </w:tc>
        <w:tc>
          <w:tcPr>
            <w:tcW w:w="2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00" w:type="dxa"/>
            <w:vAlign w:val="bottom"/>
          </w:tcPr>
          <w:p>
            <w:pPr>
              <w:ind w:left="760"/>
              <w:spacing w:after="0" w:line="202" w:lineRule="exact"/>
              <w:rPr>
                <w:sz w:val="20"/>
                <w:szCs w:val="20"/>
                <w:color w:val="auto"/>
              </w:rPr>
            </w:pPr>
            <w:r>
              <w:rPr>
                <w:rFonts w:ascii="Arial" w:cs="Arial" w:eastAsia="Arial" w:hAnsi="Arial"/>
                <w:sz w:val="18"/>
                <w:szCs w:val="18"/>
                <w:color w:val="auto"/>
              </w:rPr>
              <w:t>2017</w:t>
            </w:r>
          </w:p>
        </w:tc>
        <w:tc>
          <w:tcPr>
            <w:tcW w:w="2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00" w:type="dxa"/>
            <w:vAlign w:val="bottom"/>
            <w:tcBorders>
              <w:bottom w:val="single" w:sz="8" w:color="auto"/>
            </w:tcBorders>
          </w:tcPr>
          <w:p>
            <w:pPr>
              <w:ind w:left="760"/>
              <w:spacing w:after="0" w:line="203" w:lineRule="exact"/>
              <w:rPr>
                <w:sz w:val="20"/>
                <w:szCs w:val="20"/>
                <w:color w:val="auto"/>
              </w:rPr>
            </w:pPr>
            <w:r>
              <w:rPr>
                <w:rFonts w:ascii="Arial" w:cs="Arial" w:eastAsia="Arial" w:hAnsi="Arial"/>
                <w:sz w:val="18"/>
                <w:szCs w:val="18"/>
                <w:color w:val="auto"/>
              </w:rPr>
              <w:t>2018</w:t>
            </w:r>
          </w:p>
        </w:tc>
        <w:tc>
          <w:tcPr>
            <w:tcW w:w="2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29</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March 31, 2014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412"/>
        </w:trPr>
        <w:tc>
          <w:tcPr>
            <w:tcW w:w="780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2015 through 2017</w:t>
            </w: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$100,000</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91"/>
        </w:trPr>
        <w:tc>
          <w:tcPr>
            <w:tcW w:w="780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 of 2.53% in 2014</w:t>
            </w:r>
          </w:p>
        </w:tc>
        <w:tc>
          <w:tcPr>
            <w:tcW w:w="1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and 2013 (including the effect of interest rate hedging transactions, as described below), due in</w:t>
            </w:r>
          </w:p>
        </w:tc>
        <w:tc>
          <w:tcPr>
            <w:tcW w:w="17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199,000</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00" w:type="dxa"/>
            <w:vAlign w:val="bottom"/>
          </w:tcPr>
          <w:p>
            <w:pPr>
              <w:spacing w:after="0"/>
              <w:rPr>
                <w:sz w:val="20"/>
                <w:szCs w:val="20"/>
                <w:color w:val="auto"/>
              </w:rPr>
            </w:pPr>
            <w:r>
              <w:rPr>
                <w:rFonts w:ascii="Arial" w:cs="Arial" w:eastAsia="Arial" w:hAnsi="Arial"/>
                <w:sz w:val="18"/>
                <w:szCs w:val="18"/>
                <w:color w:val="auto"/>
              </w:rPr>
              <w:t>2018</w:t>
            </w:r>
          </w:p>
        </w:tc>
        <w:tc>
          <w:tcPr>
            <w:tcW w:w="1740" w:type="dxa"/>
            <w:vAlign w:val="bottom"/>
            <w:vMerge w:val="continue"/>
          </w:tcPr>
          <w:p>
            <w:pPr>
              <w:spacing w:after="0"/>
              <w:rPr>
                <w:sz w:val="18"/>
                <w:szCs w:val="18"/>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391"/>
        </w:trPr>
        <w:tc>
          <w:tcPr>
            <w:tcW w:w="780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 States, at an</w:t>
            </w:r>
          </w:p>
        </w:tc>
        <w:tc>
          <w:tcPr>
            <w:tcW w:w="1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average end of period rate of 3.14% in 2014 and 3.10% in 2013, due in varying amounts</w:t>
            </w:r>
          </w:p>
        </w:tc>
        <w:tc>
          <w:tcPr>
            <w:tcW w:w="17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2,622</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through 2021</w:t>
            </w:r>
          </w:p>
        </w:tc>
        <w:tc>
          <w:tcPr>
            <w:tcW w:w="174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412"/>
        </w:trPr>
        <w:tc>
          <w:tcPr>
            <w:tcW w:w="7800" w:type="dxa"/>
            <w:vAlign w:val="bottom"/>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jc w:val="right"/>
              <w:ind w:right="290"/>
              <w:spacing w:after="0"/>
              <w:rPr>
                <w:sz w:val="20"/>
                <w:szCs w:val="20"/>
                <w:color w:val="auto"/>
              </w:rPr>
            </w:pPr>
            <w:r>
              <w:rPr>
                <w:rFonts w:ascii="Arial" w:cs="Arial" w:eastAsia="Arial" w:hAnsi="Arial"/>
                <w:sz w:val="18"/>
                <w:szCs w:val="18"/>
                <w:b w:val="1"/>
                <w:bCs w:val="1"/>
                <w:color w:val="auto"/>
              </w:rPr>
              <w:t>301,622</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303,875</w:t>
            </w:r>
          </w:p>
        </w:tc>
        <w:tc>
          <w:tcPr>
            <w:tcW w:w="0" w:type="dxa"/>
            <w:vAlign w:val="bottom"/>
          </w:tcPr>
          <w:p>
            <w:pPr>
              <w:spacing w:after="0"/>
              <w:rPr>
                <w:sz w:val="1"/>
                <w:szCs w:val="1"/>
                <w:color w:val="auto"/>
              </w:rPr>
            </w:pPr>
          </w:p>
        </w:tc>
      </w:tr>
      <w:tr>
        <w:trPr>
          <w:trHeight w:val="392"/>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(2,514)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399"/>
        </w:trPr>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$299,108</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A note agreement and guaranty (“Prudential agreement”) was entered into in October 2005, and was amended and restated as September 17, 2010 and March 26, 2013, with the Prudential Insurance Company of America, and certain other purchasers, in an aggregate principal amount of $150 million, with interest at 6.84% and a maturity date of October 25, 2017. The remaining obligation under the Prudential agreement has a mandatory payment of $50 million due on October 25, 2015, and the final payment is due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For disclosure purposes, we are required to measure the fair value of outstanding debt on a recurring basis. As of March 31, 2014, the fair value of the Prudential Agreement was approximately $114.6 million, which was measured using active market interest rates, which would be considered Level 2 for fair value measurement purposes.</w:t>
      </w:r>
    </w:p>
    <w:p>
      <w:pPr>
        <w:spacing w:after="0" w:line="193"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$199 million of borrowings were outstanding as of March 31, 2014. The applicable interest rate for borrowings under the Credit Agreement is LIBOR plus a spread, based on our leverage ratio at the time of borrowing. At the time of the last borrowing on March 24, 2014, the spread was 1.375%. The spread is based on a pricing grid, which ranges from 1.25% to 1.875%, based on our leverage ratio.</w:t>
      </w:r>
    </w:p>
    <w:p>
      <w:pPr>
        <w:spacing w:after="0" w:line="202"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March 31, 2014, we would have been able to borrow an additional $131 million under our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8" w:name="page19"/>
    <w:bookmarkEnd w:id="18"/>
    <w:p>
      <w:pPr>
        <w:ind w:right="140" w:firstLine="648"/>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January 16, 2014 was 0.24%. The net effect is to fix the effective interest rate on $105 million of indebtedness at 2.04%, plus the applicable spread, until these swap agreements expire. On March 31, 2014, the all-in rate on the $105 million of debt was 3.415%.</w:t>
      </w:r>
    </w:p>
    <w:p>
      <w:pPr>
        <w:spacing w:after="0" w:line="20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March 31, 2014 was 0.152%. The net effect is to fix the effective interest rate on $110 million of indebtedness at 1.414%, plus the applicable spread, during the swap period.</w:t>
      </w:r>
    </w:p>
    <w:p>
      <w:pPr>
        <w:spacing w:after="0" w:line="205" w:lineRule="exact"/>
        <w:rPr>
          <w:sz w:val="20"/>
          <w:szCs w:val="20"/>
          <w:color w:val="auto"/>
        </w:rPr>
      </w:pPr>
    </w:p>
    <w:p>
      <w:pPr>
        <w:ind w:right="90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of the Notes to Consolidated Financial Statements. No cash collateral was received or pledged in relation to the swap agreements.</w:t>
      </w:r>
    </w:p>
    <w:p>
      <w:pPr>
        <w:spacing w:after="0" w:line="197" w:lineRule="exact"/>
        <w:rPr>
          <w:sz w:val="20"/>
          <w:szCs w:val="20"/>
          <w:color w:val="auto"/>
        </w:rPr>
      </w:pPr>
    </w:p>
    <w:p>
      <w:pPr>
        <w:jc w:val="both"/>
        <w:ind w:right="62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97" w:lineRule="exact"/>
        <w:rPr>
          <w:sz w:val="20"/>
          <w:szCs w:val="20"/>
          <w:color w:val="auto"/>
        </w:rPr>
      </w:pPr>
    </w:p>
    <w:p>
      <w:pPr>
        <w:jc w:val="both"/>
        <w:ind w:right="620" w:firstLine="648"/>
        <w:spacing w:after="0"/>
        <w:rPr>
          <w:sz w:val="20"/>
          <w:szCs w:val="20"/>
          <w:color w:val="auto"/>
        </w:rPr>
      </w:pPr>
      <w:r>
        <w:rPr>
          <w:rFonts w:ascii="Arial" w:cs="Arial" w:eastAsia="Arial" w:hAnsi="Arial"/>
          <w:sz w:val="18"/>
          <w:szCs w:val="18"/>
          <w:color w:val="auto"/>
        </w:rPr>
        <w:t>As of March 31, 2014, our leverage ratio was 1.75 to 1.0 and our interest coverage ratio was 9.68 to 1.0.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89"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March 31, 2014.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234"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As of March 31, 2014 and December 31, 2013, we have no Level 3 financial assets or liabilities.</w:t>
      </w:r>
    </w:p>
    <w:p>
      <w:pPr>
        <w:spacing w:after="0" w:line="205"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assets and liabilities measured at fair value on a recurring basis: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3"/>
        </w:trPr>
        <w:tc>
          <w:tcPr>
            <w:tcW w:w="4580" w:type="dxa"/>
            <w:vAlign w:val="bottom"/>
            <w:tcBorders>
              <w:top w:val="single" w:sz="8" w:color="auto"/>
            </w:tcBorders>
          </w:tcPr>
          <w:p>
            <w:pPr>
              <w:spacing w:after="0"/>
              <w:rPr>
                <w:sz w:val="16"/>
                <w:szCs w:val="16"/>
                <w:color w:val="auto"/>
              </w:rPr>
            </w:pPr>
          </w:p>
        </w:tc>
        <w:tc>
          <w:tcPr>
            <w:tcW w:w="3880" w:type="dxa"/>
            <w:vAlign w:val="bottom"/>
            <w:tcBorders>
              <w:top w:val="single" w:sz="8" w:color="auto"/>
            </w:tcBorders>
            <w:gridSpan w:val="2"/>
          </w:tcPr>
          <w:p>
            <w:pPr>
              <w:jc w:val="right"/>
              <w:ind w:right="910"/>
              <w:spacing w:after="0" w:line="194" w:lineRule="exact"/>
              <w:rPr>
                <w:sz w:val="20"/>
                <w:szCs w:val="20"/>
                <w:color w:val="auto"/>
              </w:rPr>
            </w:pPr>
            <w:r>
              <w:rPr>
                <w:rFonts w:ascii="Arial" w:cs="Arial" w:eastAsia="Arial" w:hAnsi="Arial"/>
                <w:sz w:val="18"/>
                <w:szCs w:val="18"/>
                <w:b w:val="1"/>
                <w:bCs w:val="1"/>
                <w:color w:val="auto"/>
              </w:rPr>
              <w:t>March 31, 2014</w:t>
            </w:r>
          </w:p>
        </w:tc>
        <w:tc>
          <w:tcPr>
            <w:tcW w:w="2620" w:type="dxa"/>
            <w:vAlign w:val="bottom"/>
            <w:tcBorders>
              <w:top w:val="single" w:sz="8" w:color="auto"/>
            </w:tcBorders>
            <w:gridSpan w:val="2"/>
          </w:tcPr>
          <w:p>
            <w:pPr>
              <w:ind w:left="540"/>
              <w:spacing w:after="0" w:line="194" w:lineRule="exact"/>
              <w:rPr>
                <w:sz w:val="20"/>
                <w:szCs w:val="20"/>
                <w:color w:val="auto"/>
              </w:rPr>
            </w:pPr>
            <w:r>
              <w:rPr>
                <w:rFonts w:ascii="Arial" w:cs="Arial" w:eastAsia="Arial" w:hAnsi="Arial"/>
                <w:sz w:val="18"/>
                <w:szCs w:val="18"/>
                <w:color w:val="auto"/>
              </w:rPr>
              <w:t>December 31, 2013</w:t>
            </w:r>
          </w:p>
        </w:tc>
        <w:tc>
          <w:tcPr>
            <w:tcW w:w="340" w:type="dxa"/>
            <w:vAlign w:val="bottom"/>
          </w:tcPr>
          <w:p>
            <w:pPr>
              <w:spacing w:after="0"/>
              <w:rPr>
                <w:sz w:val="16"/>
                <w:szCs w:val="16"/>
                <w:color w:val="auto"/>
              </w:rPr>
            </w:pPr>
          </w:p>
        </w:tc>
      </w:tr>
      <w:tr>
        <w:trPr>
          <w:trHeight w:val="203"/>
        </w:trPr>
        <w:tc>
          <w:tcPr>
            <w:tcW w:w="4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6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420" w:type="dxa"/>
            <w:vAlign w:val="bottom"/>
          </w:tcPr>
          <w:p>
            <w:pPr>
              <w:spacing w:after="0"/>
              <w:rPr>
                <w:sz w:val="17"/>
                <w:szCs w:val="17"/>
                <w:color w:val="auto"/>
              </w:rPr>
            </w:pPr>
          </w:p>
        </w:tc>
        <w:tc>
          <w:tcPr>
            <w:tcW w:w="15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rPr>
              <w:t>Significant</w:t>
            </w:r>
          </w:p>
        </w:tc>
      </w:tr>
      <w:tr>
        <w:trPr>
          <w:trHeight w:val="203"/>
        </w:trPr>
        <w:tc>
          <w:tcPr>
            <w:tcW w:w="4580" w:type="dxa"/>
            <w:vAlign w:val="bottom"/>
          </w:tcPr>
          <w:p>
            <w:pPr>
              <w:spacing w:after="0"/>
              <w:rPr>
                <w:sz w:val="17"/>
                <w:szCs w:val="17"/>
                <w:color w:val="auto"/>
              </w:rPr>
            </w:pPr>
          </w:p>
        </w:tc>
        <w:tc>
          <w:tcPr>
            <w:tcW w:w="2320" w:type="dxa"/>
            <w:vAlign w:val="bottom"/>
          </w:tcPr>
          <w:p>
            <w:pPr>
              <w:jc w:val="center"/>
              <w:ind w:left="690"/>
              <w:spacing w:after="0" w:line="202" w:lineRule="exact"/>
              <w:rPr>
                <w:sz w:val="20"/>
                <w:szCs w:val="20"/>
                <w:color w:val="auto"/>
              </w:rPr>
            </w:pPr>
            <w:r>
              <w:rPr>
                <w:rFonts w:ascii="Arial" w:cs="Arial" w:eastAsia="Arial" w:hAnsi="Arial"/>
                <w:sz w:val="18"/>
                <w:szCs w:val="18"/>
                <w:b w:val="1"/>
                <w:bCs w:val="1"/>
                <w:color w:val="auto"/>
              </w:rPr>
              <w:t>Quoted prices</w:t>
            </w:r>
          </w:p>
        </w:tc>
        <w:tc>
          <w:tcPr>
            <w:tcW w:w="156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rPr>
              <w:t>other</w:t>
            </w:r>
          </w:p>
        </w:tc>
        <w:tc>
          <w:tcPr>
            <w:tcW w:w="142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Quoted prices</w:t>
            </w:r>
          </w:p>
        </w:tc>
        <w:tc>
          <w:tcPr>
            <w:tcW w:w="15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7"/>
              </w:rPr>
              <w:t>other</w:t>
            </w:r>
          </w:p>
        </w:tc>
      </w:tr>
      <w:tr>
        <w:trPr>
          <w:trHeight w:val="203"/>
        </w:trPr>
        <w:tc>
          <w:tcPr>
            <w:tcW w:w="4580" w:type="dxa"/>
            <w:vAlign w:val="bottom"/>
          </w:tcPr>
          <w:p>
            <w:pPr>
              <w:spacing w:after="0"/>
              <w:rPr>
                <w:sz w:val="17"/>
                <w:szCs w:val="17"/>
                <w:color w:val="auto"/>
              </w:rPr>
            </w:pPr>
          </w:p>
        </w:tc>
        <w:tc>
          <w:tcPr>
            <w:tcW w:w="2320" w:type="dxa"/>
            <w:vAlign w:val="bottom"/>
          </w:tcPr>
          <w:p>
            <w:pPr>
              <w:jc w:val="center"/>
              <w:ind w:left="710"/>
              <w:spacing w:after="0" w:line="202" w:lineRule="exact"/>
              <w:rPr>
                <w:sz w:val="20"/>
                <w:szCs w:val="20"/>
                <w:color w:val="auto"/>
              </w:rPr>
            </w:pPr>
            <w:r>
              <w:rPr>
                <w:rFonts w:ascii="Arial" w:cs="Arial" w:eastAsia="Arial" w:hAnsi="Arial"/>
                <w:sz w:val="18"/>
                <w:szCs w:val="18"/>
                <w:b w:val="1"/>
                <w:bCs w:val="1"/>
                <w:color w:val="auto"/>
                <w:w w:val="99"/>
              </w:rPr>
              <w:t>in active</w:t>
            </w:r>
          </w:p>
        </w:tc>
        <w:tc>
          <w:tcPr>
            <w:tcW w:w="156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8"/>
              </w:rPr>
              <w:t>observable</w:t>
            </w:r>
          </w:p>
        </w:tc>
        <w:tc>
          <w:tcPr>
            <w:tcW w:w="14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in active</w:t>
            </w:r>
          </w:p>
        </w:tc>
        <w:tc>
          <w:tcPr>
            <w:tcW w:w="15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9"/>
              </w:rPr>
              <w:t>observable</w:t>
            </w:r>
          </w:p>
        </w:tc>
      </w:tr>
      <w:tr>
        <w:trPr>
          <w:trHeight w:val="203"/>
        </w:trPr>
        <w:tc>
          <w:tcPr>
            <w:tcW w:w="4580" w:type="dxa"/>
            <w:vAlign w:val="bottom"/>
          </w:tcPr>
          <w:p>
            <w:pPr>
              <w:spacing w:after="0"/>
              <w:rPr>
                <w:sz w:val="17"/>
                <w:szCs w:val="17"/>
                <w:color w:val="auto"/>
              </w:rPr>
            </w:pPr>
          </w:p>
        </w:tc>
        <w:tc>
          <w:tcPr>
            <w:tcW w:w="2320" w:type="dxa"/>
            <w:vAlign w:val="bottom"/>
          </w:tcPr>
          <w:p>
            <w:pPr>
              <w:jc w:val="center"/>
              <w:ind w:left="690"/>
              <w:spacing w:after="0" w:line="202" w:lineRule="exact"/>
              <w:rPr>
                <w:sz w:val="20"/>
                <w:szCs w:val="20"/>
                <w:color w:val="auto"/>
              </w:rPr>
            </w:pPr>
            <w:r>
              <w:rPr>
                <w:rFonts w:ascii="Arial" w:cs="Arial" w:eastAsia="Arial" w:hAnsi="Arial"/>
                <w:sz w:val="18"/>
                <w:szCs w:val="18"/>
                <w:b w:val="1"/>
                <w:bCs w:val="1"/>
                <w:color w:val="auto"/>
              </w:rPr>
              <w:t>markets</w:t>
            </w:r>
          </w:p>
        </w:tc>
        <w:tc>
          <w:tcPr>
            <w:tcW w:w="156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inputs</w:t>
            </w:r>
          </w:p>
        </w:tc>
        <w:tc>
          <w:tcPr>
            <w:tcW w:w="142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markets</w:t>
            </w:r>
          </w:p>
        </w:tc>
        <w:tc>
          <w:tcPr>
            <w:tcW w:w="15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9"/>
              </w:rPr>
              <w:t>inputs</w:t>
            </w:r>
          </w:p>
        </w:tc>
      </w:tr>
      <w:tr>
        <w:trPr>
          <w:trHeight w:val="22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2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rPr>
              <w:t>(Level 1)</w:t>
            </w:r>
          </w:p>
        </w:tc>
        <w:tc>
          <w:tcPr>
            <w:tcW w:w="15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(Level 2)</w:t>
            </w: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(Level 1)</w:t>
            </w:r>
          </w:p>
        </w:tc>
        <w:tc>
          <w:tcPr>
            <w:tcW w:w="15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9"/>
              </w:rPr>
              <w:t>(Level 2)</w:t>
            </w:r>
          </w:p>
        </w:tc>
      </w:tr>
      <w:tr>
        <w:trPr>
          <w:trHeight w:val="177"/>
        </w:trPr>
        <w:tc>
          <w:tcPr>
            <w:tcW w:w="458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2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21"/>
        </w:trPr>
        <w:tc>
          <w:tcPr>
            <w:tcW w:w="458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3"/>
        </w:trPr>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Cash equivalents</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$28,052</w:t>
            </w:r>
          </w:p>
        </w:tc>
        <w:tc>
          <w:tcPr>
            <w:tcW w:w="15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$25,073</w:t>
            </w:r>
          </w:p>
        </w:tc>
        <w:tc>
          <w:tcPr>
            <w:tcW w:w="1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580" w:type="dxa"/>
            <w:vAlign w:val="bottom"/>
          </w:tcPr>
          <w:p>
            <w:pPr>
              <w:ind w:left="300"/>
              <w:spacing w:after="0" w:line="202" w:lineRule="exact"/>
              <w:rPr>
                <w:sz w:val="20"/>
                <w:szCs w:val="20"/>
                <w:color w:val="auto"/>
              </w:rPr>
            </w:pPr>
            <w:r>
              <w:rPr>
                <w:rFonts w:ascii="Arial" w:cs="Arial" w:eastAsia="Arial" w:hAnsi="Arial"/>
                <w:sz w:val="18"/>
                <w:szCs w:val="18"/>
                <w:color w:val="auto"/>
              </w:rPr>
              <w:t>Foreign currency instruments</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193</w:t>
            </w:r>
          </w:p>
        </w:tc>
        <w:tc>
          <w:tcPr>
            <w:tcW w:w="1560" w:type="dxa"/>
            <w:vAlign w:val="bottom"/>
          </w:tcPr>
          <w:p>
            <w:pPr>
              <w:jc w:val="center"/>
              <w:ind w:left="45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center"/>
              <w:ind w:left="77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r>
      <w:tr>
        <w:trPr>
          <w:trHeight w:val="203"/>
        </w:trPr>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Other Assets:</w:t>
            </w: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580" w:type="dxa"/>
            <w:vAlign w:val="bottom"/>
          </w:tcPr>
          <w:p>
            <w:pPr>
              <w:ind w:left="300"/>
              <w:spacing w:after="0" w:line="202" w:lineRule="exact"/>
              <w:rPr>
                <w:sz w:val="20"/>
                <w:szCs w:val="20"/>
                <w:color w:val="auto"/>
              </w:rPr>
            </w:pPr>
            <w:r>
              <w:rPr>
                <w:rFonts w:ascii="Arial" w:cs="Arial" w:eastAsia="Arial" w:hAnsi="Arial"/>
                <w:sz w:val="18"/>
                <w:szCs w:val="18"/>
                <w:color w:val="auto"/>
              </w:rPr>
              <w:t>Common stock of foreign public company</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806</w:t>
            </w:r>
          </w:p>
        </w:tc>
        <w:tc>
          <w:tcPr>
            <w:tcW w:w="1560" w:type="dxa"/>
            <w:vAlign w:val="bottom"/>
          </w:tcPr>
          <w:p>
            <w:pPr>
              <w:jc w:val="center"/>
              <w:ind w:left="45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952</w:t>
            </w:r>
          </w:p>
        </w:tc>
        <w:tc>
          <w:tcPr>
            <w:tcW w:w="1200" w:type="dxa"/>
            <w:vAlign w:val="bottom"/>
          </w:tcPr>
          <w:p>
            <w:pPr>
              <w:jc w:val="center"/>
              <w:ind w:left="77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r>
      <w:tr>
        <w:trPr>
          <w:trHeight w:val="185"/>
        </w:trPr>
        <w:tc>
          <w:tcPr>
            <w:tcW w:w="4580" w:type="dxa"/>
            <w:vAlign w:val="bottom"/>
          </w:tcPr>
          <w:p>
            <w:pPr>
              <w:ind w:left="300"/>
              <w:spacing w:after="0" w:line="185" w:lineRule="exact"/>
              <w:rPr>
                <w:sz w:val="20"/>
                <w:szCs w:val="20"/>
                <w:color w:val="auto"/>
              </w:rPr>
            </w:pPr>
            <w:r>
              <w:rPr>
                <w:rFonts w:ascii="Arial" w:cs="Arial" w:eastAsia="Arial" w:hAnsi="Arial"/>
                <w:sz w:val="18"/>
                <w:szCs w:val="18"/>
                <w:color w:val="auto"/>
              </w:rPr>
              <w:t>Interest rate swap</w:t>
            </w:r>
          </w:p>
        </w:tc>
        <w:tc>
          <w:tcPr>
            <w:tcW w:w="2320" w:type="dxa"/>
            <w:vAlign w:val="bottom"/>
          </w:tcPr>
          <w:p>
            <w:pPr>
              <w:jc w:val="right"/>
              <w:ind w:right="190"/>
              <w:spacing w:after="0" w:line="185"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line="185" w:lineRule="exact"/>
              <w:rPr>
                <w:sz w:val="20"/>
                <w:szCs w:val="20"/>
                <w:color w:val="auto"/>
              </w:rPr>
            </w:pPr>
            <w:r>
              <w:rPr>
                <w:rFonts w:ascii="Arial" w:cs="Arial" w:eastAsia="Arial" w:hAnsi="Arial"/>
                <w:sz w:val="18"/>
                <w:szCs w:val="18"/>
                <w:color w:val="auto"/>
              </w:rPr>
              <w:t xml:space="preserve">1,269 </w:t>
            </w:r>
            <w:r>
              <w:rPr>
                <w:rFonts w:ascii="Arial" w:cs="Arial" w:eastAsia="Arial" w:hAnsi="Arial"/>
                <w:sz w:val="15"/>
                <w:szCs w:val="15"/>
                <w:color w:val="auto"/>
              </w:rPr>
              <w:t>(c)</w:t>
            </w:r>
          </w:p>
        </w:tc>
        <w:tc>
          <w:tcPr>
            <w:tcW w:w="1420" w:type="dxa"/>
            <w:vAlign w:val="bottom"/>
          </w:tcPr>
          <w:p>
            <w:pPr>
              <w:jc w:val="right"/>
              <w:ind w:right="210"/>
              <w:spacing w:after="0" w:line="185"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line="185" w:lineRule="exact"/>
              <w:rPr>
                <w:sz w:val="20"/>
                <w:szCs w:val="20"/>
                <w:color w:val="auto"/>
              </w:rPr>
            </w:pPr>
            <w:r>
              <w:rPr>
                <w:rFonts w:ascii="Arial" w:cs="Arial" w:eastAsia="Arial" w:hAnsi="Arial"/>
                <w:sz w:val="18"/>
                <w:szCs w:val="18"/>
                <w:color w:val="auto"/>
              </w:rPr>
              <w:t xml:space="preserve">1,517 </w:t>
            </w:r>
            <w:r>
              <w:rPr>
                <w:rFonts w:ascii="Arial" w:cs="Arial" w:eastAsia="Arial" w:hAnsi="Arial"/>
                <w:sz w:val="15"/>
                <w:szCs w:val="15"/>
                <w:color w:val="auto"/>
              </w:rPr>
              <w:t>(a)</w:t>
            </w:r>
          </w:p>
        </w:tc>
      </w:tr>
      <w:tr>
        <w:trPr>
          <w:trHeight w:val="221"/>
        </w:trPr>
        <w:tc>
          <w:tcPr>
            <w:tcW w:w="45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3"/>
        </w:trPr>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Other noncurrent liabilities:</w:t>
            </w:r>
          </w:p>
        </w:tc>
        <w:tc>
          <w:tcPr>
            <w:tcW w:w="2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4580" w:type="dxa"/>
            <w:vAlign w:val="bottom"/>
            <w:tcBorders>
              <w:bottom w:val="single" w:sz="8" w:color="auto"/>
            </w:tcBorders>
          </w:tcPr>
          <w:p>
            <w:pPr>
              <w:ind w:left="300"/>
              <w:spacing w:after="0" w:line="203" w:lineRule="exact"/>
              <w:rPr>
                <w:sz w:val="20"/>
                <w:szCs w:val="20"/>
                <w:color w:val="auto"/>
              </w:rPr>
            </w:pPr>
            <w:r>
              <w:rPr>
                <w:rFonts w:ascii="Arial" w:cs="Arial" w:eastAsia="Arial" w:hAnsi="Arial"/>
                <w:sz w:val="18"/>
                <w:szCs w:val="18"/>
                <w:color w:val="auto"/>
              </w:rPr>
              <w:t>Interest rate swap</w:t>
            </w:r>
          </w:p>
        </w:tc>
        <w:tc>
          <w:tcPr>
            <w:tcW w:w="23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center"/>
              <w:ind w:left="470"/>
              <w:spacing w:after="0" w:line="203" w:lineRule="exact"/>
              <w:rPr>
                <w:sz w:val="20"/>
                <w:szCs w:val="20"/>
                <w:color w:val="auto"/>
              </w:rPr>
            </w:pPr>
            <w:r>
              <w:rPr>
                <w:rFonts w:ascii="Arial" w:cs="Arial" w:eastAsia="Arial" w:hAnsi="Arial"/>
                <w:sz w:val="18"/>
                <w:szCs w:val="18"/>
                <w:color w:val="auto"/>
                <w:w w:val="99"/>
              </w:rPr>
              <w:t xml:space="preserve">(2,753) </w:t>
            </w:r>
            <w:r>
              <w:rPr>
                <w:rFonts w:ascii="Arial" w:cs="Arial" w:eastAsia="Arial" w:hAnsi="Arial"/>
                <w:sz w:val="15"/>
                <w:szCs w:val="15"/>
                <w:color w:val="auto"/>
                <w:w w:val="99"/>
              </w:rPr>
              <w:t>(d)</w:t>
            </w:r>
          </w:p>
        </w:tc>
        <w:tc>
          <w:tcPr>
            <w:tcW w:w="1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gridSpan w:val="2"/>
          </w:tcPr>
          <w:p>
            <w:pPr>
              <w:jc w:val="center"/>
              <w:ind w:left="430"/>
              <w:spacing w:after="0" w:line="203" w:lineRule="exact"/>
              <w:rPr>
                <w:sz w:val="20"/>
                <w:szCs w:val="20"/>
                <w:color w:val="auto"/>
              </w:rPr>
            </w:pPr>
            <w:r>
              <w:rPr>
                <w:rFonts w:ascii="Arial" w:cs="Arial" w:eastAsia="Arial" w:hAnsi="Arial"/>
                <w:sz w:val="18"/>
                <w:szCs w:val="18"/>
                <w:color w:val="auto"/>
                <w:w w:val="97"/>
              </w:rPr>
              <w:t xml:space="preserve">(3,119) </w:t>
            </w:r>
            <w:r>
              <w:rPr>
                <w:rFonts w:ascii="Arial" w:cs="Arial" w:eastAsia="Arial" w:hAnsi="Arial"/>
                <w:sz w:val="15"/>
                <w:szCs w:val="15"/>
                <w:color w:val="auto"/>
                <w:w w:val="97"/>
              </w:rPr>
              <w:t>(b)</w:t>
            </w:r>
          </w:p>
        </w:tc>
      </w:tr>
    </w:tbl>
    <w:p>
      <w:pPr>
        <w:spacing w:after="0" w:line="2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$5.6 million receivable floating leg and $4.1 million liability fixed leg</w:t>
      </w:r>
    </w:p>
    <w:p>
      <w:pPr>
        <w:spacing w:after="0" w:line="176" w:lineRule="exact"/>
        <w:rPr>
          <w:rFonts w:ascii="Arial" w:cs="Arial" w:eastAsia="Arial" w:hAnsi="Arial"/>
          <w:sz w:val="14"/>
          <w:szCs w:val="14"/>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$0.7 million receivable floating leg and $3.8 million liability fixed leg</w:t>
      </w:r>
    </w:p>
    <w:p>
      <w:pPr>
        <w:spacing w:after="0" w:line="190" w:lineRule="exact"/>
        <w:rPr>
          <w:rFonts w:ascii="Arial" w:cs="Arial" w:eastAsia="Arial" w:hAnsi="Arial"/>
          <w:sz w:val="14"/>
          <w:szCs w:val="14"/>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$5.4 million receivable floating leg and $4.1 million liability fixed leg</w:t>
      </w:r>
    </w:p>
    <w:p>
      <w:pPr>
        <w:spacing w:after="0" w:line="176" w:lineRule="exact"/>
        <w:rPr>
          <w:rFonts w:ascii="Arial" w:cs="Arial" w:eastAsia="Arial" w:hAnsi="Arial"/>
          <w:sz w:val="14"/>
          <w:szCs w:val="14"/>
          <w:color w:val="auto"/>
        </w:rPr>
      </w:pPr>
    </w:p>
    <w:p>
      <w:pPr>
        <w:ind w:left="660" w:hanging="328"/>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$0.5 million receivable floating leg and $3.3 million liability fixed leg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2014, there were no transfers between levels 1, 2, and 3.</w:t>
      </w:r>
    </w:p>
    <w:p>
      <w:pPr>
        <w:spacing w:after="0" w:line="21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20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7"/>
          <w:szCs w:val="17"/>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expense/ (income). Gains totaled $0.1 million for the three months ended March 31, 2014. There were no open contracts and no gains/ (losses) for the three months ended March 31, 2013.</w:t>
      </w:r>
    </w:p>
    <w:p>
      <w:pPr>
        <w:spacing w:after="0" w:line="191" w:lineRule="exact"/>
        <w:rPr>
          <w:sz w:val="20"/>
          <w:szCs w:val="20"/>
          <w:color w:val="auto"/>
        </w:rPr>
      </w:pPr>
    </w:p>
    <w:p>
      <w:pPr>
        <w:ind w:right="340" w:firstLine="648"/>
        <w:spacing w:after="0"/>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20" w:name="page21"/>
    <w:bookmarkEnd w:id="20"/>
    <w:p>
      <w:pPr>
        <w:ind w:right="40"/>
        <w:spacing w:after="0" w:line="246" w:lineRule="auto"/>
        <w:rPr>
          <w:sz w:val="20"/>
          <w:szCs w:val="20"/>
          <w:color w:val="auto"/>
        </w:rPr>
      </w:pPr>
      <w:r>
        <w:rPr>
          <w:rFonts w:ascii="Arial" w:cs="Arial" w:eastAsia="Arial" w:hAnsi="Arial"/>
          <w:sz w:val="18"/>
          <w:szCs w:val="18"/>
          <w:color w:val="auto"/>
        </w:rPr>
        <w:t>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expense/ (income), net. Revaluation gains and losses occur when our business units have cash, intercompany (recorded in Other expense/ (income), net) or third-party trade receivable or payable balances (recorded in Selling, General and Administrative expenses) in a currency other than their local reporting (or functional) currency.</w:t>
      </w:r>
    </w:p>
    <w:p>
      <w:pPr>
        <w:spacing w:after="0" w:line="20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 the Consolidated Balance Sheets. Unrealized gains and losses on the swaps will flow through the caption Derivative valuation adjustment in the Shareholders’ equity section of the Consolidated Balance Sheets, to the extent that the hedges are highly effective. As of March 31, 2014, these interest rate swaps were determined to be 100% effective hedges of interest rate cash flow risk.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$0.5 million for both of the three month periods ending March 31, 2014 and 2013.</w:t>
      </w:r>
    </w:p>
    <w:p>
      <w:pPr>
        <w:spacing w:after="0" w:line="3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expense/ (income), net in the</w:t>
      </w:r>
    </w:p>
    <w:p>
      <w:pPr>
        <w:spacing w:after="0"/>
        <w:rPr>
          <w:sz w:val="20"/>
          <w:szCs w:val="20"/>
          <w:color w:val="auto"/>
        </w:rPr>
      </w:pPr>
      <w:r>
        <w:rPr>
          <w:rFonts w:ascii="Arial" w:cs="Arial" w:eastAsia="Arial" w:hAnsi="Arial"/>
          <w:sz w:val="18"/>
          <w:szCs w:val="18"/>
          <w:color w:val="auto"/>
        </w:rPr>
        <w:t>Statement of Income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2"/>
          </w:tcPr>
          <w:p>
            <w:pPr>
              <w:jc w:val="right"/>
              <w:ind w:right="30"/>
              <w:spacing w:after="0" w:line="194" w:lineRule="exact"/>
              <w:rPr>
                <w:sz w:val="20"/>
                <w:szCs w:val="20"/>
                <w:color w:val="auto"/>
              </w:rPr>
            </w:pPr>
            <w:r>
              <w:rPr>
                <w:rFonts w:ascii="Arial" w:cs="Arial" w:eastAsia="Arial" w:hAnsi="Arial"/>
                <w:sz w:val="18"/>
                <w:szCs w:val="18"/>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8"/>
                <w:szCs w:val="18"/>
                <w:color w:val="auto"/>
              </w:rPr>
              <w:t>(in thousands)</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98"/>
        </w:trPr>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Derivatives not designated as hedging instruments</w:t>
            </w:r>
          </w:p>
        </w:tc>
        <w:tc>
          <w:tcPr>
            <w:tcW w:w="30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$74</w:t>
            </w: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tcPr>
          <w:p>
            <w:pPr>
              <w:ind w:left="260"/>
              <w:spacing w:after="0" w:line="203" w:lineRule="exact"/>
              <w:rPr>
                <w:sz w:val="20"/>
                <w:szCs w:val="20"/>
                <w:color w:val="auto"/>
              </w:rPr>
            </w:pPr>
            <w:r>
              <w:rPr>
                <w:rFonts w:ascii="Arial" w:cs="Arial" w:eastAsia="Arial" w:hAnsi="Arial"/>
                <w:sz w:val="18"/>
                <w:szCs w:val="18"/>
                <w:color w:val="auto"/>
              </w:rPr>
              <w:t>Forward exchange options</w:t>
            </w:r>
          </w:p>
        </w:tc>
        <w:tc>
          <w:tcPr>
            <w:tcW w:w="30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We were defending 4,208 claims as of March 31, 2014.</w:t>
      </w:r>
    </w:p>
    <w:p>
      <w:pPr>
        <w:spacing w:after="0" w:line="171"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440" w:type="dxa"/>
            <w:vAlign w:val="bottom"/>
            <w:tcBorders>
              <w:top w:val="single" w:sz="8" w:color="auto"/>
              <w:left w:val="single" w:sz="8" w:color="auto"/>
              <w:right w:val="single" w:sz="8" w:color="auto"/>
            </w:tcBorders>
          </w:tcPr>
          <w:p>
            <w:pPr>
              <w:ind w:left="720"/>
              <w:spacing w:after="0" w:line="194" w:lineRule="exact"/>
              <w:rPr>
                <w:sz w:val="20"/>
                <w:szCs w:val="20"/>
                <w:color w:val="auto"/>
              </w:rPr>
            </w:pPr>
            <w:r>
              <w:rPr>
                <w:rFonts w:ascii="Arial" w:cs="Arial" w:eastAsia="Arial" w:hAnsi="Arial"/>
                <w:sz w:val="18"/>
                <w:szCs w:val="18"/>
                <w:b w:val="1"/>
                <w:bCs w:val="1"/>
                <w:color w:val="auto"/>
              </w:rPr>
              <w:t>Year ended</w:t>
            </w:r>
          </w:p>
        </w:tc>
        <w:tc>
          <w:tcPr>
            <w:tcW w:w="182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Opening Number of</w:t>
            </w:r>
          </w:p>
        </w:tc>
        <w:tc>
          <w:tcPr>
            <w:tcW w:w="17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Claims Dismissed,</w:t>
            </w:r>
          </w:p>
        </w:tc>
        <w:tc>
          <w:tcPr>
            <w:tcW w:w="17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Closing Number of</w:t>
            </w:r>
          </w:p>
        </w:tc>
        <w:tc>
          <w:tcPr>
            <w:tcW w:w="204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Amounts Paid</w:t>
            </w:r>
          </w:p>
        </w:tc>
      </w:tr>
      <w:tr>
        <w:trPr>
          <w:trHeight w:val="203"/>
        </w:trPr>
        <w:tc>
          <w:tcPr>
            <w:tcW w:w="2440" w:type="dxa"/>
            <w:vAlign w:val="bottom"/>
            <w:tcBorders>
              <w:left w:val="single" w:sz="8" w:color="auto"/>
              <w:right w:val="single" w:sz="8" w:color="auto"/>
            </w:tcBorders>
          </w:tcPr>
          <w:p>
            <w:pPr>
              <w:ind w:left="640"/>
              <w:spacing w:after="0" w:line="202" w:lineRule="exact"/>
              <w:rPr>
                <w:sz w:val="20"/>
                <w:szCs w:val="20"/>
                <w:color w:val="auto"/>
              </w:rPr>
            </w:pPr>
            <w:r>
              <w:rPr>
                <w:rFonts w:ascii="Arial" w:cs="Arial" w:eastAsia="Arial" w:hAnsi="Arial"/>
                <w:sz w:val="18"/>
                <w:szCs w:val="18"/>
                <w:b w:val="1"/>
                <w:bCs w:val="1"/>
                <w:color w:val="auto"/>
              </w:rPr>
              <w:t>December 31,</w:t>
            </w:r>
          </w:p>
        </w:tc>
        <w:tc>
          <w:tcPr>
            <w:tcW w:w="1820" w:type="dxa"/>
            <w:vAlign w:val="bottom"/>
            <w:tcBorders>
              <w:right w:val="single" w:sz="8" w:color="auto"/>
            </w:tcBorders>
          </w:tcPr>
          <w:p>
            <w:pPr>
              <w:jc w:val="right"/>
              <w:ind w:right="530"/>
              <w:spacing w:after="0" w:line="202" w:lineRule="exact"/>
              <w:rPr>
                <w:sz w:val="20"/>
                <w:szCs w:val="20"/>
                <w:color w:val="auto"/>
              </w:rPr>
            </w:pPr>
            <w:r>
              <w:rPr>
                <w:rFonts w:ascii="Arial" w:cs="Arial" w:eastAsia="Arial" w:hAnsi="Arial"/>
                <w:sz w:val="18"/>
                <w:szCs w:val="18"/>
                <w:b w:val="1"/>
                <w:bCs w:val="1"/>
                <w:color w:val="auto"/>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Claims</w:t>
            </w:r>
          </w:p>
        </w:tc>
        <w:tc>
          <w:tcPr>
            <w:tcW w:w="2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 Settle or</w:t>
            </w:r>
          </w:p>
        </w:tc>
      </w:tr>
      <w:tr>
        <w:trPr>
          <w:trHeight w:val="225"/>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Resolve</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2005</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29,411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2006</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2007</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2008</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2009</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2010</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2011</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2013</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4,315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As of March 31, 2014</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4,208</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$98</w:t>
            </w:r>
          </w:p>
        </w:tc>
      </w:tr>
    </w:tbl>
    <w:p>
      <w:pPr>
        <w:spacing w:after="0" w:line="215"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March 31, 2014 we had resolved, by means of settlement or dismissal, 36,746 claims. The total cost of resolving all claims was $8.8 million. Of this amount, almost 100% was paid by our insurance carrier. The Company has over $125 million in confirmed insurance coverage that should be available with respect to current and future asbestos claims, as well as additional insurance coverage that we should be able to access.</w:t>
      </w:r>
    </w:p>
    <w:p>
      <w:pPr>
        <w:spacing w:after="0" w:line="178"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7,732 claims as of March 31, 2014.</w:t>
      </w:r>
    </w:p>
    <w:p>
      <w:pPr>
        <w:spacing w:after="0" w:line="162"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193"/>
        </w:trPr>
        <w:tc>
          <w:tcPr>
            <w:tcW w:w="2440" w:type="dxa"/>
            <w:vAlign w:val="bottom"/>
            <w:tcBorders>
              <w:top w:val="single" w:sz="8" w:color="auto"/>
              <w:left w:val="single" w:sz="8" w:color="auto"/>
              <w:right w:val="single" w:sz="8" w:color="auto"/>
            </w:tcBorders>
          </w:tcPr>
          <w:p>
            <w:pPr>
              <w:ind w:left="720"/>
              <w:spacing w:after="0" w:line="194" w:lineRule="exact"/>
              <w:rPr>
                <w:sz w:val="20"/>
                <w:szCs w:val="20"/>
                <w:color w:val="auto"/>
              </w:rPr>
            </w:pPr>
            <w:r>
              <w:rPr>
                <w:rFonts w:ascii="Arial" w:cs="Arial" w:eastAsia="Arial" w:hAnsi="Arial"/>
                <w:sz w:val="18"/>
                <w:szCs w:val="18"/>
                <w:b w:val="1"/>
                <w:bCs w:val="1"/>
                <w:color w:val="auto"/>
              </w:rPr>
              <w:t>Year ended</w:t>
            </w:r>
          </w:p>
        </w:tc>
        <w:tc>
          <w:tcPr>
            <w:tcW w:w="2040" w:type="dxa"/>
            <w:vAlign w:val="bottom"/>
            <w:tcBorders>
              <w:top w:val="single" w:sz="8" w:color="auto"/>
              <w:right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Opening Number of</w:t>
            </w:r>
          </w:p>
        </w:tc>
        <w:tc>
          <w:tcPr>
            <w:tcW w:w="17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Claims Dismissed,</w:t>
            </w:r>
          </w:p>
        </w:tc>
        <w:tc>
          <w:tcPr>
            <w:tcW w:w="17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Closing Number of</w:t>
            </w:r>
          </w:p>
        </w:tc>
        <w:tc>
          <w:tcPr>
            <w:tcW w:w="1820" w:type="dxa"/>
            <w:vAlign w:val="bottom"/>
            <w:tcBorders>
              <w:top w:val="single" w:sz="8" w:color="auto"/>
              <w:right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Amounts Paid</w:t>
            </w:r>
          </w:p>
        </w:tc>
      </w:tr>
      <w:tr>
        <w:trPr>
          <w:trHeight w:val="203"/>
        </w:trPr>
        <w:tc>
          <w:tcPr>
            <w:tcW w:w="2440" w:type="dxa"/>
            <w:vAlign w:val="bottom"/>
            <w:tcBorders>
              <w:left w:val="single" w:sz="8" w:color="auto"/>
              <w:right w:val="single" w:sz="8" w:color="auto"/>
            </w:tcBorders>
          </w:tcPr>
          <w:p>
            <w:pPr>
              <w:ind w:left="640"/>
              <w:spacing w:after="0" w:line="202" w:lineRule="exact"/>
              <w:rPr>
                <w:sz w:val="20"/>
                <w:szCs w:val="20"/>
                <w:color w:val="auto"/>
              </w:rPr>
            </w:pPr>
            <w:r>
              <w:rPr>
                <w:rFonts w:ascii="Arial" w:cs="Arial" w:eastAsia="Arial" w:hAnsi="Arial"/>
                <w:sz w:val="18"/>
                <w:szCs w:val="18"/>
                <w:b w:val="1"/>
                <w:bCs w:val="1"/>
                <w:color w:val="auto"/>
              </w:rPr>
              <w:t>December 31,</w:t>
            </w:r>
          </w:p>
        </w:tc>
        <w:tc>
          <w:tcPr>
            <w:tcW w:w="2040" w:type="dxa"/>
            <w:vAlign w:val="bottom"/>
            <w:tcBorders>
              <w:right w:val="single" w:sz="8" w:color="auto"/>
            </w:tcBorders>
          </w:tcPr>
          <w:p>
            <w:pPr>
              <w:jc w:val="right"/>
              <w:ind w:right="650"/>
              <w:spacing w:after="0" w:line="202" w:lineRule="exact"/>
              <w:rPr>
                <w:sz w:val="20"/>
                <w:szCs w:val="20"/>
                <w:color w:val="auto"/>
              </w:rPr>
            </w:pPr>
            <w:r>
              <w:rPr>
                <w:rFonts w:ascii="Arial" w:cs="Arial" w:eastAsia="Arial" w:hAnsi="Arial"/>
                <w:sz w:val="18"/>
                <w:szCs w:val="18"/>
                <w:b w:val="1"/>
                <w:bCs w:val="1"/>
                <w:color w:val="auto"/>
              </w:rPr>
              <w:t>Claims</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right"/>
              <w:ind w:right="470"/>
              <w:spacing w:after="0" w:line="202" w:lineRule="exact"/>
              <w:rPr>
                <w:sz w:val="20"/>
                <w:szCs w:val="20"/>
                <w:color w:val="auto"/>
              </w:rPr>
            </w:pPr>
            <w:r>
              <w:rPr>
                <w:rFonts w:ascii="Arial" w:cs="Arial" w:eastAsia="Arial" w:hAnsi="Arial"/>
                <w:sz w:val="18"/>
                <w:szCs w:val="18"/>
                <w:b w:val="1"/>
                <w:bCs w:val="1"/>
                <w:color w:val="auto"/>
              </w:rPr>
              <w:t>Claims</w:t>
            </w:r>
          </w:p>
        </w:tc>
        <w:tc>
          <w:tcPr>
            <w:tcW w:w="18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9"/>
              </w:rPr>
              <w:t>(thousands) to Settle</w:t>
            </w:r>
          </w:p>
        </w:tc>
      </w:tr>
      <w:tr>
        <w:trPr>
          <w:trHeight w:val="225"/>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or Resolve</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2005</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9,985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2006</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8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2007</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8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2008</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8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2009</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8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2010</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8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2011</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8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2012</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8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2013</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82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24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As of March 31, 2014</w:t>
            </w:r>
          </w:p>
        </w:tc>
        <w:tc>
          <w:tcPr>
            <w:tcW w:w="2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7,732</w:t>
            </w:r>
          </w:p>
        </w:tc>
        <w:tc>
          <w:tcPr>
            <w:tcW w:w="1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21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March 31, 2014, Brandon has resolved, by means of settlement or dismissal, 9,872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7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23" w:name="page24"/>
    <w:bookmarkEnd w:id="23"/>
    <w:p>
      <w:pPr>
        <w:jc w:val="both"/>
        <w:spacing w:after="0"/>
        <w:rPr>
          <w:sz w:val="20"/>
          <w:szCs w:val="20"/>
          <w:color w:val="auto"/>
        </w:rPr>
      </w:pPr>
      <w:r>
        <w:rPr>
          <w:rFonts w:ascii="Arial" w:cs="Arial" w:eastAsia="Arial" w:hAnsi="Arial"/>
          <w:sz w:val="18"/>
          <w:szCs w:val="18"/>
          <w:color w:val="auto"/>
        </w:rPr>
        <w:t>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Stockholders’ Equity: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Accumulated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items of other</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2"/>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Class A</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Class B</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Additional paid</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Retained</w:t>
            </w:r>
          </w:p>
        </w:tc>
        <w:tc>
          <w:tcPr>
            <w:tcW w:w="1100" w:type="dxa"/>
            <w:vAlign w:val="bottom"/>
          </w:tcPr>
          <w:p>
            <w:pPr>
              <w:jc w:val="center"/>
              <w:spacing w:after="0"/>
              <w:rPr>
                <w:sz w:val="20"/>
                <w:szCs w:val="20"/>
                <w:color w:val="auto"/>
              </w:rPr>
            </w:pPr>
            <w:r>
              <w:rPr>
                <w:rFonts w:ascii="Arial" w:cs="Arial" w:eastAsia="Arial" w:hAnsi="Arial"/>
                <w:sz w:val="14"/>
                <w:szCs w:val="14"/>
                <w:color w:val="auto"/>
              </w:rPr>
              <w:t>comprehensive</w:t>
            </w:r>
          </w:p>
        </w:tc>
        <w:tc>
          <w:tcPr>
            <w:tcW w:w="10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Noncontrolling</w:t>
            </w:r>
          </w:p>
        </w:tc>
        <w:tc>
          <w:tcPr>
            <w:tcW w:w="112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57"/>
        </w:trPr>
        <w:tc>
          <w:tcPr>
            <w:tcW w:w="2840" w:type="dxa"/>
            <w:vAlign w:val="bottom"/>
            <w:tcBorders>
              <w:bottom w:val="single" w:sz="8" w:color="auto"/>
            </w:tcBorders>
            <w:vMerge w:val="continue"/>
          </w:tcPr>
          <w:p>
            <w:pPr>
              <w:spacing w:after="0"/>
              <w:rPr>
                <w:sz w:val="13"/>
                <w:szCs w:val="13"/>
                <w:color w:val="auto"/>
              </w:rPr>
            </w:pPr>
          </w:p>
        </w:tc>
        <w:tc>
          <w:tcPr>
            <w:tcW w:w="21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Common Stock Common Stock</w:t>
            </w:r>
          </w:p>
        </w:tc>
        <w:tc>
          <w:tcPr>
            <w:tcW w:w="112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in capital</w:t>
            </w:r>
          </w:p>
        </w:tc>
        <w:tc>
          <w:tcPr>
            <w:tcW w:w="94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earnings</w:t>
            </w:r>
          </w:p>
        </w:tc>
        <w:tc>
          <w:tcPr>
            <w:tcW w:w="11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income</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Treasury stock</w:t>
            </w:r>
          </w:p>
        </w:tc>
        <w:tc>
          <w:tcPr>
            <w:tcW w:w="112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Interest</w:t>
            </w:r>
          </w:p>
        </w:tc>
        <w:tc>
          <w:tcPr>
            <w:tcW w:w="11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Arial" w:cs="Arial" w:eastAsia="Arial" w:hAnsi="Arial"/>
                <w:sz w:val="14"/>
                <w:szCs w:val="14"/>
                <w:color w:val="auto"/>
              </w:rPr>
              <w:t>December 31, 2013</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$37</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$416,728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$434,598</w:t>
            </w:r>
          </w:p>
        </w:tc>
        <w:tc>
          <w:tcPr>
            <w:tcW w:w="1100" w:type="dxa"/>
            <w:vAlign w:val="bottom"/>
          </w:tcPr>
          <w:p>
            <w:pPr>
              <w:jc w:val="right"/>
              <w:spacing w:after="0"/>
              <w:rPr>
                <w:sz w:val="20"/>
                <w:szCs w:val="20"/>
                <w:color w:val="auto"/>
              </w:rPr>
            </w:pPr>
            <w:r>
              <w:rPr>
                <w:rFonts w:ascii="Arial" w:cs="Arial" w:eastAsia="Arial" w:hAnsi="Arial"/>
                <w:sz w:val="14"/>
                <w:szCs w:val="14"/>
                <w:color w:val="auto"/>
              </w:rPr>
              <w:t>($49,498)</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($257,571)</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$3,482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$547,779</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4"/>
                <w:szCs w:val="14"/>
                <w:color w:val="auto"/>
              </w:rPr>
              <w:t>Net income</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10,621</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10,693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4"/>
                <w:szCs w:val="14"/>
                <w:color w:val="auto"/>
              </w:rPr>
              <w:t>Dividends declared</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(4,773)</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(4,773)</w:t>
            </w:r>
          </w:p>
        </w:tc>
        <w:tc>
          <w:tcPr>
            <w:tcW w:w="0" w:type="dxa"/>
            <w:vAlign w:val="bottom"/>
          </w:tcPr>
          <w:p>
            <w:pPr>
              <w:spacing w:after="0"/>
              <w:rPr>
                <w:sz w:val="1"/>
                <w:szCs w:val="1"/>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4"/>
                <w:szCs w:val="14"/>
                <w:color w:val="auto"/>
              </w:rPr>
              <w:t>Compensation and benefits paid or payable</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40" w:type="dxa"/>
            <w:vAlign w:val="bottom"/>
          </w:tcPr>
          <w:p>
            <w:pPr>
              <w:spacing w:after="0"/>
              <w:rPr>
                <w:sz w:val="20"/>
                <w:szCs w:val="20"/>
                <w:color w:val="auto"/>
              </w:rPr>
            </w:pPr>
            <w:r>
              <w:rPr>
                <w:rFonts w:ascii="Arial" w:cs="Arial" w:eastAsia="Arial" w:hAnsi="Arial"/>
                <w:sz w:val="14"/>
                <w:szCs w:val="14"/>
                <w:color w:val="auto"/>
              </w:rPr>
              <w:t>in Class A Common Stock</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541</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4"/>
                <w:szCs w:val="14"/>
                <w:color w:val="auto"/>
              </w:rPr>
              <w:t>Options exercised</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165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4"/>
                <w:szCs w:val="14"/>
                <w:color w:val="auto"/>
              </w:rPr>
              <w:t>Cumulative translation adjustment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(5,599)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4"/>
                <w:szCs w:val="14"/>
                <w:color w:val="auto"/>
              </w:rPr>
              <w:t>Change in pension liability adjustment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Change in derivative valuation adjustment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93"/>
        </w:trPr>
        <w:tc>
          <w:tcPr>
            <w:tcW w:w="28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8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March 31, 2014</w:t>
            </w:r>
          </w:p>
        </w:tc>
        <w:tc>
          <w:tcPr>
            <w:tcW w:w="11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$37</w:t>
            </w: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w:t>
            </w:r>
          </w:p>
        </w:tc>
        <w:tc>
          <w:tcPr>
            <w:tcW w:w="11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$417,434</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$440,446</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($54,523)</w:t>
            </w:r>
          </w:p>
        </w:tc>
        <w:tc>
          <w:tcPr>
            <w:tcW w:w="10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($257,571)</w:t>
            </w:r>
          </w:p>
        </w:tc>
        <w:tc>
          <w:tcPr>
            <w:tcW w:w="11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$3,554</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$549,380</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17. Recent Accounting Pronouncements</w:t>
      </w:r>
    </w:p>
    <w:p>
      <w:pPr>
        <w:spacing w:after="0" w:line="22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In July 2013, amended accounting guidance was issued regarding the financial statement presentation of an unrecognized tax benefit when a net operating loss carryforward, a similar tax loss or a tax credit carryforward exists. This guidance was adopted in the first quarter 2014 and had the effect of reducing noncurrent deferred tax assets and noncurrent deferred tax liabilities by $7.1 million.</w:t>
      </w:r>
    </w:p>
    <w:p>
      <w:pPr>
        <w:spacing w:after="0" w:line="176"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 April 2014, an accounting update was issued regarding which disposals qualify for reporting as discontinued operations. Additionally, new disclosures will apply for discontinued operations. This accounting update is to be applied prospectively to new disposals and new classifications of disposal groups as held for sale beginning in periods after December 15, 2014. We do not expect the adoption of this update to have a significant effect on our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ind w:right="1420"/>
        <w:spacing w:after="0" w:line="45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648"/>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“project,” “will,” “should” and similar expressions identify forward-looking statements, which generally are not historical in nature. Forward-looking statements are subject to certain risks and uncertainties (including, without limitation, those set forth in the Company’s most recent Annual Report on Form 10-K or prior Quarterly Reports on Form 10-Q) that could cause actual results to differ materially from the Company’s historical experience and our present expectations or projections.</w:t>
      </w:r>
    </w:p>
    <w:p>
      <w:pPr>
        <w:spacing w:after="0" w:line="163"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1040" w:right="300" w:hanging="307"/>
        <w:spacing w:after="0" w:line="24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88" w:lineRule="exact"/>
        <w:rPr>
          <w:rFonts w:ascii="Arial" w:cs="Arial" w:eastAsia="Arial" w:hAnsi="Arial"/>
          <w:sz w:val="18"/>
          <w:szCs w:val="18"/>
          <w:color w:val="auto"/>
        </w:rPr>
      </w:pPr>
    </w:p>
    <w:p>
      <w:pPr>
        <w:ind w:left="1040" w:hanging="307"/>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remain competitive in the industries in which our Machine Clothing segment competes;</w:t>
      </w:r>
    </w:p>
    <w:p>
      <w:pPr>
        <w:spacing w:after="0" w:line="117" w:lineRule="exact"/>
        <w:rPr>
          <w:rFonts w:ascii="Arial" w:cs="Arial" w:eastAsia="Arial" w:hAnsi="Arial"/>
          <w:sz w:val="18"/>
          <w:szCs w:val="18"/>
          <w:color w:val="auto"/>
        </w:rPr>
      </w:pPr>
    </w:p>
    <w:p>
      <w:pPr>
        <w:ind w:left="1040" w:hanging="307"/>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have achieve or maintain anticipated profitable growth in our Engineered Composites segment; and</w:t>
      </w:r>
    </w:p>
    <w:p>
      <w:pPr>
        <w:spacing w:after="0" w:line="117" w:lineRule="exact"/>
        <w:rPr>
          <w:rFonts w:ascii="Arial" w:cs="Arial" w:eastAsia="Arial" w:hAnsi="Arial"/>
          <w:sz w:val="18"/>
          <w:szCs w:val="18"/>
          <w:color w:val="auto"/>
        </w:rPr>
      </w:pPr>
    </w:p>
    <w:p>
      <w:pPr>
        <w:ind w:left="1040" w:hanging="307"/>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44"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and Trends,” “Liquidity,” and “Legal Proceedings” sections of this quarterly report,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17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62"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792" w:right="29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0"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See Note 3, “Reportable Segments”, under Item 1, Financial Statements, for a discussion of recasting Research and Unallocated expenses to reportable segments.</w:t>
      </w:r>
    </w:p>
    <w:p>
      <w:pPr>
        <w:spacing w:after="0" w:line="183"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reportable segments: Machine Clothing (MC) and Albany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89"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MC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Although we consider the market for Machine Clothing as having flat growth potential, the business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94"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(including Albany Safran Composites, LLC (“ASC”), in which our customer SAFRAN Group owns a 10%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 developing other new and potentially significant composite products for aerospace (engine and airframe) applications.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Three months ended</w:t>
            </w:r>
          </w:p>
        </w:tc>
        <w:tc>
          <w:tcPr>
            <w:tcW w:w="1220" w:type="dxa"/>
            <w:vAlign w:val="bottom"/>
            <w:tcBorders>
              <w:top w:val="single" w:sz="8" w:color="auto"/>
            </w:tcBorders>
          </w:tcPr>
          <w:p>
            <w:pPr>
              <w:spacing w:after="0"/>
              <w:rPr>
                <w:sz w:val="18"/>
                <w:szCs w:val="18"/>
                <w:color w:val="auto"/>
              </w:rPr>
            </w:pPr>
          </w:p>
        </w:tc>
        <w:tc>
          <w:tcPr>
            <w:tcW w:w="3440" w:type="dxa"/>
            <w:vAlign w:val="bottom"/>
          </w:tcPr>
          <w:p>
            <w:pPr>
              <w:spacing w:after="0"/>
              <w:rPr>
                <w:sz w:val="18"/>
                <w:szCs w:val="18"/>
                <w:color w:val="auto"/>
              </w:rPr>
            </w:pPr>
          </w:p>
        </w:tc>
      </w:tr>
      <w:tr>
        <w:trPr>
          <w:trHeight w:val="181"/>
        </w:trPr>
        <w:tc>
          <w:tcPr>
            <w:tcW w:w="3680" w:type="dxa"/>
            <w:vAlign w:val="bottom"/>
          </w:tcPr>
          <w:p>
            <w:pPr>
              <w:spacing w:after="0"/>
              <w:rPr>
                <w:sz w:val="15"/>
                <w:szCs w:val="15"/>
                <w:color w:val="auto"/>
              </w:rPr>
            </w:pPr>
          </w:p>
        </w:tc>
        <w:tc>
          <w:tcPr>
            <w:tcW w:w="216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225"/>
        </w:trPr>
        <w:tc>
          <w:tcPr>
            <w:tcW w:w="368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2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4660" w:type="dxa"/>
            <w:vAlign w:val="bottom"/>
            <w:gridSpan w:val="2"/>
          </w:tcPr>
          <w:p>
            <w:pPr>
              <w:jc w:val="right"/>
              <w:ind w:right="3680"/>
              <w:spacing w:after="0"/>
              <w:rPr>
                <w:sz w:val="20"/>
                <w:szCs w:val="20"/>
                <w:color w:val="auto"/>
              </w:rPr>
            </w:pPr>
            <w:r>
              <w:rPr>
                <w:rFonts w:ascii="Arial" w:cs="Arial" w:eastAsia="Arial" w:hAnsi="Arial"/>
                <w:sz w:val="18"/>
                <w:szCs w:val="18"/>
                <w:color w:val="auto"/>
              </w:rPr>
              <w:t>% Change</w:t>
            </w:r>
          </w:p>
        </w:tc>
      </w:tr>
      <w:tr>
        <w:trPr>
          <w:trHeight w:val="173"/>
        </w:trPr>
        <w:tc>
          <w:tcPr>
            <w:tcW w:w="36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2160" w:type="dxa"/>
            <w:vAlign w:val="bottom"/>
            <w:tcBorders>
              <w:top w:val="single" w:sz="8" w:color="auto"/>
            </w:tcBorders>
          </w:tcPr>
          <w:p>
            <w:pPr>
              <w:jc w:val="right"/>
              <w:ind w:right="470"/>
              <w:spacing w:after="0" w:line="173" w:lineRule="exact"/>
              <w:rPr>
                <w:sz w:val="20"/>
                <w:szCs w:val="20"/>
                <w:color w:val="auto"/>
              </w:rPr>
            </w:pPr>
            <w:r>
              <w:rPr>
                <w:rFonts w:ascii="Arial" w:cs="Arial" w:eastAsia="Arial" w:hAnsi="Arial"/>
                <w:sz w:val="18"/>
                <w:szCs w:val="18"/>
                <w:b w:val="1"/>
                <w:bCs w:val="1"/>
                <w:color w:val="auto"/>
              </w:rPr>
              <w:t>$164,088</w:t>
            </w:r>
          </w:p>
        </w:tc>
        <w:tc>
          <w:tcPr>
            <w:tcW w:w="92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color w:val="auto"/>
              </w:rPr>
              <w:t>$167,409</w:t>
            </w:r>
          </w:p>
        </w:tc>
        <w:tc>
          <w:tcPr>
            <w:tcW w:w="12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-2.0%</w:t>
            </w:r>
          </w:p>
        </w:tc>
        <w:tc>
          <w:tcPr>
            <w:tcW w:w="3440" w:type="dxa"/>
            <w:vAlign w:val="bottom"/>
          </w:tcPr>
          <w:p>
            <w:pPr>
              <w:spacing w:after="0"/>
              <w:rPr>
                <w:sz w:val="15"/>
                <w:szCs w:val="15"/>
                <w:color w:val="auto"/>
              </w:rPr>
            </w:pPr>
          </w:p>
        </w:tc>
      </w:tr>
      <w:tr>
        <w:trPr>
          <w:trHeight w:val="225"/>
        </w:trPr>
        <w:tc>
          <w:tcPr>
            <w:tcW w:w="3680" w:type="dxa"/>
            <w:vAlign w:val="bottom"/>
          </w:tcPr>
          <w:p>
            <w:pPr>
              <w:spacing w:after="0"/>
              <w:rPr>
                <w:sz w:val="20"/>
                <w:szCs w:val="20"/>
                <w:color w:val="auto"/>
              </w:rPr>
            </w:pPr>
            <w:r>
              <w:rPr>
                <w:rFonts w:ascii="Arial" w:cs="Arial" w:eastAsia="Arial" w:hAnsi="Arial"/>
                <w:sz w:val="18"/>
                <w:szCs w:val="18"/>
                <w:color w:val="auto"/>
              </w:rPr>
              <w:t>Albany Engineered Composites</w:t>
            </w:r>
          </w:p>
        </w:tc>
        <w:tc>
          <w:tcPr>
            <w:tcW w:w="2160" w:type="dxa"/>
            <w:vAlign w:val="bottom"/>
          </w:tcPr>
          <w:p>
            <w:pPr>
              <w:jc w:val="right"/>
              <w:ind w:right="470"/>
              <w:spacing w:after="0"/>
              <w:rPr>
                <w:sz w:val="20"/>
                <w:szCs w:val="20"/>
                <w:color w:val="auto"/>
              </w:rPr>
            </w:pPr>
            <w:r>
              <w:rPr>
                <w:rFonts w:ascii="Arial" w:cs="Arial" w:eastAsia="Arial" w:hAnsi="Arial"/>
                <w:sz w:val="18"/>
                <w:szCs w:val="18"/>
                <w:b w:val="1"/>
                <w:bCs w:val="1"/>
                <w:color w:val="auto"/>
              </w:rPr>
              <w:t>16,219</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19,245</w:t>
            </w:r>
          </w:p>
        </w:tc>
        <w:tc>
          <w:tcPr>
            <w:tcW w:w="4660" w:type="dxa"/>
            <w:vAlign w:val="bottom"/>
            <w:gridSpan w:val="2"/>
          </w:tcPr>
          <w:p>
            <w:pPr>
              <w:jc w:val="right"/>
              <w:ind w:right="3440"/>
              <w:spacing w:after="0"/>
              <w:rPr>
                <w:sz w:val="20"/>
                <w:szCs w:val="20"/>
                <w:color w:val="auto"/>
              </w:rPr>
            </w:pPr>
            <w:r>
              <w:rPr>
                <w:rFonts w:ascii="Arial" w:cs="Arial" w:eastAsia="Arial" w:hAnsi="Arial"/>
                <w:sz w:val="18"/>
                <w:szCs w:val="18"/>
                <w:color w:val="auto"/>
              </w:rPr>
              <w:t>-15.7%</w:t>
            </w:r>
          </w:p>
        </w:tc>
      </w:tr>
      <w:tr>
        <w:trPr>
          <w:trHeight w:val="196"/>
        </w:trPr>
        <w:tc>
          <w:tcPr>
            <w:tcW w:w="36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$180,307</w:t>
            </w:r>
          </w:p>
        </w:tc>
        <w:tc>
          <w:tcPr>
            <w:tcW w:w="9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$186,654</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3440" w:type="dxa"/>
            <w:vAlign w:val="bottom"/>
          </w:tcPr>
          <w:p>
            <w:pPr>
              <w:spacing w:after="0"/>
              <w:rPr>
                <w:sz w:val="17"/>
                <w:szCs w:val="17"/>
                <w:color w:val="auto"/>
              </w:rPr>
            </w:pPr>
          </w:p>
        </w:tc>
      </w:tr>
      <w:tr>
        <w:trPr>
          <w:trHeight w:val="844"/>
        </w:trPr>
        <w:tc>
          <w:tcPr>
            <w:tcW w:w="36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42"/>
        </w:trPr>
        <w:tc>
          <w:tcPr>
            <w:tcW w:w="36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57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Net sales were affected by the following:</w:t>
      </w:r>
    </w:p>
    <w:p>
      <w:pPr>
        <w:spacing w:after="0" w:line="198" w:lineRule="exact"/>
        <w:rPr>
          <w:sz w:val="20"/>
          <w:szCs w:val="20"/>
          <w:color w:val="auto"/>
        </w:rPr>
      </w:pPr>
    </w:p>
    <w:p>
      <w:pPr>
        <w:ind w:left="660" w:right="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$0.8 million during the first quarter of 2014 as compared to 2013.</w:t>
      </w:r>
    </w:p>
    <w:p>
      <w:pPr>
        <w:spacing w:after="0" w:line="1" w:lineRule="exact"/>
        <w:rPr>
          <w:rFonts w:ascii="Arial" w:cs="Arial" w:eastAsia="Arial" w:hAnsi="Arial"/>
          <w:sz w:val="18"/>
          <w:szCs w:val="18"/>
          <w:color w:val="auto"/>
        </w:rPr>
      </w:pPr>
    </w:p>
    <w:p>
      <w:pPr>
        <w:ind w:left="660" w:right="32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decrease in AEC sales was principally due to the shift to larger scale LEAP part production, together with the related change in invoicing terms, resulting in a build-up of inventory and an associated temporary lag in sales.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980" w:hanging="324"/>
        <w:spacing w:after="0" w:line="23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decreased 3.8% compared to the same period in 2013</w:t>
      </w:r>
    </w:p>
    <w:p>
      <w:pPr>
        <w:ind w:left="980" w:hanging="324"/>
        <w:spacing w:after="0" w:line="23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MC decreased 2.5%.</w:t>
      </w: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AEC decreased 15.7%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r>
      <w:tr>
        <w:trPr>
          <w:trHeight w:val="181"/>
        </w:trPr>
        <w:tc>
          <w:tcPr>
            <w:tcW w:w="3640" w:type="dxa"/>
            <w:vAlign w:val="bottom"/>
          </w:tcPr>
          <w:p>
            <w:pPr>
              <w:spacing w:after="0"/>
              <w:rPr>
                <w:sz w:val="15"/>
                <w:szCs w:val="15"/>
                <w:color w:val="auto"/>
              </w:rPr>
            </w:pPr>
          </w:p>
        </w:tc>
        <w:tc>
          <w:tcPr>
            <w:tcW w:w="236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2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r>
      <w:tr>
        <w:trPr>
          <w:trHeight w:val="173"/>
        </w:trPr>
        <w:tc>
          <w:tcPr>
            <w:tcW w:w="36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2360" w:type="dxa"/>
            <w:vAlign w:val="bottom"/>
            <w:tcBorders>
              <w:top w:val="single" w:sz="8" w:color="auto"/>
            </w:tcBorders>
          </w:tcPr>
          <w:p>
            <w:pPr>
              <w:jc w:val="right"/>
              <w:ind w:right="790"/>
              <w:spacing w:after="0" w:line="173" w:lineRule="exact"/>
              <w:rPr>
                <w:sz w:val="20"/>
                <w:szCs w:val="20"/>
                <w:color w:val="auto"/>
              </w:rPr>
            </w:pPr>
            <w:r>
              <w:rPr>
                <w:rFonts w:ascii="Arial" w:cs="Arial" w:eastAsia="Arial" w:hAnsi="Arial"/>
                <w:sz w:val="18"/>
                <w:szCs w:val="18"/>
                <w:b w:val="1"/>
                <w:bCs w:val="1"/>
                <w:color w:val="auto"/>
              </w:rPr>
              <w:t>$73,870</w:t>
            </w:r>
          </w:p>
        </w:tc>
        <w:tc>
          <w:tcPr>
            <w:tcW w:w="86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color w:val="auto"/>
              </w:rPr>
              <w:t>$73,988</w:t>
            </w:r>
          </w:p>
        </w:tc>
        <w:tc>
          <w:tcPr>
            <w:tcW w:w="20" w:type="dxa"/>
            <w:vAlign w:val="bottom"/>
          </w:tcPr>
          <w:p>
            <w:pPr>
              <w:spacing w:after="0"/>
              <w:rPr>
                <w:sz w:val="15"/>
                <w:szCs w:val="15"/>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36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1,293</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c>
          <w:tcPr>
            <w:tcW w:w="20" w:type="dxa"/>
            <w:vAlign w:val="bottom"/>
          </w:tcPr>
          <w:p>
            <w:pPr>
              <w:spacing w:after="0"/>
              <w:rPr>
                <w:sz w:val="17"/>
                <w:szCs w:val="17"/>
                <w:color w:val="auto"/>
              </w:rPr>
            </w:pPr>
          </w:p>
        </w:tc>
      </w:tr>
      <w:tr>
        <w:trPr>
          <w:trHeight w:val="225"/>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3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(354)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r>
      <w:tr>
        <w:trPr>
          <w:trHeight w:val="196"/>
        </w:trPr>
        <w:tc>
          <w:tcPr>
            <w:tcW w:w="3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$74,809</w:t>
            </w:r>
          </w:p>
        </w:tc>
        <w:tc>
          <w:tcPr>
            <w:tcW w:w="8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$72,769</w:t>
            </w:r>
          </w:p>
        </w:tc>
        <w:tc>
          <w:tcPr>
            <w:tcW w:w="20" w:type="dxa"/>
            <w:vAlign w:val="bottom"/>
          </w:tcPr>
          <w:p>
            <w:pPr>
              <w:spacing w:after="0"/>
              <w:rPr>
                <w:sz w:val="17"/>
                <w:szCs w:val="17"/>
                <w:color w:val="auto"/>
              </w:rPr>
            </w:pPr>
          </w:p>
        </w:tc>
      </w:tr>
      <w:tr>
        <w:trPr>
          <w:trHeight w:val="196"/>
        </w:trPr>
        <w:tc>
          <w:tcPr>
            <w:tcW w:w="3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36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41.5%</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gross profit, compared to the same period in 2013, was principally due to the net effect of the following:</w:t>
      </w:r>
    </w:p>
    <w:p>
      <w:pPr>
        <w:spacing w:after="0" w:line="198" w:lineRule="exact"/>
        <w:rPr>
          <w:sz w:val="20"/>
          <w:szCs w:val="20"/>
          <w:color w:val="auto"/>
        </w:rPr>
      </w:pPr>
    </w:p>
    <w:p>
      <w:pPr>
        <w:ind w:left="980" w:right="240" w:hanging="324"/>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margins in MC increased from 44.2 percent to 45.0 percent reflecting seasonally strong plant utilization coupled with the impacts of the France restructuring.</w:t>
      </w:r>
    </w:p>
    <w:p>
      <w:pPr>
        <w:spacing w:after="0" w:line="1" w:lineRule="exact"/>
        <w:rPr>
          <w:rFonts w:ascii="Arial" w:cs="Arial" w:eastAsia="Arial" w:hAnsi="Arial"/>
          <w:sz w:val="18"/>
          <w:szCs w:val="18"/>
          <w:color w:val="auto"/>
        </w:rPr>
      </w:pPr>
    </w:p>
    <w:p>
      <w:pPr>
        <w:ind w:left="980" w:right="260" w:hanging="324"/>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AEC gross margin for the first quarter of 2014 was 8.0 percent compared to a loss in 2013 that resulted from inventory write-offs and other losses in certain legacy programs.</w:t>
      </w:r>
    </w:p>
    <w:p>
      <w:pPr>
        <w:spacing w:after="0" w:line="1" w:lineRule="exact"/>
        <w:rPr>
          <w:rFonts w:ascii="Arial" w:cs="Arial" w:eastAsia="Arial" w:hAnsi="Arial"/>
          <w:sz w:val="18"/>
          <w:szCs w:val="18"/>
          <w:color w:val="auto"/>
        </w:rPr>
      </w:pPr>
    </w:p>
    <w:p>
      <w:pPr>
        <w:ind w:left="980" w:right="16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expenses decreased $0.7 million for the first quarter of 2014 primarily due to a change made during the third quarter of 2013 that reduced the U.S. postretirement life insurance benefit for retirees and eliminated the benefit for active employees.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Three months ended</w:t>
            </w:r>
          </w:p>
        </w:tc>
        <w:tc>
          <w:tcPr>
            <w:tcW w:w="4560" w:type="dxa"/>
            <w:vAlign w:val="bottom"/>
          </w:tcPr>
          <w:p>
            <w:pPr>
              <w:spacing w:after="0"/>
              <w:rPr>
                <w:sz w:val="18"/>
                <w:szCs w:val="18"/>
                <w:color w:val="auto"/>
              </w:rPr>
            </w:pPr>
          </w:p>
        </w:tc>
      </w:tr>
      <w:tr>
        <w:trPr>
          <w:trHeight w:val="181"/>
        </w:trPr>
        <w:tc>
          <w:tcPr>
            <w:tcW w:w="3500" w:type="dxa"/>
            <w:vAlign w:val="bottom"/>
          </w:tcPr>
          <w:p>
            <w:pPr>
              <w:spacing w:after="0"/>
              <w:rPr>
                <w:sz w:val="15"/>
                <w:szCs w:val="15"/>
                <w:color w:val="auto"/>
              </w:rPr>
            </w:pPr>
          </w:p>
        </w:tc>
        <w:tc>
          <w:tcPr>
            <w:tcW w:w="250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5"/>
                <w:szCs w:val="15"/>
                <w:color w:val="auto"/>
              </w:rPr>
            </w:pPr>
          </w:p>
        </w:tc>
        <w:tc>
          <w:tcPr>
            <w:tcW w:w="4560" w:type="dxa"/>
            <w:vAlign w:val="bottom"/>
          </w:tcPr>
          <w:p>
            <w:pPr>
              <w:spacing w:after="0"/>
              <w:rPr>
                <w:sz w:val="15"/>
                <w:szCs w:val="15"/>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8"/>
                <w:szCs w:val="18"/>
                <w:color w:val="auto"/>
              </w:rPr>
              <w:t>(in thousands)</w:t>
            </w:r>
          </w:p>
        </w:tc>
        <w:tc>
          <w:tcPr>
            <w:tcW w:w="2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5420" w:type="dxa"/>
            <w:vAlign w:val="bottom"/>
            <w:gridSpan w:val="2"/>
          </w:tcPr>
          <w:p>
            <w:pPr>
              <w:jc w:val="right"/>
              <w:ind w:right="4560"/>
              <w:spacing w:after="0"/>
              <w:rPr>
                <w:sz w:val="20"/>
                <w:szCs w:val="20"/>
                <w:color w:val="auto"/>
              </w:rPr>
            </w:pPr>
            <w:r>
              <w:rPr>
                <w:rFonts w:ascii="Arial" w:cs="Arial" w:eastAsia="Arial" w:hAnsi="Arial"/>
                <w:sz w:val="18"/>
                <w:szCs w:val="18"/>
                <w:color w:val="auto"/>
              </w:rPr>
              <w:t>2013</w:t>
            </w:r>
          </w:p>
        </w:tc>
      </w:tr>
      <w:tr>
        <w:trPr>
          <w:trHeight w:val="173"/>
        </w:trPr>
        <w:tc>
          <w:tcPr>
            <w:tcW w:w="35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2500" w:type="dxa"/>
            <w:vAlign w:val="bottom"/>
            <w:tcBorders>
              <w:top w:val="single" w:sz="8" w:color="auto"/>
            </w:tcBorders>
          </w:tcPr>
          <w:p>
            <w:pPr>
              <w:jc w:val="right"/>
              <w:ind w:right="790"/>
              <w:spacing w:after="0" w:line="173" w:lineRule="exact"/>
              <w:rPr>
                <w:sz w:val="20"/>
                <w:szCs w:val="20"/>
                <w:color w:val="auto"/>
              </w:rPr>
            </w:pPr>
            <w:r>
              <w:rPr>
                <w:rFonts w:ascii="Arial" w:cs="Arial" w:eastAsia="Arial" w:hAnsi="Arial"/>
                <w:sz w:val="18"/>
                <w:szCs w:val="18"/>
                <w:b w:val="1"/>
                <w:bCs w:val="1"/>
                <w:color w:val="auto"/>
              </w:rPr>
              <w:t>$36,865</w:t>
            </w:r>
          </w:p>
        </w:tc>
        <w:tc>
          <w:tcPr>
            <w:tcW w:w="86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color w:val="auto"/>
              </w:rPr>
              <w:t>$36,240</w:t>
            </w:r>
          </w:p>
        </w:tc>
        <w:tc>
          <w:tcPr>
            <w:tcW w:w="4560" w:type="dxa"/>
            <w:vAlign w:val="bottom"/>
          </w:tcPr>
          <w:p>
            <w:pPr>
              <w:spacing w:after="0"/>
              <w:rPr>
                <w:sz w:val="15"/>
                <w:szCs w:val="15"/>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50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4,449</w:t>
            </w:r>
          </w:p>
        </w:tc>
        <w:tc>
          <w:tcPr>
            <w:tcW w:w="8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3,773</w:t>
            </w:r>
          </w:p>
        </w:tc>
        <w:tc>
          <w:tcPr>
            <w:tcW w:w="4560" w:type="dxa"/>
            <w:vAlign w:val="bottom"/>
          </w:tcPr>
          <w:p>
            <w:pPr>
              <w:spacing w:after="0"/>
              <w:rPr>
                <w:sz w:val="17"/>
                <w:szCs w:val="17"/>
                <w:color w:val="auto"/>
              </w:rPr>
            </w:pPr>
          </w:p>
        </w:tc>
      </w:tr>
      <w:tr>
        <w:trPr>
          <w:trHeight w:val="2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5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11,712</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9,602</w:t>
            </w:r>
          </w:p>
        </w:tc>
        <w:tc>
          <w:tcPr>
            <w:tcW w:w="4560" w:type="dxa"/>
            <w:vAlign w:val="bottom"/>
          </w:tcPr>
          <w:p>
            <w:pPr>
              <w:spacing w:after="0"/>
              <w:rPr>
                <w:sz w:val="19"/>
                <w:szCs w:val="19"/>
                <w:color w:val="auto"/>
              </w:rPr>
            </w:pPr>
          </w:p>
        </w:tc>
      </w:tr>
      <w:tr>
        <w:trPr>
          <w:trHeight w:val="196"/>
        </w:trPr>
        <w:tc>
          <w:tcPr>
            <w:tcW w:w="3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$53,026</w:t>
            </w:r>
          </w:p>
        </w:tc>
        <w:tc>
          <w:tcPr>
            <w:tcW w:w="8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$49,615</w:t>
            </w:r>
          </w:p>
        </w:tc>
        <w:tc>
          <w:tcPr>
            <w:tcW w:w="4560" w:type="dxa"/>
            <w:vAlign w:val="bottom"/>
          </w:tcPr>
          <w:p>
            <w:pPr>
              <w:spacing w:after="0"/>
              <w:rPr>
                <w:sz w:val="17"/>
                <w:szCs w:val="17"/>
                <w:color w:val="auto"/>
              </w:rPr>
            </w:pPr>
          </w:p>
        </w:tc>
      </w:tr>
      <w:tr>
        <w:trPr>
          <w:trHeight w:val="196"/>
        </w:trPr>
        <w:tc>
          <w:tcPr>
            <w:tcW w:w="3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50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29.4%</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w:t>
            </w:r>
          </w:p>
        </w:tc>
        <w:tc>
          <w:tcPr>
            <w:tcW w:w="4560" w:type="dxa"/>
            <w:vAlign w:val="bottom"/>
          </w:tcPr>
          <w:p>
            <w:pPr>
              <w:spacing w:after="0"/>
              <w:rPr>
                <w:sz w:val="17"/>
                <w:szCs w:val="17"/>
                <w:color w:val="auto"/>
              </w:rPr>
            </w:pPr>
          </w:p>
        </w:tc>
      </w:tr>
      <w:tr>
        <w:trPr>
          <w:trHeight w:val="534"/>
        </w:trPr>
        <w:tc>
          <w:tcPr>
            <w:tcW w:w="3500" w:type="dxa"/>
            <w:vAlign w:val="bottom"/>
          </w:tcPr>
          <w:p>
            <w:pPr>
              <w:spacing w:after="0"/>
              <w:rPr>
                <w:sz w:val="24"/>
                <w:szCs w:val="24"/>
                <w:color w:val="auto"/>
              </w:rPr>
            </w:pPr>
          </w:p>
        </w:tc>
        <w:tc>
          <w:tcPr>
            <w:tcW w:w="250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8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42"/>
        </w:trPr>
        <w:tc>
          <w:tcPr>
            <w:tcW w:w="350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56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598" w:right="2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color w:val="auto"/>
        </w:rPr>
        <w:t>STG&amp;R expenses increased $3.4 million, compared to the same period in 2013, principally due to the net effect of the following:</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translation decreased STG&amp;R expense by $0.4 million.</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$0.2 million during the first quarter of 2014 and gains of $0.7 million in the comparable quarter of 2013.</w:t>
      </w:r>
    </w:p>
    <w:p>
      <w:pPr>
        <w:spacing w:after="0" w:line="1" w:lineRule="exact"/>
        <w:rPr>
          <w:rFonts w:ascii="Arial" w:cs="Arial" w:eastAsia="Arial" w:hAnsi="Arial"/>
          <w:sz w:val="18"/>
          <w:szCs w:val="18"/>
          <w:color w:val="auto"/>
        </w:rPr>
      </w:pPr>
    </w:p>
    <w:p>
      <w:pPr>
        <w:ind w:left="660" w:right="2660" w:hanging="328"/>
        <w:spacing w:after="0" w:line="49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gain on the sale of former manufacturing facility in Australia reduced 2013 expenses by $3.8 million. The following table summarizes research and development expenses by business segment: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r>
      <w:tr>
        <w:trPr>
          <w:trHeight w:val="181"/>
        </w:trPr>
        <w:tc>
          <w:tcPr>
            <w:tcW w:w="3640" w:type="dxa"/>
            <w:vAlign w:val="bottom"/>
          </w:tcPr>
          <w:p>
            <w:pPr>
              <w:spacing w:after="0"/>
              <w:rPr>
                <w:sz w:val="15"/>
                <w:szCs w:val="15"/>
                <w:color w:val="auto"/>
              </w:rPr>
            </w:pPr>
          </w:p>
        </w:tc>
        <w:tc>
          <w:tcPr>
            <w:tcW w:w="25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March 31,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(in thousands)</w:t>
            </w:r>
          </w:p>
        </w:tc>
        <w:tc>
          <w:tcPr>
            <w:tcW w:w="2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r>
      <w:tr>
        <w:trPr>
          <w:trHeight w:val="173"/>
        </w:trPr>
        <w:tc>
          <w:tcPr>
            <w:tcW w:w="36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2500" w:type="dxa"/>
            <w:vAlign w:val="bottom"/>
            <w:tcBorders>
              <w:top w:val="single" w:sz="8" w:color="auto"/>
            </w:tcBorders>
          </w:tcPr>
          <w:p>
            <w:pPr>
              <w:jc w:val="right"/>
              <w:ind w:right="770"/>
              <w:spacing w:after="0" w:line="173" w:lineRule="exact"/>
              <w:rPr>
                <w:sz w:val="20"/>
                <w:szCs w:val="20"/>
                <w:color w:val="auto"/>
              </w:rPr>
            </w:pPr>
            <w:r>
              <w:rPr>
                <w:rFonts w:ascii="Arial" w:cs="Arial" w:eastAsia="Arial" w:hAnsi="Arial"/>
                <w:sz w:val="18"/>
                <w:szCs w:val="18"/>
                <w:b w:val="1"/>
                <w:bCs w:val="1"/>
                <w:color w:val="auto"/>
              </w:rPr>
              <w:t>$4,838</w:t>
            </w:r>
          </w:p>
        </w:tc>
        <w:tc>
          <w:tcPr>
            <w:tcW w:w="7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$4,386</w:t>
            </w:r>
          </w:p>
        </w:tc>
        <w:tc>
          <w:tcPr>
            <w:tcW w:w="20" w:type="dxa"/>
            <w:vAlign w:val="bottom"/>
          </w:tcPr>
          <w:p>
            <w:pPr>
              <w:spacing w:after="0"/>
              <w:rPr>
                <w:sz w:val="15"/>
                <w:szCs w:val="15"/>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5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2,318</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c>
          <w:tcPr>
            <w:tcW w:w="20" w:type="dxa"/>
            <w:vAlign w:val="bottom"/>
          </w:tcPr>
          <w:p>
            <w:pPr>
              <w:spacing w:after="0"/>
              <w:rPr>
                <w:sz w:val="17"/>
                <w:szCs w:val="17"/>
                <w:color w:val="auto"/>
              </w:rPr>
            </w:pPr>
          </w:p>
        </w:tc>
      </w:tr>
      <w:tr>
        <w:trPr>
          <w:trHeight w:val="225"/>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5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192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9"/>
                <w:szCs w:val="19"/>
                <w:color w:val="auto"/>
              </w:rPr>
            </w:pPr>
          </w:p>
        </w:tc>
      </w:tr>
      <w:tr>
        <w:trPr>
          <w:trHeight w:val="196"/>
        </w:trPr>
        <w:tc>
          <w:tcPr>
            <w:tcW w:w="3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$7,348</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$6,991</w:t>
            </w:r>
          </w:p>
        </w:tc>
        <w:tc>
          <w:tcPr>
            <w:tcW w:w="20" w:type="dxa"/>
            <w:vAlign w:val="bottom"/>
          </w:tcPr>
          <w:p>
            <w:pPr>
              <w:spacing w:after="0"/>
              <w:rPr>
                <w:sz w:val="17"/>
                <w:szCs w:val="17"/>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20"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$1.2 million in the first quarter of 2014 and $0.6 million in the first quarter of 2013.</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r>
      <w:tr>
        <w:trPr>
          <w:trHeight w:val="181"/>
        </w:trPr>
        <w:tc>
          <w:tcPr>
            <w:tcW w:w="3640" w:type="dxa"/>
            <w:vAlign w:val="bottom"/>
          </w:tcPr>
          <w:p>
            <w:pPr>
              <w:spacing w:after="0"/>
              <w:rPr>
                <w:sz w:val="15"/>
                <w:szCs w:val="15"/>
                <w:color w:val="auto"/>
              </w:rPr>
            </w:pPr>
          </w:p>
        </w:tc>
        <w:tc>
          <w:tcPr>
            <w:tcW w:w="2560" w:type="dxa"/>
            <w:vAlign w:val="bottom"/>
          </w:tcPr>
          <w:p>
            <w:pPr>
              <w:jc w:val="right"/>
              <w:ind w:right="90"/>
              <w:spacing w:after="0" w:line="181" w:lineRule="exact"/>
              <w:rPr>
                <w:sz w:val="20"/>
                <w:szCs w:val="20"/>
                <w:color w:val="auto"/>
              </w:rPr>
            </w:pPr>
            <w:r>
              <w:rPr>
                <w:rFonts w:ascii="Arial" w:cs="Arial" w:eastAsia="Arial" w:hAnsi="Arial"/>
                <w:sz w:val="18"/>
                <w:szCs w:val="18"/>
                <w:color w:val="auto"/>
              </w:rPr>
              <w:t>March 31,</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(in thousands)</w:t>
            </w:r>
          </w:p>
        </w:tc>
        <w:tc>
          <w:tcPr>
            <w:tcW w:w="2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r>
      <w:tr>
        <w:trPr>
          <w:trHeight w:val="173"/>
        </w:trPr>
        <w:tc>
          <w:tcPr>
            <w:tcW w:w="36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2560" w:type="dxa"/>
            <w:vAlign w:val="bottom"/>
            <w:tcBorders>
              <w:top w:val="single" w:sz="8" w:color="auto"/>
            </w:tcBorders>
          </w:tcPr>
          <w:p>
            <w:pPr>
              <w:jc w:val="right"/>
              <w:ind w:right="830"/>
              <w:spacing w:after="0" w:line="173" w:lineRule="exact"/>
              <w:rPr>
                <w:sz w:val="20"/>
                <w:szCs w:val="20"/>
                <w:color w:val="auto"/>
              </w:rPr>
            </w:pPr>
            <w:r>
              <w:rPr>
                <w:rFonts w:ascii="Arial" w:cs="Arial" w:eastAsia="Arial" w:hAnsi="Arial"/>
                <w:sz w:val="18"/>
                <w:szCs w:val="18"/>
                <w:b w:val="1"/>
                <w:bCs w:val="1"/>
                <w:color w:val="auto"/>
              </w:rPr>
              <w:t>$862</w:t>
            </w:r>
          </w:p>
        </w:tc>
        <w:tc>
          <w:tcPr>
            <w:tcW w:w="6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$193</w:t>
            </w:r>
          </w:p>
        </w:tc>
        <w:tc>
          <w:tcPr>
            <w:tcW w:w="20" w:type="dxa"/>
            <w:vAlign w:val="bottom"/>
          </w:tcPr>
          <w:p>
            <w:pPr>
              <w:spacing w:after="0"/>
              <w:rPr>
                <w:sz w:val="15"/>
                <w:szCs w:val="15"/>
                <w:color w:val="auto"/>
              </w:rPr>
            </w:pPr>
          </w:p>
        </w:tc>
      </w:tr>
      <w:tr>
        <w:trPr>
          <w:trHeight w:val="225"/>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5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320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r>
      <w:tr>
        <w:trPr>
          <w:trHeight w:val="196"/>
        </w:trPr>
        <w:tc>
          <w:tcPr>
            <w:tcW w:w="3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$1,182</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w:t>
            </w:r>
          </w:p>
        </w:tc>
        <w:tc>
          <w:tcPr>
            <w:tcW w:w="20" w:type="dxa"/>
            <w:vAlign w:val="bottom"/>
          </w:tcPr>
          <w:p>
            <w:pPr>
              <w:spacing w:after="0"/>
              <w:rPr>
                <w:sz w:val="17"/>
                <w:szCs w:val="17"/>
                <w:color w:val="auto"/>
              </w:rPr>
            </w:pPr>
          </w:p>
        </w:tc>
      </w:tr>
    </w:tbl>
    <w:p>
      <w:pPr>
        <w:spacing w:after="0" w:line="21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The 2014 restructuring expense was principally related to the restructuring activities in the MC production facilities in France. Restructuring expenses in the Albany Engineered Composites operations were principally related to organizational changes in 2013 and 2014, and exiting certain aerospace programs in 2013.</w:t>
      </w:r>
    </w:p>
    <w:p>
      <w:pPr>
        <w:spacing w:after="0" w:line="162"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During the second quarter of 2013, the Company commenced a program to restructure operations at the Company’s Machine Clothing production facilities in France. The restructuring, when completed, will have reduced employment by approximately 200 positions at these locations. As of March 31, 2014, approximately 180 positions had been eliminated.</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Under the terms of the restructuring plan, the Company provides training, outplacement and other benefits, the costs of which are recorded as restructuring when they are incurred. In the first quarter of 2014, the Company recorded a curtailment gain of $0.5 million related to the elimination of pension accruals, which reduced net restructuring expense as reflected in the table below. Such curtailment gains are recorded as employees terminate employment and, accordingly, we expect to record additional gains during 2014. The total amount of such gains has not yet been determined, but we expect it to be less than the first quarter gain. Remaining costs for this program, net of curtailment gains, are expected to be between $2 to $4 million, most of which we expect to be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incurred in 2014. We expect the annual cost savings associated with this restructuring to be approximately $10 million. Whereas most of the affected employees were involved in the production process, the full effect of the cost savings associated with this restructuring program will not be fully realized until mid-2014.</w:t>
      </w:r>
    </w:p>
    <w:p>
      <w:pPr>
        <w:spacing w:after="0" w:line="162"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1"/>
        </w:trPr>
        <w:tc>
          <w:tcPr>
            <w:tcW w:w="4400" w:type="dxa"/>
            <w:vAlign w:val="bottom"/>
          </w:tcPr>
          <w:p>
            <w:pPr>
              <w:spacing w:after="0"/>
              <w:rPr>
                <w:sz w:val="15"/>
                <w:szCs w:val="15"/>
                <w:color w:val="auto"/>
              </w:rPr>
            </w:pPr>
          </w:p>
        </w:tc>
        <w:tc>
          <w:tcPr>
            <w:tcW w:w="1860" w:type="dxa"/>
            <w:vAlign w:val="bottom"/>
            <w:gridSpan w:val="2"/>
          </w:tcPr>
          <w:p>
            <w:pPr>
              <w:jc w:val="right"/>
              <w:ind w:right="150"/>
              <w:spacing w:after="0" w:line="181" w:lineRule="exact"/>
              <w:rPr>
                <w:sz w:val="20"/>
                <w:szCs w:val="20"/>
                <w:color w:val="auto"/>
              </w:rPr>
            </w:pPr>
            <w:r>
              <w:rPr>
                <w:rFonts w:ascii="Arial" w:cs="Arial" w:eastAsia="Arial" w:hAnsi="Arial"/>
                <w:sz w:val="18"/>
                <w:szCs w:val="18"/>
                <w:color w:val="auto"/>
              </w:rPr>
              <w:t>March 31,</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400" w:type="dxa"/>
            <w:vAlign w:val="bottom"/>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spacing w:after="0"/>
              <w:rPr>
                <w:sz w:val="19"/>
                <w:szCs w:val="19"/>
                <w:color w:val="auto"/>
              </w:rPr>
            </w:pPr>
          </w:p>
        </w:tc>
        <w:tc>
          <w:tcPr>
            <w:tcW w:w="1720" w:type="dxa"/>
            <w:vAlign w:val="bottom"/>
            <w:gridSpan w:val="2"/>
          </w:tcPr>
          <w:p>
            <w:pPr>
              <w:jc w:val="right"/>
              <w:ind w:right="103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173"/>
        </w:trPr>
        <w:tc>
          <w:tcPr>
            <w:tcW w:w="44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110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b w:val="1"/>
                <w:bCs w:val="1"/>
                <w:color w:val="auto"/>
              </w:rPr>
              <w:t>$36,142</w:t>
            </w:r>
          </w:p>
        </w:tc>
        <w:tc>
          <w:tcPr>
            <w:tcW w:w="136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8"/>
                <w:szCs w:val="18"/>
                <w:color w:val="auto"/>
              </w:rPr>
              <w:t>$37,556</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(3,475)</w:t>
            </w:r>
          </w:p>
        </w:tc>
        <w:tc>
          <w:tcPr>
            <w:tcW w:w="7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8"/>
              </w:rPr>
              <w:t>(4,403)</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(12,066)</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(10,635)</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$20,601</w:t>
            </w:r>
          </w:p>
        </w:tc>
        <w:tc>
          <w:tcPr>
            <w:tcW w:w="13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$22,518</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440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4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00" w:type="dxa"/>
            <w:vAlign w:val="bottom"/>
            <w:gridSpan w:val="4"/>
          </w:tcPr>
          <w:p>
            <w:pPr>
              <w:spacing w:after="0"/>
              <w:rPr>
                <w:sz w:val="16"/>
                <w:szCs w:val="16"/>
                <w:color w:val="auto"/>
              </w:rPr>
            </w:pPr>
          </w:p>
        </w:tc>
      </w:tr>
      <w:tr>
        <w:trPr>
          <w:trHeight w:val="195"/>
        </w:trPr>
        <w:tc>
          <w:tcPr>
            <w:tcW w:w="44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3"/>
          </w:tcPr>
          <w:p>
            <w:pPr>
              <w:jc w:val="center"/>
              <w:ind w:right="290"/>
              <w:spacing w:after="0" w:line="195" w:lineRule="exact"/>
              <w:rPr>
                <w:sz w:val="20"/>
                <w:szCs w:val="20"/>
                <w:color w:val="auto"/>
              </w:rPr>
            </w:pPr>
            <w:r>
              <w:rPr>
                <w:rFonts w:ascii="Arial" w:cs="Arial" w:eastAsia="Arial" w:hAnsi="Arial"/>
                <w:sz w:val="18"/>
                <w:szCs w:val="18"/>
                <w:color w:val="auto"/>
                <w:w w:val="99"/>
              </w:rPr>
              <w:t>Three months ended</w:t>
            </w:r>
          </w:p>
        </w:tc>
        <w:tc>
          <w:tcPr>
            <w:tcW w:w="20" w:type="dxa"/>
            <w:vAlign w:val="bottom"/>
          </w:tcPr>
          <w:p>
            <w:pPr>
              <w:spacing w:after="0"/>
              <w:rPr>
                <w:sz w:val="16"/>
                <w:szCs w:val="16"/>
                <w:color w:val="auto"/>
              </w:rPr>
            </w:pPr>
          </w:p>
        </w:tc>
      </w:tr>
      <w:tr>
        <w:trPr>
          <w:trHeight w:val="181"/>
        </w:trPr>
        <w:tc>
          <w:tcPr>
            <w:tcW w:w="4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gridSpan w:val="4"/>
          </w:tcPr>
          <w:p>
            <w:pPr>
              <w:jc w:val="center"/>
              <w:ind w:right="380"/>
              <w:spacing w:after="0" w:line="181" w:lineRule="exact"/>
              <w:rPr>
                <w:sz w:val="20"/>
                <w:szCs w:val="20"/>
                <w:color w:val="auto"/>
              </w:rPr>
            </w:pPr>
            <w:r>
              <w:rPr>
                <w:rFonts w:ascii="Arial" w:cs="Arial" w:eastAsia="Arial" w:hAnsi="Arial"/>
                <w:sz w:val="18"/>
                <w:szCs w:val="18"/>
                <w:color w:val="auto"/>
                <w:w w:val="99"/>
              </w:rPr>
              <w:t>March 31,</w:t>
            </w:r>
          </w:p>
        </w:tc>
      </w:tr>
      <w:tr>
        <w:trPr>
          <w:trHeight w:val="225"/>
        </w:trPr>
        <w:tc>
          <w:tcPr>
            <w:tcW w:w="4400" w:type="dxa"/>
            <w:vAlign w:val="bottom"/>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2013</w:t>
            </w:r>
          </w:p>
        </w:tc>
      </w:tr>
      <w:tr>
        <w:trPr>
          <w:trHeight w:val="173"/>
        </w:trPr>
        <w:tc>
          <w:tcPr>
            <w:tcW w:w="44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Interest expense, net</w:t>
            </w:r>
          </w:p>
        </w:tc>
        <w:tc>
          <w:tcPr>
            <w:tcW w:w="1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b w:val="1"/>
                <w:bCs w:val="1"/>
                <w:color w:val="auto"/>
              </w:rPr>
              <w:t>$2,918</w:t>
            </w:r>
          </w:p>
        </w:tc>
        <w:tc>
          <w:tcPr>
            <w:tcW w:w="172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8"/>
                <w:szCs w:val="18"/>
                <w:color w:val="auto"/>
              </w:rPr>
              <w:t>$4,025</w:t>
            </w:r>
          </w:p>
        </w:tc>
        <w:tc>
          <w:tcPr>
            <w:tcW w:w="20" w:type="dxa"/>
            <w:vAlign w:val="bottom"/>
          </w:tcPr>
          <w:p>
            <w:pPr>
              <w:spacing w:after="0"/>
              <w:rPr>
                <w:sz w:val="15"/>
                <w:szCs w:val="15"/>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Other expense/(income), net</w:t>
            </w:r>
          </w:p>
        </w:tc>
        <w:tc>
          <w:tcPr>
            <w:tcW w:w="1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(467)</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734</w:t>
            </w:r>
          </w:p>
        </w:tc>
        <w:tc>
          <w:tcPr>
            <w:tcW w:w="2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Income tax expense/(benefit)</w:t>
            </w:r>
          </w:p>
        </w:tc>
        <w:tc>
          <w:tcPr>
            <w:tcW w:w="110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7,457</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6,248</w:t>
            </w:r>
          </w:p>
        </w:tc>
        <w:tc>
          <w:tcPr>
            <w:tcW w:w="20" w:type="dxa"/>
            <w:vAlign w:val="bottom"/>
          </w:tcPr>
          <w:p>
            <w:pPr>
              <w:spacing w:after="0"/>
              <w:rPr>
                <w:sz w:val="17"/>
                <w:szCs w:val="17"/>
                <w:color w:val="auto"/>
              </w:rPr>
            </w:pPr>
          </w:p>
        </w:tc>
      </w:tr>
      <w:tr>
        <w:trPr>
          <w:trHeight w:val="22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1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0"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First-quarter Interest expense, net, decreased $1.1 million principally due to lower average interest rates that resulted from using the revolving credit facility for the first $50 million payment under the Prudential agreement, and the lower interest rates under the 2013 revolving credit agreement. For more information on borrowings and interest rates, see Note 13 to the Consolidated Financial Statements in Item 1,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expense/(income), net included the following:</w:t>
      </w:r>
    </w:p>
    <w:p>
      <w:pPr>
        <w:spacing w:after="0" w:line="198" w:lineRule="exact"/>
        <w:rPr>
          <w:sz w:val="20"/>
          <w:szCs w:val="20"/>
          <w:color w:val="auto"/>
        </w:rPr>
      </w:pPr>
    </w:p>
    <w:p>
      <w:pPr>
        <w:ind w:left="660" w:right="60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gains of $0.5 million during the first quarter of 2014 and had virtually no effect on first quarter 2013 income.</w:t>
      </w:r>
    </w:p>
    <w:p>
      <w:pPr>
        <w:spacing w:after="0" w:line="1" w:lineRule="exact"/>
        <w:rPr>
          <w:rFonts w:ascii="Arial" w:cs="Arial" w:eastAsia="Arial" w:hAnsi="Arial"/>
          <w:sz w:val="18"/>
          <w:szCs w:val="18"/>
          <w:color w:val="auto"/>
        </w:rPr>
      </w:pPr>
    </w:p>
    <w:p>
      <w:pPr>
        <w:ind w:left="660" w:right="28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 fees and amortization of debt issuance costs were $0.3 million in the first quarter of 2014 and $0.6 million in the first quarter of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0"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9" w:name="page30"/>
    <w:bookmarkEnd w:id="29"/>
    <w:p>
      <w:pPr>
        <w:ind w:right="40" w:firstLine="648"/>
        <w:spacing w:after="0" w:line="239" w:lineRule="auto"/>
        <w:rPr>
          <w:sz w:val="20"/>
          <w:szCs w:val="20"/>
          <w:color w:val="auto"/>
        </w:rPr>
      </w:pPr>
      <w:r>
        <w:rPr>
          <w:rFonts w:ascii="Arial" w:cs="Arial" w:eastAsia="Arial" w:hAnsi="Arial"/>
          <w:sz w:val="18"/>
          <w:szCs w:val="18"/>
          <w:color w:val="auto"/>
        </w:rPr>
        <w:t>The Company’s effective tax rate for the first quarters of 2014 and 2013 was 41.1% and 35.2%,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discrete items that may occur in any given year but are not consistent from year to year.</w:t>
      </w:r>
    </w:p>
    <w:p>
      <w:pPr>
        <w:spacing w:after="0" w:line="175"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Significant items that impacted the tax rate in the first quarter of 2014 included the following (percentages reflect the effect of each item as a percentage of Income before income taxes):</w:t>
      </w:r>
    </w:p>
    <w:p>
      <w:pPr>
        <w:spacing w:after="0" w:line="15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discrete charge of $0.9 million (4.8%) related to provision for tax audits and contingencies.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$0.2 million (1.2%) net tax expense related to other discrete items.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35.0%.</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first quarter 2013 tax rate included the following:</w:t>
      </w:r>
    </w:p>
    <w:p>
      <w:pPr>
        <w:spacing w:after="0" w:line="18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$0.2 million (1.2%) net tax expense related to other discrete items.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34.0%.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 is our primary business segment and accounted for nearly 90% of our consolidated revenues during the first three months of 2014.</w:t>
      </w:r>
    </w:p>
    <w:p>
      <w:pPr>
        <w:spacing w:after="0"/>
        <w:rPr>
          <w:sz w:val="20"/>
          <w:szCs w:val="20"/>
          <w:color w:val="auto"/>
        </w:rPr>
      </w:pPr>
      <w:r>
        <w:rPr>
          <w:rFonts w:ascii="Arial" w:cs="Arial" w:eastAsia="Arial" w:hAnsi="Arial"/>
          <w:sz w:val="18"/>
          <w:szCs w:val="18"/>
          <w:color w:val="auto"/>
        </w:rPr>
        <w:t>Machine clothing is purchased primarily by manufacturers of paper and paperboard.</w:t>
      </w:r>
    </w:p>
    <w:p>
      <w:pPr>
        <w:spacing w:after="0" w:line="198" w:lineRule="exact"/>
        <w:rPr>
          <w:sz w:val="20"/>
          <w:szCs w:val="20"/>
          <w:color w:val="auto"/>
        </w:rPr>
      </w:pPr>
    </w:p>
    <w:p>
      <w:pPr>
        <w:jc w:val="both"/>
        <w:ind w:right="4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the Asia and South America, with stabilization in the mature markets of Europe and North America.</w:t>
      </w:r>
    </w:p>
    <w:p>
      <w:pPr>
        <w:spacing w:after="0" w:line="18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were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 These factors help to explain why Paper Machine Clothing revenue growth grows at a lesser rate than growth in paper production.</w:t>
      </w:r>
    </w:p>
    <w:p>
      <w:pPr>
        <w:spacing w:after="0" w:line="19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ind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Paper Machine Clothing manufacturing capacity in the United States, Canada, Germany, Finland, France, the Netherlands, Sweden, and Australia.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r>
      <w:tr>
        <w:trPr>
          <w:trHeight w:val="181"/>
        </w:trPr>
        <w:tc>
          <w:tcPr>
            <w:tcW w:w="3600" w:type="dxa"/>
            <w:vAlign w:val="bottom"/>
          </w:tcPr>
          <w:p>
            <w:pPr>
              <w:spacing w:after="0"/>
              <w:rPr>
                <w:sz w:val="15"/>
                <w:szCs w:val="15"/>
                <w:color w:val="auto"/>
              </w:rPr>
            </w:pPr>
          </w:p>
        </w:tc>
        <w:tc>
          <w:tcPr>
            <w:tcW w:w="3280" w:type="dxa"/>
            <w:vAlign w:val="bottom"/>
            <w:gridSpan w:val="3"/>
          </w:tcPr>
          <w:p>
            <w:pPr>
              <w:ind w:left="1560"/>
              <w:spacing w:after="0" w:line="181" w:lineRule="exact"/>
              <w:rPr>
                <w:sz w:val="20"/>
                <w:szCs w:val="20"/>
                <w:color w:val="auto"/>
              </w:rPr>
            </w:pPr>
            <w:r>
              <w:rPr>
                <w:rFonts w:ascii="Arial" w:cs="Arial" w:eastAsia="Arial" w:hAnsi="Arial"/>
                <w:sz w:val="18"/>
                <w:szCs w:val="18"/>
                <w:color w:val="auto"/>
              </w:rPr>
              <w:t>March 31,</w:t>
            </w:r>
          </w:p>
        </w:tc>
      </w:tr>
      <w:tr>
        <w:trPr>
          <w:trHeight w:val="225"/>
        </w:trPr>
        <w:tc>
          <w:tcPr>
            <w:tcW w:w="360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2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r>
      <w:tr>
        <w:trPr>
          <w:trHeight w:val="173"/>
        </w:trPr>
        <w:tc>
          <w:tcPr>
            <w:tcW w:w="36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sales</w:t>
            </w:r>
          </w:p>
        </w:tc>
        <w:tc>
          <w:tcPr>
            <w:tcW w:w="2020" w:type="dxa"/>
            <w:vAlign w:val="bottom"/>
            <w:tcBorders>
              <w:top w:val="single" w:sz="8" w:color="auto"/>
            </w:tcBorders>
          </w:tcPr>
          <w:p>
            <w:pPr>
              <w:jc w:val="right"/>
              <w:ind w:right="410"/>
              <w:spacing w:after="0" w:line="173" w:lineRule="exact"/>
              <w:rPr>
                <w:sz w:val="20"/>
                <w:szCs w:val="20"/>
                <w:color w:val="auto"/>
              </w:rPr>
            </w:pPr>
            <w:r>
              <w:rPr>
                <w:rFonts w:ascii="Arial" w:cs="Arial" w:eastAsia="Arial" w:hAnsi="Arial"/>
                <w:sz w:val="18"/>
                <w:szCs w:val="18"/>
                <w:b w:val="1"/>
                <w:bCs w:val="1"/>
                <w:color w:val="auto"/>
              </w:rPr>
              <w:t>$164,088</w:t>
            </w:r>
          </w:p>
        </w:tc>
        <w:tc>
          <w:tcPr>
            <w:tcW w:w="124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color w:val="auto"/>
              </w:rPr>
              <w:t>$167,409</w:t>
            </w:r>
          </w:p>
        </w:tc>
        <w:tc>
          <w:tcPr>
            <w:tcW w:w="20" w:type="dxa"/>
            <w:vAlign w:val="bottom"/>
          </w:tcPr>
          <w:p>
            <w:pPr>
              <w:spacing w:after="0"/>
              <w:rPr>
                <w:sz w:val="15"/>
                <w:szCs w:val="15"/>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0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73,870</w:t>
            </w:r>
          </w:p>
        </w:tc>
        <w:tc>
          <w:tcPr>
            <w:tcW w:w="1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73,988</w:t>
            </w:r>
          </w:p>
        </w:tc>
        <w:tc>
          <w:tcPr>
            <w:tcW w:w="20" w:type="dxa"/>
            <w:vAlign w:val="bottom"/>
          </w:tcPr>
          <w:p>
            <w:pPr>
              <w:spacing w:after="0"/>
              <w:rPr>
                <w:sz w:val="17"/>
                <w:szCs w:val="17"/>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0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45.0%</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20" w:type="dxa"/>
            <w:vAlign w:val="bottom"/>
          </w:tcPr>
          <w:p>
            <w:pPr>
              <w:spacing w:after="0"/>
              <w:rPr>
                <w:sz w:val="17"/>
                <w:szCs w:val="17"/>
                <w:color w:val="auto"/>
              </w:rPr>
            </w:pPr>
          </w:p>
        </w:tc>
      </w:tr>
      <w:tr>
        <w:trPr>
          <w:trHeight w:val="2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2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36,142</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37,556</w:t>
            </w:r>
          </w:p>
        </w:tc>
        <w:tc>
          <w:tcPr>
            <w:tcW w:w="20" w:type="dxa"/>
            <w:vAlign w:val="bottom"/>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sales were affected by the following:</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2014 sales by $0.8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decreased 2.5% compared to the same period in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in the North America containerboard market rebounded and sales in the rest of the world remained stable.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gross profit was principally due to the net effect of the following:</w:t>
      </w:r>
    </w:p>
    <w:p>
      <w:pPr>
        <w:spacing w:after="0" w:line="198" w:lineRule="exact"/>
        <w:rPr>
          <w:sz w:val="20"/>
          <w:szCs w:val="20"/>
          <w:color w:val="auto"/>
        </w:rPr>
      </w:pPr>
    </w:p>
    <w:p>
      <w:pPr>
        <w:ind w:left="660" w:right="3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$1.4 million increase due to higher gross profit margin in MC. The improved gross profit margin percentage reflected seasonally strong plant utilization coupled with the impact of the France restructuring.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$1.5 million decrease due to lower sales in MC.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operating income was principally due to the net effect of the following:</w:t>
      </w:r>
    </w:p>
    <w:p>
      <w:pPr>
        <w:spacing w:after="0" w:line="1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Restructuring charges of $0.9 million in the first quarter 2014 compared to $0.2 million in the comparable period 2013.</w:t>
      </w:r>
    </w:p>
    <w:p>
      <w:pPr>
        <w:spacing w:after="0" w:line="9" w:lineRule="exact"/>
        <w:rPr>
          <w:rFonts w:ascii="Arial" w:cs="Arial" w:eastAsia="Arial" w:hAnsi="Arial"/>
          <w:sz w:val="18"/>
          <w:szCs w:val="18"/>
          <w:color w:val="auto"/>
        </w:rPr>
      </w:pPr>
    </w:p>
    <w:p>
      <w:pPr>
        <w:ind w:left="660" w:right="60" w:hanging="328"/>
        <w:spacing w:after="0" w:line="24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first quarter losses of $0.2 million in 2014 compared to gains of $0.7 million in the comparable period in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58" w:lineRule="exact"/>
        <w:rPr>
          <w:sz w:val="20"/>
          <w:szCs w:val="20"/>
          <w:color w:val="auto"/>
        </w:rPr>
      </w:pPr>
    </w:p>
    <w:p>
      <w:pPr>
        <w:ind w:left="660" w:right="60" w:firstLine="648"/>
        <w:spacing w:after="0" w:line="237" w:lineRule="auto"/>
        <w:rPr>
          <w:sz w:val="20"/>
          <w:szCs w:val="20"/>
          <w:color w:val="auto"/>
        </w:rPr>
      </w:pPr>
      <w:r>
        <w:rPr>
          <w:rFonts w:ascii="Arial" w:cs="Arial" w:eastAsia="Arial" w:hAnsi="Arial"/>
          <w:sz w:val="18"/>
          <w:szCs w:val="18"/>
          <w:color w:val="auto"/>
        </w:rPr>
        <w:t>The Albany Engineered Composites segment (AEC), including Albany Safran Composites, LLC (ASC), in which our customer SAFRAN Group owns a 10 percent noncontrolling interest, provides custom-designed advanced composite structures based on proprietary technology to customers in the aerospace and defense industries. AEC’s largest current development program relates to the LEAP engine being developed by CFM International. Under this program, AEC, through ASC, is developing a family of composite parts, including fan blades, to be incorporated into the LEAP engine. In 2013, approximately 10 percent of this segment’s sales were related to U.S. government contracts or programs.</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59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Review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r>
      <w:tr>
        <w:trPr>
          <w:trHeight w:val="181"/>
        </w:trPr>
        <w:tc>
          <w:tcPr>
            <w:tcW w:w="3640" w:type="dxa"/>
            <w:vAlign w:val="bottom"/>
          </w:tcPr>
          <w:p>
            <w:pPr>
              <w:spacing w:after="0"/>
              <w:rPr>
                <w:sz w:val="15"/>
                <w:szCs w:val="15"/>
                <w:color w:val="auto"/>
              </w:rPr>
            </w:pPr>
          </w:p>
        </w:tc>
        <w:tc>
          <w:tcPr>
            <w:tcW w:w="236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2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r>
      <w:tr>
        <w:trPr>
          <w:trHeight w:val="173"/>
        </w:trPr>
        <w:tc>
          <w:tcPr>
            <w:tcW w:w="36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sales</w:t>
            </w:r>
          </w:p>
        </w:tc>
        <w:tc>
          <w:tcPr>
            <w:tcW w:w="2360" w:type="dxa"/>
            <w:vAlign w:val="bottom"/>
            <w:tcBorders>
              <w:top w:val="single" w:sz="8" w:color="auto"/>
            </w:tcBorders>
          </w:tcPr>
          <w:p>
            <w:pPr>
              <w:jc w:val="right"/>
              <w:ind w:right="790"/>
              <w:spacing w:after="0" w:line="173" w:lineRule="exact"/>
              <w:rPr>
                <w:sz w:val="20"/>
                <w:szCs w:val="20"/>
                <w:color w:val="auto"/>
              </w:rPr>
            </w:pPr>
            <w:r>
              <w:rPr>
                <w:rFonts w:ascii="Arial" w:cs="Arial" w:eastAsia="Arial" w:hAnsi="Arial"/>
                <w:sz w:val="18"/>
                <w:szCs w:val="18"/>
                <w:b w:val="1"/>
                <w:bCs w:val="1"/>
                <w:color w:val="auto"/>
              </w:rPr>
              <w:t>$16,219</w:t>
            </w:r>
          </w:p>
        </w:tc>
        <w:tc>
          <w:tcPr>
            <w:tcW w:w="860" w:type="dxa"/>
            <w:vAlign w:val="bottom"/>
            <w:tcBorders>
              <w:top w:val="single" w:sz="8" w:color="auto"/>
            </w:tcBorders>
          </w:tcPr>
          <w:p>
            <w:pPr>
              <w:jc w:val="right"/>
              <w:ind w:right="70"/>
              <w:spacing w:after="0" w:line="173" w:lineRule="exact"/>
              <w:rPr>
                <w:sz w:val="20"/>
                <w:szCs w:val="20"/>
                <w:color w:val="auto"/>
              </w:rPr>
            </w:pPr>
            <w:r>
              <w:rPr>
                <w:rFonts w:ascii="Arial" w:cs="Arial" w:eastAsia="Arial" w:hAnsi="Arial"/>
                <w:sz w:val="18"/>
                <w:szCs w:val="18"/>
                <w:color w:val="auto"/>
              </w:rPr>
              <w:t>$19,245</w:t>
            </w:r>
          </w:p>
        </w:tc>
        <w:tc>
          <w:tcPr>
            <w:tcW w:w="20" w:type="dxa"/>
            <w:vAlign w:val="bottom"/>
          </w:tcPr>
          <w:p>
            <w:pPr>
              <w:spacing w:after="0"/>
              <w:rPr>
                <w:sz w:val="15"/>
                <w:szCs w:val="15"/>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36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1,293</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c>
          <w:tcPr>
            <w:tcW w:w="2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36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8.0%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r>
      <w:tr>
        <w:trPr>
          <w:trHeight w:val="225"/>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23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(3,457)</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(4,403)</w:t>
            </w:r>
          </w:p>
        </w:tc>
        <w:tc>
          <w:tcPr>
            <w:tcW w:w="20" w:type="dxa"/>
            <w:vAlign w:val="bottom"/>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0" w:lineRule="exact"/>
        <w:rPr>
          <w:sz w:val="20"/>
          <w:szCs w:val="20"/>
          <w:color w:val="auto"/>
        </w:rPr>
      </w:pPr>
    </w:p>
    <w:p>
      <w:pPr>
        <w:ind w:left="660" w:right="240" w:hanging="328"/>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decrease in AEC sales was principally due to the shift to larger scale LEAP part production, together with the related change in invoicing terms, resulting in a build-up of inventory and an associated temporary lag in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included the following:</w:t>
      </w:r>
    </w:p>
    <w:p>
      <w:pPr>
        <w:spacing w:after="0" w:line="198" w:lineRule="exact"/>
        <w:rPr>
          <w:sz w:val="20"/>
          <w:szCs w:val="20"/>
          <w:color w:val="auto"/>
        </w:rPr>
      </w:pPr>
    </w:p>
    <w:p>
      <w:pPr>
        <w:ind w:left="660" w:right="16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AEC gross margin for the first quarter of 2014 was 8.0 percent compared to a loss in 2013 that resulted from inventory write-offs and other losses in certain legacy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9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the accounting for long-term fixed price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The table below provides a summary of long-term contracts that were in process at the end of each period.</w:t>
      </w:r>
    </w:p>
    <w:p>
      <w:pPr>
        <w:spacing w:after="0" w:line="200" w:lineRule="exact"/>
        <w:rPr>
          <w:sz w:val="20"/>
          <w:szCs w:val="20"/>
          <w:color w:val="auto"/>
        </w:rPr>
      </w:pPr>
    </w:p>
    <w:p>
      <w:pPr>
        <w:spacing w:after="0" w:line="335" w:lineRule="exact"/>
        <w:rPr>
          <w:sz w:val="20"/>
          <w:szCs w:val="20"/>
          <w:color w:val="auto"/>
        </w:rPr>
      </w:pPr>
    </w:p>
    <w:tbl>
      <w:tblPr>
        <w:tblLayout w:type="fixed"/>
        <w:tblInd w:w="1720" w:type="dxa"/>
        <w:tblCellMar>
          <w:top w:w="0" w:type="dxa"/>
          <w:left w:w="0" w:type="dxa"/>
          <w:bottom w:w="0" w:type="dxa"/>
          <w:right w:w="0" w:type="dxa"/>
        </w:tblCellMar>
      </w:tblPr>
      <w:tr>
        <w:trPr>
          <w:trHeight w:val="193"/>
        </w:trPr>
        <w:tc>
          <w:tcPr>
            <w:tcW w:w="480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6"/>
                <w:szCs w:val="16"/>
                <w:color w:val="auto"/>
              </w:rPr>
            </w:pP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r>
      <w:tr>
        <w:trPr>
          <w:trHeight w:val="173"/>
        </w:trPr>
        <w:tc>
          <w:tcPr>
            <w:tcW w:w="4800" w:type="dxa"/>
            <w:vAlign w:val="bottom"/>
          </w:tcPr>
          <w:p>
            <w:pPr>
              <w:spacing w:after="0" w:line="173" w:lineRule="exact"/>
              <w:rPr>
                <w:sz w:val="20"/>
                <w:szCs w:val="20"/>
                <w:color w:val="auto"/>
              </w:rPr>
            </w:pPr>
            <w:r>
              <w:rPr>
                <w:rFonts w:ascii="Arial" w:cs="Arial" w:eastAsia="Arial" w:hAnsi="Arial"/>
                <w:sz w:val="18"/>
                <w:szCs w:val="18"/>
                <w:color w:val="auto"/>
              </w:rPr>
              <w:t>Total value of contracts in process</w:t>
            </w:r>
          </w:p>
        </w:tc>
        <w:tc>
          <w:tcPr>
            <w:tcW w:w="226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$26,465</w:t>
            </w:r>
          </w:p>
        </w:tc>
        <w:tc>
          <w:tcPr>
            <w:tcW w:w="920" w:type="dxa"/>
            <w:vAlign w:val="bottom"/>
          </w:tcPr>
          <w:p>
            <w:pPr>
              <w:jc w:val="right"/>
              <w:spacing w:after="0" w:line="173" w:lineRule="exact"/>
              <w:rPr>
                <w:sz w:val="20"/>
                <w:szCs w:val="20"/>
                <w:color w:val="auto"/>
              </w:rPr>
            </w:pPr>
            <w:r>
              <w:rPr>
                <w:rFonts w:ascii="Arial" w:cs="Arial" w:eastAsia="Arial" w:hAnsi="Arial"/>
                <w:sz w:val="18"/>
                <w:szCs w:val="18"/>
                <w:color w:val="auto"/>
              </w:rPr>
              <w:t>$34,056</w:t>
            </w:r>
          </w:p>
        </w:tc>
        <w:tc>
          <w:tcPr>
            <w:tcW w:w="20" w:type="dxa"/>
            <w:vAlign w:val="bottom"/>
          </w:tcPr>
          <w:p>
            <w:pPr>
              <w:spacing w:after="0"/>
              <w:rPr>
                <w:sz w:val="15"/>
                <w:szCs w:val="15"/>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Revenue recognized to date</w:t>
            </w:r>
          </w:p>
        </w:tc>
        <w:tc>
          <w:tcPr>
            <w:tcW w:w="22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12,262</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24,475</w:t>
            </w: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to be recognized in future periods</w:t>
            </w:r>
          </w:p>
        </w:tc>
        <w:tc>
          <w:tcPr>
            <w:tcW w:w="2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14,203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20" w:type="dxa"/>
            <w:vAlign w:val="bottom"/>
            <w:tcBorders>
              <w:bottom w:val="single" w:sz="8" w:color="auto"/>
            </w:tcBorders>
          </w:tcPr>
          <w:p>
            <w:pPr>
              <w:spacing w:after="0"/>
              <w:rPr>
                <w:sz w:val="19"/>
                <w:szCs w:val="19"/>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First-quarter 2014 operating income increased principally due to the increase in gross profit as described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576"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640" w:type="dxa"/>
            <w:vAlign w:val="bottom"/>
            <w:tcBorders>
              <w:top w:val="single" w:sz="8" w:color="auto"/>
            </w:tcBorders>
          </w:tcPr>
          <w:p>
            <w:pPr>
              <w:spacing w:after="0"/>
              <w:rPr>
                <w:sz w:val="16"/>
                <w:szCs w:val="16"/>
                <w:color w:val="auto"/>
              </w:rPr>
            </w:pPr>
          </w:p>
        </w:tc>
        <w:tc>
          <w:tcPr>
            <w:tcW w:w="4760" w:type="dxa"/>
            <w:vAlign w:val="bottom"/>
            <w:tcBorders>
              <w:top w:val="single" w:sz="8" w:color="auto"/>
            </w:tcBorders>
            <w:gridSpan w:val="2"/>
          </w:tcPr>
          <w:p>
            <w:pPr>
              <w:jc w:val="right"/>
              <w:ind w:right="710"/>
              <w:spacing w:after="0" w:line="194" w:lineRule="exact"/>
              <w:rPr>
                <w:sz w:val="20"/>
                <w:szCs w:val="20"/>
                <w:color w:val="auto"/>
              </w:rPr>
            </w:pPr>
            <w:r>
              <w:rPr>
                <w:rFonts w:ascii="Arial" w:cs="Arial" w:eastAsia="Arial" w:hAnsi="Arial"/>
                <w:sz w:val="18"/>
                <w:szCs w:val="18"/>
                <w:color w:val="auto"/>
              </w:rPr>
              <w:t>Three months ended March 31,</w:t>
            </w:r>
          </w:p>
        </w:tc>
        <w:tc>
          <w:tcPr>
            <w:tcW w:w="20" w:type="dxa"/>
            <w:vAlign w:val="bottom"/>
          </w:tcPr>
          <w:p>
            <w:pPr>
              <w:spacing w:after="0"/>
              <w:rPr>
                <w:sz w:val="16"/>
                <w:szCs w:val="16"/>
                <w:color w:val="auto"/>
              </w:rPr>
            </w:pPr>
          </w:p>
        </w:tc>
      </w:tr>
      <w:tr>
        <w:trPr>
          <w:trHeight w:val="225"/>
        </w:trPr>
        <w:tc>
          <w:tcPr>
            <w:tcW w:w="6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0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2013</w:t>
            </w:r>
          </w:p>
        </w:tc>
      </w:tr>
      <w:tr>
        <w:trPr>
          <w:trHeight w:val="173"/>
        </w:trPr>
        <w:tc>
          <w:tcPr>
            <w:tcW w:w="66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Net income</w:t>
            </w:r>
          </w:p>
        </w:tc>
        <w:tc>
          <w:tcPr>
            <w:tcW w:w="3080" w:type="dxa"/>
            <w:vAlign w:val="bottom"/>
            <w:tcBorders>
              <w:top w:val="single" w:sz="8" w:color="auto"/>
            </w:tcBorders>
          </w:tcPr>
          <w:p>
            <w:pPr>
              <w:jc w:val="right"/>
              <w:ind w:right="830"/>
              <w:spacing w:after="0" w:line="173" w:lineRule="exact"/>
              <w:rPr>
                <w:sz w:val="20"/>
                <w:szCs w:val="20"/>
                <w:color w:val="auto"/>
              </w:rPr>
            </w:pPr>
            <w:r>
              <w:rPr>
                <w:rFonts w:ascii="Arial" w:cs="Arial" w:eastAsia="Arial" w:hAnsi="Arial"/>
                <w:sz w:val="18"/>
                <w:szCs w:val="18"/>
                <w:b w:val="1"/>
                <w:bCs w:val="1"/>
                <w:color w:val="auto"/>
              </w:rPr>
              <w:t>$10,693</w:t>
            </w:r>
          </w:p>
        </w:tc>
        <w:tc>
          <w:tcPr>
            <w:tcW w:w="168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color w:val="auto"/>
              </w:rPr>
              <w:t>$11,511</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08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15,908</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15,874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40"/>
              <w:spacing w:after="0" w:line="202" w:lineRule="exact"/>
              <w:rPr>
                <w:sz w:val="20"/>
                <w:szCs w:val="20"/>
                <w:color w:val="auto"/>
              </w:rPr>
            </w:pPr>
            <w:r>
              <w:rPr>
                <w:rFonts w:ascii="Arial" w:cs="Arial" w:eastAsia="Arial" w:hAnsi="Arial"/>
                <w:sz w:val="18"/>
                <w:szCs w:val="18"/>
                <w:color w:val="auto"/>
              </w:rPr>
              <w:t>Changes in working capital</w:t>
            </w:r>
          </w:p>
        </w:tc>
        <w:tc>
          <w:tcPr>
            <w:tcW w:w="30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(18,043)</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(22,328)</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40"/>
              <w:spacing w:after="0" w:line="202" w:lineRule="exact"/>
              <w:rPr>
                <w:sz w:val="20"/>
                <w:szCs w:val="20"/>
                <w:color w:val="auto"/>
              </w:rPr>
            </w:pPr>
            <w:r>
              <w:rPr>
                <w:rFonts w:ascii="Arial" w:cs="Arial" w:eastAsia="Arial" w:hAnsi="Arial"/>
                <w:sz w:val="18"/>
                <w:szCs w:val="18"/>
                <w:color w:val="auto"/>
              </w:rPr>
              <w:t>Gain on disposition of assets</w:t>
            </w:r>
          </w:p>
        </w:tc>
        <w:tc>
          <w:tcPr>
            <w:tcW w:w="308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4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30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(214)</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3,873</w:t>
            </w: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operating items</w:t>
            </w:r>
          </w:p>
        </w:tc>
        <w:tc>
          <w:tcPr>
            <w:tcW w:w="30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504</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6640" w:type="dxa"/>
            <w:vAlign w:val="bottom"/>
          </w:tcPr>
          <w:p>
            <w:pPr>
              <w:spacing w:after="0" w:line="173" w:lineRule="exact"/>
              <w:rPr>
                <w:sz w:val="20"/>
                <w:szCs w:val="20"/>
                <w:color w:val="auto"/>
              </w:rPr>
            </w:pPr>
            <w:r>
              <w:rPr>
                <w:rFonts w:ascii="Arial" w:cs="Arial" w:eastAsia="Arial" w:hAnsi="Arial"/>
                <w:sz w:val="18"/>
                <w:szCs w:val="18"/>
                <w:color w:val="auto"/>
              </w:rPr>
              <w:t>Net cash provided by/(used in) operating activities</w:t>
            </w:r>
          </w:p>
        </w:tc>
        <w:tc>
          <w:tcPr>
            <w:tcW w:w="308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8,848</w:t>
            </w:r>
          </w:p>
        </w:tc>
        <w:tc>
          <w:tcPr>
            <w:tcW w:w="16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4,161</w:t>
            </w:r>
          </w:p>
        </w:tc>
        <w:tc>
          <w:tcPr>
            <w:tcW w:w="20" w:type="dxa"/>
            <w:vAlign w:val="bottom"/>
          </w:tcPr>
          <w:p>
            <w:pPr>
              <w:spacing w:after="0"/>
              <w:rPr>
                <w:sz w:val="15"/>
                <w:szCs w:val="15"/>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3080" w:type="dxa"/>
            <w:vAlign w:val="bottom"/>
          </w:tcPr>
          <w:p>
            <w:pPr>
              <w:jc w:val="right"/>
              <w:ind w:right="770"/>
              <w:spacing w:after="0"/>
              <w:rPr>
                <w:sz w:val="20"/>
                <w:szCs w:val="20"/>
                <w:color w:val="auto"/>
              </w:rPr>
            </w:pPr>
            <w:r>
              <w:rPr>
                <w:rFonts w:ascii="Arial" w:cs="Arial" w:eastAsia="Arial" w:hAnsi="Arial"/>
                <w:sz w:val="18"/>
                <w:szCs w:val="18"/>
                <w:b w:val="1"/>
                <w:bCs w:val="1"/>
                <w:color w:val="auto"/>
              </w:rPr>
              <w:t>(14,897)</w:t>
            </w:r>
          </w:p>
        </w:tc>
        <w:tc>
          <w:tcPr>
            <w:tcW w:w="1680" w:type="dxa"/>
            <w:vAlign w:val="bottom"/>
          </w:tcPr>
          <w:p>
            <w:pPr>
              <w:jc w:val="right"/>
              <w:spacing w:after="0"/>
              <w:rPr>
                <w:sz w:val="20"/>
                <w:szCs w:val="20"/>
                <w:color w:val="auto"/>
              </w:rPr>
            </w:pPr>
            <w:r>
              <w:rPr>
                <w:rFonts w:ascii="Arial" w:cs="Arial" w:eastAsia="Arial" w:hAnsi="Arial"/>
                <w:sz w:val="18"/>
                <w:szCs w:val="18"/>
                <w:color w:val="auto"/>
              </w:rPr>
              <w:t>(7,013)</w:t>
            </w:r>
          </w:p>
        </w:tc>
        <w:tc>
          <w:tcPr>
            <w:tcW w:w="20" w:type="dxa"/>
            <w:vAlign w:val="bottom"/>
          </w:tcPr>
          <w:p>
            <w:pPr>
              <w:spacing w:after="0"/>
              <w:rPr>
                <w:sz w:val="18"/>
                <w:szCs w:val="18"/>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08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(6,681)</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15,438</w:t>
            </w:r>
          </w:p>
        </w:tc>
        <w:tc>
          <w:tcPr>
            <w:tcW w:w="20" w:type="dxa"/>
            <w:vAlign w:val="bottom"/>
          </w:tcPr>
          <w:p>
            <w:pPr>
              <w:spacing w:after="0"/>
              <w:rPr>
                <w:sz w:val="17"/>
                <w:szCs w:val="17"/>
                <w:color w:val="auto"/>
              </w:rPr>
            </w:pPr>
          </w:p>
        </w:tc>
      </w:tr>
      <w:tr>
        <w:trPr>
          <w:trHeight w:val="225"/>
        </w:trPr>
        <w:tc>
          <w:tcPr>
            <w:tcW w:w="6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30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(1,557)</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20" w:type="dxa"/>
            <w:vAlign w:val="bottom"/>
          </w:tcPr>
          <w:p>
            <w:pPr>
              <w:spacing w:after="0"/>
              <w:rPr>
                <w:sz w:val="19"/>
                <w:szCs w:val="19"/>
                <w:color w:val="auto"/>
              </w:rPr>
            </w:pPr>
          </w:p>
        </w:tc>
      </w:tr>
      <w:tr>
        <w:trPr>
          <w:trHeight w:val="173"/>
        </w:trPr>
        <w:tc>
          <w:tcPr>
            <w:tcW w:w="6660" w:type="dxa"/>
            <w:vAlign w:val="bottom"/>
            <w:gridSpan w:val="2"/>
          </w:tcPr>
          <w:p>
            <w:pPr>
              <w:spacing w:after="0" w:line="173" w:lineRule="exact"/>
              <w:rPr>
                <w:sz w:val="20"/>
                <w:szCs w:val="20"/>
                <w:color w:val="auto"/>
              </w:rPr>
            </w:pPr>
            <w:r>
              <w:rPr>
                <w:rFonts w:ascii="Arial" w:cs="Arial" w:eastAsia="Arial" w:hAnsi="Arial"/>
                <w:sz w:val="18"/>
                <w:szCs w:val="18"/>
                <w:color w:val="auto"/>
              </w:rPr>
              <w:t>Increase in cash and cash equivalents</w:t>
            </w:r>
          </w:p>
        </w:tc>
        <w:tc>
          <w:tcPr>
            <w:tcW w:w="3080" w:type="dxa"/>
            <w:vAlign w:val="bottom"/>
          </w:tcPr>
          <w:p>
            <w:pPr>
              <w:jc w:val="right"/>
              <w:ind w:right="770"/>
              <w:spacing w:after="0" w:line="173" w:lineRule="exact"/>
              <w:rPr>
                <w:sz w:val="20"/>
                <w:szCs w:val="20"/>
                <w:color w:val="auto"/>
              </w:rPr>
            </w:pPr>
            <w:r>
              <w:rPr>
                <w:rFonts w:ascii="Arial" w:cs="Arial" w:eastAsia="Arial" w:hAnsi="Arial"/>
                <w:sz w:val="18"/>
                <w:szCs w:val="18"/>
                <w:b w:val="1"/>
                <w:bCs w:val="1"/>
                <w:color w:val="auto"/>
              </w:rPr>
              <w:t>(14,287)</w:t>
            </w:r>
          </w:p>
        </w:tc>
        <w:tc>
          <w:tcPr>
            <w:tcW w:w="16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9,115</w:t>
            </w:r>
          </w:p>
        </w:tc>
        <w:tc>
          <w:tcPr>
            <w:tcW w:w="20" w:type="dxa"/>
            <w:vAlign w:val="bottom"/>
          </w:tcPr>
          <w:p>
            <w:pPr>
              <w:spacing w:after="0"/>
              <w:rPr>
                <w:sz w:val="15"/>
                <w:szCs w:val="15"/>
                <w:color w:val="auto"/>
              </w:rPr>
            </w:pPr>
          </w:p>
        </w:tc>
      </w:tr>
      <w:tr>
        <w:trPr>
          <w:trHeight w:val="225"/>
        </w:trPr>
        <w:tc>
          <w:tcPr>
            <w:tcW w:w="6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0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222,666</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190,718</w:t>
            </w:r>
          </w:p>
        </w:tc>
        <w:tc>
          <w:tcPr>
            <w:tcW w:w="20" w:type="dxa"/>
            <w:vAlign w:val="bottom"/>
          </w:tcPr>
          <w:p>
            <w:pPr>
              <w:spacing w:after="0"/>
              <w:rPr>
                <w:sz w:val="19"/>
                <w:szCs w:val="19"/>
                <w:color w:val="auto"/>
              </w:rPr>
            </w:pPr>
          </w:p>
        </w:tc>
      </w:tr>
      <w:tr>
        <w:trPr>
          <w:trHeight w:val="196"/>
        </w:trPr>
        <w:tc>
          <w:tcPr>
            <w:tcW w:w="66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308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$208,379</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$199,833</w:t>
            </w:r>
          </w:p>
        </w:tc>
        <w:tc>
          <w:tcPr>
            <w:tcW w:w="20" w:type="dxa"/>
            <w:vAlign w:val="bottom"/>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Cash provided by operating activities was $8.8 million for the first quarter of 2014, compared to $ 4.2 million in the same period last year. The increase in cash flow was principally due to a decrease in Accounts receivable and a reduction in taxes paid offset by a decrease in Accrued liabilities. Cash paid for income taxes was $ 6.7 million and $7.4 million for the first quarter of 2014 and 2013, respectively. Cash paid for restructuring was $4.6 million and $1.7 million for the first quarter of 2014 and 2013, respectively.</w:t>
      </w:r>
    </w:p>
    <w:p>
      <w:pPr>
        <w:spacing w:after="0" w:line="18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At March 31, 2014, we had $208.4 million of cash and cash equivalents, of which $178.5 million was held by subsidiaries outside of the United States. As disclosed in Note 7 of the Notes to Consolidated Financial Statements, we determined that all but $11.8 million of this amount (which represents the amount of prior year cumulative earnings expected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Capital spending for equipment and software was $14.9 million for the first-quarter of 2014, including $6.0 million for AEC. Depreciation and amortization was $ 15.9 million for the first quarter of 2014 and 2013. The Company continues to expect full-year capital expenditure spending of $65 to $75 million. During the first quarter of 2013, the Company completed the sale of its production facility in Gosford, Australia, resulting in net proceeds of about $6.3 million.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two dividend payments during the fourth quarter of 2012, and no cash payments for dividends during the first quarter of 2013.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0"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March 31, 2014 was held by non-U.S. subsidiaries. Based on cash on hand and credit facilities, we anticipate that the Company has sufficient capital resources to operate for the foreseeable future. We were in compliance with all debt covenants as of March 31, 2014.</w:t>
      </w:r>
    </w:p>
    <w:p>
      <w:pPr>
        <w:spacing w:after="0" w:line="162"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$199 million of borrowings were outstanding as of March 31, 2014. The applicable interest rate for borrowings under the Credit Agreement is LIBOR plus a spread, based on our leverage ratio at the time of borrowing. At the time of the last borrowing on March 24, 2014, the spread was 1.375%. The spread is based on a pricing grid, which ranges from 1.25% to 1.875%, based on our leverage ratio.</w:t>
      </w:r>
    </w:p>
    <w:p>
      <w:pPr>
        <w:spacing w:after="0" w:line="175"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January 16, 2014 was 0.24%. The net effect is to fix the effective interest rate on $105 million of indebtedness at 2.04%, plus the applicable spread, until these swap agreements expire. On March 31, 2014, the all-in rate on the $105 million of debt was 3.415%.</w:t>
      </w:r>
    </w:p>
    <w:p>
      <w:pPr>
        <w:spacing w:after="0" w:line="16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March 31, 2014 was 0.152%. The net effect is to fix the effective interest rate on $110 million of indebtedness at 1.414%, plus the applicable spread, during the swap period. As of March 31, 2014, our leverage ratio was 1.75 to 1.00 and our interest coverage ratio was 9.68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95"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These interest rate swaps are accounted for as hedges of future cash flows. For more information on our interest rate swaps, see Note 13 to the Consolidated Financial Statements in Item 1, which is incorporated herein by reference.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2014, we have no off-balance sheet arrangements required to be disclosed pursuant to Item 303(a)(4) of Regulation 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 information set forth under Note 17 contained in Item 1, “Notes to Consolidated Financial Statements” which is incorporated herein by reference.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sales excluding currency effects, income tax rate exclusive of income tax adjustments, net debt, net income attributable to the Company, excluding adjustments (on an absolute and per-share basis), and certain income and expense items on a per-share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performance, especially when compared to periods in which such items had a greater or lesser effect, or no effect. All non-GAAP financial measures in this report relate to the Company’s continuing operations.</w:t>
      </w:r>
    </w:p>
    <w:p>
      <w:pPr>
        <w:spacing w:after="0" w:line="193"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its effective income tax rate, exclusive of income tax adjustments, by removing discrete income tax adjustments from total Income tax expense, then dividing that result by Income before income taxes. The Company calculates EBITDA by removing the following from Net income: Interest expense net, Income tax expense, Depreciation and amortization, and Income or loss from Discontinued Operations. Adjusted EBITDA is calculated by adding EBITDA, costs associated with restructuring and pension settlement charges, and then adding or subtracting revaluation losses or gains and subtracting building sale gains.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Statements of Income.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Three months ended March 31, 2014</w:t>
            </w:r>
          </w:p>
        </w:tc>
        <w:tc>
          <w:tcPr>
            <w:tcW w:w="19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Corporate</w:t>
            </w: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9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Machine</w:t>
            </w:r>
          </w:p>
        </w:tc>
        <w:tc>
          <w:tcPr>
            <w:tcW w:w="1660" w:type="dxa"/>
            <w:vAlign w:val="bottom"/>
          </w:tcPr>
          <w:p>
            <w:pPr>
              <w:spacing w:after="0"/>
              <w:rPr>
                <w:sz w:val="17"/>
                <w:szCs w:val="17"/>
                <w:color w:val="auto"/>
              </w:rPr>
            </w:pPr>
          </w:p>
        </w:tc>
        <w:tc>
          <w:tcPr>
            <w:tcW w:w="1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expenses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900" w:type="dxa"/>
            <w:vAlign w:val="bottom"/>
            <w:tcBorders>
              <w:bottom w:val="single" w:sz="8" w:color="auto"/>
            </w:tcBorders>
          </w:tcPr>
          <w:p>
            <w:pPr>
              <w:jc w:val="center"/>
              <w:ind w:left="150"/>
              <w:spacing w:after="0" w:line="203" w:lineRule="exact"/>
              <w:rPr>
                <w:sz w:val="20"/>
                <w:szCs w:val="20"/>
                <w:color w:val="auto"/>
              </w:rPr>
            </w:pPr>
            <w:r>
              <w:rPr>
                <w:rFonts w:ascii="Arial" w:cs="Arial" w:eastAsia="Arial" w:hAnsi="Arial"/>
                <w:sz w:val="18"/>
                <w:szCs w:val="18"/>
                <w:color w:val="auto"/>
                <w:w w:val="99"/>
              </w:rPr>
              <w:t>Clothing</w:t>
            </w:r>
          </w:p>
        </w:tc>
        <w:tc>
          <w:tcPr>
            <w:tcW w:w="16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AEC</w:t>
            </w:r>
          </w:p>
        </w:tc>
        <w:tc>
          <w:tcPr>
            <w:tcW w:w="172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and other</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Net Income</w:t>
            </w:r>
          </w:p>
        </w:tc>
        <w:tc>
          <w:tcPr>
            <w:tcW w:w="190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$36,142</w:t>
            </w:r>
          </w:p>
        </w:tc>
        <w:tc>
          <w:tcPr>
            <w:tcW w:w="16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($3,475)</w:t>
            </w:r>
          </w:p>
        </w:tc>
        <w:tc>
          <w:tcPr>
            <w:tcW w:w="17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($21,974)</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90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2,918</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90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7,457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90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11,455</w:t>
            </w:r>
          </w:p>
        </w:tc>
        <w:tc>
          <w:tcPr>
            <w:tcW w:w="16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2,322</w:t>
            </w:r>
          </w:p>
        </w:tc>
        <w:tc>
          <w:tcPr>
            <w:tcW w:w="172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2,131</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195"/>
        </w:trPr>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190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47,597</w:t>
            </w:r>
          </w:p>
        </w:tc>
        <w:tc>
          <w:tcPr>
            <w:tcW w:w="16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(1,153)</w:t>
            </w:r>
          </w:p>
        </w:tc>
        <w:tc>
          <w:tcPr>
            <w:tcW w:w="17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(9,468)</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36,976</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9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862</w:t>
            </w:r>
          </w:p>
        </w:tc>
        <w:tc>
          <w:tcPr>
            <w:tcW w:w="16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320</w:t>
            </w:r>
          </w:p>
        </w:tc>
        <w:tc>
          <w:tcPr>
            <w:tcW w:w="172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9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152</w:t>
            </w:r>
          </w:p>
        </w:tc>
        <w:tc>
          <w:tcPr>
            <w:tcW w:w="16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38</w:t>
            </w:r>
          </w:p>
        </w:tc>
        <w:tc>
          <w:tcPr>
            <w:tcW w:w="1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(505)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Pretax income attributable to noncontrolling interest in</w:t>
            </w:r>
          </w:p>
        </w:tc>
        <w:tc>
          <w:tcPr>
            <w:tcW w:w="1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ASC</w:t>
            </w:r>
          </w:p>
        </w:tc>
        <w:tc>
          <w:tcPr>
            <w:tcW w:w="1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(59)</w:t>
            </w:r>
          </w:p>
        </w:tc>
        <w:tc>
          <w:tcPr>
            <w:tcW w:w="1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19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$48,611</w:t>
            </w:r>
          </w:p>
        </w:tc>
        <w:tc>
          <w:tcPr>
            <w:tcW w:w="16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($854)</w:t>
            </w:r>
          </w:p>
        </w:tc>
        <w:tc>
          <w:tcPr>
            <w:tcW w:w="17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($9,973)</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r>
        <w:trPr>
          <w:trHeight w:val="196"/>
        </w:trPr>
        <w:tc>
          <w:tcPr>
            <w:tcW w:w="492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March 31, 2013</w:t>
            </w:r>
          </w:p>
        </w:tc>
        <w:tc>
          <w:tcPr>
            <w:tcW w:w="19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Corporate</w:t>
            </w: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90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9"/>
              </w:rPr>
              <w:t>Machine</w:t>
            </w:r>
          </w:p>
        </w:tc>
        <w:tc>
          <w:tcPr>
            <w:tcW w:w="1660" w:type="dxa"/>
            <w:vAlign w:val="bottom"/>
          </w:tcPr>
          <w:p>
            <w:pPr>
              <w:spacing w:after="0"/>
              <w:rPr>
                <w:sz w:val="17"/>
                <w:szCs w:val="17"/>
                <w:color w:val="auto"/>
              </w:rPr>
            </w:pPr>
          </w:p>
        </w:tc>
        <w:tc>
          <w:tcPr>
            <w:tcW w:w="1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expenses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900" w:type="dxa"/>
            <w:vAlign w:val="bottom"/>
            <w:tcBorders>
              <w:bottom w:val="single" w:sz="8" w:color="auto"/>
            </w:tcBorders>
          </w:tcPr>
          <w:p>
            <w:pPr>
              <w:jc w:val="center"/>
              <w:ind w:left="150"/>
              <w:spacing w:after="0" w:line="203" w:lineRule="exact"/>
              <w:rPr>
                <w:sz w:val="20"/>
                <w:szCs w:val="20"/>
                <w:color w:val="auto"/>
              </w:rPr>
            </w:pPr>
            <w:r>
              <w:rPr>
                <w:rFonts w:ascii="Arial" w:cs="Arial" w:eastAsia="Arial" w:hAnsi="Arial"/>
                <w:sz w:val="18"/>
                <w:szCs w:val="18"/>
                <w:color w:val="auto"/>
                <w:w w:val="99"/>
              </w:rPr>
              <w:t>Clothing</w:t>
            </w:r>
          </w:p>
        </w:tc>
        <w:tc>
          <w:tcPr>
            <w:tcW w:w="16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AEC</w:t>
            </w:r>
          </w:p>
        </w:tc>
        <w:tc>
          <w:tcPr>
            <w:tcW w:w="172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and other</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Net Income</w:t>
            </w:r>
          </w:p>
        </w:tc>
        <w:tc>
          <w:tcPr>
            <w:tcW w:w="190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$37,556</w:t>
            </w:r>
          </w:p>
        </w:tc>
        <w:tc>
          <w:tcPr>
            <w:tcW w:w="16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($4,403)</w:t>
            </w:r>
          </w:p>
        </w:tc>
        <w:tc>
          <w:tcPr>
            <w:tcW w:w="17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($21,642)</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90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4,025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90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6,248</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6,248</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90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11,870</w:t>
            </w:r>
          </w:p>
        </w:tc>
        <w:tc>
          <w:tcPr>
            <w:tcW w:w="16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1,731</w:t>
            </w:r>
          </w:p>
        </w:tc>
        <w:tc>
          <w:tcPr>
            <w:tcW w:w="172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2,273</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195"/>
        </w:trPr>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190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49,426</w:t>
            </w:r>
          </w:p>
        </w:tc>
        <w:tc>
          <w:tcPr>
            <w:tcW w:w="16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(2,672)</w:t>
            </w:r>
          </w:p>
        </w:tc>
        <w:tc>
          <w:tcPr>
            <w:tcW w:w="17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(9,096)</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19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193</w:t>
            </w:r>
          </w:p>
        </w:tc>
        <w:tc>
          <w:tcPr>
            <w:tcW w:w="16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443</w:t>
            </w:r>
          </w:p>
        </w:tc>
        <w:tc>
          <w:tcPr>
            <w:tcW w:w="172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9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(743)</w:t>
            </w:r>
          </w:p>
        </w:tc>
        <w:tc>
          <w:tcPr>
            <w:tcW w:w="1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190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(3,763)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Pretax income attributable to noncontrolling interest in</w:t>
            </w:r>
          </w:p>
        </w:tc>
        <w:tc>
          <w:tcPr>
            <w:tcW w:w="1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ASC</w:t>
            </w:r>
          </w:p>
        </w:tc>
        <w:tc>
          <w:tcPr>
            <w:tcW w:w="1900" w:type="dxa"/>
            <w:vAlign w:val="bottom"/>
            <w:tcBorders>
              <w:bottom w:val="single" w:sz="8" w:color="auto"/>
            </w:tcBorders>
          </w:tcPr>
          <w:p>
            <w:pPr>
              <w:jc w:val="center"/>
              <w:ind w:left="190"/>
              <w:spacing w:after="0" w:line="203"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570"/>
              <w:spacing w:after="0" w:line="203"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59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19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$48,876</w:t>
            </w:r>
          </w:p>
        </w:tc>
        <w:tc>
          <w:tcPr>
            <w:tcW w:w="16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($2,229)</w:t>
            </w:r>
          </w:p>
        </w:tc>
        <w:tc>
          <w:tcPr>
            <w:tcW w:w="17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($12,848)</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$33,799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We disclose certain income and expense items on a per share basis. We believe that such disclosures provide important insight into the underlying quarterly earnings and are financial performance metrics commonly used by investors. We calculate the per share amount for items included in continuing operations by using the effective tax rate for the most recent quarterly period, the full year tax rate for the comparable quarter of the prior year, and the weighted average number of shares outstanding for each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Three months ended March 31, 2014</w:t>
            </w:r>
          </w:p>
        </w:tc>
        <w:tc>
          <w:tcPr>
            <w:tcW w:w="2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Pre tax</w:t>
            </w:r>
          </w:p>
        </w:tc>
        <w:tc>
          <w:tcPr>
            <w:tcW w:w="11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Tax</w:t>
            </w:r>
          </w:p>
        </w:tc>
        <w:tc>
          <w:tcPr>
            <w:tcW w:w="11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After tax</w:t>
            </w:r>
          </w:p>
        </w:tc>
        <w:tc>
          <w:tcPr>
            <w:tcW w:w="14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8"/>
              </w:rPr>
              <w:t>Shares</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18"/>
                <w:szCs w:val="18"/>
                <w:color w:val="auto"/>
              </w:rPr>
            </w:pPr>
          </w:p>
        </w:tc>
      </w:tr>
      <w:tr>
        <w:trPr>
          <w:trHeight w:val="203"/>
        </w:trPr>
        <w:tc>
          <w:tcPr>
            <w:tcW w:w="4540" w:type="dxa"/>
            <w:vAlign w:val="bottom"/>
            <w:gridSpan w:val="2"/>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22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Amounts</w:t>
            </w:r>
          </w:p>
        </w:tc>
        <w:tc>
          <w:tcPr>
            <w:tcW w:w="1120" w:type="dxa"/>
            <w:vAlign w:val="bottom"/>
          </w:tcPr>
          <w:p>
            <w:pPr>
              <w:jc w:val="right"/>
              <w:ind w:right="470"/>
              <w:spacing w:after="0" w:line="203" w:lineRule="exact"/>
              <w:rPr>
                <w:sz w:val="20"/>
                <w:szCs w:val="20"/>
                <w:color w:val="auto"/>
              </w:rPr>
            </w:pPr>
            <w:r>
              <w:rPr>
                <w:rFonts w:ascii="Arial" w:cs="Arial" w:eastAsia="Arial" w:hAnsi="Arial"/>
                <w:sz w:val="18"/>
                <w:szCs w:val="18"/>
                <w:color w:val="auto"/>
              </w:rPr>
              <w:t>Effect</w:t>
            </w:r>
          </w:p>
        </w:tc>
        <w:tc>
          <w:tcPr>
            <w:tcW w:w="1160" w:type="dxa"/>
            <w:vAlign w:val="bottom"/>
          </w:tcPr>
          <w:p>
            <w:pPr>
              <w:jc w:val="right"/>
              <w:ind w:right="430"/>
              <w:spacing w:after="0" w:line="203" w:lineRule="exact"/>
              <w:rPr>
                <w:sz w:val="20"/>
                <w:szCs w:val="20"/>
                <w:color w:val="auto"/>
              </w:rPr>
            </w:pPr>
            <w:r>
              <w:rPr>
                <w:rFonts w:ascii="Arial" w:cs="Arial" w:eastAsia="Arial" w:hAnsi="Arial"/>
                <w:sz w:val="18"/>
                <w:szCs w:val="18"/>
                <w:color w:val="auto"/>
              </w:rPr>
              <w:t>Effect</w:t>
            </w:r>
          </w:p>
        </w:tc>
        <w:tc>
          <w:tcPr>
            <w:tcW w:w="1400" w:type="dxa"/>
            <w:vAlign w:val="bottom"/>
          </w:tcPr>
          <w:p>
            <w:pPr>
              <w:jc w:val="center"/>
              <w:ind w:right="70"/>
              <w:spacing w:after="0" w:line="203" w:lineRule="exact"/>
              <w:rPr>
                <w:sz w:val="20"/>
                <w:szCs w:val="20"/>
                <w:color w:val="auto"/>
              </w:rPr>
            </w:pPr>
            <w:r>
              <w:rPr>
                <w:rFonts w:ascii="Arial" w:cs="Arial" w:eastAsia="Arial" w:hAnsi="Arial"/>
                <w:sz w:val="18"/>
                <w:szCs w:val="18"/>
                <w:color w:val="auto"/>
                <w:w w:val="98"/>
              </w:rPr>
              <w:t>Outstanding</w:t>
            </w:r>
          </w:p>
        </w:tc>
        <w:tc>
          <w:tcPr>
            <w:tcW w:w="1000" w:type="dxa"/>
            <w:vAlign w:val="bottom"/>
            <w:gridSpan w:val="2"/>
          </w:tcPr>
          <w:p>
            <w:pPr>
              <w:jc w:val="center"/>
              <w:ind w:right="60"/>
              <w:spacing w:after="0" w:line="203" w:lineRule="exact"/>
              <w:rPr>
                <w:sz w:val="20"/>
                <w:szCs w:val="20"/>
                <w:color w:val="auto"/>
              </w:rPr>
            </w:pPr>
            <w:r>
              <w:rPr>
                <w:rFonts w:ascii="Arial" w:cs="Arial" w:eastAsia="Arial" w:hAnsi="Arial"/>
                <w:sz w:val="18"/>
                <w:szCs w:val="18"/>
                <w:color w:val="auto"/>
                <w:w w:val="99"/>
              </w:rPr>
              <w:t>Effect</w:t>
            </w:r>
          </w:p>
        </w:tc>
      </w:tr>
      <w:tr>
        <w:trPr>
          <w:trHeight w:val="195"/>
        </w:trPr>
        <w:tc>
          <w:tcPr>
            <w:tcW w:w="45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2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$1,182</w:t>
            </w:r>
          </w:p>
        </w:tc>
        <w:tc>
          <w:tcPr>
            <w:tcW w:w="11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$414</w:t>
            </w:r>
          </w:p>
        </w:tc>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$768</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31,786</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6"/>
                <w:szCs w:val="16"/>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315</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110</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31,786</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10"/>
        </w:trPr>
        <w:tc>
          <w:tcPr>
            <w:tcW w:w="45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Net discrete tax charges</w:t>
            </w:r>
          </w:p>
        </w:tc>
        <w:tc>
          <w:tcPr>
            <w:tcW w:w="22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1,104</w:t>
            </w:r>
          </w:p>
        </w:tc>
        <w:tc>
          <w:tcPr>
            <w:tcW w:w="11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1,104</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31,786</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203"/>
        </w:trPr>
        <w:tc>
          <w:tcPr>
            <w:tcW w:w="4540" w:type="dxa"/>
            <w:vAlign w:val="bottom"/>
            <w:gridSpan w:val="2"/>
          </w:tcPr>
          <w:p>
            <w:pPr>
              <w:spacing w:after="0"/>
              <w:rPr>
                <w:sz w:val="17"/>
                <w:szCs w:val="17"/>
                <w:color w:val="auto"/>
              </w:rPr>
            </w:pPr>
          </w:p>
        </w:tc>
        <w:tc>
          <w:tcPr>
            <w:tcW w:w="2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Three months ended March 31, 2013</w:t>
            </w:r>
          </w:p>
        </w:tc>
        <w:tc>
          <w:tcPr>
            <w:tcW w:w="222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Pre tax</w:t>
            </w:r>
          </w:p>
        </w:tc>
        <w:tc>
          <w:tcPr>
            <w:tcW w:w="112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Tax</w:t>
            </w:r>
          </w:p>
        </w:tc>
        <w:tc>
          <w:tcPr>
            <w:tcW w:w="116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After tax</w:t>
            </w:r>
          </w:p>
        </w:tc>
        <w:tc>
          <w:tcPr>
            <w:tcW w:w="140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98"/>
              </w:rPr>
              <w:t>Shares</w:t>
            </w: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16"/>
                <w:szCs w:val="16"/>
                <w:color w:val="auto"/>
              </w:rPr>
            </w:pPr>
          </w:p>
        </w:tc>
      </w:tr>
      <w:tr>
        <w:trPr>
          <w:trHeight w:val="203"/>
        </w:trPr>
        <w:tc>
          <w:tcPr>
            <w:tcW w:w="4540" w:type="dxa"/>
            <w:vAlign w:val="bottom"/>
            <w:gridSpan w:val="2"/>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222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Amounts</w:t>
            </w:r>
          </w:p>
        </w:tc>
        <w:tc>
          <w:tcPr>
            <w:tcW w:w="112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Effect</w:t>
            </w:r>
          </w:p>
        </w:tc>
        <w:tc>
          <w:tcPr>
            <w:tcW w:w="116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Effect</w:t>
            </w:r>
          </w:p>
        </w:tc>
        <w:tc>
          <w:tcPr>
            <w:tcW w:w="1400" w:type="dxa"/>
            <w:vAlign w:val="bottom"/>
          </w:tcPr>
          <w:p>
            <w:pPr>
              <w:jc w:val="center"/>
              <w:ind w:right="70"/>
              <w:spacing w:after="0" w:line="203" w:lineRule="exact"/>
              <w:rPr>
                <w:sz w:val="20"/>
                <w:szCs w:val="20"/>
                <w:color w:val="auto"/>
              </w:rPr>
            </w:pPr>
            <w:r>
              <w:rPr>
                <w:rFonts w:ascii="Arial" w:cs="Arial" w:eastAsia="Arial" w:hAnsi="Arial"/>
                <w:sz w:val="18"/>
                <w:szCs w:val="18"/>
                <w:color w:val="auto"/>
                <w:w w:val="98"/>
              </w:rPr>
              <w:t>Outstanding</w:t>
            </w:r>
          </w:p>
        </w:tc>
        <w:tc>
          <w:tcPr>
            <w:tcW w:w="1000" w:type="dxa"/>
            <w:vAlign w:val="bottom"/>
            <w:gridSpan w:val="2"/>
          </w:tcPr>
          <w:p>
            <w:pPr>
              <w:jc w:val="center"/>
              <w:ind w:right="60"/>
              <w:spacing w:after="0" w:line="203" w:lineRule="exact"/>
              <w:rPr>
                <w:sz w:val="20"/>
                <w:szCs w:val="20"/>
                <w:color w:val="auto"/>
              </w:rPr>
            </w:pPr>
            <w:r>
              <w:rPr>
                <w:rFonts w:ascii="Arial" w:cs="Arial" w:eastAsia="Arial" w:hAnsi="Arial"/>
                <w:sz w:val="18"/>
                <w:szCs w:val="18"/>
                <w:color w:val="auto"/>
                <w:w w:val="99"/>
              </w:rPr>
              <w:t>Effect</w:t>
            </w:r>
          </w:p>
        </w:tc>
      </w:tr>
      <w:tr>
        <w:trPr>
          <w:trHeight w:val="195"/>
        </w:trPr>
        <w:tc>
          <w:tcPr>
            <w:tcW w:w="45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$636</w:t>
            </w:r>
          </w:p>
        </w:tc>
        <w:tc>
          <w:tcPr>
            <w:tcW w:w="11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$310</w:t>
            </w:r>
          </w:p>
        </w:tc>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$326</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31,496</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6"/>
                <w:szCs w:val="16"/>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732</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357</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31,496</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2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3,763</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1,836</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1,927</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31,496</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0.06</w:t>
            </w:r>
          </w:p>
        </w:tc>
      </w:tr>
      <w:tr>
        <w:trPr>
          <w:trHeight w:val="210"/>
        </w:trPr>
        <w:tc>
          <w:tcPr>
            <w:tcW w:w="45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Net discrete tax charges</w:t>
            </w:r>
          </w:p>
        </w:tc>
        <w:tc>
          <w:tcPr>
            <w:tcW w:w="2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210</w:t>
            </w:r>
          </w:p>
        </w:tc>
        <w:tc>
          <w:tcPr>
            <w:tcW w:w="11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210</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31,496</w:t>
            </w:r>
          </w:p>
        </w:tc>
        <w:tc>
          <w:tcPr>
            <w:tcW w:w="10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0.01</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Borders>
              <w:top w:val="single" w:sz="8" w:color="auto"/>
            </w:tcBorders>
          </w:tcPr>
          <w:p>
            <w:pPr>
              <w:spacing w:after="0"/>
              <w:rPr>
                <w:sz w:val="18"/>
                <w:szCs w:val="18"/>
                <w:color w:val="auto"/>
              </w:rPr>
            </w:pPr>
          </w:p>
        </w:tc>
        <w:tc>
          <w:tcPr>
            <w:tcW w:w="4260" w:type="dxa"/>
            <w:vAlign w:val="bottom"/>
            <w:tcBorders>
              <w:top w:val="single" w:sz="8" w:color="auto"/>
            </w:tcBorders>
            <w:gridSpan w:val="2"/>
          </w:tcPr>
          <w:p>
            <w:pPr>
              <w:jc w:val="center"/>
              <w:ind w:left="1910"/>
              <w:spacing w:after="0"/>
              <w:rPr>
                <w:sz w:val="20"/>
                <w:szCs w:val="20"/>
                <w:color w:val="auto"/>
              </w:rPr>
            </w:pPr>
            <w:r>
              <w:rPr>
                <w:rFonts w:ascii="Arial" w:cs="Arial" w:eastAsia="Arial" w:hAnsi="Arial"/>
                <w:sz w:val="18"/>
                <w:szCs w:val="18"/>
                <w:color w:val="auto"/>
                <w:w w:val="99"/>
              </w:rPr>
              <w:t>Three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rPr>
                <w:sz w:val="17"/>
                <w:szCs w:val="17"/>
                <w:color w:val="auto"/>
              </w:rPr>
            </w:pP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2014</w:t>
            </w:r>
          </w:p>
        </w:tc>
        <w:tc>
          <w:tcPr>
            <w:tcW w:w="1560" w:type="dxa"/>
            <w:vAlign w:val="bottom"/>
            <w:gridSpan w:val="2"/>
          </w:tcPr>
          <w:p>
            <w:pPr>
              <w:jc w:val="center"/>
              <w:ind w:right="680"/>
              <w:spacing w:after="0" w:line="202" w:lineRule="exact"/>
              <w:rPr>
                <w:sz w:val="20"/>
                <w:szCs w:val="20"/>
                <w:color w:val="auto"/>
              </w:rPr>
            </w:pPr>
            <w:r>
              <w:rPr>
                <w:rFonts w:ascii="Arial" w:cs="Arial" w:eastAsia="Arial" w:hAnsi="Arial"/>
                <w:sz w:val="18"/>
                <w:szCs w:val="18"/>
                <w:color w:val="auto"/>
                <w:w w:val="99"/>
              </w:rPr>
              <w:t>March 31,</w:t>
            </w:r>
          </w:p>
        </w:tc>
        <w:tc>
          <w:tcPr>
            <w:tcW w:w="0" w:type="dxa"/>
            <w:vAlign w:val="bottom"/>
          </w:tcPr>
          <w:p>
            <w:pPr>
              <w:spacing w:after="0"/>
              <w:rPr>
                <w:sz w:val="1"/>
                <w:szCs w:val="1"/>
                <w:color w:val="auto"/>
              </w:rPr>
            </w:pPr>
          </w:p>
        </w:tc>
      </w:tr>
      <w:tr>
        <w:trPr>
          <w:trHeight w:val="203"/>
        </w:trPr>
        <w:tc>
          <w:tcPr>
            <w:tcW w:w="7160" w:type="dxa"/>
            <w:vAlign w:val="bottom"/>
          </w:tcPr>
          <w:p>
            <w:pPr>
              <w:spacing w:after="0" w:line="203" w:lineRule="exact"/>
              <w:rPr>
                <w:sz w:val="20"/>
                <w:szCs w:val="20"/>
                <w:color w:val="auto"/>
              </w:rPr>
            </w:pPr>
            <w:r>
              <w:rPr>
                <w:rFonts w:ascii="Arial" w:cs="Arial" w:eastAsia="Arial" w:hAnsi="Arial"/>
                <w:sz w:val="18"/>
                <w:szCs w:val="18"/>
                <w:color w:val="auto"/>
              </w:rPr>
              <w:t>Per share amounts (Basic)</w:t>
            </w:r>
          </w:p>
        </w:tc>
        <w:tc>
          <w:tcPr>
            <w:tcW w:w="2720" w:type="dxa"/>
            <w:vAlign w:val="bottom"/>
            <w:vMerge w:val="continue"/>
          </w:tcPr>
          <w:p>
            <w:pPr>
              <w:spacing w:after="0"/>
              <w:rPr>
                <w:sz w:val="17"/>
                <w:szCs w:val="17"/>
                <w:color w:val="auto"/>
              </w:rPr>
            </w:pPr>
          </w:p>
        </w:tc>
        <w:tc>
          <w:tcPr>
            <w:tcW w:w="15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195"/>
        </w:trPr>
        <w:tc>
          <w:tcPr>
            <w:tcW w:w="7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272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b w:val="1"/>
                <w:bCs w:val="1"/>
                <w:color w:val="auto"/>
              </w:rPr>
              <w:t>$0.33</w:t>
            </w:r>
          </w:p>
        </w:tc>
        <w:tc>
          <w:tcPr>
            <w:tcW w:w="15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$0.37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7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0.02</w:t>
            </w: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160" w:type="dxa"/>
            <w:vAlign w:val="bottom"/>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720" w:type="dxa"/>
            <w:vAlign w:val="bottom"/>
            <w:vMerge w:val="continue"/>
          </w:tcPr>
          <w:p>
            <w:pPr>
              <w:spacing w:after="0"/>
              <w:rPr>
                <w:sz w:val="16"/>
                <w:szCs w:val="16"/>
                <w:color w:val="auto"/>
              </w:rPr>
            </w:pPr>
          </w:p>
        </w:tc>
        <w:tc>
          <w:tcPr>
            <w:tcW w:w="15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(0.01)</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Income tax adjustments</w:t>
            </w:r>
          </w:p>
        </w:tc>
        <w:tc>
          <w:tcPr>
            <w:tcW w:w="27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0.03</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former manufacturing facility</w:t>
            </w:r>
          </w:p>
        </w:tc>
        <w:tc>
          <w:tcPr>
            <w:tcW w:w="2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 excluding adjustments</w:t>
            </w:r>
          </w:p>
        </w:tc>
        <w:tc>
          <w:tcPr>
            <w:tcW w:w="27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$0.37</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6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1700" w:type="dxa"/>
            <w:vAlign w:val="bottom"/>
            <w:tcBorders>
              <w:top w:val="single" w:sz="8" w:color="auto"/>
              <w:right w:val="single" w:sz="8" w:color="auto"/>
            </w:tcBorders>
          </w:tcPr>
          <w:p>
            <w:pPr>
              <w:jc w:val="right"/>
              <w:ind w:right="432"/>
              <w:spacing w:after="0"/>
              <w:rPr>
                <w:sz w:val="20"/>
                <w:szCs w:val="20"/>
                <w:color w:val="auto"/>
              </w:rPr>
            </w:pPr>
            <w:r>
              <w:rPr>
                <w:rFonts w:ascii="Arial" w:cs="Arial" w:eastAsia="Arial" w:hAnsi="Arial"/>
                <w:sz w:val="16"/>
                <w:szCs w:val="16"/>
                <w:color w:val="auto"/>
              </w:rPr>
              <w:t>March 31,</w:t>
            </w:r>
          </w:p>
        </w:tc>
        <w:tc>
          <w:tcPr>
            <w:tcW w:w="1720" w:type="dxa"/>
            <w:vAlign w:val="bottom"/>
            <w:tcBorders>
              <w:top w:val="single" w:sz="8" w:color="auto"/>
              <w:right w:val="single" w:sz="8" w:color="auto"/>
            </w:tcBorders>
          </w:tcPr>
          <w:p>
            <w:pPr>
              <w:jc w:val="right"/>
              <w:ind w:right="292"/>
              <w:spacing w:after="0"/>
              <w:rPr>
                <w:sz w:val="20"/>
                <w:szCs w:val="20"/>
                <w:color w:val="auto"/>
              </w:rPr>
            </w:pPr>
            <w:r>
              <w:rPr>
                <w:rFonts w:ascii="Arial" w:cs="Arial" w:eastAsia="Arial" w:hAnsi="Arial"/>
                <w:sz w:val="16"/>
                <w:szCs w:val="16"/>
                <w:color w:val="auto"/>
              </w:rPr>
              <w:t>December 31,</w:t>
            </w:r>
          </w:p>
        </w:tc>
        <w:tc>
          <w:tcPr>
            <w:tcW w:w="1700" w:type="dxa"/>
            <w:vAlign w:val="bottom"/>
            <w:tcBorders>
              <w:top w:val="single" w:sz="8" w:color="auto"/>
              <w:right w:val="single" w:sz="8" w:color="auto"/>
            </w:tcBorders>
          </w:tcPr>
          <w:p>
            <w:pPr>
              <w:jc w:val="right"/>
              <w:ind w:right="252"/>
              <w:spacing w:after="0"/>
              <w:rPr>
                <w:sz w:val="20"/>
                <w:szCs w:val="20"/>
                <w:color w:val="auto"/>
              </w:rPr>
            </w:pPr>
            <w:r>
              <w:rPr>
                <w:rFonts w:ascii="Arial" w:cs="Arial" w:eastAsia="Arial" w:hAnsi="Arial"/>
                <w:sz w:val="16"/>
                <w:szCs w:val="16"/>
                <w:color w:val="auto"/>
              </w:rPr>
              <w:t>December 31,</w:t>
            </w:r>
          </w:p>
        </w:tc>
        <w:tc>
          <w:tcPr>
            <w:tcW w:w="1700" w:type="dxa"/>
            <w:vAlign w:val="bottom"/>
            <w:tcBorders>
              <w:top w:val="single" w:sz="8" w:color="auto"/>
              <w:right w:val="single" w:sz="8" w:color="auto"/>
            </w:tcBorders>
          </w:tcPr>
          <w:p>
            <w:pPr>
              <w:jc w:val="right"/>
              <w:ind w:right="252"/>
              <w:spacing w:after="0"/>
              <w:rPr>
                <w:sz w:val="20"/>
                <w:szCs w:val="20"/>
                <w:color w:val="auto"/>
              </w:rPr>
            </w:pPr>
            <w:r>
              <w:rPr>
                <w:rFonts w:ascii="Arial" w:cs="Arial" w:eastAsia="Arial" w:hAnsi="Arial"/>
                <w:sz w:val="16"/>
                <w:szCs w:val="16"/>
                <w:color w:val="auto"/>
              </w:rPr>
              <w:t>December 31,</w:t>
            </w:r>
          </w:p>
        </w:tc>
      </w:tr>
      <w:tr>
        <w:trPr>
          <w:trHeight w:val="201"/>
        </w:trPr>
        <w:tc>
          <w:tcPr>
            <w:tcW w:w="4600" w:type="dxa"/>
            <w:vAlign w:val="bottom"/>
            <w:tcBorders>
              <w:left w:val="single" w:sz="8" w:color="auto"/>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2014</w:t>
            </w:r>
          </w:p>
        </w:tc>
        <w:tc>
          <w:tcPr>
            <w:tcW w:w="172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2013</w:t>
            </w:r>
          </w:p>
        </w:tc>
        <w:tc>
          <w:tcPr>
            <w:tcW w:w="170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2012</w:t>
            </w:r>
          </w:p>
        </w:tc>
        <w:tc>
          <w:tcPr>
            <w:tcW w:w="1700" w:type="dxa"/>
            <w:vAlign w:val="bottom"/>
            <w:tcBorders>
              <w:bottom w:val="single" w:sz="8" w:color="auto"/>
              <w:right w:val="single" w:sz="8" w:color="auto"/>
            </w:tcBorders>
          </w:tcPr>
          <w:p>
            <w:pPr>
              <w:jc w:val="right"/>
              <w:ind w:right="592"/>
              <w:spacing w:after="0"/>
              <w:rPr>
                <w:sz w:val="20"/>
                <w:szCs w:val="20"/>
                <w:color w:val="auto"/>
              </w:rPr>
            </w:pPr>
            <w:r>
              <w:rPr>
                <w:rFonts w:ascii="Arial" w:cs="Arial" w:eastAsia="Arial" w:hAnsi="Arial"/>
                <w:sz w:val="16"/>
                <w:szCs w:val="16"/>
                <w:color w:val="auto"/>
              </w:rPr>
              <w:t>2011</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Notes and loans payable</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$424</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Current maturities of long-term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3,764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83,276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1,263</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Long-term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299,108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300,111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235,877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373,125</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302,419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304,500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319,739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374,812</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Cash</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208,379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222,666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190,718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118,909</w:t>
            </w:r>
          </w:p>
        </w:tc>
      </w:tr>
      <w:tr>
        <w:trPr>
          <w:trHeight w:val="196"/>
        </w:trPr>
        <w:tc>
          <w:tcPr>
            <w:tcW w:w="46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debt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$94,040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$81,834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$129,021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$255,903</w:t>
            </w:r>
          </w:p>
        </w:tc>
      </w:tr>
    </w:tbl>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left="660" w:right="24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ind w:left="660" w:right="120" w:firstLine="648"/>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7" w:name="page38"/>
    <w:bookmarkEnd w:id="37"/>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04" w:lineRule="exact"/>
        <w:rPr>
          <w:sz w:val="20"/>
          <w:szCs w:val="20"/>
          <w:color w:val="auto"/>
        </w:rPr>
      </w:pPr>
    </w:p>
    <w:p>
      <w:pPr>
        <w:ind w:left="660" w:right="320" w:firstLine="648"/>
        <w:spacing w:after="0" w:line="275"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24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left="660" w:right="560" w:firstLine="648"/>
        <w:spacing w:after="0" w:line="246" w:lineRule="auto"/>
        <w:rPr>
          <w:sz w:val="20"/>
          <w:szCs w:val="20"/>
          <w:color w:val="auto"/>
        </w:rPr>
      </w:pPr>
      <w:r>
        <w:rPr>
          <w:rFonts w:ascii="Arial" w:cs="Arial" w:eastAsia="Arial" w:hAnsi="Arial"/>
          <w:sz w:val="18"/>
          <w:szCs w:val="18"/>
          <w:color w:val="auto"/>
        </w:rPr>
        <w:t>The information set forth above under Note 15 in “Notes to Consolidated Financial Statements” is incorporated herein by reference.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w:t>
      </w:r>
    </w:p>
    <w:p>
      <w:pPr>
        <w:spacing w:after="0" w:line="234" w:lineRule="exact"/>
        <w:rPr>
          <w:sz w:val="20"/>
          <w:szCs w:val="20"/>
          <w:color w:val="auto"/>
        </w:rPr>
      </w:pPr>
    </w:p>
    <w:p>
      <w:pPr>
        <w:ind w:left="660" w:right="140" w:firstLine="648"/>
        <w:spacing w:after="0" w:line="246" w:lineRule="auto"/>
        <w:rPr>
          <w:sz w:val="20"/>
          <w:szCs w:val="20"/>
          <w:color w:val="auto"/>
        </w:rPr>
      </w:pPr>
      <w:r>
        <w:rPr>
          <w:rFonts w:ascii="Arial" w:cs="Arial" w:eastAsia="Arial" w:hAnsi="Arial"/>
          <w:sz w:val="18"/>
          <w:szCs w:val="18"/>
          <w:color w:val="auto"/>
        </w:rPr>
        <w:t>There have been no material changes in risks since December 31, 2013. For discussion of risk factors, refer to Item 1A of our Annual Report on Form 10-K for the year ended December 31, 2013.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ind w:left="660" w:right="120" w:firstLine="648"/>
        <w:spacing w:after="0" w:line="246" w:lineRule="auto"/>
        <w:rPr>
          <w:sz w:val="20"/>
          <w:szCs w:val="20"/>
          <w:color w:val="auto"/>
        </w:rPr>
      </w:pPr>
      <w:r>
        <w:rPr>
          <w:rFonts w:ascii="Arial" w:cs="Arial" w:eastAsia="Arial" w:hAnsi="Arial"/>
          <w:sz w:val="18"/>
          <w:szCs w:val="18"/>
          <w:color w:val="auto"/>
        </w:rPr>
        <w:t>We made no share purchases during the first quarter of 2014. We remain authorized by the Board of Directors to purchase up to 2 million shares of our Class A Common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None.</w:t>
            </w:r>
          </w:p>
        </w:tc>
      </w:tr>
      <w:tr>
        <w:trPr>
          <w:trHeight w:val="419"/>
        </w:trPr>
        <w:tc>
          <w:tcPr>
            <w:tcW w:w="11420" w:type="dxa"/>
            <w:vAlign w:val="bottom"/>
            <w:gridSpan w:val="2"/>
          </w:tcPr>
          <w:p>
            <w:pPr>
              <w:ind w:left="660"/>
              <w:spacing w:after="0"/>
              <w:rPr>
                <w:sz w:val="20"/>
                <w:szCs w:val="20"/>
                <w:color w:val="auto"/>
              </w:rPr>
            </w:pPr>
            <w:r>
              <w:rPr>
                <w:rFonts w:ascii="Arial" w:cs="Arial" w:eastAsia="Arial" w:hAnsi="Arial"/>
                <w:sz w:val="18"/>
                <w:szCs w:val="18"/>
                <w:b w:val="1"/>
                <w:bCs w:val="1"/>
                <w:color w:val="auto"/>
              </w:rPr>
              <w:t>Item 6. Exhibits</w:t>
            </w:r>
          </w:p>
        </w:tc>
      </w:tr>
      <w:tr>
        <w:trPr>
          <w:trHeight w:val="446"/>
        </w:trPr>
        <w:tc>
          <w:tcPr>
            <w:tcW w:w="1100" w:type="dxa"/>
            <w:vAlign w:val="bottom"/>
          </w:tcPr>
          <w:p>
            <w:pPr>
              <w:spacing w:after="0"/>
              <w:rPr>
                <w:sz w:val="20"/>
                <w:szCs w:val="20"/>
                <w:color w:val="auto"/>
              </w:rPr>
            </w:pPr>
            <w:r>
              <w:rPr>
                <w:rFonts w:ascii="Arial" w:cs="Arial" w:eastAsia="Arial" w:hAnsi="Arial"/>
                <w:sz w:val="18"/>
                <w:szCs w:val="18"/>
                <w:color w:val="auto"/>
              </w:rPr>
              <w:t>Exhibit No.</w:t>
            </w:r>
          </w:p>
        </w:tc>
        <w:tc>
          <w:tcPr>
            <w:tcW w:w="10320" w:type="dxa"/>
            <w:vAlign w:val="bottom"/>
          </w:tcPr>
          <w:p>
            <w:pPr>
              <w:ind w:left="400"/>
              <w:spacing w:after="0"/>
              <w:rPr>
                <w:sz w:val="20"/>
                <w:szCs w:val="20"/>
                <w:color w:val="auto"/>
              </w:rPr>
            </w:pPr>
            <w:r>
              <w:rPr>
                <w:rFonts w:ascii="Arial" w:cs="Arial" w:eastAsia="Arial" w:hAnsi="Arial"/>
                <w:sz w:val="18"/>
                <w:szCs w:val="18"/>
                <w:color w:val="auto"/>
              </w:rPr>
              <w:t>Description</w:t>
            </w:r>
          </w:p>
        </w:tc>
      </w:tr>
      <w:tr>
        <w:trPr>
          <w:trHeight w:val="446"/>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tcPr>
          <w:p>
            <w:pPr>
              <w:ind w:left="40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486"/>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10320" w:type="dxa"/>
            <w:vAlign w:val="bottom"/>
          </w:tcPr>
          <w:p>
            <w:pPr>
              <w:ind w:left="40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7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0320" w:type="dxa"/>
            <w:vAlign w:val="bottom"/>
          </w:tcPr>
          <w:p>
            <w:pPr>
              <w:ind w:left="400"/>
              <w:spacing w:after="0"/>
              <w:rPr>
                <w:sz w:val="20"/>
                <w:szCs w:val="20"/>
                <w:color w:val="auto"/>
              </w:rPr>
            </w:pPr>
            <w:r>
              <w:rPr>
                <w:rFonts w:ascii="Arial" w:cs="Arial" w:eastAsia="Arial" w:hAnsi="Arial"/>
                <w:sz w:val="18"/>
                <w:szCs w:val="18"/>
                <w:color w:val="auto"/>
              </w:rPr>
              <w:t>Certification pursuant to Section 906 of the Sarbanes-Oxley Act of 2002 (Subsections (a) and (b) of</w:t>
            </w:r>
          </w:p>
        </w:tc>
      </w:tr>
      <w:tr>
        <w:trPr>
          <w:trHeight w:val="217"/>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Section 1350, Chapter 63 of Title 18, United States Code).</w:t>
            </w:r>
          </w:p>
        </w:tc>
      </w:tr>
      <w:tr>
        <w:trPr>
          <w:trHeight w:val="446"/>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10320" w:type="dxa"/>
            <w:vAlign w:val="bottom"/>
          </w:tcPr>
          <w:p>
            <w:pPr>
              <w:ind w:left="400"/>
              <w:spacing w:after="0"/>
              <w:rPr>
                <w:sz w:val="20"/>
                <w:szCs w:val="20"/>
                <w:color w:val="auto"/>
              </w:rPr>
            </w:pPr>
            <w:r>
              <w:rPr>
                <w:rFonts w:ascii="Arial" w:cs="Arial" w:eastAsia="Arial" w:hAnsi="Arial"/>
                <w:sz w:val="18"/>
                <w:szCs w:val="18"/>
                <w:color w:val="auto"/>
              </w:rPr>
              <w:t>Quantitative and qualitative disclosures about market risks as reported at March 31, 2014.</w:t>
            </w:r>
          </w:p>
        </w:tc>
      </w:tr>
      <w:tr>
        <w:trPr>
          <w:trHeight w:val="702"/>
        </w:trPr>
        <w:tc>
          <w:tcPr>
            <w:tcW w:w="1100" w:type="dxa"/>
            <w:vAlign w:val="bottom"/>
          </w:tcPr>
          <w:p>
            <w:pPr>
              <w:spacing w:after="0"/>
              <w:rPr>
                <w:sz w:val="24"/>
                <w:szCs w:val="24"/>
                <w:color w:val="auto"/>
              </w:rPr>
            </w:pPr>
          </w:p>
        </w:tc>
        <w:tc>
          <w:tcPr>
            <w:tcW w:w="10320" w:type="dxa"/>
            <w:vAlign w:val="bottom"/>
          </w:tcPr>
          <w:p>
            <w:pPr>
              <w:ind w:left="4520"/>
              <w:spacing w:after="0"/>
              <w:rPr>
                <w:sz w:val="20"/>
                <w:szCs w:val="20"/>
                <w:color w:val="auto"/>
              </w:rPr>
            </w:pPr>
            <w:r>
              <w:rPr>
                <w:rFonts w:ascii="Arial" w:cs="Arial" w:eastAsia="Arial" w:hAnsi="Arial"/>
                <w:sz w:val="18"/>
                <w:szCs w:val="18"/>
                <w:color w:val="auto"/>
              </w:rPr>
              <w:t>38</w:t>
            </w:r>
          </w:p>
        </w:tc>
      </w:tr>
      <w:tr>
        <w:trPr>
          <w:trHeight w:val="142"/>
        </w:trPr>
        <w:tc>
          <w:tcPr>
            <w:tcW w:w="1100" w:type="dxa"/>
            <w:vAlign w:val="bottom"/>
            <w:tcBorders>
              <w:bottom w:val="single" w:sz="8" w:color="auto"/>
            </w:tcBorders>
          </w:tcPr>
          <w:p>
            <w:pPr>
              <w:spacing w:after="0"/>
              <w:rPr>
                <w:sz w:val="12"/>
                <w:szCs w:val="12"/>
                <w:color w:val="auto"/>
              </w:rPr>
            </w:pPr>
          </w:p>
        </w:tc>
        <w:tc>
          <w:tcPr>
            <w:tcW w:w="1032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598" w:right="239" w:bottom="1440" w:gutter="0" w:footer="0" w:header="0"/>
        </w:sectPr>
      </w:pPr>
    </w:p>
    <w:bookmarkStart w:id="38" w:name="page39"/>
    <w:bookmarkEnd w:id="38"/>
    <w:p>
      <w:pPr>
        <w:ind w:left="1492" w:right="1780" w:hanging="1492"/>
        <w:spacing w:after="0" w:line="275" w:lineRule="auto"/>
        <w:tabs>
          <w:tab w:leader="none" w:pos="149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March 31, 2014, formatted in eXtensible Business Reporting Language (XBRL), filed herewith:</w:t>
      </w:r>
    </w:p>
    <w:p>
      <w:pPr>
        <w:spacing w:after="0" w:line="200" w:lineRule="exact"/>
        <w:rPr>
          <w:rFonts w:ascii="Arial" w:cs="Arial" w:eastAsia="Arial" w:hAnsi="Arial"/>
          <w:sz w:val="17"/>
          <w:szCs w:val="17"/>
          <w:color w:val="auto"/>
        </w:rPr>
      </w:pPr>
    </w:p>
    <w:p>
      <w:pPr>
        <w:ind w:left="1612" w:hanging="315"/>
        <w:spacing w:after="0"/>
        <w:tabs>
          <w:tab w:leader="none" w:pos="16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Consolidated Statements of Income for the three months ended March 31, 2014 and 2013.</w:t>
      </w:r>
    </w:p>
    <w:p>
      <w:pPr>
        <w:spacing w:after="0" w:line="373" w:lineRule="exact"/>
        <w:rPr>
          <w:rFonts w:ascii="Arial" w:cs="Arial" w:eastAsia="Arial" w:hAnsi="Arial"/>
          <w:sz w:val="18"/>
          <w:szCs w:val="18"/>
          <w:color w:val="auto"/>
        </w:rPr>
      </w:pPr>
    </w:p>
    <w:p>
      <w:pPr>
        <w:ind w:left="1612" w:hanging="315"/>
        <w:spacing w:after="0"/>
        <w:tabs>
          <w:tab w:leader="none" w:pos="16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three months ended March 31, 2014 and 2013.</w:t>
      </w:r>
    </w:p>
    <w:p>
      <w:pPr>
        <w:spacing w:after="0" w:line="387" w:lineRule="exact"/>
        <w:rPr>
          <w:rFonts w:ascii="Arial" w:cs="Arial" w:eastAsia="Arial" w:hAnsi="Arial"/>
          <w:sz w:val="18"/>
          <w:szCs w:val="18"/>
          <w:color w:val="auto"/>
        </w:rPr>
      </w:pPr>
    </w:p>
    <w:p>
      <w:pPr>
        <w:ind w:left="1612" w:hanging="315"/>
        <w:spacing w:after="0"/>
        <w:tabs>
          <w:tab w:leader="none" w:pos="16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Consolidated Balance Sheets at March 31, 2014 and December 31, 2013.</w:t>
      </w:r>
    </w:p>
    <w:p>
      <w:pPr>
        <w:spacing w:after="0" w:line="387" w:lineRule="exact"/>
        <w:rPr>
          <w:rFonts w:ascii="Arial" w:cs="Arial" w:eastAsia="Arial" w:hAnsi="Arial"/>
          <w:sz w:val="18"/>
          <w:szCs w:val="18"/>
          <w:color w:val="auto"/>
        </w:rPr>
      </w:pPr>
    </w:p>
    <w:p>
      <w:pPr>
        <w:ind w:left="1612" w:hanging="315"/>
        <w:spacing w:after="0"/>
        <w:tabs>
          <w:tab w:leader="none" w:pos="16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months ended March 31, 2014 and 2013.</w:t>
      </w:r>
    </w:p>
    <w:p>
      <w:pPr>
        <w:spacing w:after="0" w:line="387" w:lineRule="exact"/>
        <w:rPr>
          <w:rFonts w:ascii="Arial" w:cs="Arial" w:eastAsia="Arial" w:hAnsi="Arial"/>
          <w:sz w:val="18"/>
          <w:szCs w:val="18"/>
          <w:color w:val="auto"/>
        </w:rPr>
      </w:pPr>
    </w:p>
    <w:p>
      <w:pPr>
        <w:ind w:left="1612" w:hanging="315"/>
        <w:spacing w:after="0"/>
        <w:tabs>
          <w:tab w:leader="none" w:pos="16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84" w:lineRule="exact"/>
        <w:rPr>
          <w:rFonts w:ascii="Arial" w:cs="Arial" w:eastAsia="Arial" w:hAnsi="Arial"/>
          <w:sz w:val="18"/>
          <w:szCs w:val="18"/>
          <w:color w:val="auto"/>
        </w:rPr>
      </w:pPr>
    </w:p>
    <w:p>
      <w:pPr>
        <w:ind w:left="1612"/>
        <w:spacing w:after="0" w:line="275" w:lineRule="auto"/>
        <w:rPr>
          <w:rFonts w:ascii="Arial" w:cs="Arial" w:eastAsia="Arial" w:hAnsi="Arial"/>
          <w:sz w:val="18"/>
          <w:szCs w:val="18"/>
          <w:color w:val="auto"/>
        </w:rPr>
      </w:pPr>
      <w:r>
        <w:rPr>
          <w:rFonts w:ascii="Arial" w:cs="Arial" w:eastAsia="Arial" w:hAnsi="Arial"/>
          <w:sz w:val="17"/>
          <w:szCs w:val="17"/>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598" w:right="239" w:bottom="1440" w:gutter="0" w:footer="0" w:header="0"/>
        </w:sectPr>
      </w:pPr>
    </w:p>
    <w:bookmarkStart w:id="39" w:name="page40"/>
    <w:bookmarkEnd w:id="39"/>
    <w:p>
      <w:pPr>
        <w:ind w:left="578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left="254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 xml:space="preserve"> .</w:t>
      </w:r>
    </w:p>
    <w:p>
      <w:pPr>
        <w:jc w:val="center"/>
        <w:ind w:left="254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6, 2014</w:t>
      </w:r>
    </w:p>
    <w:p>
      <w:pPr>
        <w:spacing w:after="0" w:line="21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spacing w:after="0" w:line="19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B. Cozzolino</w:t>
      </w:r>
    </w:p>
    <w:p>
      <w:pPr>
        <w:ind w:left="628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684" w:right="659" w:bottom="1440" w:gutter="0" w:footer="0" w:header="0"/>
        </w:sectPr>
      </w:pPr>
    </w:p>
    <w:bookmarkStart w:id="40" w:name="page41"/>
    <w:bookmarkEnd w:id="40"/>
    <w:p>
      <w:pPr>
        <w:ind w:left="5100"/>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CERTIFICATION PURSUANT TO</w:t>
      </w:r>
    </w:p>
    <w:p>
      <w:pPr>
        <w:ind w:left="340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ind w:left="4780"/>
        <w:spacing w:after="0" w:line="235" w:lineRule="auto"/>
        <w:rPr>
          <w:sz w:val="20"/>
          <w:szCs w:val="20"/>
          <w:color w:val="auto"/>
        </w:rPr>
      </w:pPr>
      <w:r>
        <w:rPr>
          <w:rFonts w:ascii="Arial" w:cs="Arial" w:eastAsia="Arial" w:hAnsi="Arial"/>
          <w:sz w:val="18"/>
          <w:szCs w:val="18"/>
          <w:b w:val="1"/>
          <w:bCs w:val="1"/>
          <w:color w:val="auto"/>
        </w:rPr>
        <w:t>AS ADOPTED PURSUANT TO</w:t>
      </w:r>
    </w:p>
    <w:p>
      <w:pPr>
        <w:ind w:left="3660"/>
        <w:spacing w:after="0" w:line="235" w:lineRule="auto"/>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7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2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980" w:right="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300" w:right="16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4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300" w:right="22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2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00" w:right="8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16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6100"/>
        <w:spacing w:after="0" w:line="234" w:lineRule="auto"/>
        <w:rPr>
          <w:sz w:val="20"/>
          <w:szCs w:val="20"/>
          <w:color w:val="auto"/>
        </w:rPr>
      </w:pPr>
      <w:r>
        <w:rPr>
          <w:rFonts w:ascii="Arial" w:cs="Arial" w:eastAsia="Arial" w:hAnsi="Arial"/>
          <w:sz w:val="18"/>
          <w:szCs w:val="18"/>
          <w:color w:val="auto"/>
        </w:rPr>
        <w:t>Joseph G. Morone</w:t>
      </w:r>
    </w:p>
    <w:p>
      <w:pPr>
        <w:ind w:left="61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2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980" w:right="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300" w:right="16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4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300" w:right="22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2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00" w:right="8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16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6100"/>
        <w:spacing w:after="0" w:line="234" w:lineRule="auto"/>
        <w:rPr>
          <w:sz w:val="20"/>
          <w:szCs w:val="20"/>
          <w:color w:val="auto"/>
        </w:rPr>
      </w:pPr>
      <w:r>
        <w:rPr>
          <w:rFonts w:ascii="Arial" w:cs="Arial" w:eastAsia="Arial" w:hAnsi="Arial"/>
          <w:sz w:val="18"/>
          <w:szCs w:val="18"/>
          <w:color w:val="auto"/>
        </w:rPr>
        <w:t>John B. Cozzolino</w:t>
      </w:r>
    </w:p>
    <w:p>
      <w:pPr>
        <w:ind w:left="61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2" w:name="page43"/>
    <w:bookmarkEnd w:id="42"/>
    <w:p>
      <w:pPr>
        <w:jc w:val="center"/>
        <w:ind w:right="636"/>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CERTIFICATION PURSUANT TO</w:t>
      </w:r>
    </w:p>
    <w:p>
      <w:pPr>
        <w:jc w:val="center"/>
        <w:ind w:right="636"/>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636"/>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left="4" w:firstLine="648"/>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2014,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161" w:lineRule="exact"/>
        <w:rPr>
          <w:sz w:val="20"/>
          <w:szCs w:val="20"/>
          <w:color w:val="auto"/>
        </w:rPr>
      </w:pPr>
    </w:p>
    <w:p>
      <w:pPr>
        <w:ind w:left="324" w:hanging="324"/>
        <w:spacing w:after="0"/>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84" w:lineRule="exact"/>
        <w:rPr>
          <w:rFonts w:ascii="Arial" w:cs="Arial" w:eastAsia="Arial" w:hAnsi="Arial"/>
          <w:sz w:val="18"/>
          <w:szCs w:val="18"/>
          <w:color w:val="auto"/>
        </w:rPr>
      </w:pPr>
    </w:p>
    <w:p>
      <w:pPr>
        <w:ind w:left="324" w:right="160" w:hanging="324"/>
        <w:spacing w:after="0" w:line="246"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44"/>
        <w:spacing w:after="0"/>
        <w:rPr>
          <w:sz w:val="20"/>
          <w:szCs w:val="20"/>
          <w:color w:val="auto"/>
        </w:rPr>
      </w:pPr>
      <w:r>
        <w:rPr>
          <w:rFonts w:ascii="Arial" w:cs="Arial" w:eastAsia="Arial" w:hAnsi="Arial"/>
          <w:sz w:val="18"/>
          <w:szCs w:val="18"/>
          <w:color w:val="auto"/>
        </w:rPr>
        <w:t>Dated: May 6, 2014</w:t>
      </w:r>
    </w:p>
    <w:p>
      <w:pPr>
        <w:ind w:left="4544"/>
        <w:spacing w:after="0" w:line="234" w:lineRule="auto"/>
        <w:rPr>
          <w:sz w:val="20"/>
          <w:szCs w:val="20"/>
          <w:color w:val="auto"/>
        </w:rPr>
      </w:pPr>
      <w:r>
        <w:rPr>
          <w:rFonts w:ascii="Arial" w:cs="Arial" w:eastAsia="Arial" w:hAnsi="Arial"/>
          <w:sz w:val="18"/>
          <w:szCs w:val="18"/>
          <w:u w:val="single" w:color="auto"/>
          <w:color w:val="auto"/>
        </w:rPr>
        <w:t>/s/ Joseph G. Morone</w:t>
      </w:r>
    </w:p>
    <w:p>
      <w:pPr>
        <w:ind w:left="4544"/>
        <w:spacing w:after="0" w:line="235" w:lineRule="auto"/>
        <w:rPr>
          <w:sz w:val="20"/>
          <w:szCs w:val="20"/>
          <w:color w:val="auto"/>
        </w:rPr>
      </w:pPr>
      <w:r>
        <w:rPr>
          <w:rFonts w:ascii="Arial" w:cs="Arial" w:eastAsia="Arial" w:hAnsi="Arial"/>
          <w:sz w:val="18"/>
          <w:szCs w:val="18"/>
          <w:color w:val="auto"/>
        </w:rPr>
        <w:t>Joseph G. Morone</w:t>
      </w:r>
    </w:p>
    <w:p>
      <w:pPr>
        <w:ind w:left="4544"/>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4544"/>
        <w:spacing w:after="0"/>
        <w:rPr>
          <w:sz w:val="20"/>
          <w:szCs w:val="20"/>
          <w:color w:val="auto"/>
        </w:rPr>
      </w:pPr>
      <w:r>
        <w:rPr>
          <w:rFonts w:ascii="Arial" w:cs="Arial" w:eastAsia="Arial" w:hAnsi="Arial"/>
          <w:sz w:val="18"/>
          <w:szCs w:val="18"/>
          <w:u w:val="single" w:color="auto"/>
          <w:color w:val="auto"/>
        </w:rPr>
        <w:t>/s/ John B. Cozzolino</w:t>
      </w:r>
    </w:p>
    <w:p>
      <w:pPr>
        <w:ind w:left="4544"/>
        <w:spacing w:after="0" w:line="234" w:lineRule="auto"/>
        <w:rPr>
          <w:sz w:val="20"/>
          <w:szCs w:val="20"/>
          <w:color w:val="auto"/>
        </w:rPr>
      </w:pPr>
      <w:r>
        <w:rPr>
          <w:rFonts w:ascii="Arial" w:cs="Arial" w:eastAsia="Arial" w:hAnsi="Arial"/>
          <w:sz w:val="18"/>
          <w:szCs w:val="18"/>
          <w:color w:val="auto"/>
        </w:rPr>
        <w:t>John B. Cozzolino</w:t>
      </w:r>
    </w:p>
    <w:p>
      <w:pPr>
        <w:ind w:left="4544"/>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263525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118" w:right="239" w:bottom="1440" w:gutter="0" w:footer="0" w:header="0"/>
        </w:sectPr>
      </w:pPr>
    </w:p>
    <w:bookmarkStart w:id="43" w:name="page44"/>
    <w:bookmarkEnd w:id="43"/>
    <w:p>
      <w:pPr>
        <w:jc w:val="center"/>
        <w:ind w:right="-79"/>
        <w:spacing w:after="0"/>
        <w:rPr>
          <w:sz w:val="20"/>
          <w:szCs w:val="20"/>
          <w:color w:val="auto"/>
        </w:rPr>
      </w:pPr>
      <w:r>
        <w:rPr>
          <w:rFonts w:ascii="Arial" w:cs="Arial" w:eastAsia="Arial" w:hAnsi="Arial"/>
          <w:sz w:val="18"/>
          <w:szCs w:val="18"/>
          <w:b w:val="1"/>
          <w:bCs w:val="1"/>
          <w:color w:val="auto"/>
        </w:rPr>
        <w:t>EXHIBIT (99.1)</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RISK SENSITIVITY – AS OF MARCH 31, 2014</w:t>
      </w:r>
    </w:p>
    <w:p>
      <w:pPr>
        <w:ind w:right="30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$604.9 million. The potential loss in fair value resulting from a hypothetical 10% adverse change in quoted foreign currency exchange rates amounts to $60.5 million. Furthermore, related to foreign currency transactions, we have exposure to various nonfunctional currency balances totaling $133.3 million. This amount includes, on an absolute basis, exposures to assets and liabilities held in currencies other than our local entity’s functional currency. On a net basis, we had $57.0 million of foreign currency liabilities as of March 31, 2014. As currency rates change, these nonfunctional currency balances are revalued, and the corresponding adjustment is recorded in the income statement. A hypothetical change of 10% in currency rates could result in an adjustment to the income statement of approximately $5.7 million. Actual results may differ.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31, 2014,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109220</wp:posOffset>
            </wp:positionV>
            <wp:extent cx="52654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34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11430</wp:posOffset>
            </wp:positionV>
            <wp:extent cx="52654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r>
              <w:rPr>
                <w:rFonts w:ascii="Arial" w:cs="Arial" w:eastAsia="Arial" w:hAnsi="Arial"/>
                <w:sz w:val="18"/>
                <w:szCs w:val="18"/>
                <w:b w:val="1"/>
                <w:bCs w:val="1"/>
                <w:color w:val="auto"/>
              </w:rPr>
              <w:t>Short-term debt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160" w:type="dxa"/>
            <w:vAlign w:val="bottom"/>
          </w:tcPr>
          <w:p>
            <w:pPr>
              <w:spacing w:after="0"/>
              <w:rPr>
                <w:sz w:val="20"/>
                <w:szCs w:val="20"/>
                <w:color w:val="auto"/>
              </w:rPr>
            </w:pPr>
            <w:r>
              <w:rPr>
                <w:rFonts w:ascii="Arial" w:cs="Arial" w:eastAsia="Arial" w:hAnsi="Arial"/>
                <w:sz w:val="18"/>
                <w:szCs w:val="18"/>
                <w:color w:val="auto"/>
              </w:rPr>
              <w:t>Notes payable, end of period interest rate of 1.19%</w:t>
            </w:r>
          </w:p>
        </w:tc>
        <w:tc>
          <w:tcPr>
            <w:tcW w:w="114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311"/>
        </w:trPr>
        <w:tc>
          <w:tcPr>
            <w:tcW w:w="716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160" w:type="dxa"/>
            <w:vAlign w:val="bottom"/>
          </w:tcPr>
          <w:p>
            <w:pPr>
              <w:spacing w:after="0"/>
              <w:rPr>
                <w:sz w:val="20"/>
                <w:szCs w:val="20"/>
                <w:color w:val="auto"/>
              </w:rPr>
            </w:pPr>
            <w:r>
              <w:rPr>
                <w:rFonts w:ascii="Arial" w:cs="Arial" w:eastAsia="Arial" w:hAnsi="Arial"/>
                <w:sz w:val="18"/>
                <w:szCs w:val="18"/>
                <w:color w:val="auto"/>
              </w:rPr>
              <w:t>Credit agreement with borrowings outstanding, net of fixed rate portion, at an end of</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60" w:type="dxa"/>
            <w:vAlign w:val="bottom"/>
          </w:tcPr>
          <w:p>
            <w:pPr>
              <w:spacing w:after="0"/>
              <w:rPr>
                <w:sz w:val="20"/>
                <w:szCs w:val="20"/>
                <w:color w:val="auto"/>
              </w:rPr>
            </w:pPr>
            <w:r>
              <w:rPr>
                <w:rFonts w:ascii="Arial" w:cs="Arial" w:eastAsia="Arial" w:hAnsi="Arial"/>
                <w:sz w:val="18"/>
                <w:szCs w:val="18"/>
                <w:color w:val="auto"/>
              </w:rPr>
              <w:t>period interest rate of 1.54% in 2014, due in 2018</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108"/>
        </w:trPr>
        <w:tc>
          <w:tcPr>
            <w:tcW w:w="7160" w:type="dxa"/>
            <w:vAlign w:val="bottom"/>
            <w:vMerge w:val="restart"/>
          </w:tcPr>
          <w:p>
            <w:pPr>
              <w:spacing w:after="0"/>
              <w:rPr>
                <w:sz w:val="20"/>
                <w:szCs w:val="20"/>
                <w:color w:val="auto"/>
              </w:rPr>
            </w:pPr>
            <w:r>
              <w:rPr>
                <w:rFonts w:ascii="Arial" w:cs="Arial" w:eastAsia="Arial" w:hAnsi="Arial"/>
                <w:sz w:val="18"/>
                <w:szCs w:val="18"/>
                <w:color w:val="auto"/>
              </w:rPr>
              <w:t>Various notes and mortgages relative to operations principally outside the United</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1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States, at an average end of period rate of 3.02% in 2014, due in varying amounts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through 2014</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399"/>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$97,297</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$1.0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decimal"/>
      <w:start w:val="101"/>
    </w:lvl>
    <w:lvl w:ilvl="1">
      <w:lvlJc w:val="left"/>
      <w:lvlText w:val="(%2)"/>
      <w:numFmt w:val="lowerRoman"/>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2019-12-06T00:36:52Z</dcterms:created>
  <dcterms:modified xsi:type="dcterms:W3CDTF">2019-12-06T00:36:52Z</dcterms:modified>
</cp:coreProperties>
</file>