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12" w:lineRule="exact"/>
        <w:rPr>
          <w:sz w:val="24"/>
          <w:szCs w:val="24"/>
          <w:color w:val="auto"/>
        </w:rPr>
      </w:pPr>
    </w:p>
    <w:p>
      <w:pPr>
        <w:ind w:left="3820" w:right="1920" w:hanging="3812"/>
        <w:spacing w:after="0" w:line="498" w:lineRule="auto"/>
        <w:tabs>
          <w:tab w:leader="none" w:pos="26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2015</w:t>
      </w:r>
    </w:p>
    <w:p>
      <w:pPr>
        <w:jc w:val="center"/>
        <w:spacing w:after="0"/>
        <w:rPr>
          <w:sz w:val="20"/>
          <w:szCs w:val="20"/>
          <w:color w:val="auto"/>
        </w:rPr>
      </w:pPr>
      <w:r>
        <w:rPr>
          <w:rFonts w:ascii="Arial" w:cs="Arial" w:eastAsia="Arial" w:hAnsi="Arial"/>
          <w:sz w:val="18"/>
          <w:szCs w:val="18"/>
          <w:color w:val="auto"/>
        </w:rPr>
        <w:t>OR</w:t>
      </w:r>
    </w:p>
    <w:p>
      <w:pPr>
        <w:spacing w:after="0" w:line="190" w:lineRule="exact"/>
        <w:rPr>
          <w:sz w:val="24"/>
          <w:szCs w:val="24"/>
          <w:color w:val="auto"/>
        </w:rPr>
      </w:pPr>
    </w:p>
    <w:p>
      <w:pPr>
        <w:ind w:left="3400" w:right="1920" w:hanging="3392"/>
        <w:spacing w:after="0" w:line="498" w:lineRule="auto"/>
        <w:tabs>
          <w:tab w:leader="none" w:pos="1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 to __________</w:t>
      </w:r>
    </w:p>
    <w:p>
      <w:pPr>
        <w:ind w:left="4360"/>
        <w:spacing w:after="0"/>
        <w:rPr>
          <w:rFonts w:ascii="Arial" w:cs="Arial" w:eastAsia="Arial" w:hAnsi="Arial"/>
          <w:sz w:val="18"/>
          <w:szCs w:val="18"/>
          <w:b w:val="1"/>
          <w:bCs w:val="1"/>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1-10026</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ALBANY INTERNATIONAL CORP.</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jc w:val="center"/>
              <w:ind w:right="1320"/>
              <w:spacing w:after="0"/>
              <w:rPr>
                <w:sz w:val="20"/>
                <w:szCs w:val="20"/>
                <w:color w:val="auto"/>
              </w:rPr>
            </w:pPr>
            <w:r>
              <w:rPr>
                <w:rFonts w:ascii="Arial" w:cs="Arial" w:eastAsia="Arial" w:hAnsi="Arial"/>
                <w:sz w:val="18"/>
                <w:szCs w:val="18"/>
                <w:color w:val="auto"/>
                <w:w w:val="99"/>
              </w:rPr>
              <w:t>Delaware</w:t>
            </w:r>
          </w:p>
        </w:tc>
        <w:tc>
          <w:tcPr>
            <w:tcW w:w="4780" w:type="dxa"/>
            <w:vAlign w:val="bottom"/>
          </w:tcPr>
          <w:p>
            <w:pPr>
              <w:jc w:val="right"/>
              <w:ind w:right="1790"/>
              <w:spacing w:after="0"/>
              <w:rPr>
                <w:sz w:val="20"/>
                <w:szCs w:val="20"/>
                <w:color w:val="auto"/>
              </w:rPr>
            </w:pPr>
            <w:r>
              <w:rPr>
                <w:rFonts w:ascii="Arial" w:cs="Arial" w:eastAsia="Arial" w:hAnsi="Arial"/>
                <w:sz w:val="18"/>
                <w:szCs w:val="18"/>
                <w:color w:val="auto"/>
              </w:rPr>
              <w:t>14-0462060</w:t>
            </w:r>
          </w:p>
        </w:tc>
      </w:tr>
      <w:tr>
        <w:trPr>
          <w:trHeight w:val="195"/>
        </w:trPr>
        <w:tc>
          <w:tcPr>
            <w:tcW w:w="5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(State or other jurisdiction of</w:t>
            </w:r>
          </w:p>
        </w:tc>
        <w:tc>
          <w:tcPr>
            <w:tcW w:w="1380" w:type="dxa"/>
            <w:vAlign w:val="bottom"/>
          </w:tcPr>
          <w:p>
            <w:pPr>
              <w:spacing w:after="0"/>
              <w:rPr>
                <w:sz w:val="16"/>
                <w:szCs w:val="16"/>
                <w:color w:val="auto"/>
              </w:rPr>
            </w:pPr>
          </w:p>
        </w:tc>
        <w:tc>
          <w:tcPr>
            <w:tcW w:w="4780" w:type="dxa"/>
            <w:vAlign w:val="bottom"/>
            <w:tcBorders>
              <w:top w:val="single" w:sz="8" w:color="auto"/>
            </w:tcBorders>
          </w:tcPr>
          <w:p>
            <w:pPr>
              <w:ind w:left="110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17"/>
        </w:trPr>
        <w:tc>
          <w:tcPr>
            <w:tcW w:w="6640" w:type="dxa"/>
            <w:vAlign w:val="bottom"/>
            <w:gridSpan w:val="2"/>
          </w:tcPr>
          <w:p>
            <w:pPr>
              <w:ind w:left="1440"/>
              <w:spacing w:after="0"/>
              <w:rPr>
                <w:sz w:val="20"/>
                <w:szCs w:val="20"/>
                <w:color w:val="auto"/>
              </w:rPr>
            </w:pPr>
            <w:r>
              <w:rPr>
                <w:rFonts w:ascii="Arial" w:cs="Arial" w:eastAsia="Arial" w:hAnsi="Arial"/>
                <w:sz w:val="18"/>
                <w:szCs w:val="18"/>
                <w:color w:val="auto"/>
              </w:rPr>
              <w:t>incorporation or organization)</w:t>
            </w:r>
          </w:p>
        </w:tc>
        <w:tc>
          <w:tcPr>
            <w:tcW w:w="4780" w:type="dxa"/>
            <w:vAlign w:val="bottom"/>
          </w:tcPr>
          <w:p>
            <w:pPr>
              <w:spacing w:after="0"/>
              <w:rPr>
                <w:sz w:val="18"/>
                <w:szCs w:val="18"/>
                <w:color w:val="auto"/>
              </w:rPr>
            </w:pPr>
          </w:p>
        </w:tc>
      </w:tr>
      <w:tr>
        <w:trPr>
          <w:trHeight w:val="392"/>
        </w:trPr>
        <w:tc>
          <w:tcPr>
            <w:tcW w:w="6640" w:type="dxa"/>
            <w:vAlign w:val="bottom"/>
            <w:gridSpan w:val="2"/>
          </w:tcPr>
          <w:p>
            <w:pPr>
              <w:jc w:val="center"/>
              <w:ind w:right="1320"/>
              <w:spacing w:after="0"/>
              <w:rPr>
                <w:sz w:val="20"/>
                <w:szCs w:val="20"/>
                <w:color w:val="auto"/>
              </w:rPr>
            </w:pPr>
            <w:r>
              <w:rPr>
                <w:rFonts w:ascii="Arial" w:cs="Arial" w:eastAsia="Arial" w:hAnsi="Arial"/>
                <w:sz w:val="18"/>
                <w:szCs w:val="18"/>
                <w:color w:val="auto"/>
                <w:w w:val="99"/>
              </w:rPr>
              <w:t>216 Airport Drive, Rochester, New Hampshire</w:t>
            </w:r>
          </w:p>
        </w:tc>
        <w:tc>
          <w:tcPr>
            <w:tcW w:w="4780" w:type="dxa"/>
            <w:vAlign w:val="bottom"/>
          </w:tcPr>
          <w:p>
            <w:pPr>
              <w:jc w:val="right"/>
              <w:ind w:right="2030"/>
              <w:spacing w:after="0"/>
              <w:rPr>
                <w:sz w:val="20"/>
                <w:szCs w:val="20"/>
                <w:color w:val="auto"/>
              </w:rPr>
            </w:pPr>
            <w:r>
              <w:rPr>
                <w:rFonts w:ascii="Arial" w:cs="Arial" w:eastAsia="Arial" w:hAnsi="Arial"/>
                <w:sz w:val="18"/>
                <w:szCs w:val="18"/>
                <w:color w:val="auto"/>
              </w:rPr>
              <w:t>03867</w:t>
            </w:r>
          </w:p>
        </w:tc>
      </w:tr>
      <w:tr>
        <w:trPr>
          <w:trHeight w:val="210"/>
        </w:trPr>
        <w:tc>
          <w:tcPr>
            <w:tcW w:w="5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1380" w:type="dxa"/>
            <w:vAlign w:val="bottom"/>
          </w:tcPr>
          <w:p>
            <w:pPr>
              <w:spacing w:after="0"/>
              <w:rPr>
                <w:sz w:val="18"/>
                <w:szCs w:val="18"/>
                <w:color w:val="auto"/>
              </w:rPr>
            </w:pPr>
          </w:p>
        </w:tc>
        <w:tc>
          <w:tcPr>
            <w:tcW w:w="4780" w:type="dxa"/>
            <w:vAlign w:val="bottom"/>
            <w:tcBorders>
              <w:top w:val="single" w:sz="8" w:color="auto"/>
            </w:tcBorders>
          </w:tcPr>
          <w:p>
            <w:pPr>
              <w:ind w:left="1940"/>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518-445-2200</w:t>
      </w:r>
    </w:p>
    <w:p>
      <w:pPr>
        <w:spacing w:after="0" w:line="104" w:lineRule="exact"/>
        <w:rPr>
          <w:sz w:val="24"/>
          <w:szCs w:val="24"/>
          <w:color w:val="auto"/>
        </w:rPr>
      </w:pPr>
    </w:p>
    <w:p>
      <w:pPr>
        <w:ind w:right="80"/>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 No [ ]</w:t>
      </w:r>
    </w:p>
    <w:p>
      <w:pPr>
        <w:spacing w:after="0" w:line="203" w:lineRule="exact"/>
        <w:rPr>
          <w:sz w:val="24"/>
          <w:szCs w:val="24"/>
          <w:color w:val="auto"/>
        </w:rPr>
      </w:pPr>
    </w:p>
    <w:p>
      <w:pPr>
        <w:ind w:right="60"/>
        <w:spacing w:after="0"/>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 ] No [ ]</w:t>
      </w:r>
    </w:p>
    <w:p>
      <w:pPr>
        <w:spacing w:after="0" w:line="203" w:lineRule="exact"/>
        <w:rPr>
          <w:sz w:val="24"/>
          <w:szCs w:val="24"/>
          <w:color w:val="auto"/>
        </w:rPr>
      </w:pPr>
    </w:p>
    <w:p>
      <w:pPr>
        <w:ind w:right="400"/>
        <w:spacing w:after="0" w:line="24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225" w:right="239" w:bottom="1440" w:gutter="0" w:footer="0" w:header="0"/>
        </w:sectPr>
      </w:pPr>
    </w:p>
    <w:p>
      <w:pPr>
        <w:spacing w:after="0" w:line="183" w:lineRule="exact"/>
        <w:rPr>
          <w:sz w:val="24"/>
          <w:szCs w:val="24"/>
          <w:color w:val="auto"/>
        </w:rPr>
      </w:pPr>
    </w:p>
    <w:p>
      <w:pPr>
        <w:ind w:right="380"/>
        <w:spacing w:after="0" w:line="275" w:lineRule="auto"/>
        <w:rPr>
          <w:sz w:val="20"/>
          <w:szCs w:val="20"/>
          <w:color w:val="auto"/>
        </w:rPr>
      </w:pPr>
      <w:r>
        <w:rPr>
          <w:rFonts w:ascii="Arial" w:cs="Arial" w:eastAsia="Arial" w:hAnsi="Arial"/>
          <w:sz w:val="17"/>
          <w:szCs w:val="17"/>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 √ ]</w:t>
      </w:r>
    </w:p>
    <w:p>
      <w:pPr>
        <w:spacing w:after="0"/>
        <w:tabs>
          <w:tab w:leader="none" w:pos="220" w:val="left"/>
        </w:tabs>
        <w:rPr>
          <w:sz w:val="20"/>
          <w:szCs w:val="20"/>
          <w:color w:val="auto"/>
        </w:rPr>
      </w:pPr>
      <w:r>
        <w:rPr>
          <w:rFonts w:ascii="Arial" w:cs="Arial" w:eastAsia="Arial" w:hAnsi="Arial"/>
          <w:sz w:val="18"/>
          <w:szCs w:val="18"/>
          <w:color w:val="auto"/>
        </w:rPr>
        <w:t>[</w:t>
        <w:tab/>
        <w: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rPr>
          <w:sz w:val="20"/>
          <w:szCs w:val="20"/>
          <w:color w:val="auto"/>
        </w:rPr>
      </w:pPr>
      <w:r>
        <w:rPr>
          <w:rFonts w:ascii="Arial" w:cs="Arial" w:eastAsia="Arial" w:hAnsi="Arial"/>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color w:val="auto"/>
        </w:rPr>
        <w:t>]</w:t>
      </w:r>
    </w:p>
    <w:p>
      <w:pPr>
        <w:spacing w:after="0" w:line="198" w:lineRule="exact"/>
        <w:rPr>
          <w:sz w:val="24"/>
          <w:szCs w:val="24"/>
          <w:color w:val="auto"/>
        </w:rPr>
      </w:pPr>
    </w:p>
    <w:p>
      <w:pPr>
        <w:sectPr>
          <w:pgSz w:w="11900" w:h="16838" w:orient="portrait"/>
          <w:cols w:equalWidth="0" w:num="5">
            <w:col w:w="2160" w:space="720"/>
            <w:col w:w="2120" w:space="720"/>
            <w:col w:w="2700" w:space="720"/>
            <w:col w:w="40" w:space="200"/>
            <w:col w:w="2040"/>
          </w:cols>
          <w:pgMar w:left="240" w:top="225" w:right="239" w:bottom="1440" w:gutter="0" w:footer="0" w:header="0"/>
          <w:type w:val="continuous"/>
        </w:sectPr>
      </w:pPr>
    </w:p>
    <w:p>
      <w:pPr>
        <w:spacing w:after="0"/>
        <w:tabs>
          <w:tab w:leader="none" w:pos="96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w:t>
        <w:tab/>
        <w:t>] No [ √ ]</w:t>
      </w:r>
    </w:p>
    <w:p>
      <w:pPr>
        <w:spacing w:after="0" w:line="198" w:lineRule="exact"/>
        <w:rPr>
          <w:sz w:val="24"/>
          <w:szCs w:val="24"/>
          <w:color w:val="auto"/>
        </w:rPr>
      </w:pPr>
    </w:p>
    <w:p>
      <w:pPr>
        <w:ind w:right="180"/>
        <w:spacing w:after="0" w:line="246" w:lineRule="auto"/>
        <w:rPr>
          <w:sz w:val="20"/>
          <w:szCs w:val="20"/>
          <w:color w:val="auto"/>
        </w:rPr>
      </w:pPr>
      <w:r>
        <w:rPr>
          <w:rFonts w:ascii="Arial" w:cs="Arial" w:eastAsia="Arial" w:hAnsi="Arial"/>
          <w:sz w:val="18"/>
          <w:szCs w:val="18"/>
          <w:color w:val="auto"/>
        </w:rPr>
        <w:t>The registrant had 28.8 million shares of Class A Common Stock and 3.2 million shares of Class B Common Stock outstanding as of April 23,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ind w:left="660"/>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9"/>
              </w:rPr>
              <w:t>Page</w:t>
            </w:r>
          </w:p>
        </w:tc>
      </w:tr>
      <w:tr>
        <w:trPr>
          <w:trHeight w:val="203"/>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No.</w:t>
            </w:r>
          </w:p>
        </w:tc>
      </w:tr>
      <w:tr>
        <w:trPr>
          <w:trHeight w:val="412"/>
        </w:trPr>
        <w:tc>
          <w:tcPr>
            <w:tcW w:w="10960" w:type="dxa"/>
            <w:vAlign w:val="bottom"/>
            <w:gridSpan w:val="21"/>
          </w:tcPr>
          <w:p>
            <w:pPr>
              <w:spacing w:after="0"/>
              <w:rPr>
                <w:sz w:val="20"/>
                <w:szCs w:val="20"/>
                <w:color w:val="auto"/>
              </w:rPr>
            </w:pPr>
            <w:r>
              <w:rPr>
                <w:rFonts w:ascii="Arial" w:cs="Arial" w:eastAsia="Arial" w:hAnsi="Arial"/>
                <w:sz w:val="18"/>
                <w:szCs w:val="18"/>
                <w:b w:val="1"/>
                <w:bCs w:val="1"/>
                <w:color w:val="auto"/>
              </w:rPr>
              <w:t>Part I Financial information</w:t>
            </w:r>
          </w:p>
        </w:tc>
        <w:tc>
          <w:tcPr>
            <w:tcW w:w="460" w:type="dxa"/>
            <w:vAlign w:val="bottom"/>
          </w:tcPr>
          <w:p>
            <w:pPr>
              <w:spacing w:after="0"/>
              <w:rPr>
                <w:sz w:val="24"/>
                <w:szCs w:val="24"/>
                <w:color w:val="auto"/>
              </w:rPr>
            </w:pPr>
          </w:p>
        </w:tc>
      </w:tr>
      <w:tr>
        <w:trPr>
          <w:trHeight w:val="365"/>
        </w:trPr>
        <w:tc>
          <w:tcPr>
            <w:tcW w:w="340" w:type="dxa"/>
            <w:vAlign w:val="bottom"/>
          </w:tcPr>
          <w:p>
            <w:pPr>
              <w:spacing w:after="0"/>
              <w:rPr>
                <w:sz w:val="24"/>
                <w:szCs w:val="24"/>
                <w:color w:val="auto"/>
              </w:rPr>
            </w:pPr>
          </w:p>
        </w:tc>
        <w:tc>
          <w:tcPr>
            <w:tcW w:w="1062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46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6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statements of income– three months ended March 31, 2015 and 2014</w:t>
              </w:r>
            </w:hyperlink>
          </w:p>
        </w:tc>
        <w:tc>
          <w:tcPr>
            <w:tcW w:w="3800" w:type="dxa"/>
            <w:vAlign w:val="bottom"/>
            <w:gridSpan w:val="4"/>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60" w:type="dxa"/>
            <w:vAlign w:val="bottom"/>
            <w:gridSpan w:val="18"/>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income/(loss)– three months ended March 31, 2015 and 2014</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74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balance sheets – March 31, 2015 and December 31, 2014</w:t>
              </w:r>
            </w:hyperlink>
          </w:p>
        </w:tc>
        <w:tc>
          <w:tcPr>
            <w:tcW w:w="2680" w:type="dxa"/>
            <w:vAlign w:val="bottom"/>
            <w:tcBorders>
              <w:top w:val="single" w:sz="8" w:color="0000EE"/>
            </w:tcBorders>
            <w:gridSpan w:val="4"/>
          </w:tcPr>
          <w:p>
            <w:pPr>
              <w:spacing w:after="0"/>
              <w:rPr>
                <w:sz w:val="15"/>
                <w:szCs w:val="15"/>
                <w:color w:val="auto"/>
              </w:rPr>
            </w:pPr>
          </w:p>
        </w:tc>
        <w:tc>
          <w:tcPr>
            <w:tcW w:w="2040" w:type="dxa"/>
            <w:vAlign w:val="bottom"/>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60" w:type="dxa"/>
            <w:vAlign w:val="bottom"/>
            <w:gridSpan w:val="18"/>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three months ended March 31, 2015 and 2014</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96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3500" w:type="dxa"/>
            <w:vAlign w:val="bottom"/>
            <w:gridSpan w:val="3"/>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20"/>
        </w:trPr>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10620" w:type="dxa"/>
            <w:vAlign w:val="bottom"/>
            <w:gridSpan w:val="20"/>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 of Operations</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0000EE"/>
              <w:bottom w:val="single" w:sz="8" w:color="0000EE"/>
            </w:tcBorders>
          </w:tcPr>
          <w:p>
            <w:pPr>
              <w:spacing w:after="0"/>
              <w:rPr>
                <w:sz w:val="15"/>
                <w:szCs w:val="15"/>
                <w:color w:val="auto"/>
              </w:rPr>
            </w:pPr>
          </w:p>
        </w:tc>
        <w:tc>
          <w:tcPr>
            <w:tcW w:w="222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Forward-looking statements</w:t>
              </w:r>
            </w:hyperlink>
          </w:p>
        </w:tc>
        <w:tc>
          <w:tcPr>
            <w:tcW w:w="5300" w:type="dxa"/>
            <w:vAlign w:val="bottom"/>
            <w:tcBorders>
              <w:top w:val="single" w:sz="8" w:color="0000EE"/>
            </w:tcBorders>
            <w:gridSpan w:val="10"/>
          </w:tcPr>
          <w:p>
            <w:pPr>
              <w:spacing w:after="0"/>
              <w:rPr>
                <w:sz w:val="15"/>
                <w:szCs w:val="15"/>
                <w:color w:val="auto"/>
              </w:rPr>
            </w:pPr>
          </w:p>
        </w:tc>
        <w:tc>
          <w:tcPr>
            <w:tcW w:w="2940" w:type="dxa"/>
            <w:vAlign w:val="bottom"/>
            <w:gridSpan w:val="2"/>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340" w:type="dxa"/>
            <w:vAlign w:val="bottom"/>
          </w:tcPr>
          <w:p>
            <w:pPr>
              <w:spacing w:after="0"/>
              <w:rPr>
                <w:sz w:val="15"/>
                <w:szCs w:val="15"/>
                <w:color w:val="auto"/>
              </w:rPr>
            </w:pPr>
          </w:p>
        </w:tc>
        <w:tc>
          <w:tcPr>
            <w:tcW w:w="530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38">
              <w:r>
                <w:rPr>
                  <w:rFonts w:ascii="Arial" w:cs="Arial" w:eastAsia="Arial" w:hAnsi="Arial"/>
                  <w:sz w:val="18"/>
                  <w:szCs w:val="18"/>
                  <w:color w:val="0000EE"/>
                  <w:w w:val="99"/>
                </w:rPr>
                <w:t>Item 3. Quantitative and Qualitative Disclosures about Market Risk</w:t>
              </w:r>
            </w:hyperlink>
          </w:p>
        </w:tc>
        <w:tc>
          <w:tcPr>
            <w:tcW w:w="5320" w:type="dxa"/>
            <w:vAlign w:val="bottom"/>
            <w:gridSpan w:val="7"/>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183"/>
        </w:trPr>
        <w:tc>
          <w:tcPr>
            <w:tcW w:w="340" w:type="dxa"/>
            <w:vAlign w:val="bottom"/>
          </w:tcPr>
          <w:p>
            <w:pPr>
              <w:spacing w:after="0"/>
              <w:rPr>
                <w:sz w:val="15"/>
                <w:szCs w:val="15"/>
                <w:color w:val="auto"/>
              </w:rPr>
            </w:pPr>
          </w:p>
        </w:tc>
        <w:tc>
          <w:tcPr>
            <w:tcW w:w="260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38">
              <w:r>
                <w:rPr>
                  <w:rFonts w:ascii="Arial" w:cs="Arial" w:eastAsia="Arial" w:hAnsi="Arial"/>
                  <w:sz w:val="18"/>
                  <w:szCs w:val="18"/>
                  <w:color w:val="0000EE"/>
                  <w:w w:val="99"/>
                </w:rPr>
                <w:t>Item 4. Controls and Procedures</w:t>
              </w:r>
            </w:hyperlink>
          </w:p>
        </w:tc>
        <w:tc>
          <w:tcPr>
            <w:tcW w:w="8020" w:type="dxa"/>
            <w:vAlign w:val="bottom"/>
            <w:gridSpan w:val="10"/>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426"/>
        </w:trPr>
        <w:tc>
          <w:tcPr>
            <w:tcW w:w="10960" w:type="dxa"/>
            <w:vAlign w:val="bottom"/>
            <w:gridSpan w:val="21"/>
          </w:tcPr>
          <w:p>
            <w:pPr>
              <w:spacing w:after="0"/>
              <w:rPr>
                <w:sz w:val="20"/>
                <w:szCs w:val="20"/>
                <w:color w:val="auto"/>
              </w:rPr>
            </w:pPr>
            <w:r>
              <w:rPr>
                <w:rFonts w:ascii="Arial" w:cs="Arial" w:eastAsia="Arial" w:hAnsi="Arial"/>
                <w:sz w:val="18"/>
                <w:szCs w:val="18"/>
                <w:b w:val="1"/>
                <w:bCs w:val="1"/>
                <w:color w:val="auto"/>
              </w:rPr>
              <w:t>Part II Other Information</w:t>
            </w:r>
          </w:p>
        </w:tc>
        <w:tc>
          <w:tcPr>
            <w:tcW w:w="460" w:type="dxa"/>
            <w:vAlign w:val="bottom"/>
          </w:tcPr>
          <w:p>
            <w:pPr>
              <w:spacing w:after="0"/>
              <w:rPr>
                <w:sz w:val="24"/>
                <w:szCs w:val="24"/>
                <w:color w:val="auto"/>
              </w:rPr>
            </w:pPr>
          </w:p>
        </w:tc>
      </w:tr>
      <w:tr>
        <w:trPr>
          <w:trHeight w:val="365"/>
        </w:trPr>
        <w:tc>
          <w:tcPr>
            <w:tcW w:w="340" w:type="dxa"/>
            <w:vAlign w:val="bottom"/>
          </w:tcPr>
          <w:p>
            <w:pPr>
              <w:spacing w:after="0"/>
              <w:rPr>
                <w:sz w:val="24"/>
                <w:szCs w:val="24"/>
                <w:color w:val="auto"/>
              </w:rPr>
            </w:pPr>
          </w:p>
        </w:tc>
        <w:tc>
          <w:tcPr>
            <w:tcW w:w="210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38">
              <w:r>
                <w:rPr>
                  <w:rFonts w:ascii="Arial" w:cs="Arial" w:eastAsia="Arial" w:hAnsi="Arial"/>
                  <w:sz w:val="18"/>
                  <w:szCs w:val="18"/>
                  <w:color w:val="0000EE"/>
                  <w:w w:val="99"/>
                </w:rPr>
                <w:t>Item 1. Legal Proceedings</w:t>
              </w:r>
            </w:hyperlink>
          </w:p>
        </w:tc>
        <w:tc>
          <w:tcPr>
            <w:tcW w:w="8520" w:type="dxa"/>
            <w:vAlign w:val="bottom"/>
            <w:gridSpan w:val="1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83"/>
        </w:trPr>
        <w:tc>
          <w:tcPr>
            <w:tcW w:w="340" w:type="dxa"/>
            <w:vAlign w:val="bottom"/>
          </w:tcPr>
          <w:p>
            <w:pPr>
              <w:spacing w:after="0"/>
              <w:rPr>
                <w:sz w:val="15"/>
                <w:szCs w:val="15"/>
                <w:color w:val="auto"/>
              </w:rPr>
            </w:pPr>
          </w:p>
        </w:tc>
        <w:tc>
          <w:tcPr>
            <w:tcW w:w="10620" w:type="dxa"/>
            <w:vAlign w:val="bottom"/>
            <w:gridSpan w:val="20"/>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Item 1A. Risk Factors</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20"/>
        </w:trPr>
        <w:tc>
          <w:tcPr>
            <w:tcW w:w="34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546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Item 2. Unregistered Sales of Equity Securities and Use of Proceeds</w:t>
              </w:r>
            </w:hyperlink>
          </w:p>
        </w:tc>
        <w:tc>
          <w:tcPr>
            <w:tcW w:w="5160" w:type="dxa"/>
            <w:vAlign w:val="bottom"/>
            <w:gridSpan w:val="6"/>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183"/>
        </w:trPr>
        <w:tc>
          <w:tcPr>
            <w:tcW w:w="340" w:type="dxa"/>
            <w:vAlign w:val="bottom"/>
          </w:tcPr>
          <w:p>
            <w:pPr>
              <w:spacing w:after="0"/>
              <w:rPr>
                <w:sz w:val="15"/>
                <w:szCs w:val="15"/>
                <w:color w:val="auto"/>
              </w:rPr>
            </w:pPr>
          </w:p>
        </w:tc>
        <w:tc>
          <w:tcPr>
            <w:tcW w:w="10620" w:type="dxa"/>
            <w:vAlign w:val="bottom"/>
            <w:gridSpan w:val="20"/>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Item 3. Defaults upon Senior Securities</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183"/>
        </w:trPr>
        <w:tc>
          <w:tcPr>
            <w:tcW w:w="340" w:type="dxa"/>
            <w:vAlign w:val="bottom"/>
          </w:tcPr>
          <w:p>
            <w:pPr>
              <w:spacing w:after="0"/>
              <w:rPr>
                <w:sz w:val="15"/>
                <w:szCs w:val="15"/>
                <w:color w:val="auto"/>
              </w:rPr>
            </w:pPr>
          </w:p>
        </w:tc>
        <w:tc>
          <w:tcPr>
            <w:tcW w:w="25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Item 4. Mine Safety Disclosures</w:t>
              </w:r>
            </w:hyperlink>
          </w:p>
        </w:tc>
        <w:tc>
          <w:tcPr>
            <w:tcW w:w="580" w:type="dxa"/>
            <w:vAlign w:val="bottom"/>
            <w:tcBorders>
              <w:top w:val="single" w:sz="8" w:color="0000EE"/>
            </w:tcBorders>
            <w:gridSpan w:val="2"/>
          </w:tcPr>
          <w:p>
            <w:pPr>
              <w:spacing w:after="0"/>
              <w:rPr>
                <w:sz w:val="15"/>
                <w:szCs w:val="15"/>
                <w:color w:val="auto"/>
              </w:rPr>
            </w:pPr>
          </w:p>
        </w:tc>
        <w:tc>
          <w:tcPr>
            <w:tcW w:w="7500" w:type="dxa"/>
            <w:vAlign w:val="bottom"/>
            <w:gridSpan w:val="9"/>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183"/>
        </w:trPr>
        <w:tc>
          <w:tcPr>
            <w:tcW w:w="340" w:type="dxa"/>
            <w:vAlign w:val="bottom"/>
          </w:tcPr>
          <w:p>
            <w:pPr>
              <w:spacing w:after="0"/>
              <w:rPr>
                <w:sz w:val="15"/>
                <w:szCs w:val="15"/>
                <w:color w:val="auto"/>
              </w:rPr>
            </w:pPr>
          </w:p>
        </w:tc>
        <w:tc>
          <w:tcPr>
            <w:tcW w:w="10620" w:type="dxa"/>
            <w:vAlign w:val="bottom"/>
            <w:gridSpan w:val="20"/>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Item 5. Other Information</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183"/>
        </w:trPr>
        <w:tc>
          <w:tcPr>
            <w:tcW w:w="340" w:type="dxa"/>
            <w:vAlign w:val="bottom"/>
          </w:tcPr>
          <w:p>
            <w:pPr>
              <w:spacing w:after="0"/>
              <w:rPr>
                <w:sz w:val="15"/>
                <w:szCs w:val="15"/>
                <w:color w:val="auto"/>
              </w:rPr>
            </w:pPr>
          </w:p>
        </w:tc>
        <w:tc>
          <w:tcPr>
            <w:tcW w:w="20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Item 6. Exhibits</w:t>
              </w:r>
            </w:hyperlink>
          </w:p>
        </w:tc>
        <w:tc>
          <w:tcPr>
            <w:tcW w:w="8620" w:type="dxa"/>
            <w:vAlign w:val="bottom"/>
            <w:gridSpan w:val="15"/>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925"/>
        </w:trPr>
        <w:tc>
          <w:tcPr>
            <w:tcW w:w="360" w:type="dxa"/>
            <w:vAlign w:val="bottom"/>
            <w:gridSpan w:val="2"/>
          </w:tcPr>
          <w:p>
            <w:pPr>
              <w:spacing w:after="0"/>
              <w:rPr>
                <w:sz w:val="24"/>
                <w:szCs w:val="24"/>
                <w:color w:val="auto"/>
              </w:rPr>
            </w:pPr>
          </w:p>
        </w:tc>
        <w:tc>
          <w:tcPr>
            <w:tcW w:w="1220" w:type="dxa"/>
            <w:vAlign w:val="bottom"/>
            <w:tcBorders>
              <w:top w:val="single" w:sz="8" w:color="0000EE"/>
            </w:tcBorders>
            <w:gridSpan w:val="2"/>
          </w:tcPr>
          <w:p>
            <w:pPr>
              <w:spacing w:after="0"/>
              <w:rPr>
                <w:sz w:val="24"/>
                <w:szCs w:val="24"/>
                <w:color w:val="auto"/>
              </w:rPr>
            </w:pPr>
          </w:p>
        </w:tc>
        <w:tc>
          <w:tcPr>
            <w:tcW w:w="4220" w:type="dxa"/>
            <w:vAlign w:val="bottom"/>
            <w:gridSpan w:val="11"/>
          </w:tcPr>
          <w:p>
            <w:pPr>
              <w:jc w:val="right"/>
              <w:ind w:right="4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81"/>
        </w:trPr>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460" w:type="dxa"/>
            <w:vAlign w:val="bottom"/>
          </w:tcPr>
          <w:p>
            <w:pPr>
              <w:spacing w:after="0"/>
              <w:rPr>
                <w:sz w:val="7"/>
                <w:szCs w:val="7"/>
                <w:color w:val="auto"/>
              </w:rPr>
            </w:pPr>
          </w:p>
        </w:tc>
      </w:tr>
      <w:tr>
        <w:trPr>
          <w:trHeight w:val="68"/>
        </w:trPr>
        <w:tc>
          <w:tcPr>
            <w:tcW w:w="3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7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204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08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INCOME</w:t>
      </w:r>
    </w:p>
    <w:p>
      <w:pPr>
        <w:jc w:val="center"/>
        <w:spacing w:after="0" w:line="235" w:lineRule="auto"/>
        <w:rPr>
          <w:sz w:val="20"/>
          <w:szCs w:val="20"/>
          <w:color w:val="auto"/>
        </w:rPr>
      </w:pPr>
      <w:r>
        <w:rPr>
          <w:rFonts w:ascii="Arial" w:cs="Arial" w:eastAsia="Arial" w:hAnsi="Arial"/>
          <w:sz w:val="18"/>
          <w:szCs w:val="18"/>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Three Months Ended</w:t>
      </w:r>
    </w:p>
    <w:p>
      <w:pPr>
        <w:jc w:val="center"/>
        <w:ind w:left="8000"/>
        <w:spacing w:after="0"/>
        <w:rPr>
          <w:sz w:val="20"/>
          <w:szCs w:val="20"/>
          <w:color w:val="auto"/>
        </w:rPr>
      </w:pPr>
      <w:r>
        <w:rPr>
          <w:rFonts w:ascii="Arial" w:cs="Arial" w:eastAsia="Arial" w:hAnsi="Arial"/>
          <w:sz w:val="18"/>
          <w:szCs w:val="18"/>
          <w:color w:val="auto"/>
        </w:rPr>
        <w:t>March 31,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4140" w:type="dxa"/>
            <w:vAlign w:val="bottom"/>
            <w:gridSpan w:val="2"/>
          </w:tcPr>
          <w:p>
            <w:pPr>
              <w:jc w:val="right"/>
              <w:ind w:right="53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7"/>
                <w:szCs w:val="17"/>
                <w:color w:val="auto"/>
              </w:rPr>
            </w:pPr>
          </w:p>
        </w:tc>
        <w:tc>
          <w:tcPr>
            <w:tcW w:w="1600" w:type="dxa"/>
            <w:vAlign w:val="bottom"/>
          </w:tcPr>
          <w:p>
            <w:pPr>
              <w:jc w:val="right"/>
              <w:ind w:right="5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shd w:val="clear" w:color="auto" w:fill="C0C0C0"/>
          </w:tcPr>
          <w:p>
            <w:pPr>
              <w:spacing w:after="0" w:line="202" w:lineRule="exact"/>
              <w:rPr>
                <w:sz w:val="20"/>
                <w:szCs w:val="20"/>
                <w:color w:val="auto"/>
              </w:rPr>
            </w:pPr>
            <w:r>
              <w:rPr>
                <w:rFonts w:ascii="Arial" w:cs="Arial" w:eastAsia="Arial" w:hAnsi="Arial"/>
                <w:sz w:val="18"/>
                <w:szCs w:val="18"/>
                <w:color w:val="auto"/>
              </w:rPr>
              <w:t>Net sales</w:t>
            </w:r>
          </w:p>
        </w:tc>
        <w:tc>
          <w:tcPr>
            <w:tcW w:w="414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$181,324</w:t>
            </w:r>
          </w:p>
        </w:tc>
        <w:tc>
          <w:tcPr>
            <w:tcW w:w="200" w:type="dxa"/>
            <w:vAlign w:val="bottom"/>
            <w:shd w:val="clear" w:color="auto" w:fill="C0C0C0"/>
          </w:tcPr>
          <w:p>
            <w:pPr>
              <w:spacing w:after="0"/>
              <w:rPr>
                <w:sz w:val="17"/>
                <w:szCs w:val="17"/>
                <w:color w:val="auto"/>
              </w:rPr>
            </w:pPr>
          </w:p>
        </w:tc>
        <w:tc>
          <w:tcPr>
            <w:tcW w:w="16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$180,307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4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104,640</w:t>
            </w:r>
          </w:p>
        </w:tc>
        <w:tc>
          <w:tcPr>
            <w:tcW w:w="20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105,498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shd w:val="clear" w:color="auto" w:fill="C0C0C0"/>
          </w:tcPr>
          <w:p>
            <w:pPr>
              <w:spacing w:after="0" w:line="202" w:lineRule="exact"/>
              <w:rPr>
                <w:sz w:val="20"/>
                <w:szCs w:val="20"/>
                <w:color w:val="auto"/>
              </w:rPr>
            </w:pPr>
            <w:r>
              <w:rPr>
                <w:rFonts w:ascii="Arial" w:cs="Arial" w:eastAsia="Arial" w:hAnsi="Arial"/>
                <w:sz w:val="18"/>
                <w:szCs w:val="18"/>
                <w:color w:val="auto"/>
              </w:rPr>
              <w:t>Gross profit</w:t>
            </w:r>
          </w:p>
        </w:tc>
        <w:tc>
          <w:tcPr>
            <w:tcW w:w="4140" w:type="dxa"/>
            <w:vAlign w:val="bottom"/>
            <w:gridSpan w:val="2"/>
            <w:shd w:val="clear" w:color="auto" w:fill="C0C0C0"/>
          </w:tcPr>
          <w:p>
            <w:pPr>
              <w:jc w:val="right"/>
              <w:spacing w:after="0" w:line="202" w:lineRule="exact"/>
              <w:rPr>
                <w:sz w:val="20"/>
                <w:szCs w:val="20"/>
                <w:color w:val="auto"/>
              </w:rPr>
            </w:pPr>
            <w:r>
              <w:rPr>
                <w:rFonts w:ascii="Arial" w:cs="Arial" w:eastAsia="Arial" w:hAnsi="Arial"/>
                <w:sz w:val="18"/>
                <w:szCs w:val="18"/>
                <w:color w:val="auto"/>
              </w:rPr>
              <w:t>76,684</w:t>
            </w:r>
          </w:p>
        </w:tc>
        <w:tc>
          <w:tcPr>
            <w:tcW w:w="200" w:type="dxa"/>
            <w:vAlign w:val="bottom"/>
            <w:shd w:val="clear" w:color="auto" w:fill="C0C0C0"/>
          </w:tcPr>
          <w:p>
            <w:pPr>
              <w:spacing w:after="0"/>
              <w:rPr>
                <w:sz w:val="17"/>
                <w:szCs w:val="17"/>
                <w:color w:val="auto"/>
              </w:rPr>
            </w:pPr>
          </w:p>
        </w:tc>
        <w:tc>
          <w:tcPr>
            <w:tcW w:w="16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74,809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14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4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35,233</w:t>
            </w:r>
          </w:p>
        </w:tc>
        <w:tc>
          <w:tcPr>
            <w:tcW w:w="20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39,157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BFBFBF"/>
          </w:tcPr>
          <w:p>
            <w:pPr>
              <w:ind w:left="140"/>
              <w:spacing w:after="0" w:line="202" w:lineRule="exact"/>
              <w:rPr>
                <w:sz w:val="20"/>
                <w:szCs w:val="20"/>
                <w:color w:val="auto"/>
              </w:rPr>
            </w:pPr>
            <w:r>
              <w:rPr>
                <w:rFonts w:ascii="Arial" w:cs="Arial" w:eastAsia="Arial" w:hAnsi="Arial"/>
                <w:sz w:val="18"/>
                <w:szCs w:val="18"/>
                <w:color w:val="auto"/>
              </w:rPr>
              <w:t>Technical, product engineering, and research expenses</w:t>
            </w:r>
          </w:p>
        </w:tc>
        <w:tc>
          <w:tcPr>
            <w:tcW w:w="41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12,301</w:t>
            </w:r>
          </w:p>
        </w:tc>
        <w:tc>
          <w:tcPr>
            <w:tcW w:w="200" w:type="dxa"/>
            <w:vAlign w:val="bottom"/>
            <w:shd w:val="clear" w:color="auto" w:fill="BFBFBF"/>
          </w:tcPr>
          <w:p>
            <w:pPr>
              <w:spacing w:after="0"/>
              <w:rPr>
                <w:sz w:val="17"/>
                <w:szCs w:val="17"/>
                <w:color w:val="auto"/>
              </w:rPr>
            </w:pP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13,869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140"/>
              <w:spacing w:after="0" w:line="202" w:lineRule="exact"/>
              <w:rPr>
                <w:sz w:val="20"/>
                <w:szCs w:val="20"/>
                <w:color w:val="auto"/>
              </w:rPr>
            </w:pPr>
            <w:r>
              <w:rPr>
                <w:rFonts w:ascii="Arial" w:cs="Arial" w:eastAsia="Arial" w:hAnsi="Arial"/>
                <w:sz w:val="18"/>
                <w:szCs w:val="18"/>
                <w:color w:val="auto"/>
              </w:rPr>
              <w:t>Restructuring and other, net</w:t>
            </w:r>
          </w:p>
        </w:tc>
        <w:tc>
          <w:tcPr>
            <w:tcW w:w="4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9,001</w:t>
            </w:r>
          </w:p>
        </w:tc>
        <w:tc>
          <w:tcPr>
            <w:tcW w:w="20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Operating income</w:t>
            </w:r>
          </w:p>
        </w:tc>
        <w:tc>
          <w:tcPr>
            <w:tcW w:w="41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20,149</w:t>
            </w:r>
          </w:p>
        </w:tc>
        <w:tc>
          <w:tcPr>
            <w:tcW w:w="200" w:type="dxa"/>
            <w:vAlign w:val="bottom"/>
            <w:shd w:val="clear" w:color="auto" w:fill="BFBFBF"/>
          </w:tcPr>
          <w:p>
            <w:pPr>
              <w:spacing w:after="0"/>
              <w:rPr>
                <w:sz w:val="17"/>
                <w:szCs w:val="17"/>
                <w:color w:val="auto"/>
              </w:rPr>
            </w:pP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20,601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140"/>
              <w:spacing w:after="0" w:line="202" w:lineRule="exact"/>
              <w:rPr>
                <w:sz w:val="20"/>
                <w:szCs w:val="20"/>
                <w:color w:val="auto"/>
              </w:rPr>
            </w:pPr>
            <w:r>
              <w:rPr>
                <w:rFonts w:ascii="Arial" w:cs="Arial" w:eastAsia="Arial" w:hAnsi="Arial"/>
                <w:sz w:val="18"/>
                <w:szCs w:val="18"/>
                <w:color w:val="auto"/>
              </w:rPr>
              <w:t>Interest expense, net</w:t>
            </w:r>
          </w:p>
        </w:tc>
        <w:tc>
          <w:tcPr>
            <w:tcW w:w="4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2,676</w:t>
            </w:r>
          </w:p>
        </w:tc>
        <w:tc>
          <w:tcPr>
            <w:tcW w:w="20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BFBFBF"/>
          </w:tcPr>
          <w:p>
            <w:pPr>
              <w:ind w:left="140"/>
              <w:spacing w:after="0" w:line="202" w:lineRule="exact"/>
              <w:rPr>
                <w:sz w:val="20"/>
                <w:szCs w:val="20"/>
                <w:color w:val="auto"/>
              </w:rPr>
            </w:pPr>
            <w:r>
              <w:rPr>
                <w:rFonts w:ascii="Arial" w:cs="Arial" w:eastAsia="Arial" w:hAnsi="Arial"/>
                <w:sz w:val="18"/>
                <w:szCs w:val="18"/>
                <w:color w:val="auto"/>
              </w:rPr>
              <w:t>Other (income)/expenses, net</w:t>
            </w:r>
          </w:p>
        </w:tc>
        <w:tc>
          <w:tcPr>
            <w:tcW w:w="4340" w:type="dxa"/>
            <w:vAlign w:val="bottom"/>
            <w:gridSpan w:val="3"/>
            <w:shd w:val="clear" w:color="auto" w:fill="BFBFBF"/>
          </w:tcPr>
          <w:p>
            <w:pPr>
              <w:jc w:val="right"/>
              <w:ind w:right="200"/>
              <w:spacing w:after="0" w:line="202" w:lineRule="exact"/>
              <w:rPr>
                <w:sz w:val="20"/>
                <w:szCs w:val="20"/>
                <w:color w:val="auto"/>
              </w:rPr>
            </w:pPr>
            <w:r>
              <w:rPr>
                <w:rFonts w:ascii="Arial" w:cs="Arial" w:eastAsia="Arial" w:hAnsi="Arial"/>
                <w:sz w:val="18"/>
                <w:szCs w:val="18"/>
                <w:color w:val="auto"/>
              </w:rPr>
              <w:t>(3,285)</w:t>
            </w: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Income before income taxes</w:t>
            </w:r>
          </w:p>
        </w:tc>
        <w:tc>
          <w:tcPr>
            <w:tcW w:w="41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20,758</w:t>
            </w:r>
          </w:p>
        </w:tc>
        <w:tc>
          <w:tcPr>
            <w:tcW w:w="200" w:type="dxa"/>
            <w:vAlign w:val="bottom"/>
            <w:shd w:val="clear" w:color="auto" w:fill="BFBFBF"/>
          </w:tcPr>
          <w:p>
            <w:pPr>
              <w:spacing w:after="0"/>
              <w:rPr>
                <w:sz w:val="17"/>
                <w:szCs w:val="17"/>
                <w:color w:val="auto"/>
              </w:rPr>
            </w:pP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18,150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140"/>
              <w:spacing w:after="0" w:line="202" w:lineRule="exact"/>
              <w:rPr>
                <w:sz w:val="20"/>
                <w:szCs w:val="20"/>
                <w:color w:val="auto"/>
              </w:rPr>
            </w:pPr>
            <w:r>
              <w:rPr>
                <w:rFonts w:ascii="Arial" w:cs="Arial" w:eastAsia="Arial" w:hAnsi="Arial"/>
                <w:sz w:val="18"/>
                <w:szCs w:val="18"/>
                <w:color w:val="auto"/>
              </w:rPr>
              <w:t>Income tax expense</w:t>
            </w:r>
          </w:p>
        </w:tc>
        <w:tc>
          <w:tcPr>
            <w:tcW w:w="4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8,519</w:t>
            </w:r>
          </w:p>
        </w:tc>
        <w:tc>
          <w:tcPr>
            <w:tcW w:w="20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7,457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BFBFBF"/>
          </w:tcPr>
          <w:p>
            <w:pPr>
              <w:ind w:left="40"/>
              <w:spacing w:after="0" w:line="202" w:lineRule="exact"/>
              <w:rPr>
                <w:sz w:val="20"/>
                <w:szCs w:val="20"/>
                <w:color w:val="auto"/>
              </w:rPr>
            </w:pPr>
            <w:r>
              <w:rPr>
                <w:rFonts w:ascii="Arial" w:cs="Arial" w:eastAsia="Arial" w:hAnsi="Arial"/>
                <w:sz w:val="18"/>
                <w:szCs w:val="18"/>
                <w:color w:val="auto"/>
              </w:rPr>
              <w:t>Net income</w:t>
            </w:r>
          </w:p>
        </w:tc>
        <w:tc>
          <w:tcPr>
            <w:tcW w:w="41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12,239</w:t>
            </w:r>
          </w:p>
        </w:tc>
        <w:tc>
          <w:tcPr>
            <w:tcW w:w="200" w:type="dxa"/>
            <w:vAlign w:val="bottom"/>
            <w:shd w:val="clear" w:color="auto" w:fill="BFBFBF"/>
          </w:tcPr>
          <w:p>
            <w:pPr>
              <w:spacing w:after="0"/>
              <w:rPr>
                <w:sz w:val="17"/>
                <w:szCs w:val="17"/>
                <w:color w:val="auto"/>
              </w:rPr>
            </w:pP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10,693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spacing w:after="0" w:line="202" w:lineRule="exact"/>
              <w:rPr>
                <w:sz w:val="20"/>
                <w:szCs w:val="20"/>
                <w:color w:val="auto"/>
              </w:rPr>
            </w:pPr>
            <w:r>
              <w:rPr>
                <w:rFonts w:ascii="Arial" w:cs="Arial" w:eastAsia="Arial" w:hAnsi="Arial"/>
                <w:sz w:val="18"/>
                <w:szCs w:val="18"/>
                <w:color w:val="auto"/>
              </w:rPr>
              <w:t>Net income attributable to the noncontrolling interest</w:t>
            </w:r>
          </w:p>
        </w:tc>
        <w:tc>
          <w:tcPr>
            <w:tcW w:w="4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w:t>
            </w:r>
          </w:p>
        </w:tc>
        <w:tc>
          <w:tcPr>
            <w:tcW w:w="20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Borders>
              <w:top w:val="single" w:sz="8" w:color="BFBFBF"/>
              <w:bottom w:val="single" w:sz="8" w:color="BFBFBF"/>
            </w:tcBorders>
            <w:shd w:val="clear" w:color="auto" w:fill="BFBFBF"/>
          </w:tcPr>
          <w:p>
            <w:pPr>
              <w:ind w:left="40"/>
              <w:spacing w:after="0" w:line="196" w:lineRule="exact"/>
              <w:rPr>
                <w:sz w:val="20"/>
                <w:szCs w:val="20"/>
                <w:color w:val="auto"/>
              </w:rPr>
            </w:pPr>
            <w:r>
              <w:rPr>
                <w:rFonts w:ascii="Arial" w:cs="Arial" w:eastAsia="Arial" w:hAnsi="Arial"/>
                <w:sz w:val="18"/>
                <w:szCs w:val="18"/>
                <w:color w:val="auto"/>
              </w:rPr>
              <w:t>Net income attributable to the Company</w:t>
            </w:r>
          </w:p>
        </w:tc>
        <w:tc>
          <w:tcPr>
            <w:tcW w:w="2520" w:type="dxa"/>
            <w:vAlign w:val="bottom"/>
            <w:tcBorders>
              <w:top w:val="single" w:sz="8" w:color="BFBFBF"/>
              <w:bottom w:val="single" w:sz="8" w:color="BFBFBF"/>
            </w:tcBorders>
            <w:shd w:val="clear" w:color="auto" w:fill="BFBFBF"/>
          </w:tcPr>
          <w:p>
            <w:pPr>
              <w:spacing w:after="0"/>
              <w:rPr>
                <w:sz w:val="17"/>
                <w:szCs w:val="17"/>
                <w:color w:val="auto"/>
              </w:rPr>
            </w:pPr>
          </w:p>
        </w:tc>
        <w:tc>
          <w:tcPr>
            <w:tcW w:w="162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$12,213</w:t>
            </w:r>
          </w:p>
        </w:tc>
        <w:tc>
          <w:tcPr>
            <w:tcW w:w="200" w:type="dxa"/>
            <w:vAlign w:val="bottom"/>
            <w:tcBorders>
              <w:top w:val="single" w:sz="8" w:color="BFBFBF"/>
              <w:bottom w:val="single" w:sz="8" w:color="BFBFBF"/>
            </w:tcBorders>
            <w:shd w:val="clear" w:color="auto" w:fill="BFBFBF"/>
          </w:tcPr>
          <w:p>
            <w:pPr>
              <w:spacing w:after="0"/>
              <w:rPr>
                <w:sz w:val="17"/>
                <w:szCs w:val="17"/>
                <w:color w:val="auto"/>
              </w:rPr>
            </w:pPr>
          </w:p>
        </w:tc>
        <w:tc>
          <w:tcPr>
            <w:tcW w:w="160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Earnings per share attributable to Company shareholders - Basic</w:t>
            </w:r>
          </w:p>
        </w:tc>
        <w:tc>
          <w:tcPr>
            <w:tcW w:w="41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$0.38</w:t>
            </w:r>
          </w:p>
        </w:tc>
        <w:tc>
          <w:tcPr>
            <w:tcW w:w="200" w:type="dxa"/>
            <w:vAlign w:val="bottom"/>
            <w:shd w:val="clear" w:color="auto" w:fill="BFBFBF"/>
          </w:tcPr>
          <w:p>
            <w:pPr>
              <w:spacing w:after="0"/>
              <w:rPr>
                <w:sz w:val="17"/>
                <w:szCs w:val="17"/>
                <w:color w:val="auto"/>
              </w:rPr>
            </w:pP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419"/>
        </w:trPr>
        <w:tc>
          <w:tcPr>
            <w:tcW w:w="5480" w:type="dxa"/>
            <w:vAlign w:val="bottom"/>
            <w:gridSpan w:val="2"/>
          </w:tcPr>
          <w:p>
            <w:pPr>
              <w:spacing w:after="0"/>
              <w:rPr>
                <w:sz w:val="20"/>
                <w:szCs w:val="20"/>
                <w:color w:val="auto"/>
              </w:rPr>
            </w:pPr>
            <w:r>
              <w:rPr>
                <w:rFonts w:ascii="Arial" w:cs="Arial" w:eastAsia="Arial" w:hAnsi="Arial"/>
                <w:sz w:val="18"/>
                <w:szCs w:val="18"/>
                <w:color w:val="auto"/>
              </w:rPr>
              <w:t>Earnings per share attributable to Company shareholders - Diluted</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$0.38</w:t>
            </w: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4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Shares of the Company used in computing earnings per share:</w:t>
            </w:r>
          </w:p>
        </w:tc>
        <w:tc>
          <w:tcPr>
            <w:tcW w:w="2520" w:type="dxa"/>
            <w:vAlign w:val="bottom"/>
            <w:shd w:val="clear" w:color="auto" w:fill="BFBFBF"/>
          </w:tcPr>
          <w:p>
            <w:pPr>
              <w:spacing w:after="0"/>
              <w:rPr>
                <w:sz w:val="17"/>
                <w:szCs w:val="17"/>
                <w:color w:val="auto"/>
              </w:rPr>
            </w:pPr>
          </w:p>
        </w:tc>
        <w:tc>
          <w:tcPr>
            <w:tcW w:w="1620" w:type="dxa"/>
            <w:vAlign w:val="bottom"/>
            <w:shd w:val="clear" w:color="auto" w:fill="BFBFBF"/>
          </w:tcPr>
          <w:p>
            <w:pPr>
              <w:spacing w:after="0"/>
              <w:rPr>
                <w:sz w:val="17"/>
                <w:szCs w:val="17"/>
                <w:color w:val="auto"/>
              </w:rPr>
            </w:pPr>
          </w:p>
        </w:tc>
        <w:tc>
          <w:tcPr>
            <w:tcW w:w="200" w:type="dxa"/>
            <w:vAlign w:val="bottom"/>
            <w:shd w:val="clear" w:color="auto" w:fill="BFBFBF"/>
          </w:tcPr>
          <w:p>
            <w:pPr>
              <w:spacing w:after="0"/>
              <w:rPr>
                <w:sz w:val="17"/>
                <w:szCs w:val="17"/>
                <w:color w:val="auto"/>
              </w:rPr>
            </w:pPr>
          </w:p>
        </w:tc>
        <w:tc>
          <w:tcPr>
            <w:tcW w:w="16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80"/>
              <w:spacing w:after="0" w:line="202" w:lineRule="exact"/>
              <w:rPr>
                <w:sz w:val="20"/>
                <w:szCs w:val="20"/>
                <w:color w:val="auto"/>
              </w:rPr>
            </w:pPr>
            <w:r>
              <w:rPr>
                <w:rFonts w:ascii="Arial" w:cs="Arial" w:eastAsia="Arial" w:hAnsi="Arial"/>
                <w:sz w:val="18"/>
                <w:szCs w:val="18"/>
                <w:color w:val="auto"/>
              </w:rPr>
              <w:t>Basic</w:t>
            </w:r>
          </w:p>
        </w:tc>
        <w:tc>
          <w:tcPr>
            <w:tcW w:w="4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31,882</w:t>
            </w:r>
          </w:p>
        </w:tc>
        <w:tc>
          <w:tcPr>
            <w:tcW w:w="20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31,786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Diluted</w:t>
            </w:r>
          </w:p>
        </w:tc>
        <w:tc>
          <w:tcPr>
            <w:tcW w:w="41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31,972</w:t>
            </w:r>
          </w:p>
        </w:tc>
        <w:tc>
          <w:tcPr>
            <w:tcW w:w="200" w:type="dxa"/>
            <w:vAlign w:val="bottom"/>
            <w:shd w:val="clear" w:color="auto" w:fill="BFBFBF"/>
          </w:tcPr>
          <w:p>
            <w:pPr>
              <w:spacing w:after="0"/>
              <w:rPr>
                <w:sz w:val="17"/>
                <w:szCs w:val="17"/>
                <w:color w:val="auto"/>
              </w:rPr>
            </w:pP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31,892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Dividends per share</w:t>
            </w:r>
          </w:p>
        </w:tc>
        <w:tc>
          <w:tcPr>
            <w:tcW w:w="41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$0.16</w:t>
            </w:r>
          </w:p>
        </w:tc>
        <w:tc>
          <w:tcPr>
            <w:tcW w:w="200" w:type="dxa"/>
            <w:vAlign w:val="bottom"/>
            <w:shd w:val="clear" w:color="auto" w:fill="BFBFBF"/>
          </w:tcPr>
          <w:p>
            <w:pPr>
              <w:spacing w:after="0"/>
              <w:rPr>
                <w:sz w:val="17"/>
                <w:szCs w:val="17"/>
                <w:color w:val="auto"/>
              </w:rPr>
            </w:pP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9800" w:type="dxa"/>
            <w:vAlign w:val="bottom"/>
            <w:gridSpan w:val="4"/>
          </w:tcPr>
          <w:p>
            <w:pPr>
              <w:ind w:left="22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520" w:type="dxa"/>
            <w:vAlign w:val="bottom"/>
          </w:tcPr>
          <w:p>
            <w:pPr>
              <w:jc w:val="right"/>
              <w:ind w:right="2150"/>
              <w:spacing w:after="0"/>
              <w:rPr>
                <w:sz w:val="20"/>
                <w:szCs w:val="20"/>
                <w:color w:val="auto"/>
              </w:rPr>
            </w:pPr>
            <w:r>
              <w:rPr>
                <w:rFonts w:ascii="Arial" w:cs="Arial" w:eastAsia="Arial" w:hAnsi="Arial"/>
                <w:sz w:val="18"/>
                <w:szCs w:val="18"/>
                <w:color w:val="auto"/>
              </w:rPr>
              <w:t>3</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46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460" w:type="dxa"/>
            <w:vAlign w:val="bottom"/>
            <w:shd w:val="clear" w:color="auto" w:fill="000000"/>
          </w:tcPr>
          <w:p>
            <w:pPr>
              <w:spacing w:after="0"/>
              <w:rPr>
                <w:sz w:val="5"/>
                <w:szCs w:val="5"/>
                <w:color w:val="auto"/>
              </w:rPr>
            </w:pPr>
          </w:p>
        </w:tc>
        <w:tc>
          <w:tcPr>
            <w:tcW w:w="252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color w:val="auto"/>
                <w:w w:val="98"/>
              </w:rPr>
              <w:t>ALBANY INTERNATIONAL CORP.</w:t>
            </w: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240" w:type="dxa"/>
            <w:vAlign w:val="bottom"/>
            <w:gridSpan w:val="4"/>
          </w:tcPr>
          <w:p>
            <w:pPr>
              <w:jc w:val="center"/>
              <w:ind w:left="1050"/>
              <w:spacing w:after="0" w:line="202" w:lineRule="exact"/>
              <w:rPr>
                <w:sz w:val="20"/>
                <w:szCs w:val="20"/>
                <w:color w:val="auto"/>
              </w:rPr>
            </w:pPr>
            <w:r>
              <w:rPr>
                <w:rFonts w:ascii="Arial" w:cs="Arial" w:eastAsia="Arial" w:hAnsi="Arial"/>
                <w:sz w:val="18"/>
                <w:szCs w:val="18"/>
                <w:color w:val="auto"/>
                <w:w w:val="99"/>
              </w:rPr>
              <w:t>CONSOLIDATED STATEMENTS OF COMPREHENSIVE INCOME/(LOSS)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jc w:val="center"/>
              <w:ind w:left="3310"/>
              <w:spacing w:after="0" w:line="202" w:lineRule="exact"/>
              <w:rPr>
                <w:sz w:val="20"/>
                <w:szCs w:val="20"/>
                <w:color w:val="auto"/>
              </w:rPr>
            </w:pPr>
            <w:r>
              <w:rPr>
                <w:rFonts w:ascii="Arial" w:cs="Arial" w:eastAsia="Arial" w:hAnsi="Arial"/>
                <w:sz w:val="18"/>
                <w:szCs w:val="18"/>
                <w:color w:val="auto"/>
                <w:w w:val="99"/>
              </w:rPr>
              <w:t>(in thousands)</w:t>
            </w: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color w:val="auto"/>
                <w:w w:val="98"/>
              </w:rPr>
              <w:t>(unaudited)</w:t>
            </w:r>
          </w:p>
        </w:tc>
        <w:tc>
          <w:tcPr>
            <w:tcW w:w="3420" w:type="dxa"/>
            <w:vAlign w:val="bottom"/>
            <w:gridSpan w:val="4"/>
            <w:vMerge w:val="restart"/>
          </w:tcPr>
          <w:p>
            <w:pPr>
              <w:jc w:val="center"/>
              <w:spacing w:after="0"/>
              <w:rPr>
                <w:sz w:val="20"/>
                <w:szCs w:val="20"/>
                <w:color w:val="auto"/>
              </w:rPr>
            </w:pPr>
            <w:r>
              <w:rPr>
                <w:rFonts w:ascii="Arial" w:cs="Arial" w:eastAsia="Arial" w:hAnsi="Arial"/>
                <w:sz w:val="18"/>
                <w:szCs w:val="18"/>
                <w:color w:val="auto"/>
                <w:w w:val="99"/>
              </w:rPr>
              <w:t>Three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34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2260" w:type="dxa"/>
            <w:vAlign w:val="bottom"/>
            <w:gridSpan w:val="3"/>
          </w:tcPr>
          <w:p>
            <w:pPr>
              <w:jc w:val="center"/>
              <w:ind w:left="1090"/>
              <w:spacing w:after="0" w:line="202" w:lineRule="exact"/>
              <w:rPr>
                <w:sz w:val="20"/>
                <w:szCs w:val="20"/>
                <w:color w:val="auto"/>
              </w:rPr>
            </w:pPr>
            <w:r>
              <w:rPr>
                <w:rFonts w:ascii="Arial" w:cs="Arial" w:eastAsia="Arial" w:hAnsi="Arial"/>
                <w:sz w:val="18"/>
                <w:szCs w:val="18"/>
                <w:color w:val="auto"/>
                <w:w w:val="99"/>
              </w:rPr>
              <w:t>March 31,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1620" w:type="dxa"/>
            <w:vAlign w:val="bottom"/>
            <w:tcBorders>
              <w:bottom w:val="single" w:sz="8" w:color="auto"/>
            </w:tcBorders>
          </w:tcPr>
          <w:p>
            <w:pPr>
              <w:jc w:val="right"/>
              <w:ind w:right="530"/>
              <w:spacing w:after="0" w:line="203" w:lineRule="exact"/>
              <w:rPr>
                <w:sz w:val="20"/>
                <w:szCs w:val="20"/>
                <w:color w:val="auto"/>
              </w:rPr>
            </w:pPr>
            <w:r>
              <w:rPr>
                <w:rFonts w:ascii="Arial" w:cs="Arial" w:eastAsia="Arial" w:hAnsi="Arial"/>
                <w:sz w:val="18"/>
                <w:szCs w:val="18"/>
                <w:color w:val="auto"/>
              </w:rPr>
              <w:t>2015</w:t>
            </w: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0"/>
              <w:spacing w:after="0" w:line="203"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80" w:type="dxa"/>
            <w:vAlign w:val="bottom"/>
            <w:shd w:val="clear" w:color="auto" w:fill="C0C0C0"/>
          </w:tcPr>
          <w:p>
            <w:pPr>
              <w:spacing w:after="0" w:line="202" w:lineRule="exact"/>
              <w:rPr>
                <w:sz w:val="20"/>
                <w:szCs w:val="20"/>
                <w:color w:val="auto"/>
              </w:rPr>
            </w:pPr>
            <w:r>
              <w:rPr>
                <w:rFonts w:ascii="Arial" w:cs="Arial" w:eastAsia="Arial" w:hAnsi="Arial"/>
                <w:sz w:val="18"/>
                <w:szCs w:val="18"/>
                <w:color w:val="auto"/>
              </w:rPr>
              <w:t>Net income</w:t>
            </w:r>
          </w:p>
        </w:tc>
        <w:tc>
          <w:tcPr>
            <w:tcW w:w="162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$12,239</w:t>
            </w:r>
          </w:p>
        </w:tc>
        <w:tc>
          <w:tcPr>
            <w:tcW w:w="200" w:type="dxa"/>
            <w:vAlign w:val="bottom"/>
            <w:shd w:val="clear" w:color="auto" w:fill="C0C0C0"/>
          </w:tcPr>
          <w:p>
            <w:pPr>
              <w:spacing w:after="0"/>
              <w:rPr>
                <w:sz w:val="17"/>
                <w:szCs w:val="17"/>
                <w:color w:val="auto"/>
              </w:rPr>
            </w:pPr>
          </w:p>
        </w:tc>
        <w:tc>
          <w:tcPr>
            <w:tcW w:w="440" w:type="dxa"/>
            <w:vAlign w:val="bottom"/>
            <w:shd w:val="clear" w:color="auto" w:fill="C0C0C0"/>
          </w:tcPr>
          <w:p>
            <w:pPr>
              <w:spacing w:after="0"/>
              <w:rPr>
                <w:sz w:val="17"/>
                <w:szCs w:val="17"/>
                <w:color w:val="auto"/>
              </w:rPr>
            </w:pPr>
          </w:p>
        </w:tc>
        <w:tc>
          <w:tcPr>
            <w:tcW w:w="116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$10,693</w:t>
            </w:r>
          </w:p>
        </w:tc>
        <w:tc>
          <w:tcPr>
            <w:tcW w:w="0" w:type="dxa"/>
            <w:vAlign w:val="bottom"/>
          </w:tcPr>
          <w:p>
            <w:pPr>
              <w:spacing w:after="0"/>
              <w:rPr>
                <w:sz w:val="1"/>
                <w:szCs w:val="1"/>
                <w:color w:val="auto"/>
              </w:rPr>
            </w:pPr>
          </w:p>
        </w:tc>
      </w:tr>
      <w:tr>
        <w:trPr>
          <w:trHeight w:val="405"/>
        </w:trPr>
        <w:tc>
          <w:tcPr>
            <w:tcW w:w="8000" w:type="dxa"/>
            <w:vAlign w:val="bottom"/>
            <w:gridSpan w:val="2"/>
          </w:tcPr>
          <w:p>
            <w:pPr>
              <w:spacing w:after="0"/>
              <w:rPr>
                <w:sz w:val="20"/>
                <w:szCs w:val="20"/>
                <w:color w:val="auto"/>
              </w:rPr>
            </w:pPr>
            <w:r>
              <w:rPr>
                <w:rFonts w:ascii="Arial" w:cs="Arial" w:eastAsia="Arial" w:hAnsi="Arial"/>
                <w:sz w:val="18"/>
                <w:szCs w:val="18"/>
                <w:color w:val="auto"/>
              </w:rPr>
              <w:t>Other comprehensive income/(loss), before tax:</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BFBFBF"/>
          </w:tcPr>
          <w:p>
            <w:pPr>
              <w:ind w:left="14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6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(35,683)</w:t>
            </w:r>
          </w:p>
        </w:tc>
        <w:tc>
          <w:tcPr>
            <w:tcW w:w="20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1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120"/>
              <w:spacing w:after="0" w:line="202" w:lineRule="exact"/>
              <w:rPr>
                <w:sz w:val="20"/>
                <w:szCs w:val="20"/>
                <w:color w:val="auto"/>
              </w:rPr>
            </w:pPr>
            <w:r>
              <w:rPr>
                <w:rFonts w:ascii="Arial" w:cs="Arial" w:eastAsia="Arial" w:hAnsi="Arial"/>
                <w:sz w:val="18"/>
                <w:szCs w:val="18"/>
                <w:color w:val="auto"/>
              </w:rPr>
              <w:t>Amortization of pension liability adjustments:</w:t>
            </w: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BFBFBF"/>
          </w:tcPr>
          <w:p>
            <w:pPr>
              <w:ind w:left="140"/>
              <w:spacing w:after="0" w:line="202" w:lineRule="exact"/>
              <w:rPr>
                <w:sz w:val="20"/>
                <w:szCs w:val="20"/>
                <w:color w:val="auto"/>
              </w:rPr>
            </w:pPr>
            <w:r>
              <w:rPr>
                <w:rFonts w:ascii="Arial" w:cs="Arial" w:eastAsia="Arial" w:hAnsi="Arial"/>
                <w:sz w:val="18"/>
                <w:szCs w:val="18"/>
                <w:color w:val="auto"/>
              </w:rPr>
              <w:t>Prior service (credit)/cost</w:t>
            </w:r>
          </w:p>
        </w:tc>
        <w:tc>
          <w:tcPr>
            <w:tcW w:w="1820" w:type="dxa"/>
            <w:vAlign w:val="bottom"/>
            <w:gridSpan w:val="2"/>
            <w:shd w:val="clear" w:color="auto" w:fill="BFBFBF"/>
          </w:tcPr>
          <w:p>
            <w:pPr>
              <w:jc w:val="right"/>
              <w:ind w:right="200"/>
              <w:spacing w:after="0" w:line="202" w:lineRule="exact"/>
              <w:rPr>
                <w:sz w:val="20"/>
                <w:szCs w:val="20"/>
                <w:color w:val="auto"/>
              </w:rPr>
            </w:pPr>
            <w:r>
              <w:rPr>
                <w:rFonts w:ascii="Arial" w:cs="Arial" w:eastAsia="Arial" w:hAnsi="Arial"/>
                <w:sz w:val="18"/>
                <w:szCs w:val="18"/>
                <w:color w:val="auto"/>
              </w:rPr>
              <w:t>(1,109)</w:t>
            </w:r>
          </w:p>
        </w:tc>
        <w:tc>
          <w:tcPr>
            <w:tcW w:w="440" w:type="dxa"/>
            <w:vAlign w:val="bottom"/>
            <w:shd w:val="clear" w:color="auto" w:fill="BFBFBF"/>
          </w:tcPr>
          <w:p>
            <w:pPr>
              <w:spacing w:after="0"/>
              <w:rPr>
                <w:sz w:val="17"/>
                <w:szCs w:val="17"/>
                <w:color w:val="auto"/>
              </w:rPr>
            </w:pPr>
          </w:p>
        </w:tc>
        <w:tc>
          <w:tcPr>
            <w:tcW w:w="11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280"/>
              <w:spacing w:after="0" w:line="202" w:lineRule="exact"/>
              <w:rPr>
                <w:sz w:val="20"/>
                <w:szCs w:val="20"/>
                <w:color w:val="auto"/>
              </w:rPr>
            </w:pPr>
            <w:r>
              <w:rPr>
                <w:rFonts w:ascii="Arial" w:cs="Arial" w:eastAsia="Arial" w:hAnsi="Arial"/>
                <w:sz w:val="18"/>
                <w:szCs w:val="18"/>
                <w:color w:val="auto"/>
              </w:rPr>
              <w:t>Net actuarial loss</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1,505</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BFBFBF"/>
          </w:tcPr>
          <w:p>
            <w:pPr>
              <w:ind w:left="140"/>
              <w:spacing w:after="0" w:line="202" w:lineRule="exact"/>
              <w:rPr>
                <w:sz w:val="20"/>
                <w:szCs w:val="20"/>
                <w:color w:val="auto"/>
              </w:rPr>
            </w:pPr>
            <w:r>
              <w:rPr>
                <w:rFonts w:ascii="Arial" w:cs="Arial" w:eastAsia="Arial" w:hAnsi="Arial"/>
                <w:sz w:val="18"/>
                <w:szCs w:val="18"/>
                <w:color w:val="auto"/>
              </w:rPr>
              <w:t>Payments related to derivatives included in earnings</w:t>
            </w:r>
          </w:p>
        </w:tc>
        <w:tc>
          <w:tcPr>
            <w:tcW w:w="16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486</w:t>
            </w:r>
          </w:p>
        </w:tc>
        <w:tc>
          <w:tcPr>
            <w:tcW w:w="20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1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Derivative valuation adjustment</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(1,107)</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9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Income taxes related to items of other comprehensive income/(loss):</w:t>
            </w:r>
          </w:p>
        </w:tc>
        <w:tc>
          <w:tcPr>
            <w:tcW w:w="1620" w:type="dxa"/>
            <w:vAlign w:val="bottom"/>
            <w:shd w:val="clear" w:color="auto" w:fill="BFBFBF"/>
          </w:tcPr>
          <w:p>
            <w:pPr>
              <w:spacing w:after="0"/>
              <w:rPr>
                <w:sz w:val="17"/>
                <w:szCs w:val="17"/>
                <w:color w:val="auto"/>
              </w:rPr>
            </w:pPr>
          </w:p>
        </w:tc>
        <w:tc>
          <w:tcPr>
            <w:tcW w:w="20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16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20"/>
              <w:spacing w:after="0" w:line="201" w:lineRule="exact"/>
              <w:rPr>
                <w:sz w:val="20"/>
                <w:szCs w:val="20"/>
                <w:color w:val="auto"/>
              </w:rPr>
            </w:pPr>
            <w:r>
              <w:rPr>
                <w:rFonts w:ascii="Arial" w:cs="Arial" w:eastAsia="Arial" w:hAnsi="Arial"/>
                <w:sz w:val="18"/>
                <w:szCs w:val="18"/>
                <w:color w:val="auto"/>
              </w:rPr>
              <w:t>Amortization of pension liability adjustment</w:t>
            </w:r>
          </w:p>
        </w:tc>
        <w:tc>
          <w:tcPr>
            <w:tcW w:w="18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(139)</w:t>
            </w:r>
          </w:p>
        </w:tc>
        <w:tc>
          <w:tcPr>
            <w:tcW w:w="440" w:type="dxa"/>
            <w:vAlign w:val="bottom"/>
          </w:tcPr>
          <w:p>
            <w:pPr>
              <w:spacing w:after="0"/>
              <w:rPr>
                <w:sz w:val="17"/>
                <w:szCs w:val="17"/>
                <w:color w:val="auto"/>
              </w:rPr>
            </w:pP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140"/>
              <w:spacing w:after="0" w:line="203" w:lineRule="exact"/>
              <w:rPr>
                <w:sz w:val="20"/>
                <w:szCs w:val="20"/>
                <w:color w:val="auto"/>
              </w:rPr>
            </w:pPr>
            <w:r>
              <w:rPr>
                <w:rFonts w:ascii="Arial" w:cs="Arial" w:eastAsia="Arial" w:hAnsi="Arial"/>
                <w:sz w:val="18"/>
                <w:szCs w:val="18"/>
                <w:color w:val="auto"/>
              </w:rPr>
              <w:t>Payments related to derivatives included in earnings</w:t>
            </w:r>
          </w:p>
        </w:tc>
        <w:tc>
          <w:tcPr>
            <w:tcW w:w="182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(190)</w:t>
            </w:r>
          </w:p>
        </w:tc>
        <w:tc>
          <w:tcPr>
            <w:tcW w:w="4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BFBFBF"/>
          </w:tcPr>
          <w:p>
            <w:pPr>
              <w:ind w:left="140"/>
              <w:spacing w:after="0" w:line="202" w:lineRule="exact"/>
              <w:rPr>
                <w:sz w:val="20"/>
                <w:szCs w:val="20"/>
                <w:color w:val="auto"/>
              </w:rPr>
            </w:pPr>
            <w:r>
              <w:rPr>
                <w:rFonts w:ascii="Arial" w:cs="Arial" w:eastAsia="Arial" w:hAnsi="Arial"/>
                <w:sz w:val="18"/>
                <w:szCs w:val="18"/>
                <w:color w:val="auto"/>
              </w:rPr>
              <w:t>Derivative valuation adjustment</w:t>
            </w:r>
          </w:p>
        </w:tc>
        <w:tc>
          <w:tcPr>
            <w:tcW w:w="162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432</w:t>
            </w:r>
          </w:p>
        </w:tc>
        <w:tc>
          <w:tcPr>
            <w:tcW w:w="200" w:type="dxa"/>
            <w:vAlign w:val="bottom"/>
            <w:shd w:val="clear" w:color="auto" w:fill="BFBFBF"/>
          </w:tcPr>
          <w:p>
            <w:pPr>
              <w:spacing w:after="0"/>
              <w:rPr>
                <w:sz w:val="17"/>
                <w:szCs w:val="17"/>
                <w:color w:val="auto"/>
              </w:rPr>
            </w:pPr>
          </w:p>
        </w:tc>
        <w:tc>
          <w:tcPr>
            <w:tcW w:w="440" w:type="dxa"/>
            <w:vAlign w:val="bottom"/>
            <w:tcBorders>
              <w:bottom w:val="single" w:sz="8" w:color="auto"/>
            </w:tcBorders>
            <w:shd w:val="clear" w:color="auto" w:fill="BFBFBF"/>
          </w:tcPr>
          <w:p>
            <w:pPr>
              <w:spacing w:after="0"/>
              <w:rPr>
                <w:sz w:val="17"/>
                <w:szCs w:val="17"/>
                <w:color w:val="auto"/>
              </w:rPr>
            </w:pPr>
          </w:p>
        </w:tc>
        <w:tc>
          <w:tcPr>
            <w:tcW w:w="116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Pr>
          <w:p>
            <w:pPr>
              <w:ind w:left="140"/>
              <w:spacing w:after="0" w:line="196" w:lineRule="exact"/>
              <w:rPr>
                <w:sz w:val="20"/>
                <w:szCs w:val="20"/>
                <w:color w:val="auto"/>
              </w:rPr>
            </w:pPr>
            <w:r>
              <w:rPr>
                <w:rFonts w:ascii="Arial" w:cs="Arial" w:eastAsia="Arial" w:hAnsi="Arial"/>
                <w:sz w:val="18"/>
                <w:szCs w:val="18"/>
                <w:color w:val="auto"/>
              </w:rPr>
              <w:t>Comprehensive (loss)/income</w:t>
            </w: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(23,566)</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Net income attributable to the noncontrolling interest</w:t>
            </w:r>
          </w:p>
        </w:tc>
        <w:tc>
          <w:tcPr>
            <w:tcW w:w="162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27</w:t>
            </w:r>
          </w:p>
        </w:tc>
        <w:tc>
          <w:tcPr>
            <w:tcW w:w="200" w:type="dxa"/>
            <w:vAlign w:val="bottom"/>
            <w:shd w:val="clear" w:color="auto" w:fill="BFBFBF"/>
          </w:tcPr>
          <w:p>
            <w:pPr>
              <w:spacing w:after="0"/>
              <w:rPr>
                <w:sz w:val="17"/>
                <w:szCs w:val="17"/>
                <w:color w:val="auto"/>
              </w:rPr>
            </w:pPr>
          </w:p>
        </w:tc>
        <w:tc>
          <w:tcPr>
            <w:tcW w:w="440" w:type="dxa"/>
            <w:vAlign w:val="bottom"/>
            <w:tcBorders>
              <w:bottom w:val="single" w:sz="8" w:color="auto"/>
            </w:tcBorders>
            <w:shd w:val="clear" w:color="auto" w:fill="BFBFBF"/>
          </w:tcPr>
          <w:p>
            <w:pPr>
              <w:spacing w:after="0"/>
              <w:rPr>
                <w:sz w:val="17"/>
                <w:szCs w:val="17"/>
                <w:color w:val="auto"/>
              </w:rPr>
            </w:pPr>
          </w:p>
        </w:tc>
        <w:tc>
          <w:tcPr>
            <w:tcW w:w="116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3"/>
        </w:trPr>
        <w:tc>
          <w:tcPr>
            <w:tcW w:w="8000" w:type="dxa"/>
            <w:vAlign w:val="bottom"/>
            <w:gridSpan w:val="2"/>
          </w:tcPr>
          <w:p>
            <w:pPr>
              <w:spacing w:after="0" w:line="196" w:lineRule="exact"/>
              <w:rPr>
                <w:sz w:val="20"/>
                <w:szCs w:val="20"/>
                <w:color w:val="auto"/>
              </w:rPr>
            </w:pPr>
            <w:r>
              <w:rPr>
                <w:rFonts w:ascii="Arial" w:cs="Arial" w:eastAsia="Arial" w:hAnsi="Arial"/>
                <w:sz w:val="18"/>
                <w:szCs w:val="18"/>
                <w:color w:val="auto"/>
              </w:rPr>
              <w:t>Comprehensive (loss)/income attributable to the Company</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($23,593)</w:t>
            </w: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$5,596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660" w:type="dxa"/>
            <w:vAlign w:val="bottom"/>
          </w:tcPr>
          <w:p>
            <w:pPr>
              <w:jc w:val="center"/>
              <w:ind w:left="3670"/>
              <w:spacing w:after="0"/>
              <w:rPr>
                <w:sz w:val="20"/>
                <w:szCs w:val="20"/>
                <w:color w:val="auto"/>
              </w:rPr>
            </w:pPr>
            <w:r>
              <w:rPr>
                <w:rFonts w:ascii="Arial" w:cs="Arial" w:eastAsia="Arial" w:hAnsi="Arial"/>
                <w:sz w:val="18"/>
                <w:szCs w:val="18"/>
                <w:color w:val="auto"/>
                <w:w w:val="98"/>
              </w:rPr>
              <w:t>ALBANY INTERNATIONAL CORP.</w:t>
            </w: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jc w:val="center"/>
              <w:ind w:left="3670"/>
              <w:spacing w:after="0" w:line="202" w:lineRule="exact"/>
              <w:rPr>
                <w:sz w:val="20"/>
                <w:szCs w:val="20"/>
                <w:color w:val="auto"/>
              </w:rPr>
            </w:pPr>
            <w:r>
              <w:rPr>
                <w:rFonts w:ascii="Arial" w:cs="Arial" w:eastAsia="Arial" w:hAnsi="Arial"/>
                <w:sz w:val="18"/>
                <w:szCs w:val="18"/>
                <w:color w:val="auto"/>
                <w:w w:val="99"/>
              </w:rPr>
              <w:t>CONSOLIDATED BALANCE SHEETS</w:t>
            </w: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jc w:val="center"/>
              <w:ind w:left="3670"/>
              <w:spacing w:after="0" w:line="202" w:lineRule="exact"/>
              <w:rPr>
                <w:sz w:val="20"/>
                <w:szCs w:val="20"/>
                <w:color w:val="auto"/>
              </w:rPr>
            </w:pPr>
            <w:r>
              <w:rPr>
                <w:rFonts w:ascii="Arial" w:cs="Arial" w:eastAsia="Arial" w:hAnsi="Arial"/>
                <w:sz w:val="18"/>
                <w:szCs w:val="18"/>
                <w:color w:val="auto"/>
                <w:w w:val="99"/>
              </w:rPr>
              <w:t>(in thousands, except share data)</w:t>
            </w: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660" w:type="dxa"/>
            <w:vAlign w:val="bottom"/>
          </w:tcPr>
          <w:p>
            <w:pPr>
              <w:jc w:val="center"/>
              <w:ind w:left="3670"/>
              <w:spacing w:after="0"/>
              <w:rPr>
                <w:sz w:val="20"/>
                <w:szCs w:val="20"/>
                <w:color w:val="auto"/>
              </w:rPr>
            </w:pPr>
            <w:r>
              <w:rPr>
                <w:rFonts w:ascii="Arial" w:cs="Arial" w:eastAsia="Arial" w:hAnsi="Arial"/>
                <w:sz w:val="18"/>
                <w:szCs w:val="18"/>
                <w:color w:val="auto"/>
                <w:w w:val="98"/>
              </w:rPr>
              <w:t>(unaudited)</w:t>
            </w:r>
          </w:p>
        </w:tc>
        <w:tc>
          <w:tcPr>
            <w:tcW w:w="2160" w:type="dxa"/>
            <w:vAlign w:val="bottom"/>
            <w:gridSpan w:val="2"/>
            <w:vMerge w:val="restart"/>
          </w:tcPr>
          <w:p>
            <w:pPr>
              <w:ind w:left="400"/>
              <w:spacing w:after="0"/>
              <w:rPr>
                <w:sz w:val="20"/>
                <w:szCs w:val="20"/>
                <w:color w:val="auto"/>
              </w:rPr>
            </w:pPr>
            <w:r>
              <w:rPr>
                <w:rFonts w:ascii="Arial" w:cs="Arial" w:eastAsia="Arial" w:hAnsi="Arial"/>
                <w:sz w:val="18"/>
                <w:szCs w:val="18"/>
                <w:color w:val="auto"/>
              </w:rPr>
              <w:t>March 31,</w:t>
            </w:r>
          </w:p>
        </w:tc>
        <w:tc>
          <w:tcPr>
            <w:tcW w:w="1600" w:type="dxa"/>
            <w:vAlign w:val="bottom"/>
            <w:vMerge w:val="restart"/>
          </w:tcPr>
          <w:p>
            <w:pPr>
              <w:jc w:val="right"/>
              <w:ind w:right="1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600" w:type="dxa"/>
            <w:vAlign w:val="bottom"/>
            <w:tcBorders>
              <w:bottom w:val="single" w:sz="8" w:color="auto"/>
            </w:tcBorders>
          </w:tcPr>
          <w:p>
            <w:pPr>
              <w:jc w:val="right"/>
              <w:ind w:right="510"/>
              <w:spacing w:after="0" w:line="203" w:lineRule="exact"/>
              <w:rPr>
                <w:sz w:val="20"/>
                <w:szCs w:val="20"/>
                <w:color w:val="auto"/>
              </w:rPr>
            </w:pPr>
            <w:r>
              <w:rPr>
                <w:rFonts w:ascii="Arial" w:cs="Arial" w:eastAsia="Arial" w:hAnsi="Arial"/>
                <w:sz w:val="18"/>
                <w:szCs w:val="18"/>
                <w:color w:val="auto"/>
              </w:rPr>
              <w:t>2015</w:t>
            </w:r>
          </w:p>
        </w:tc>
        <w:tc>
          <w:tcPr>
            <w:tcW w:w="560" w:type="dxa"/>
            <w:vAlign w:val="bottom"/>
          </w:tcPr>
          <w:p>
            <w:pPr>
              <w:spacing w:after="0"/>
              <w:rPr>
                <w:sz w:val="17"/>
                <w:szCs w:val="17"/>
                <w:color w:val="auto"/>
              </w:rPr>
            </w:pPr>
          </w:p>
        </w:tc>
        <w:tc>
          <w:tcPr>
            <w:tcW w:w="1600" w:type="dxa"/>
            <w:vAlign w:val="bottom"/>
            <w:tcBorders>
              <w:bottom w:val="single" w:sz="8" w:color="auto"/>
            </w:tcBorders>
          </w:tcPr>
          <w:p>
            <w:pPr>
              <w:jc w:val="right"/>
              <w:ind w:right="510"/>
              <w:spacing w:after="0" w:line="203"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96"/>
        </w:trPr>
        <w:tc>
          <w:tcPr>
            <w:tcW w:w="766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16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$170,838</w:t>
            </w:r>
          </w:p>
        </w:tc>
        <w:tc>
          <w:tcPr>
            <w:tcW w:w="560" w:type="dxa"/>
            <w:vAlign w:val="bottom"/>
            <w:shd w:val="clear" w:color="auto" w:fill="C0C0C0"/>
          </w:tcPr>
          <w:p>
            <w:pPr>
              <w:spacing w:after="0"/>
              <w:rPr>
                <w:sz w:val="17"/>
                <w:szCs w:val="17"/>
                <w:color w:val="auto"/>
              </w:rPr>
            </w:pPr>
          </w:p>
        </w:tc>
        <w:tc>
          <w:tcPr>
            <w:tcW w:w="16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$179,802</w:t>
            </w:r>
          </w:p>
        </w:tc>
        <w:tc>
          <w:tcPr>
            <w:tcW w:w="0" w:type="dxa"/>
            <w:vAlign w:val="bottom"/>
          </w:tcPr>
          <w:p>
            <w:pPr>
              <w:spacing w:after="0"/>
              <w:rPr>
                <w:sz w:val="1"/>
                <w:szCs w:val="1"/>
                <w:color w:val="auto"/>
              </w:rPr>
            </w:pPr>
          </w:p>
        </w:tc>
      </w:tr>
      <w:tr>
        <w:trPr>
          <w:trHeight w:val="203"/>
        </w:trPr>
        <w:tc>
          <w:tcPr>
            <w:tcW w:w="766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163,409</w:t>
            </w:r>
          </w:p>
        </w:tc>
        <w:tc>
          <w:tcPr>
            <w:tcW w:w="5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158,237</w:t>
            </w:r>
          </w:p>
        </w:tc>
        <w:tc>
          <w:tcPr>
            <w:tcW w:w="0" w:type="dxa"/>
            <w:vAlign w:val="bottom"/>
          </w:tcPr>
          <w:p>
            <w:pPr>
              <w:spacing w:after="0"/>
              <w:rPr>
                <w:sz w:val="1"/>
                <w:szCs w:val="1"/>
                <w:color w:val="auto"/>
              </w:rPr>
            </w:pPr>
          </w:p>
        </w:tc>
      </w:tr>
      <w:tr>
        <w:trPr>
          <w:trHeight w:val="203"/>
        </w:trPr>
        <w:tc>
          <w:tcPr>
            <w:tcW w:w="766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Inventories</w:t>
            </w:r>
          </w:p>
        </w:tc>
        <w:tc>
          <w:tcPr>
            <w:tcW w:w="16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104,820</w:t>
            </w:r>
          </w:p>
        </w:tc>
        <w:tc>
          <w:tcPr>
            <w:tcW w:w="560" w:type="dxa"/>
            <w:vAlign w:val="bottom"/>
            <w:shd w:val="clear" w:color="auto" w:fill="C0C0C0"/>
          </w:tcPr>
          <w:p>
            <w:pPr>
              <w:spacing w:after="0"/>
              <w:rPr>
                <w:sz w:val="17"/>
                <w:szCs w:val="17"/>
                <w:color w:val="auto"/>
              </w:rPr>
            </w:pPr>
          </w:p>
        </w:tc>
        <w:tc>
          <w:tcPr>
            <w:tcW w:w="16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107,274</w:t>
            </w:r>
          </w:p>
        </w:tc>
        <w:tc>
          <w:tcPr>
            <w:tcW w:w="0" w:type="dxa"/>
            <w:vAlign w:val="bottom"/>
          </w:tcPr>
          <w:p>
            <w:pPr>
              <w:spacing w:after="0"/>
              <w:rPr>
                <w:sz w:val="1"/>
                <w:szCs w:val="1"/>
                <w:color w:val="auto"/>
              </w:rPr>
            </w:pPr>
          </w:p>
        </w:tc>
      </w:tr>
      <w:tr>
        <w:trPr>
          <w:trHeight w:val="203"/>
        </w:trPr>
        <w:tc>
          <w:tcPr>
            <w:tcW w:w="7660" w:type="dxa"/>
            <w:vAlign w:val="bottom"/>
          </w:tcPr>
          <w:p>
            <w:pPr>
              <w:ind w:left="100"/>
              <w:spacing w:after="0" w:line="202" w:lineRule="exact"/>
              <w:rPr>
                <w:sz w:val="20"/>
                <w:szCs w:val="20"/>
                <w:color w:val="auto"/>
              </w:rPr>
            </w:pPr>
            <w:r>
              <w:rPr>
                <w:rFonts w:ascii="Arial" w:cs="Arial" w:eastAsia="Arial" w:hAnsi="Arial"/>
                <w:sz w:val="18"/>
                <w:szCs w:val="18"/>
                <w:color w:val="auto"/>
              </w:rPr>
              <w:t>Deferred income taxes</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6,576</w:t>
            </w:r>
          </w:p>
        </w:tc>
        <w:tc>
          <w:tcPr>
            <w:tcW w:w="5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6,743</w:t>
            </w:r>
          </w:p>
        </w:tc>
        <w:tc>
          <w:tcPr>
            <w:tcW w:w="0" w:type="dxa"/>
            <w:vAlign w:val="bottom"/>
          </w:tcPr>
          <w:p>
            <w:pPr>
              <w:spacing w:after="0"/>
              <w:rPr>
                <w:sz w:val="1"/>
                <w:szCs w:val="1"/>
                <w:color w:val="auto"/>
              </w:rPr>
            </w:pPr>
          </w:p>
        </w:tc>
      </w:tr>
      <w:tr>
        <w:trPr>
          <w:trHeight w:val="203"/>
        </w:trPr>
        <w:tc>
          <w:tcPr>
            <w:tcW w:w="766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0" w:type="dxa"/>
            <w:vAlign w:val="bottom"/>
            <w:tcBorders>
              <w:bottom w:val="single" w:sz="8" w:color="auto"/>
            </w:tcBorders>
            <w:shd w:val="clear" w:color="auto" w:fill="C0C0C0"/>
          </w:tcPr>
          <w:p>
            <w:pPr>
              <w:jc w:val="right"/>
              <w:spacing w:after="0" w:line="202" w:lineRule="exact"/>
              <w:rPr>
                <w:sz w:val="20"/>
                <w:szCs w:val="20"/>
                <w:color w:val="auto"/>
              </w:rPr>
            </w:pPr>
            <w:r>
              <w:rPr>
                <w:rFonts w:ascii="Arial" w:cs="Arial" w:eastAsia="Arial" w:hAnsi="Arial"/>
                <w:sz w:val="18"/>
                <w:szCs w:val="18"/>
                <w:color w:val="auto"/>
              </w:rPr>
              <w:t>10,412</w:t>
            </w:r>
          </w:p>
        </w:tc>
        <w:tc>
          <w:tcPr>
            <w:tcW w:w="560" w:type="dxa"/>
            <w:vAlign w:val="bottom"/>
            <w:shd w:val="clear" w:color="auto" w:fill="C0C0C0"/>
          </w:tcPr>
          <w:p>
            <w:pPr>
              <w:spacing w:after="0"/>
              <w:rPr>
                <w:sz w:val="17"/>
                <w:szCs w:val="17"/>
                <w:color w:val="auto"/>
              </w:rPr>
            </w:pPr>
          </w:p>
        </w:tc>
        <w:tc>
          <w:tcPr>
            <w:tcW w:w="1600" w:type="dxa"/>
            <w:vAlign w:val="bottom"/>
            <w:tcBorders>
              <w:bottom w:val="single" w:sz="8" w:color="auto"/>
            </w:tcBorders>
            <w:shd w:val="clear" w:color="auto" w:fill="C0C0C0"/>
          </w:tcPr>
          <w:p>
            <w:pPr>
              <w:jc w:val="right"/>
              <w:spacing w:after="0" w:line="202" w:lineRule="exact"/>
              <w:rPr>
                <w:sz w:val="20"/>
                <w:szCs w:val="20"/>
                <w:color w:val="auto"/>
              </w:rPr>
            </w:pPr>
            <w:r>
              <w:rPr>
                <w:rFonts w:ascii="Arial" w:cs="Arial" w:eastAsia="Arial" w:hAnsi="Arial"/>
                <w:sz w:val="18"/>
                <w:szCs w:val="18"/>
                <w:color w:val="auto"/>
              </w:rPr>
              <w:t>8,074</w:t>
            </w:r>
          </w:p>
        </w:tc>
        <w:tc>
          <w:tcPr>
            <w:tcW w:w="0" w:type="dxa"/>
            <w:vAlign w:val="bottom"/>
          </w:tcPr>
          <w:p>
            <w:pPr>
              <w:spacing w:after="0"/>
              <w:rPr>
                <w:sz w:val="1"/>
                <w:szCs w:val="1"/>
                <w:color w:val="auto"/>
              </w:rPr>
            </w:pPr>
          </w:p>
        </w:tc>
      </w:tr>
      <w:tr>
        <w:trPr>
          <w:trHeight w:val="210"/>
        </w:trPr>
        <w:tc>
          <w:tcPr>
            <w:tcW w:w="766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1600" w:type="dxa"/>
            <w:vAlign w:val="bottom"/>
          </w:tcPr>
          <w:p>
            <w:pPr>
              <w:jc w:val="right"/>
              <w:spacing w:after="0"/>
              <w:rPr>
                <w:sz w:val="20"/>
                <w:szCs w:val="20"/>
                <w:color w:val="auto"/>
              </w:rPr>
            </w:pPr>
            <w:r>
              <w:rPr>
                <w:rFonts w:ascii="Arial" w:cs="Arial" w:eastAsia="Arial" w:hAnsi="Arial"/>
                <w:sz w:val="18"/>
                <w:szCs w:val="18"/>
                <w:color w:val="auto"/>
              </w:rPr>
              <w:t>456,055</w:t>
            </w:r>
          </w:p>
        </w:tc>
        <w:tc>
          <w:tcPr>
            <w:tcW w:w="5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460,130</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Property, plant and equipment, net</w:t>
            </w:r>
          </w:p>
        </w:tc>
        <w:tc>
          <w:tcPr>
            <w:tcW w:w="16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380,864</w:t>
            </w:r>
          </w:p>
        </w:tc>
        <w:tc>
          <w:tcPr>
            <w:tcW w:w="560" w:type="dxa"/>
            <w:vAlign w:val="bottom"/>
            <w:shd w:val="clear" w:color="auto" w:fill="C0C0C0"/>
          </w:tcPr>
          <w:p>
            <w:pPr>
              <w:spacing w:after="0"/>
              <w:rPr>
                <w:sz w:val="17"/>
                <w:szCs w:val="17"/>
                <w:color w:val="auto"/>
              </w:rPr>
            </w:pPr>
          </w:p>
        </w:tc>
        <w:tc>
          <w:tcPr>
            <w:tcW w:w="16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395,113</w:t>
            </w:r>
          </w:p>
        </w:tc>
        <w:tc>
          <w:tcPr>
            <w:tcW w:w="0" w:type="dxa"/>
            <w:vAlign w:val="bottom"/>
          </w:tcPr>
          <w:p>
            <w:pPr>
              <w:spacing w:after="0"/>
              <w:rPr>
                <w:sz w:val="1"/>
                <w:szCs w:val="1"/>
                <w:color w:val="auto"/>
              </w:rPr>
            </w:pPr>
          </w:p>
        </w:tc>
      </w:tr>
      <w:tr>
        <w:trPr>
          <w:trHeight w:val="203"/>
        </w:trPr>
        <w:tc>
          <w:tcPr>
            <w:tcW w:w="7660" w:type="dxa"/>
            <w:vAlign w:val="bottom"/>
          </w:tcPr>
          <w:p>
            <w:pPr>
              <w:ind w:left="100"/>
              <w:spacing w:after="0" w:line="202" w:lineRule="exact"/>
              <w:rPr>
                <w:sz w:val="20"/>
                <w:szCs w:val="20"/>
                <w:color w:val="auto"/>
              </w:rPr>
            </w:pPr>
            <w:r>
              <w:rPr>
                <w:rFonts w:ascii="Arial" w:cs="Arial" w:eastAsia="Arial" w:hAnsi="Arial"/>
                <w:sz w:val="18"/>
                <w:szCs w:val="18"/>
                <w:color w:val="auto"/>
              </w:rPr>
              <w:t>Intangibles</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328</w:t>
            </w:r>
          </w:p>
        </w:tc>
        <w:tc>
          <w:tcPr>
            <w:tcW w:w="5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3"/>
        </w:trPr>
        <w:tc>
          <w:tcPr>
            <w:tcW w:w="766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Goodwill</w:t>
            </w:r>
          </w:p>
        </w:tc>
        <w:tc>
          <w:tcPr>
            <w:tcW w:w="16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65,724</w:t>
            </w:r>
          </w:p>
        </w:tc>
        <w:tc>
          <w:tcPr>
            <w:tcW w:w="560" w:type="dxa"/>
            <w:vAlign w:val="bottom"/>
            <w:shd w:val="clear" w:color="auto" w:fill="C0C0C0"/>
          </w:tcPr>
          <w:p>
            <w:pPr>
              <w:spacing w:after="0"/>
              <w:rPr>
                <w:sz w:val="17"/>
                <w:szCs w:val="17"/>
                <w:color w:val="auto"/>
              </w:rPr>
            </w:pPr>
          </w:p>
        </w:tc>
        <w:tc>
          <w:tcPr>
            <w:tcW w:w="16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71,680</w:t>
            </w:r>
          </w:p>
        </w:tc>
        <w:tc>
          <w:tcPr>
            <w:tcW w:w="0" w:type="dxa"/>
            <w:vAlign w:val="bottom"/>
          </w:tcPr>
          <w:p>
            <w:pPr>
              <w:spacing w:after="0"/>
              <w:rPr>
                <w:sz w:val="1"/>
                <w:szCs w:val="1"/>
                <w:color w:val="auto"/>
              </w:rPr>
            </w:pPr>
          </w:p>
        </w:tc>
      </w:tr>
      <w:tr>
        <w:trPr>
          <w:trHeight w:val="203"/>
        </w:trPr>
        <w:tc>
          <w:tcPr>
            <w:tcW w:w="7660" w:type="dxa"/>
            <w:vAlign w:val="bottom"/>
          </w:tcPr>
          <w:p>
            <w:pPr>
              <w:ind w:left="100"/>
              <w:spacing w:after="0" w:line="202" w:lineRule="exact"/>
              <w:rPr>
                <w:sz w:val="20"/>
                <w:szCs w:val="20"/>
                <w:color w:val="auto"/>
              </w:rPr>
            </w:pPr>
            <w:r>
              <w:rPr>
                <w:rFonts w:ascii="Arial" w:cs="Arial" w:eastAsia="Arial" w:hAnsi="Arial"/>
                <w:sz w:val="18"/>
                <w:szCs w:val="18"/>
                <w:color w:val="auto"/>
              </w:rPr>
              <w:t>Income taxes receivable and deferred</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65,732</w:t>
            </w:r>
          </w:p>
        </w:tc>
        <w:tc>
          <w:tcPr>
            <w:tcW w:w="5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69,540</w:t>
            </w:r>
          </w:p>
        </w:tc>
        <w:tc>
          <w:tcPr>
            <w:tcW w:w="0" w:type="dxa"/>
            <w:vAlign w:val="bottom"/>
          </w:tcPr>
          <w:p>
            <w:pPr>
              <w:spacing w:after="0"/>
              <w:rPr>
                <w:sz w:val="1"/>
                <w:szCs w:val="1"/>
                <w:color w:val="auto"/>
              </w:rPr>
            </w:pPr>
          </w:p>
        </w:tc>
      </w:tr>
      <w:tr>
        <w:trPr>
          <w:trHeight w:val="203"/>
        </w:trPr>
        <w:tc>
          <w:tcPr>
            <w:tcW w:w="766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Other assets</w:t>
            </w:r>
          </w:p>
        </w:tc>
        <w:tc>
          <w:tcPr>
            <w:tcW w:w="1600" w:type="dxa"/>
            <w:vAlign w:val="bottom"/>
            <w:tcBorders>
              <w:bottom w:val="single" w:sz="8" w:color="auto"/>
            </w:tcBorders>
            <w:shd w:val="clear" w:color="auto" w:fill="C0C0C0"/>
          </w:tcPr>
          <w:p>
            <w:pPr>
              <w:jc w:val="right"/>
              <w:spacing w:after="0" w:line="202" w:lineRule="exact"/>
              <w:rPr>
                <w:sz w:val="20"/>
                <w:szCs w:val="20"/>
                <w:color w:val="auto"/>
              </w:rPr>
            </w:pPr>
            <w:r>
              <w:rPr>
                <w:rFonts w:ascii="Arial" w:cs="Arial" w:eastAsia="Arial" w:hAnsi="Arial"/>
                <w:sz w:val="18"/>
                <w:szCs w:val="18"/>
                <w:color w:val="auto"/>
              </w:rPr>
              <w:t>32,916</w:t>
            </w:r>
          </w:p>
        </w:tc>
        <w:tc>
          <w:tcPr>
            <w:tcW w:w="560" w:type="dxa"/>
            <w:vAlign w:val="bottom"/>
            <w:shd w:val="clear" w:color="auto" w:fill="C0C0C0"/>
          </w:tcPr>
          <w:p>
            <w:pPr>
              <w:spacing w:after="0"/>
              <w:rPr>
                <w:sz w:val="17"/>
                <w:szCs w:val="17"/>
                <w:color w:val="auto"/>
              </w:rPr>
            </w:pPr>
          </w:p>
        </w:tc>
        <w:tc>
          <w:tcPr>
            <w:tcW w:w="1600" w:type="dxa"/>
            <w:vAlign w:val="bottom"/>
            <w:tcBorders>
              <w:bottom w:val="single" w:sz="8" w:color="auto"/>
            </w:tcBorders>
            <w:shd w:val="clear" w:color="auto" w:fill="C0C0C0"/>
          </w:tcPr>
          <w:p>
            <w:pPr>
              <w:jc w:val="right"/>
              <w:spacing w:after="0" w:line="202" w:lineRule="exact"/>
              <w:rPr>
                <w:sz w:val="20"/>
                <w:szCs w:val="20"/>
                <w:color w:val="auto"/>
              </w:rPr>
            </w:pPr>
            <w:r>
              <w:rPr>
                <w:rFonts w:ascii="Arial" w:cs="Arial" w:eastAsia="Arial" w:hAnsi="Arial"/>
                <w:sz w:val="18"/>
                <w:szCs w:val="18"/>
                <w:color w:val="auto"/>
              </w:rPr>
              <w:t>32,456</w:t>
            </w:r>
          </w:p>
        </w:tc>
        <w:tc>
          <w:tcPr>
            <w:tcW w:w="0" w:type="dxa"/>
            <w:vAlign w:val="bottom"/>
          </w:tcPr>
          <w:p>
            <w:pPr>
              <w:spacing w:after="0"/>
              <w:rPr>
                <w:sz w:val="1"/>
                <w:szCs w:val="1"/>
                <w:color w:val="auto"/>
              </w:rPr>
            </w:pPr>
          </w:p>
        </w:tc>
      </w:tr>
      <w:tr>
        <w:trPr>
          <w:trHeight w:val="203"/>
        </w:trPr>
        <w:tc>
          <w:tcPr>
            <w:tcW w:w="7660" w:type="dxa"/>
            <w:vAlign w:val="bottom"/>
          </w:tcPr>
          <w:p>
            <w:pPr>
              <w:ind w:left="300"/>
              <w:spacing w:after="0" w:line="196" w:lineRule="exact"/>
              <w:rPr>
                <w:sz w:val="20"/>
                <w:szCs w:val="20"/>
                <w:color w:val="auto"/>
              </w:rPr>
            </w:pPr>
            <w:r>
              <w:rPr>
                <w:rFonts w:ascii="Arial" w:cs="Arial" w:eastAsia="Arial" w:hAnsi="Arial"/>
                <w:sz w:val="18"/>
                <w:szCs w:val="18"/>
                <w:color w:val="auto"/>
              </w:rPr>
              <w:t>Total assets</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$1,001,619</w:t>
            </w:r>
          </w:p>
        </w:tc>
        <w:tc>
          <w:tcPr>
            <w:tcW w:w="56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$1,029,304</w:t>
            </w:r>
          </w:p>
        </w:tc>
        <w:tc>
          <w:tcPr>
            <w:tcW w:w="0" w:type="dxa"/>
            <w:vAlign w:val="bottom"/>
          </w:tcPr>
          <w:p>
            <w:pPr>
              <w:spacing w:after="0"/>
              <w:rPr>
                <w:sz w:val="1"/>
                <w:szCs w:val="1"/>
                <w:color w:val="auto"/>
              </w:rPr>
            </w:pPr>
          </w:p>
        </w:tc>
      </w:tr>
      <w:tr>
        <w:trPr>
          <w:trHeight w:val="405"/>
        </w:trPr>
        <w:tc>
          <w:tcPr>
            <w:tcW w:w="766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Notes and loans payable</w:t>
            </w: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$496</w:t>
            </w:r>
          </w:p>
        </w:tc>
        <w:tc>
          <w:tcPr>
            <w:tcW w:w="560" w:type="dxa"/>
            <w:vAlign w:val="bottom"/>
            <w:shd w:val="clear" w:color="auto" w:fill="BFBFBF"/>
          </w:tcPr>
          <w:p>
            <w:pPr>
              <w:spacing w:after="0"/>
              <w:rPr>
                <w:sz w:val="17"/>
                <w:szCs w:val="17"/>
                <w:color w:val="auto"/>
              </w:rPr>
            </w:pP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3"/>
        </w:trPr>
        <w:tc>
          <w:tcPr>
            <w:tcW w:w="766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36,361</w:t>
            </w:r>
          </w:p>
        </w:tc>
        <w:tc>
          <w:tcPr>
            <w:tcW w:w="5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34,787</w:t>
            </w:r>
          </w:p>
        </w:tc>
        <w:tc>
          <w:tcPr>
            <w:tcW w:w="0" w:type="dxa"/>
            <w:vAlign w:val="bottom"/>
          </w:tcPr>
          <w:p>
            <w:pPr>
              <w:spacing w:after="0"/>
              <w:rPr>
                <w:sz w:val="1"/>
                <w:szCs w:val="1"/>
                <w:color w:val="auto"/>
              </w:rPr>
            </w:pPr>
          </w:p>
        </w:tc>
      </w:tr>
      <w:tr>
        <w:trPr>
          <w:trHeight w:val="203"/>
        </w:trPr>
        <w:tc>
          <w:tcPr>
            <w:tcW w:w="766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16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88,987</w:t>
            </w:r>
          </w:p>
        </w:tc>
        <w:tc>
          <w:tcPr>
            <w:tcW w:w="560" w:type="dxa"/>
            <w:vAlign w:val="bottom"/>
            <w:shd w:val="clear" w:color="auto" w:fill="BFBFBF"/>
          </w:tcPr>
          <w:p>
            <w:pPr>
              <w:spacing w:after="0"/>
              <w:rPr>
                <w:sz w:val="17"/>
                <w:szCs w:val="17"/>
                <w:color w:val="auto"/>
              </w:rPr>
            </w:pP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95,149</w:t>
            </w:r>
          </w:p>
        </w:tc>
        <w:tc>
          <w:tcPr>
            <w:tcW w:w="0" w:type="dxa"/>
            <w:vAlign w:val="bottom"/>
          </w:tcPr>
          <w:p>
            <w:pPr>
              <w:spacing w:after="0"/>
              <w:rPr>
                <w:sz w:val="1"/>
                <w:szCs w:val="1"/>
                <w:color w:val="auto"/>
              </w:rPr>
            </w:pPr>
          </w:p>
        </w:tc>
      </w:tr>
      <w:tr>
        <w:trPr>
          <w:trHeight w:val="203"/>
        </w:trPr>
        <w:tc>
          <w:tcPr>
            <w:tcW w:w="7660" w:type="dxa"/>
            <w:vAlign w:val="bottom"/>
          </w:tcPr>
          <w:p>
            <w:pPr>
              <w:ind w:left="100"/>
              <w:spacing w:after="0" w:line="202" w:lineRule="exact"/>
              <w:rPr>
                <w:sz w:val="20"/>
                <w:szCs w:val="20"/>
                <w:color w:val="auto"/>
              </w:rPr>
            </w:pPr>
            <w:r>
              <w:rPr>
                <w:rFonts w:ascii="Arial" w:cs="Arial" w:eastAsia="Arial" w:hAnsi="Arial"/>
                <w:sz w:val="18"/>
                <w:szCs w:val="18"/>
                <w:color w:val="auto"/>
              </w:rPr>
              <w:t>Current maturities of long-term debt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50,015</w:t>
            </w:r>
          </w:p>
        </w:tc>
        <w:tc>
          <w:tcPr>
            <w:tcW w:w="5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50,015</w:t>
            </w:r>
          </w:p>
        </w:tc>
        <w:tc>
          <w:tcPr>
            <w:tcW w:w="0" w:type="dxa"/>
            <w:vAlign w:val="bottom"/>
          </w:tcPr>
          <w:p>
            <w:pPr>
              <w:spacing w:after="0"/>
              <w:rPr>
                <w:sz w:val="1"/>
                <w:szCs w:val="1"/>
                <w:color w:val="auto"/>
              </w:rPr>
            </w:pPr>
          </w:p>
        </w:tc>
      </w:tr>
      <w:tr>
        <w:trPr>
          <w:trHeight w:val="203"/>
        </w:trPr>
        <w:tc>
          <w:tcPr>
            <w:tcW w:w="766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Income taxes payable and deferred</w:t>
            </w:r>
          </w:p>
        </w:tc>
        <w:tc>
          <w:tcPr>
            <w:tcW w:w="1600" w:type="dxa"/>
            <w:vAlign w:val="bottom"/>
            <w:tcBorders>
              <w:bottom w:val="single" w:sz="8" w:color="auto"/>
            </w:tcBorders>
            <w:shd w:val="clear" w:color="auto" w:fill="C0C0C0"/>
          </w:tcPr>
          <w:p>
            <w:pPr>
              <w:jc w:val="right"/>
              <w:spacing w:after="0" w:line="202" w:lineRule="exact"/>
              <w:rPr>
                <w:sz w:val="20"/>
                <w:szCs w:val="20"/>
                <w:color w:val="auto"/>
              </w:rPr>
            </w:pPr>
            <w:r>
              <w:rPr>
                <w:rFonts w:ascii="Arial" w:cs="Arial" w:eastAsia="Arial" w:hAnsi="Arial"/>
                <w:sz w:val="18"/>
                <w:szCs w:val="18"/>
                <w:color w:val="auto"/>
              </w:rPr>
              <w:t>1,810</w:t>
            </w:r>
          </w:p>
        </w:tc>
        <w:tc>
          <w:tcPr>
            <w:tcW w:w="560" w:type="dxa"/>
            <w:vAlign w:val="bottom"/>
            <w:shd w:val="clear" w:color="auto" w:fill="C0C0C0"/>
          </w:tcPr>
          <w:p>
            <w:pPr>
              <w:spacing w:after="0"/>
              <w:rPr>
                <w:sz w:val="17"/>
                <w:szCs w:val="17"/>
                <w:color w:val="auto"/>
              </w:rPr>
            </w:pPr>
          </w:p>
        </w:tc>
        <w:tc>
          <w:tcPr>
            <w:tcW w:w="1600" w:type="dxa"/>
            <w:vAlign w:val="bottom"/>
            <w:tcBorders>
              <w:bottom w:val="single" w:sz="8" w:color="auto"/>
            </w:tcBorders>
            <w:shd w:val="clear" w:color="auto" w:fill="C0C0C0"/>
          </w:tcPr>
          <w:p>
            <w:pPr>
              <w:jc w:val="right"/>
              <w:spacing w:after="0" w:line="202" w:lineRule="exact"/>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10"/>
        </w:trPr>
        <w:tc>
          <w:tcPr>
            <w:tcW w:w="766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1600" w:type="dxa"/>
            <w:vAlign w:val="bottom"/>
          </w:tcPr>
          <w:p>
            <w:pPr>
              <w:jc w:val="right"/>
              <w:spacing w:after="0"/>
              <w:rPr>
                <w:sz w:val="20"/>
                <w:szCs w:val="20"/>
                <w:color w:val="auto"/>
              </w:rPr>
            </w:pPr>
            <w:r>
              <w:rPr>
                <w:rFonts w:ascii="Arial" w:cs="Arial" w:eastAsia="Arial" w:hAnsi="Arial"/>
                <w:sz w:val="18"/>
                <w:szCs w:val="18"/>
                <w:color w:val="auto"/>
              </w:rPr>
              <w:t>177,669</w:t>
            </w:r>
          </w:p>
        </w:tc>
        <w:tc>
          <w:tcPr>
            <w:tcW w:w="5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183,398</w:t>
            </w:r>
          </w:p>
        </w:tc>
        <w:tc>
          <w:tcPr>
            <w:tcW w:w="0" w:type="dxa"/>
            <w:vAlign w:val="bottom"/>
          </w:tcPr>
          <w:p>
            <w:pPr>
              <w:spacing w:after="0"/>
              <w:rPr>
                <w:sz w:val="1"/>
                <w:szCs w:val="1"/>
                <w:color w:val="auto"/>
              </w:rPr>
            </w:pPr>
          </w:p>
        </w:tc>
      </w:tr>
      <w:tr>
        <w:trPr>
          <w:trHeight w:val="188"/>
        </w:trPr>
        <w:tc>
          <w:tcPr>
            <w:tcW w:w="76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Long-term debt</w:t>
            </w:r>
          </w:p>
        </w:tc>
        <w:tc>
          <w:tcPr>
            <w:tcW w:w="16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232,092</w:t>
            </w:r>
          </w:p>
        </w:tc>
        <w:tc>
          <w:tcPr>
            <w:tcW w:w="560" w:type="dxa"/>
            <w:vAlign w:val="bottom"/>
            <w:shd w:val="clear" w:color="auto" w:fill="BFBFBF"/>
          </w:tcPr>
          <w:p>
            <w:pPr>
              <w:spacing w:after="0"/>
              <w:rPr>
                <w:sz w:val="17"/>
                <w:szCs w:val="17"/>
                <w:color w:val="auto"/>
              </w:rPr>
            </w:pP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222,096</w:t>
            </w:r>
          </w:p>
        </w:tc>
        <w:tc>
          <w:tcPr>
            <w:tcW w:w="0" w:type="dxa"/>
            <w:vAlign w:val="bottom"/>
          </w:tcPr>
          <w:p>
            <w:pPr>
              <w:spacing w:after="0"/>
              <w:rPr>
                <w:sz w:val="1"/>
                <w:szCs w:val="1"/>
                <w:color w:val="auto"/>
              </w:rPr>
            </w:pPr>
          </w:p>
        </w:tc>
      </w:tr>
      <w:tr>
        <w:trPr>
          <w:trHeight w:val="203"/>
        </w:trPr>
        <w:tc>
          <w:tcPr>
            <w:tcW w:w="7660" w:type="dxa"/>
            <w:vAlign w:val="bottom"/>
          </w:tcPr>
          <w:p>
            <w:pPr>
              <w:ind w:left="100"/>
              <w:spacing w:after="0" w:line="202" w:lineRule="exact"/>
              <w:rPr>
                <w:sz w:val="20"/>
                <w:szCs w:val="20"/>
                <w:color w:val="auto"/>
              </w:rPr>
            </w:pPr>
            <w:r>
              <w:rPr>
                <w:rFonts w:ascii="Arial" w:cs="Arial" w:eastAsia="Arial" w:hAnsi="Arial"/>
                <w:sz w:val="18"/>
                <w:szCs w:val="18"/>
                <w:color w:val="auto"/>
              </w:rPr>
              <w:t>Other noncurrent liabilities</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98,496</w:t>
            </w:r>
          </w:p>
        </w:tc>
        <w:tc>
          <w:tcPr>
            <w:tcW w:w="5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103,079</w:t>
            </w:r>
          </w:p>
        </w:tc>
        <w:tc>
          <w:tcPr>
            <w:tcW w:w="0" w:type="dxa"/>
            <w:vAlign w:val="bottom"/>
          </w:tcPr>
          <w:p>
            <w:pPr>
              <w:spacing w:after="0"/>
              <w:rPr>
                <w:sz w:val="1"/>
                <w:szCs w:val="1"/>
                <w:color w:val="auto"/>
              </w:rPr>
            </w:pPr>
          </w:p>
        </w:tc>
      </w:tr>
      <w:tr>
        <w:trPr>
          <w:trHeight w:val="203"/>
        </w:trPr>
        <w:tc>
          <w:tcPr>
            <w:tcW w:w="766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Deferred taxes and other credits</w:t>
            </w:r>
          </w:p>
        </w:tc>
        <w:tc>
          <w:tcPr>
            <w:tcW w:w="1600" w:type="dxa"/>
            <w:vAlign w:val="bottom"/>
            <w:tcBorders>
              <w:bottom w:val="single" w:sz="8" w:color="auto"/>
            </w:tcBorders>
            <w:shd w:val="clear" w:color="auto" w:fill="C0C0C0"/>
          </w:tcPr>
          <w:p>
            <w:pPr>
              <w:jc w:val="right"/>
              <w:spacing w:after="0" w:line="202" w:lineRule="exact"/>
              <w:rPr>
                <w:sz w:val="20"/>
                <w:szCs w:val="20"/>
                <w:color w:val="auto"/>
              </w:rPr>
            </w:pPr>
            <w:r>
              <w:rPr>
                <w:rFonts w:ascii="Arial" w:cs="Arial" w:eastAsia="Arial" w:hAnsi="Arial"/>
                <w:sz w:val="18"/>
                <w:szCs w:val="18"/>
                <w:color w:val="auto"/>
              </w:rPr>
              <w:t>6,918</w:t>
            </w:r>
          </w:p>
        </w:tc>
        <w:tc>
          <w:tcPr>
            <w:tcW w:w="560" w:type="dxa"/>
            <w:vAlign w:val="bottom"/>
            <w:shd w:val="clear" w:color="auto" w:fill="C0C0C0"/>
          </w:tcPr>
          <w:p>
            <w:pPr>
              <w:spacing w:after="0"/>
              <w:rPr>
                <w:sz w:val="17"/>
                <w:szCs w:val="17"/>
                <w:color w:val="auto"/>
              </w:rPr>
            </w:pPr>
          </w:p>
        </w:tc>
        <w:tc>
          <w:tcPr>
            <w:tcW w:w="1600" w:type="dxa"/>
            <w:vAlign w:val="bottom"/>
            <w:tcBorders>
              <w:bottom w:val="single" w:sz="8" w:color="auto"/>
            </w:tcBorders>
            <w:shd w:val="clear" w:color="auto" w:fill="C0C0C0"/>
          </w:tcPr>
          <w:p>
            <w:pPr>
              <w:jc w:val="right"/>
              <w:spacing w:after="0" w:line="202" w:lineRule="exact"/>
              <w:rPr>
                <w:sz w:val="20"/>
                <w:szCs w:val="20"/>
                <w:color w:val="auto"/>
              </w:rPr>
            </w:pPr>
            <w:r>
              <w:rPr>
                <w:rFonts w:ascii="Arial" w:cs="Arial" w:eastAsia="Arial" w:hAnsi="Arial"/>
                <w:sz w:val="18"/>
                <w:szCs w:val="18"/>
                <w:color w:val="auto"/>
              </w:rPr>
              <w:t>7,163</w:t>
            </w:r>
          </w:p>
        </w:tc>
        <w:tc>
          <w:tcPr>
            <w:tcW w:w="0" w:type="dxa"/>
            <w:vAlign w:val="bottom"/>
          </w:tcPr>
          <w:p>
            <w:pPr>
              <w:spacing w:after="0"/>
              <w:rPr>
                <w:sz w:val="1"/>
                <w:szCs w:val="1"/>
                <w:color w:val="auto"/>
              </w:rPr>
            </w:pPr>
          </w:p>
        </w:tc>
      </w:tr>
      <w:tr>
        <w:trPr>
          <w:trHeight w:val="196"/>
        </w:trPr>
        <w:tc>
          <w:tcPr>
            <w:tcW w:w="7660" w:type="dxa"/>
            <w:vAlign w:val="bottom"/>
          </w:tcPr>
          <w:p>
            <w:pPr>
              <w:ind w:left="300"/>
              <w:spacing w:after="0" w:line="196" w:lineRule="exact"/>
              <w:rPr>
                <w:sz w:val="20"/>
                <w:szCs w:val="20"/>
                <w:color w:val="auto"/>
              </w:rPr>
            </w:pPr>
            <w:r>
              <w:rPr>
                <w:rFonts w:ascii="Arial" w:cs="Arial" w:eastAsia="Arial" w:hAnsi="Arial"/>
                <w:sz w:val="18"/>
                <w:szCs w:val="18"/>
                <w:color w:val="auto"/>
              </w:rPr>
              <w:t>Total liabilities</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515,175</w:t>
            </w:r>
          </w:p>
        </w:tc>
        <w:tc>
          <w:tcPr>
            <w:tcW w:w="56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515,736</w:t>
            </w:r>
          </w:p>
        </w:tc>
        <w:tc>
          <w:tcPr>
            <w:tcW w:w="0" w:type="dxa"/>
            <w:vAlign w:val="bottom"/>
          </w:tcPr>
          <w:p>
            <w:pPr>
              <w:spacing w:after="0"/>
              <w:rPr>
                <w:sz w:val="1"/>
                <w:szCs w:val="1"/>
                <w:color w:val="auto"/>
              </w:rPr>
            </w:pPr>
          </w:p>
        </w:tc>
      </w:tr>
      <w:tr>
        <w:trPr>
          <w:trHeight w:val="398"/>
        </w:trPr>
        <w:tc>
          <w:tcPr>
            <w:tcW w:w="7660" w:type="dxa"/>
            <w:vAlign w:val="bottom"/>
          </w:tcPr>
          <w:p>
            <w:pPr>
              <w:spacing w:after="0"/>
              <w:rPr>
                <w:sz w:val="20"/>
                <w:szCs w:val="20"/>
                <w:color w:val="auto"/>
              </w:rPr>
            </w:pPr>
            <w:r>
              <w:rPr>
                <w:rFonts w:ascii="Arial" w:cs="Arial" w:eastAsia="Arial" w:hAnsi="Arial"/>
                <w:sz w:val="18"/>
                <w:szCs w:val="18"/>
                <w:color w:val="auto"/>
              </w:rPr>
              <w:t>SHAREHOLDERS' EQUITY</w:t>
            </w: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100"/>
              <w:spacing w:after="0" w:line="202" w:lineRule="exact"/>
              <w:rPr>
                <w:sz w:val="20"/>
                <w:szCs w:val="20"/>
                <w:color w:val="auto"/>
              </w:rPr>
            </w:pPr>
            <w:r>
              <w:rPr>
                <w:rFonts w:ascii="Arial" w:cs="Arial" w:eastAsia="Arial" w:hAnsi="Arial"/>
                <w:sz w:val="18"/>
                <w:szCs w:val="18"/>
                <w:color w:val="auto"/>
              </w:rPr>
              <w:t>Preferred stock, par value $5.00 per share;</w:t>
            </w: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3" w:lineRule="exact"/>
              <w:rPr>
                <w:sz w:val="20"/>
                <w:szCs w:val="20"/>
                <w:color w:val="auto"/>
              </w:rPr>
            </w:pPr>
            <w:r>
              <w:rPr>
                <w:rFonts w:ascii="Arial" w:cs="Arial" w:eastAsia="Arial" w:hAnsi="Arial"/>
                <w:sz w:val="18"/>
                <w:szCs w:val="18"/>
                <w:color w:val="auto"/>
              </w:rPr>
              <w:t>authorized 2,000,000 shares; none issued</w:t>
            </w:r>
          </w:p>
        </w:tc>
        <w:tc>
          <w:tcPr>
            <w:tcW w:w="16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6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660" w:type="dxa"/>
            <w:vAlign w:val="bottom"/>
            <w:shd w:val="clear" w:color="auto" w:fill="BFBFBF"/>
          </w:tcPr>
          <w:p>
            <w:pPr>
              <w:ind w:left="100"/>
              <w:spacing w:after="0" w:line="201" w:lineRule="exact"/>
              <w:rPr>
                <w:sz w:val="20"/>
                <w:szCs w:val="20"/>
                <w:color w:val="auto"/>
              </w:rPr>
            </w:pPr>
            <w:r>
              <w:rPr>
                <w:rFonts w:ascii="Arial" w:cs="Arial" w:eastAsia="Arial" w:hAnsi="Arial"/>
                <w:sz w:val="18"/>
                <w:szCs w:val="18"/>
                <w:color w:val="auto"/>
              </w:rPr>
              <w:t>Class A Common Stock, par value $.001 per share;</w:t>
            </w:r>
          </w:p>
        </w:tc>
        <w:tc>
          <w:tcPr>
            <w:tcW w:w="160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6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authorized 100,000,000 shares; issued 37,175,813</w:t>
            </w:r>
          </w:p>
        </w:tc>
        <w:tc>
          <w:tcPr>
            <w:tcW w:w="1600" w:type="dxa"/>
            <w:vAlign w:val="bottom"/>
            <w:shd w:val="clear" w:color="auto" w:fill="BFBFBF"/>
          </w:tcPr>
          <w:p>
            <w:pPr>
              <w:spacing w:after="0"/>
              <w:rPr>
                <w:sz w:val="17"/>
                <w:szCs w:val="17"/>
                <w:color w:val="auto"/>
              </w:rPr>
            </w:pPr>
          </w:p>
        </w:tc>
        <w:tc>
          <w:tcPr>
            <w:tcW w:w="560" w:type="dxa"/>
            <w:vAlign w:val="bottom"/>
            <w:shd w:val="clear" w:color="auto" w:fill="BFBFBF"/>
          </w:tcPr>
          <w:p>
            <w:pPr>
              <w:spacing w:after="0"/>
              <w:rPr>
                <w:sz w:val="17"/>
                <w:szCs w:val="17"/>
                <w:color w:val="auto"/>
              </w:rPr>
            </w:pPr>
          </w:p>
        </w:tc>
        <w:tc>
          <w:tcPr>
            <w:tcW w:w="16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BFBFBF"/>
          </w:tcPr>
          <w:p>
            <w:pPr>
              <w:ind w:left="260"/>
              <w:spacing w:after="0" w:line="203" w:lineRule="exact"/>
              <w:rPr>
                <w:sz w:val="20"/>
                <w:szCs w:val="20"/>
                <w:color w:val="auto"/>
              </w:rPr>
            </w:pPr>
            <w:r>
              <w:rPr>
                <w:rFonts w:ascii="Arial" w:cs="Arial" w:eastAsia="Arial" w:hAnsi="Arial"/>
                <w:sz w:val="18"/>
                <w:szCs w:val="18"/>
                <w:color w:val="auto"/>
              </w:rPr>
              <w:t>in 2015 and 37,085,489 in 2014</w:t>
            </w:r>
          </w:p>
        </w:tc>
        <w:tc>
          <w:tcPr>
            <w:tcW w:w="160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37</w:t>
            </w:r>
          </w:p>
        </w:tc>
        <w:tc>
          <w:tcPr>
            <w:tcW w:w="560" w:type="dxa"/>
            <w:vAlign w:val="bottom"/>
            <w:shd w:val="clear" w:color="auto" w:fill="BFBFBF"/>
          </w:tcPr>
          <w:p>
            <w:pPr>
              <w:spacing w:after="0"/>
              <w:rPr>
                <w:sz w:val="17"/>
                <w:szCs w:val="17"/>
                <w:color w:val="auto"/>
              </w:rPr>
            </w:pPr>
          </w:p>
        </w:tc>
        <w:tc>
          <w:tcPr>
            <w:tcW w:w="160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7660" w:type="dxa"/>
            <w:vAlign w:val="bottom"/>
          </w:tcPr>
          <w:p>
            <w:pPr>
              <w:ind w:left="100"/>
              <w:spacing w:after="0" w:line="201" w:lineRule="exact"/>
              <w:rPr>
                <w:sz w:val="20"/>
                <w:szCs w:val="20"/>
                <w:color w:val="auto"/>
              </w:rPr>
            </w:pPr>
            <w:r>
              <w:rPr>
                <w:rFonts w:ascii="Arial" w:cs="Arial" w:eastAsia="Arial" w:hAnsi="Arial"/>
                <w:sz w:val="18"/>
                <w:szCs w:val="18"/>
                <w:color w:val="auto"/>
              </w:rPr>
              <w:t>Class B Common Stock, par value $.001 per share;</w:t>
            </w: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authorized 25,000,000 shares; issued and</w:t>
            </w: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3" w:lineRule="exact"/>
              <w:rPr>
                <w:sz w:val="20"/>
                <w:szCs w:val="20"/>
                <w:color w:val="auto"/>
              </w:rPr>
            </w:pPr>
            <w:r>
              <w:rPr>
                <w:rFonts w:ascii="Arial" w:cs="Arial" w:eastAsia="Arial" w:hAnsi="Arial"/>
                <w:sz w:val="18"/>
                <w:szCs w:val="18"/>
                <w:color w:val="auto"/>
              </w:rPr>
              <w:t>outstanding 3,235,048 in 2015 and 2014</w:t>
            </w:r>
          </w:p>
        </w:tc>
        <w:tc>
          <w:tcPr>
            <w:tcW w:w="160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560" w:type="dxa"/>
            <w:vAlign w:val="bottom"/>
          </w:tcPr>
          <w:p>
            <w:pPr>
              <w:spacing w:after="0"/>
              <w:rPr>
                <w:sz w:val="17"/>
                <w:szCs w:val="17"/>
                <w:color w:val="auto"/>
              </w:rPr>
            </w:pPr>
          </w:p>
        </w:tc>
        <w:tc>
          <w:tcPr>
            <w:tcW w:w="160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766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Additional paid in capital</w:t>
            </w: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420,493</w:t>
            </w:r>
          </w:p>
        </w:tc>
        <w:tc>
          <w:tcPr>
            <w:tcW w:w="560" w:type="dxa"/>
            <w:vAlign w:val="bottom"/>
            <w:shd w:val="clear" w:color="auto" w:fill="BFBFBF"/>
          </w:tcPr>
          <w:p>
            <w:pPr>
              <w:spacing w:after="0"/>
              <w:rPr>
                <w:sz w:val="17"/>
                <w:szCs w:val="17"/>
                <w:color w:val="auto"/>
              </w:rPr>
            </w:pP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418,972</w:t>
            </w:r>
          </w:p>
        </w:tc>
        <w:tc>
          <w:tcPr>
            <w:tcW w:w="0" w:type="dxa"/>
            <w:vAlign w:val="bottom"/>
          </w:tcPr>
          <w:p>
            <w:pPr>
              <w:spacing w:after="0"/>
              <w:rPr>
                <w:sz w:val="1"/>
                <w:szCs w:val="1"/>
                <w:color w:val="auto"/>
              </w:rPr>
            </w:pPr>
          </w:p>
        </w:tc>
      </w:tr>
      <w:tr>
        <w:trPr>
          <w:trHeight w:val="202"/>
        </w:trPr>
        <w:tc>
          <w:tcPr>
            <w:tcW w:w="7660" w:type="dxa"/>
            <w:vAlign w:val="bottom"/>
          </w:tcPr>
          <w:p>
            <w:pPr>
              <w:ind w:left="100"/>
              <w:spacing w:after="0" w:line="201" w:lineRule="exact"/>
              <w:rPr>
                <w:sz w:val="20"/>
                <w:szCs w:val="20"/>
                <w:color w:val="auto"/>
              </w:rPr>
            </w:pPr>
            <w:r>
              <w:rPr>
                <w:rFonts w:ascii="Arial" w:cs="Arial" w:eastAsia="Arial" w:hAnsi="Arial"/>
                <w:sz w:val="18"/>
                <w:szCs w:val="18"/>
                <w:color w:val="auto"/>
              </w:rPr>
              <w:t>Retained earnings</w:t>
            </w:r>
          </w:p>
        </w:tc>
        <w:tc>
          <w:tcPr>
            <w:tcW w:w="1600" w:type="dxa"/>
            <w:vAlign w:val="bottom"/>
          </w:tcPr>
          <w:p>
            <w:pPr>
              <w:jc w:val="right"/>
              <w:spacing w:after="0" w:line="201" w:lineRule="exact"/>
              <w:rPr>
                <w:sz w:val="20"/>
                <w:szCs w:val="20"/>
                <w:color w:val="auto"/>
              </w:rPr>
            </w:pPr>
            <w:r>
              <w:rPr>
                <w:rFonts w:ascii="Arial" w:cs="Arial" w:eastAsia="Arial" w:hAnsi="Arial"/>
                <w:sz w:val="18"/>
                <w:szCs w:val="18"/>
                <w:color w:val="auto"/>
              </w:rPr>
              <w:t>463,238</w:t>
            </w:r>
          </w:p>
        </w:tc>
        <w:tc>
          <w:tcPr>
            <w:tcW w:w="560" w:type="dxa"/>
            <w:vAlign w:val="bottom"/>
          </w:tcPr>
          <w:p>
            <w:pPr>
              <w:spacing w:after="0"/>
              <w:rPr>
                <w:sz w:val="17"/>
                <w:szCs w:val="17"/>
                <w:color w:val="auto"/>
              </w:rPr>
            </w:pPr>
          </w:p>
        </w:tc>
        <w:tc>
          <w:tcPr>
            <w:tcW w:w="1600" w:type="dxa"/>
            <w:vAlign w:val="bottom"/>
          </w:tcPr>
          <w:p>
            <w:pPr>
              <w:jc w:val="right"/>
              <w:spacing w:after="0" w:line="201" w:lineRule="exact"/>
              <w:rPr>
                <w:sz w:val="20"/>
                <w:szCs w:val="20"/>
                <w:color w:val="auto"/>
              </w:rPr>
            </w:pPr>
            <w:r>
              <w:rPr>
                <w:rFonts w:ascii="Arial" w:cs="Arial" w:eastAsia="Arial" w:hAnsi="Arial"/>
                <w:sz w:val="18"/>
                <w:szCs w:val="18"/>
                <w:color w:val="auto"/>
              </w:rPr>
              <w:t>456,105</w:t>
            </w:r>
          </w:p>
        </w:tc>
        <w:tc>
          <w:tcPr>
            <w:tcW w:w="0" w:type="dxa"/>
            <w:vAlign w:val="bottom"/>
          </w:tcPr>
          <w:p>
            <w:pPr>
              <w:spacing w:after="0"/>
              <w:rPr>
                <w:sz w:val="1"/>
                <w:szCs w:val="1"/>
                <w:color w:val="auto"/>
              </w:rPr>
            </w:pPr>
          </w:p>
        </w:tc>
      </w:tr>
      <w:tr>
        <w:trPr>
          <w:trHeight w:val="203"/>
        </w:trPr>
        <w:tc>
          <w:tcPr>
            <w:tcW w:w="7660" w:type="dxa"/>
            <w:vAlign w:val="bottom"/>
          </w:tcPr>
          <w:p>
            <w:pPr>
              <w:ind w:left="100"/>
              <w:spacing w:after="0" w:line="203" w:lineRule="exact"/>
              <w:rPr>
                <w:sz w:val="20"/>
                <w:szCs w:val="20"/>
                <w:color w:val="auto"/>
              </w:rPr>
            </w:pPr>
            <w:r>
              <w:rPr>
                <w:rFonts w:ascii="Arial" w:cs="Arial" w:eastAsia="Arial" w:hAnsi="Arial"/>
                <w:sz w:val="18"/>
                <w:szCs w:val="18"/>
                <w:color w:val="auto"/>
              </w:rPr>
              <w:t>Accumulated items of other comprehensive income:</w:t>
            </w: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Translation adjustments</w:t>
            </w:r>
          </w:p>
        </w:tc>
        <w:tc>
          <w:tcPr>
            <w:tcW w:w="2160" w:type="dxa"/>
            <w:vAlign w:val="bottom"/>
            <w:gridSpan w:val="2"/>
            <w:shd w:val="clear" w:color="auto" w:fill="BFBFBF"/>
          </w:tcPr>
          <w:p>
            <w:pPr>
              <w:jc w:val="right"/>
              <w:ind w:right="560"/>
              <w:spacing w:after="0" w:line="202" w:lineRule="exact"/>
              <w:rPr>
                <w:sz w:val="20"/>
                <w:szCs w:val="20"/>
                <w:color w:val="auto"/>
              </w:rPr>
            </w:pPr>
            <w:r>
              <w:rPr>
                <w:rFonts w:ascii="Arial" w:cs="Arial" w:eastAsia="Arial" w:hAnsi="Arial"/>
                <w:sz w:val="18"/>
                <w:szCs w:val="18"/>
                <w:color w:val="auto"/>
              </w:rPr>
              <w:t>(92,653)</w:t>
            </w: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(55,240)</w:t>
            </w: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21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(49,679)</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(51,666)</w:t>
            </w:r>
          </w:p>
        </w:tc>
        <w:tc>
          <w:tcPr>
            <w:tcW w:w="0" w:type="dxa"/>
            <w:vAlign w:val="bottom"/>
          </w:tcPr>
          <w:p>
            <w:pPr>
              <w:spacing w:after="0"/>
              <w:rPr>
                <w:sz w:val="1"/>
                <w:szCs w:val="1"/>
                <w:color w:val="auto"/>
              </w:rPr>
            </w:pPr>
          </w:p>
        </w:tc>
      </w:tr>
      <w:tr>
        <w:trPr>
          <w:trHeight w:val="203"/>
        </w:trPr>
        <w:tc>
          <w:tcPr>
            <w:tcW w:w="766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Derivative valuation adjustment</w:t>
            </w:r>
          </w:p>
        </w:tc>
        <w:tc>
          <w:tcPr>
            <w:tcW w:w="2160" w:type="dxa"/>
            <w:vAlign w:val="bottom"/>
            <w:gridSpan w:val="2"/>
            <w:shd w:val="clear" w:color="auto" w:fill="BFBFBF"/>
          </w:tcPr>
          <w:p>
            <w:pPr>
              <w:jc w:val="right"/>
              <w:ind w:right="560"/>
              <w:spacing w:after="0" w:line="202" w:lineRule="exact"/>
              <w:rPr>
                <w:sz w:val="20"/>
                <w:szCs w:val="20"/>
                <w:color w:val="auto"/>
              </w:rPr>
            </w:pPr>
            <w:r>
              <w:rPr>
                <w:rFonts w:ascii="Arial" w:cs="Arial" w:eastAsia="Arial" w:hAnsi="Arial"/>
                <w:sz w:val="18"/>
                <w:szCs w:val="18"/>
                <w:color w:val="auto"/>
              </w:rPr>
              <w:t>(1,240)</w:t>
            </w: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02"/>
        </w:trPr>
        <w:tc>
          <w:tcPr>
            <w:tcW w:w="7660" w:type="dxa"/>
            <w:vAlign w:val="bottom"/>
          </w:tcPr>
          <w:p>
            <w:pPr>
              <w:ind w:left="100"/>
              <w:spacing w:after="0" w:line="201" w:lineRule="exact"/>
              <w:rPr>
                <w:sz w:val="20"/>
                <w:szCs w:val="20"/>
                <w:color w:val="auto"/>
              </w:rPr>
            </w:pPr>
            <w:r>
              <w:rPr>
                <w:rFonts w:ascii="Arial" w:cs="Arial" w:eastAsia="Arial" w:hAnsi="Arial"/>
                <w:sz w:val="18"/>
                <w:szCs w:val="18"/>
                <w:color w:val="auto"/>
              </w:rPr>
              <w:t>Treasury stock (Class A), at cost 8,459,498 shares</w:t>
            </w: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3" w:lineRule="exact"/>
              <w:rPr>
                <w:sz w:val="20"/>
                <w:szCs w:val="20"/>
                <w:color w:val="auto"/>
              </w:rPr>
            </w:pPr>
            <w:r>
              <w:rPr>
                <w:rFonts w:ascii="Arial" w:cs="Arial" w:eastAsia="Arial" w:hAnsi="Arial"/>
                <w:sz w:val="18"/>
                <w:szCs w:val="18"/>
                <w:color w:val="auto"/>
              </w:rPr>
              <w:t>in 2015 and 2014</w:t>
            </w:r>
          </w:p>
        </w:tc>
        <w:tc>
          <w:tcPr>
            <w:tcW w:w="2160" w:type="dxa"/>
            <w:vAlign w:val="bottom"/>
            <w:gridSpan w:val="2"/>
          </w:tcPr>
          <w:p>
            <w:pPr>
              <w:jc w:val="right"/>
              <w:ind w:right="560"/>
              <w:spacing w:after="0" w:line="203" w:lineRule="exact"/>
              <w:rPr>
                <w:sz w:val="20"/>
                <w:szCs w:val="20"/>
                <w:color w:val="auto"/>
              </w:rPr>
            </w:pPr>
            <w:r>
              <w:rPr>
                <w:rFonts w:ascii="Arial" w:cs="Arial" w:eastAsia="Arial" w:hAnsi="Arial"/>
                <w:sz w:val="18"/>
                <w:szCs w:val="18"/>
                <w:color w:val="auto"/>
              </w:rPr>
              <w:t>(257,481)</w:t>
            </w:r>
          </w:p>
        </w:tc>
        <w:tc>
          <w:tcPr>
            <w:tcW w:w="1600" w:type="dxa"/>
            <w:vAlign w:val="bottom"/>
          </w:tcPr>
          <w:p>
            <w:pPr>
              <w:jc w:val="right"/>
              <w:spacing w:after="0" w:line="203" w:lineRule="exact"/>
              <w:rPr>
                <w:sz w:val="20"/>
                <w:szCs w:val="20"/>
                <w:color w:val="auto"/>
              </w:rPr>
            </w:pPr>
            <w:r>
              <w:rPr>
                <w:rFonts w:ascii="Arial" w:cs="Arial" w:eastAsia="Arial" w:hAnsi="Arial"/>
                <w:sz w:val="18"/>
                <w:szCs w:val="18"/>
                <w:color w:val="auto"/>
              </w:rPr>
              <w:t>(257,481)</w:t>
            </w:r>
          </w:p>
        </w:tc>
        <w:tc>
          <w:tcPr>
            <w:tcW w:w="0" w:type="dxa"/>
            <w:vAlign w:val="bottom"/>
          </w:tcPr>
          <w:p>
            <w:pPr>
              <w:spacing w:after="0"/>
              <w:rPr>
                <w:sz w:val="1"/>
                <w:szCs w:val="1"/>
                <w:color w:val="auto"/>
              </w:rPr>
            </w:pPr>
          </w:p>
        </w:tc>
      </w:tr>
      <w:tr>
        <w:trPr>
          <w:trHeight w:val="196"/>
        </w:trPr>
        <w:tc>
          <w:tcPr>
            <w:tcW w:w="7660" w:type="dxa"/>
            <w:vAlign w:val="bottom"/>
            <w:tcBorders>
              <w:top w:val="single" w:sz="8" w:color="BFBFBF"/>
            </w:tcBorders>
            <w:shd w:val="clear" w:color="auto" w:fill="BFBFBF"/>
          </w:tcPr>
          <w:p>
            <w:pPr>
              <w:ind w:left="300"/>
              <w:spacing w:after="0" w:line="196" w:lineRule="exact"/>
              <w:rPr>
                <w:sz w:val="20"/>
                <w:szCs w:val="20"/>
                <w:color w:val="auto"/>
              </w:rPr>
            </w:pPr>
            <w:r>
              <w:rPr>
                <w:rFonts w:ascii="Arial" w:cs="Arial" w:eastAsia="Arial" w:hAnsi="Arial"/>
                <w:sz w:val="18"/>
                <w:szCs w:val="18"/>
                <w:color w:val="auto"/>
              </w:rPr>
              <w:t>Total Company shareholders' equity</w:t>
            </w:r>
          </w:p>
        </w:tc>
        <w:tc>
          <w:tcPr>
            <w:tcW w:w="160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482,718</w:t>
            </w:r>
          </w:p>
        </w:tc>
        <w:tc>
          <w:tcPr>
            <w:tcW w:w="560" w:type="dxa"/>
            <w:vAlign w:val="bottom"/>
            <w:tcBorders>
              <w:top w:val="single" w:sz="8" w:color="BFBFBF"/>
            </w:tcBorders>
            <w:shd w:val="clear" w:color="auto" w:fill="BFBFBF"/>
          </w:tcPr>
          <w:p>
            <w:pPr>
              <w:spacing w:after="0"/>
              <w:rPr>
                <w:sz w:val="17"/>
                <w:szCs w:val="17"/>
                <w:color w:val="auto"/>
              </w:rPr>
            </w:pPr>
          </w:p>
        </w:tc>
        <w:tc>
          <w:tcPr>
            <w:tcW w:w="160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509,869</w:t>
            </w:r>
          </w:p>
        </w:tc>
        <w:tc>
          <w:tcPr>
            <w:tcW w:w="0" w:type="dxa"/>
            <w:vAlign w:val="bottom"/>
          </w:tcPr>
          <w:p>
            <w:pPr>
              <w:spacing w:after="0"/>
              <w:rPr>
                <w:sz w:val="1"/>
                <w:szCs w:val="1"/>
                <w:color w:val="auto"/>
              </w:rPr>
            </w:pPr>
          </w:p>
        </w:tc>
      </w:tr>
      <w:tr>
        <w:trPr>
          <w:trHeight w:val="203"/>
        </w:trPr>
        <w:tc>
          <w:tcPr>
            <w:tcW w:w="7660" w:type="dxa"/>
            <w:vAlign w:val="bottom"/>
            <w:tcBorders>
              <w:bottom w:val="single" w:sz="8" w:color="BFBFBF"/>
            </w:tcBorders>
          </w:tcPr>
          <w:p>
            <w:pPr>
              <w:ind w:left="100"/>
              <w:spacing w:after="0" w:line="202" w:lineRule="exact"/>
              <w:rPr>
                <w:sz w:val="20"/>
                <w:szCs w:val="20"/>
                <w:color w:val="auto"/>
              </w:rPr>
            </w:pPr>
            <w:r>
              <w:rPr>
                <w:rFonts w:ascii="Arial" w:cs="Arial" w:eastAsia="Arial" w:hAnsi="Arial"/>
                <w:sz w:val="18"/>
                <w:szCs w:val="18"/>
                <w:color w:val="auto"/>
              </w:rPr>
              <w:t>Noncontrolling interest</w:t>
            </w: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3,726</w:t>
            </w:r>
          </w:p>
        </w:tc>
        <w:tc>
          <w:tcPr>
            <w:tcW w:w="560" w:type="dxa"/>
            <w:vAlign w:val="bottom"/>
            <w:tcBorders>
              <w:bottom w:val="single" w:sz="8" w:color="BFBFBF"/>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196"/>
        </w:trPr>
        <w:tc>
          <w:tcPr>
            <w:tcW w:w="7660" w:type="dxa"/>
            <w:vAlign w:val="bottom"/>
            <w:shd w:val="clear" w:color="auto" w:fill="BFBFBF"/>
          </w:tcPr>
          <w:p>
            <w:pPr>
              <w:ind w:left="60"/>
              <w:spacing w:after="0" w:line="196" w:lineRule="exact"/>
              <w:rPr>
                <w:sz w:val="20"/>
                <w:szCs w:val="20"/>
                <w:color w:val="auto"/>
              </w:rPr>
            </w:pPr>
            <w:r>
              <w:rPr>
                <w:rFonts w:ascii="Arial" w:cs="Arial" w:eastAsia="Arial" w:hAnsi="Arial"/>
                <w:sz w:val="18"/>
                <w:szCs w:val="18"/>
                <w:color w:val="auto"/>
              </w:rPr>
              <w:t>Total equity</w:t>
            </w:r>
          </w:p>
        </w:tc>
        <w:tc>
          <w:tcPr>
            <w:tcW w:w="160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486,444</w:t>
            </w:r>
          </w:p>
        </w:tc>
        <w:tc>
          <w:tcPr>
            <w:tcW w:w="560" w:type="dxa"/>
            <w:vAlign w:val="bottom"/>
            <w:shd w:val="clear" w:color="auto" w:fill="BFBFBF"/>
          </w:tcPr>
          <w:p>
            <w:pPr>
              <w:spacing w:after="0"/>
              <w:rPr>
                <w:sz w:val="17"/>
                <w:szCs w:val="17"/>
                <w:color w:val="auto"/>
              </w:rPr>
            </w:pPr>
          </w:p>
        </w:tc>
        <w:tc>
          <w:tcPr>
            <w:tcW w:w="160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513,568</w:t>
            </w:r>
          </w:p>
        </w:tc>
        <w:tc>
          <w:tcPr>
            <w:tcW w:w="0" w:type="dxa"/>
            <w:vAlign w:val="bottom"/>
          </w:tcPr>
          <w:p>
            <w:pPr>
              <w:spacing w:after="0"/>
              <w:rPr>
                <w:sz w:val="1"/>
                <w:szCs w:val="1"/>
                <w:color w:val="auto"/>
              </w:rPr>
            </w:pPr>
          </w:p>
        </w:tc>
      </w:tr>
      <w:tr>
        <w:trPr>
          <w:trHeight w:val="203"/>
        </w:trPr>
        <w:tc>
          <w:tcPr>
            <w:tcW w:w="7660" w:type="dxa"/>
            <w:vAlign w:val="bottom"/>
          </w:tcPr>
          <w:p>
            <w:pPr>
              <w:ind w:left="30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$1,001,619</w:t>
            </w:r>
          </w:p>
        </w:tc>
        <w:tc>
          <w:tcPr>
            <w:tcW w:w="56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$1,029,304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40" w:type="dxa"/>
            <w:vAlign w:val="bottom"/>
          </w:tcPr>
          <w:p>
            <w:pPr>
              <w:jc w:val="center"/>
              <w:ind w:left="3050"/>
              <w:spacing w:after="0"/>
              <w:rPr>
                <w:sz w:val="20"/>
                <w:szCs w:val="20"/>
                <w:color w:val="auto"/>
              </w:rPr>
            </w:pPr>
            <w:r>
              <w:rPr>
                <w:rFonts w:ascii="Arial" w:cs="Arial" w:eastAsia="Arial" w:hAnsi="Arial"/>
                <w:sz w:val="18"/>
                <w:szCs w:val="18"/>
                <w:color w:val="auto"/>
                <w:w w:val="98"/>
              </w:rPr>
              <w:t>ALBANY INTERNATIONAL CORP.</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jc w:val="center"/>
              <w:ind w:left="3050"/>
              <w:spacing w:after="0" w:line="202" w:lineRule="exact"/>
              <w:rPr>
                <w:sz w:val="20"/>
                <w:szCs w:val="20"/>
                <w:color w:val="auto"/>
              </w:rPr>
            </w:pPr>
            <w:r>
              <w:rPr>
                <w:rFonts w:ascii="Arial" w:cs="Arial" w:eastAsia="Arial" w:hAnsi="Arial"/>
                <w:sz w:val="18"/>
                <w:szCs w:val="18"/>
                <w:color w:val="auto"/>
                <w:w w:val="98"/>
              </w:rPr>
              <w:t>CONSOLIDATED STATEMENTS OF CASH FLOW</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jc w:val="center"/>
              <w:ind w:left="3050"/>
              <w:spacing w:after="0" w:line="202" w:lineRule="exact"/>
              <w:rPr>
                <w:sz w:val="20"/>
                <w:szCs w:val="20"/>
                <w:color w:val="auto"/>
              </w:rPr>
            </w:pPr>
            <w:r>
              <w:rPr>
                <w:rFonts w:ascii="Arial" w:cs="Arial" w:eastAsia="Arial" w:hAnsi="Arial"/>
                <w:sz w:val="18"/>
                <w:szCs w:val="18"/>
                <w:color w:val="auto"/>
                <w:w w:val="99"/>
              </w:rPr>
              <w:t>(in thousands)</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tcPr>
          <w:p>
            <w:pPr>
              <w:jc w:val="center"/>
              <w:ind w:left="3050"/>
              <w:spacing w:after="0"/>
              <w:rPr>
                <w:sz w:val="20"/>
                <w:szCs w:val="20"/>
                <w:color w:val="auto"/>
              </w:rPr>
            </w:pPr>
            <w:r>
              <w:rPr>
                <w:rFonts w:ascii="Arial" w:cs="Arial" w:eastAsia="Arial" w:hAnsi="Arial"/>
                <w:sz w:val="18"/>
                <w:szCs w:val="18"/>
                <w:color w:val="auto"/>
                <w:w w:val="98"/>
              </w:rPr>
              <w:t>(unaudited)</w:t>
            </w:r>
          </w:p>
        </w:tc>
        <w:tc>
          <w:tcPr>
            <w:tcW w:w="3180" w:type="dxa"/>
            <w:vAlign w:val="bottom"/>
            <w:gridSpan w:val="5"/>
            <w:vMerge w:val="restart"/>
          </w:tcPr>
          <w:p>
            <w:pPr>
              <w:jc w:val="center"/>
              <w:ind w:right="20"/>
              <w:spacing w:after="0"/>
              <w:rPr>
                <w:sz w:val="20"/>
                <w:szCs w:val="20"/>
                <w:color w:val="auto"/>
              </w:rPr>
            </w:pPr>
            <w:r>
              <w:rPr>
                <w:rFonts w:ascii="Arial" w:cs="Arial" w:eastAsia="Arial" w:hAnsi="Arial"/>
                <w:sz w:val="18"/>
                <w:szCs w:val="18"/>
                <w:color w:val="auto"/>
                <w:w w:val="99"/>
              </w:rPr>
              <w:t>Three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240" w:type="dxa"/>
            <w:vAlign w:val="bottom"/>
          </w:tcPr>
          <w:p>
            <w:pPr>
              <w:spacing w:after="0"/>
              <w:rPr>
                <w:sz w:val="16"/>
                <w:szCs w:val="16"/>
                <w:color w:val="auto"/>
              </w:rPr>
            </w:pPr>
          </w:p>
        </w:tc>
        <w:tc>
          <w:tcPr>
            <w:tcW w:w="318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2100" w:type="dxa"/>
            <w:vAlign w:val="bottom"/>
            <w:gridSpan w:val="3"/>
          </w:tcPr>
          <w:p>
            <w:pPr>
              <w:jc w:val="center"/>
              <w:ind w:left="970"/>
              <w:spacing w:after="0" w:line="202" w:lineRule="exact"/>
              <w:rPr>
                <w:sz w:val="20"/>
                <w:szCs w:val="20"/>
                <w:color w:val="auto"/>
              </w:rPr>
            </w:pPr>
            <w:r>
              <w:rPr>
                <w:rFonts w:ascii="Arial" w:cs="Arial" w:eastAsia="Arial" w:hAnsi="Arial"/>
                <w:sz w:val="18"/>
                <w:szCs w:val="18"/>
                <w:color w:val="auto"/>
                <w:w w:val="99"/>
              </w:rPr>
              <w:t>March 31,</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OPERATING ACTIVITIES</w:t>
            </w:r>
          </w:p>
        </w:tc>
        <w:tc>
          <w:tcPr>
            <w:tcW w:w="148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2015</w:t>
            </w:r>
          </w:p>
        </w:tc>
        <w:tc>
          <w:tcPr>
            <w:tcW w:w="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60" w:type="dxa"/>
            <w:vAlign w:val="bottom"/>
            <w:gridSpan w:val="2"/>
            <w:vMerge w:val="continue"/>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Net income</w:t>
            </w:r>
          </w:p>
        </w:tc>
        <w:tc>
          <w:tcPr>
            <w:tcW w:w="14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$12,239</w:t>
            </w:r>
          </w:p>
        </w:tc>
        <w:tc>
          <w:tcPr>
            <w:tcW w:w="20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10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$10,693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Depreciation</w:t>
            </w:r>
          </w:p>
        </w:tc>
        <w:tc>
          <w:tcPr>
            <w:tcW w:w="14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13,524</w:t>
            </w:r>
          </w:p>
        </w:tc>
        <w:tc>
          <w:tcPr>
            <w:tcW w:w="20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10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14,107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40"/>
              <w:spacing w:after="0" w:line="202" w:lineRule="exact"/>
              <w:rPr>
                <w:sz w:val="20"/>
                <w:szCs w:val="20"/>
                <w:color w:val="auto"/>
              </w:rPr>
            </w:pPr>
            <w:r>
              <w:rPr>
                <w:rFonts w:ascii="Arial" w:cs="Arial" w:eastAsia="Arial" w:hAnsi="Arial"/>
                <w:sz w:val="18"/>
                <w:szCs w:val="18"/>
                <w:color w:val="auto"/>
              </w:rPr>
              <w:t>Amortization</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1,830</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Change in long-term liabilities, deferred taxes and other credits</w:t>
            </w:r>
          </w:p>
        </w:tc>
        <w:tc>
          <w:tcPr>
            <w:tcW w:w="14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(277)</w:t>
            </w:r>
          </w:p>
        </w:tc>
        <w:tc>
          <w:tcPr>
            <w:tcW w:w="20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10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40"/>
              <w:spacing w:after="0" w:line="202" w:lineRule="exact"/>
              <w:rPr>
                <w:sz w:val="20"/>
                <w:szCs w:val="20"/>
                <w:color w:val="auto"/>
              </w:rPr>
            </w:pPr>
            <w:r>
              <w:rPr>
                <w:rFonts w:ascii="Arial" w:cs="Arial" w:eastAsia="Arial" w:hAnsi="Arial"/>
                <w:sz w:val="18"/>
                <w:szCs w:val="18"/>
                <w:color w:val="auto"/>
              </w:rPr>
              <w:t>Provision for write-off of property, plant and equipment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Gain on disposition of assets</w:t>
            </w:r>
          </w:p>
        </w:tc>
        <w:tc>
          <w:tcPr>
            <w:tcW w:w="1680" w:type="dxa"/>
            <w:vAlign w:val="bottom"/>
            <w:gridSpan w:val="2"/>
            <w:shd w:val="clear" w:color="auto" w:fill="BFBFBF"/>
          </w:tcPr>
          <w:p>
            <w:pPr>
              <w:jc w:val="right"/>
              <w:ind w:right="200"/>
              <w:spacing w:after="0" w:line="202" w:lineRule="exact"/>
              <w:rPr>
                <w:sz w:val="20"/>
                <w:szCs w:val="20"/>
                <w:color w:val="auto"/>
              </w:rPr>
            </w:pPr>
            <w:r>
              <w:rPr>
                <w:rFonts w:ascii="Arial" w:cs="Arial" w:eastAsia="Arial" w:hAnsi="Arial"/>
                <w:sz w:val="18"/>
                <w:szCs w:val="18"/>
                <w:color w:val="auto"/>
              </w:rPr>
              <w:t>(1,056)</w:t>
            </w:r>
          </w:p>
        </w:tc>
        <w:tc>
          <w:tcPr>
            <w:tcW w:w="420" w:type="dxa"/>
            <w:vAlign w:val="bottom"/>
            <w:shd w:val="clear" w:color="auto" w:fill="BFBFBF"/>
          </w:tcPr>
          <w:p>
            <w:pPr>
              <w:spacing w:after="0"/>
              <w:rPr>
                <w:sz w:val="17"/>
                <w:szCs w:val="17"/>
                <w:color w:val="auto"/>
              </w:rPr>
            </w:pPr>
          </w:p>
        </w:tc>
        <w:tc>
          <w:tcPr>
            <w:tcW w:w="10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40"/>
              <w:spacing w:after="0" w:line="202" w:lineRule="exact"/>
              <w:rPr>
                <w:sz w:val="20"/>
                <w:szCs w:val="20"/>
                <w:color w:val="auto"/>
              </w:rPr>
            </w:pPr>
            <w:r>
              <w:rPr>
                <w:rFonts w:ascii="Arial" w:cs="Arial" w:eastAsia="Arial" w:hAnsi="Arial"/>
                <w:sz w:val="18"/>
                <w:szCs w:val="18"/>
                <w:color w:val="auto"/>
              </w:rPr>
              <w:t>Excess tax benefit of options exercised</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(261)</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Compensation and benefits paid or payable in Class A Common Stock</w:t>
            </w:r>
          </w:p>
        </w:tc>
        <w:tc>
          <w:tcPr>
            <w:tcW w:w="14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576</w:t>
            </w:r>
          </w:p>
        </w:tc>
        <w:tc>
          <w:tcPr>
            <w:tcW w:w="20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10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826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that provide/(use) cash:</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Accounts receivable</w:t>
            </w:r>
          </w:p>
        </w:tc>
        <w:tc>
          <w:tcPr>
            <w:tcW w:w="14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(13,699)</w:t>
            </w:r>
          </w:p>
        </w:tc>
        <w:tc>
          <w:tcPr>
            <w:tcW w:w="20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10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10,964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40"/>
              <w:spacing w:after="0" w:line="202" w:lineRule="exact"/>
              <w:rPr>
                <w:sz w:val="20"/>
                <w:szCs w:val="20"/>
                <w:color w:val="auto"/>
              </w:rPr>
            </w:pPr>
            <w:r>
              <w:rPr>
                <w:rFonts w:ascii="Arial" w:cs="Arial" w:eastAsia="Arial" w:hAnsi="Arial"/>
                <w:sz w:val="18"/>
                <w:szCs w:val="18"/>
                <w:color w:val="auto"/>
              </w:rPr>
              <w:t>Inventories</w:t>
            </w:r>
          </w:p>
        </w:tc>
        <w:tc>
          <w:tcPr>
            <w:tcW w:w="16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(3,070)</w:t>
            </w:r>
          </w:p>
        </w:tc>
        <w:tc>
          <w:tcPr>
            <w:tcW w:w="4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(8,996)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80" w:type="dxa"/>
            <w:vAlign w:val="bottom"/>
            <w:gridSpan w:val="2"/>
            <w:shd w:val="clear" w:color="auto" w:fill="BFBFBF"/>
          </w:tcPr>
          <w:p>
            <w:pPr>
              <w:jc w:val="right"/>
              <w:ind w:right="200"/>
              <w:spacing w:after="0" w:line="202" w:lineRule="exact"/>
              <w:rPr>
                <w:sz w:val="20"/>
                <w:szCs w:val="20"/>
                <w:color w:val="auto"/>
              </w:rPr>
            </w:pPr>
            <w:r>
              <w:rPr>
                <w:rFonts w:ascii="Arial" w:cs="Arial" w:eastAsia="Arial" w:hAnsi="Arial"/>
                <w:sz w:val="18"/>
                <w:szCs w:val="18"/>
                <w:color w:val="auto"/>
              </w:rPr>
              <w:t>(2,705)</w:t>
            </w:r>
          </w:p>
        </w:tc>
        <w:tc>
          <w:tcPr>
            <w:tcW w:w="420" w:type="dxa"/>
            <w:vAlign w:val="bottom"/>
            <w:shd w:val="clear" w:color="auto" w:fill="BFBFBF"/>
          </w:tcPr>
          <w:p>
            <w:pPr>
              <w:spacing w:after="0"/>
              <w:rPr>
                <w:sz w:val="17"/>
                <w:szCs w:val="17"/>
                <w:color w:val="auto"/>
              </w:rPr>
            </w:pPr>
          </w:p>
        </w:tc>
        <w:tc>
          <w:tcPr>
            <w:tcW w:w="10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(2,148)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40"/>
              <w:spacing w:after="0" w:line="202" w:lineRule="exact"/>
              <w:rPr>
                <w:sz w:val="20"/>
                <w:szCs w:val="20"/>
                <w:color w:val="auto"/>
              </w:rPr>
            </w:pPr>
            <w:r>
              <w:rPr>
                <w:rFonts w:ascii="Arial" w:cs="Arial" w:eastAsia="Arial" w:hAnsi="Arial"/>
                <w:sz w:val="18"/>
                <w:szCs w:val="18"/>
                <w:color w:val="auto"/>
              </w:rPr>
              <w:t>Income taxes prepaid and receivable</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Accounts payable</w:t>
            </w:r>
          </w:p>
        </w:tc>
        <w:tc>
          <w:tcPr>
            <w:tcW w:w="14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3,512</w:t>
            </w:r>
          </w:p>
        </w:tc>
        <w:tc>
          <w:tcPr>
            <w:tcW w:w="20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10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(1,294)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40"/>
              <w:spacing w:after="0" w:line="202" w:lineRule="exact"/>
              <w:rPr>
                <w:sz w:val="20"/>
                <w:szCs w:val="20"/>
                <w:color w:val="auto"/>
              </w:rPr>
            </w:pPr>
            <w:r>
              <w:rPr>
                <w:rFonts w:ascii="Arial" w:cs="Arial" w:eastAsia="Arial" w:hAnsi="Arial"/>
                <w:sz w:val="18"/>
                <w:szCs w:val="18"/>
                <w:color w:val="auto"/>
              </w:rPr>
              <w:t>Accrued liabilities</w:t>
            </w:r>
          </w:p>
        </w:tc>
        <w:tc>
          <w:tcPr>
            <w:tcW w:w="16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(1,587)</w:t>
            </w:r>
          </w:p>
        </w:tc>
        <w:tc>
          <w:tcPr>
            <w:tcW w:w="4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(12,849)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Income taxes payable</w:t>
            </w:r>
          </w:p>
        </w:tc>
        <w:tc>
          <w:tcPr>
            <w:tcW w:w="14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(398)</w:t>
            </w:r>
          </w:p>
        </w:tc>
        <w:tc>
          <w:tcPr>
            <w:tcW w:w="20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10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(1,710)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40"/>
              <w:spacing w:after="0" w:line="202" w:lineRule="exact"/>
              <w:rPr>
                <w:sz w:val="20"/>
                <w:szCs w:val="20"/>
                <w:color w:val="auto"/>
              </w:rPr>
            </w:pPr>
            <w:r>
              <w:rPr>
                <w:rFonts w:ascii="Arial" w:cs="Arial" w:eastAsia="Arial" w:hAnsi="Arial"/>
                <w:sz w:val="18"/>
                <w:szCs w:val="18"/>
                <w:color w:val="auto"/>
              </w:rPr>
              <w:t>Other, net</w:t>
            </w:r>
          </w:p>
        </w:tc>
        <w:tc>
          <w:tcPr>
            <w:tcW w:w="16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(2,455)</w:t>
            </w:r>
          </w:p>
        </w:tc>
        <w:tc>
          <w:tcPr>
            <w:tcW w:w="4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(2,031)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40" w:type="dxa"/>
            <w:vAlign w:val="bottom"/>
            <w:tcBorders>
              <w:top w:val="single" w:sz="8" w:color="BFBFBF"/>
            </w:tcBorders>
            <w:shd w:val="clear" w:color="auto" w:fill="BFBFBF"/>
          </w:tcPr>
          <w:p>
            <w:pPr>
              <w:ind w:left="34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48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6,409</w:t>
            </w:r>
          </w:p>
        </w:tc>
        <w:tc>
          <w:tcPr>
            <w:tcW w:w="200" w:type="dxa"/>
            <w:vAlign w:val="bottom"/>
            <w:tcBorders>
              <w:top w:val="single" w:sz="8" w:color="BFBFBF"/>
            </w:tcBorders>
            <w:shd w:val="clear" w:color="auto" w:fill="BFBFBF"/>
          </w:tcPr>
          <w:p>
            <w:pPr>
              <w:spacing w:after="0"/>
              <w:rPr>
                <w:sz w:val="17"/>
                <w:szCs w:val="17"/>
                <w:color w:val="auto"/>
              </w:rPr>
            </w:pPr>
          </w:p>
        </w:tc>
        <w:tc>
          <w:tcPr>
            <w:tcW w:w="420" w:type="dxa"/>
            <w:vAlign w:val="bottom"/>
            <w:tcBorders>
              <w:top w:val="single" w:sz="8" w:color="auto"/>
              <w:bottom w:val="single" w:sz="8" w:color="auto"/>
            </w:tcBorders>
            <w:shd w:val="clear" w:color="auto" w:fill="BFBFBF"/>
          </w:tcPr>
          <w:p>
            <w:pPr>
              <w:spacing w:after="0"/>
              <w:rPr>
                <w:sz w:val="17"/>
                <w:szCs w:val="17"/>
                <w:color w:val="auto"/>
              </w:rPr>
            </w:pPr>
          </w:p>
        </w:tc>
        <w:tc>
          <w:tcPr>
            <w:tcW w:w="106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8,848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82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14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(12,211)</w:t>
            </w:r>
          </w:p>
        </w:tc>
        <w:tc>
          <w:tcPr>
            <w:tcW w:w="20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10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(14,603)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40"/>
              <w:spacing w:after="0" w:line="202" w:lineRule="exact"/>
              <w:rPr>
                <w:sz w:val="20"/>
                <w:szCs w:val="20"/>
                <w:color w:val="auto"/>
              </w:rPr>
            </w:pPr>
            <w:r>
              <w:rPr>
                <w:rFonts w:ascii="Arial" w:cs="Arial" w:eastAsia="Arial" w:hAnsi="Arial"/>
                <w:sz w:val="18"/>
                <w:szCs w:val="18"/>
                <w:color w:val="auto"/>
              </w:rPr>
              <w:t>Purchased software</w:t>
            </w:r>
          </w:p>
        </w:tc>
        <w:tc>
          <w:tcPr>
            <w:tcW w:w="16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(33)</w:t>
            </w:r>
          </w:p>
        </w:tc>
        <w:tc>
          <w:tcPr>
            <w:tcW w:w="4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Proceeds from sale of assets</w:t>
            </w:r>
          </w:p>
        </w:tc>
        <w:tc>
          <w:tcPr>
            <w:tcW w:w="148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2,797</w:t>
            </w:r>
          </w:p>
        </w:tc>
        <w:tc>
          <w:tcPr>
            <w:tcW w:w="200" w:type="dxa"/>
            <w:vAlign w:val="bottom"/>
            <w:shd w:val="clear" w:color="auto" w:fill="BFBFBF"/>
          </w:tcPr>
          <w:p>
            <w:pPr>
              <w:spacing w:after="0"/>
              <w:rPr>
                <w:sz w:val="17"/>
                <w:szCs w:val="17"/>
                <w:color w:val="auto"/>
              </w:rPr>
            </w:pPr>
          </w:p>
        </w:tc>
        <w:tc>
          <w:tcPr>
            <w:tcW w:w="420" w:type="dxa"/>
            <w:vAlign w:val="bottom"/>
            <w:tcBorders>
              <w:bottom w:val="single" w:sz="8" w:color="auto"/>
            </w:tcBorders>
            <w:shd w:val="clear" w:color="auto" w:fill="BFBFBF"/>
          </w:tcPr>
          <w:p>
            <w:pPr>
              <w:spacing w:after="0"/>
              <w:rPr>
                <w:sz w:val="17"/>
                <w:szCs w:val="17"/>
                <w:color w:val="auto"/>
              </w:rPr>
            </w:pPr>
          </w:p>
        </w:tc>
        <w:tc>
          <w:tcPr>
            <w:tcW w:w="106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40" w:type="dxa"/>
            <w:vAlign w:val="bottom"/>
          </w:tcPr>
          <w:p>
            <w:pPr>
              <w:ind w:left="340"/>
              <w:spacing w:after="0" w:line="196" w:lineRule="exact"/>
              <w:rPr>
                <w:sz w:val="20"/>
                <w:szCs w:val="20"/>
                <w:color w:val="auto"/>
              </w:rPr>
            </w:pPr>
            <w:r>
              <w:rPr>
                <w:rFonts w:ascii="Arial" w:cs="Arial" w:eastAsia="Arial" w:hAnsi="Arial"/>
                <w:sz w:val="18"/>
                <w:szCs w:val="18"/>
                <w:color w:val="auto"/>
              </w:rPr>
              <w:t>Net cash used in investing activities</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(9,447)</w:t>
            </w:r>
          </w:p>
        </w:tc>
        <w:tc>
          <w:tcPr>
            <w:tcW w:w="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82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Proceeds from borrowings</w:t>
            </w:r>
          </w:p>
        </w:tc>
        <w:tc>
          <w:tcPr>
            <w:tcW w:w="14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15,274</w:t>
            </w:r>
          </w:p>
        </w:tc>
        <w:tc>
          <w:tcPr>
            <w:tcW w:w="20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10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4,435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40"/>
              <w:spacing w:after="0" w:line="202" w:lineRule="exact"/>
              <w:rPr>
                <w:sz w:val="20"/>
                <w:szCs w:val="20"/>
                <w:color w:val="auto"/>
              </w:rPr>
            </w:pPr>
            <w:r>
              <w:rPr>
                <w:rFonts w:ascii="Arial" w:cs="Arial" w:eastAsia="Arial" w:hAnsi="Arial"/>
                <w:sz w:val="18"/>
                <w:szCs w:val="18"/>
                <w:color w:val="auto"/>
              </w:rPr>
              <w:t>Principal payments on debt</w:t>
            </w:r>
          </w:p>
        </w:tc>
        <w:tc>
          <w:tcPr>
            <w:tcW w:w="16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(5,443)</w:t>
            </w:r>
          </w:p>
        </w:tc>
        <w:tc>
          <w:tcPr>
            <w:tcW w:w="4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(6,516)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Proceeds from options exercised</w:t>
            </w:r>
          </w:p>
        </w:tc>
        <w:tc>
          <w:tcPr>
            <w:tcW w:w="14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685</w:t>
            </w:r>
          </w:p>
        </w:tc>
        <w:tc>
          <w:tcPr>
            <w:tcW w:w="20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10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ind w:left="340"/>
              <w:spacing w:after="0" w:line="202" w:lineRule="exact"/>
              <w:rPr>
                <w:sz w:val="20"/>
                <w:szCs w:val="20"/>
                <w:color w:val="auto"/>
              </w:rPr>
            </w:pPr>
            <w:r>
              <w:rPr>
                <w:rFonts w:ascii="Arial" w:cs="Arial" w:eastAsia="Arial" w:hAnsi="Arial"/>
                <w:sz w:val="18"/>
                <w:szCs w:val="18"/>
                <w:color w:val="auto"/>
              </w:rPr>
              <w:t>Excess tax benefit of options exercised</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261</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Dividends paid</w:t>
            </w:r>
          </w:p>
        </w:tc>
        <w:tc>
          <w:tcPr>
            <w:tcW w:w="1680" w:type="dxa"/>
            <w:vAlign w:val="bottom"/>
            <w:gridSpan w:val="2"/>
            <w:shd w:val="clear" w:color="auto" w:fill="BFBFBF"/>
          </w:tcPr>
          <w:p>
            <w:pPr>
              <w:jc w:val="right"/>
              <w:ind w:right="200"/>
              <w:spacing w:after="0" w:line="202" w:lineRule="exact"/>
              <w:rPr>
                <w:sz w:val="20"/>
                <w:szCs w:val="20"/>
                <w:color w:val="auto"/>
              </w:rPr>
            </w:pPr>
            <w:r>
              <w:rPr>
                <w:rFonts w:ascii="Arial" w:cs="Arial" w:eastAsia="Arial" w:hAnsi="Arial"/>
                <w:sz w:val="18"/>
                <w:szCs w:val="18"/>
                <w:color w:val="auto"/>
              </w:rPr>
              <w:t>(5,098)</w:t>
            </w:r>
          </w:p>
        </w:tc>
        <w:tc>
          <w:tcPr>
            <w:tcW w:w="420" w:type="dxa"/>
            <w:vAlign w:val="bottom"/>
            <w:shd w:val="clear" w:color="auto" w:fill="BFBFBF"/>
          </w:tcPr>
          <w:p>
            <w:pPr>
              <w:spacing w:after="0"/>
              <w:rPr>
                <w:sz w:val="17"/>
                <w:szCs w:val="17"/>
                <w:color w:val="auto"/>
              </w:rPr>
            </w:pPr>
          </w:p>
        </w:tc>
        <w:tc>
          <w:tcPr>
            <w:tcW w:w="10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(4,765)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40" w:type="dxa"/>
            <w:vAlign w:val="bottom"/>
          </w:tcPr>
          <w:p>
            <w:pPr>
              <w:ind w:left="340"/>
              <w:spacing w:after="0" w:line="196" w:lineRule="exact"/>
              <w:rPr>
                <w:sz w:val="20"/>
                <w:szCs w:val="20"/>
                <w:color w:val="auto"/>
              </w:rPr>
            </w:pPr>
            <w:r>
              <w:rPr>
                <w:rFonts w:ascii="Arial" w:cs="Arial" w:eastAsia="Arial" w:hAnsi="Arial"/>
                <w:sz w:val="18"/>
                <w:szCs w:val="18"/>
                <w:color w:val="auto"/>
              </w:rPr>
              <w:t>Net cash provided by/(used in) financing activities</w:t>
            </w: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5,679</w:t>
            </w:r>
          </w:p>
        </w:tc>
        <w:tc>
          <w:tcPr>
            <w:tcW w:w="20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4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148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(11,605)</w:t>
            </w:r>
          </w:p>
        </w:tc>
        <w:tc>
          <w:tcPr>
            <w:tcW w:w="200" w:type="dxa"/>
            <w:vAlign w:val="bottom"/>
            <w:shd w:val="clear" w:color="auto" w:fill="BFBFBF"/>
          </w:tcPr>
          <w:p>
            <w:pPr>
              <w:spacing w:after="0"/>
              <w:rPr>
                <w:sz w:val="17"/>
                <w:szCs w:val="17"/>
                <w:color w:val="auto"/>
              </w:rPr>
            </w:pPr>
          </w:p>
        </w:tc>
        <w:tc>
          <w:tcPr>
            <w:tcW w:w="420" w:type="dxa"/>
            <w:vAlign w:val="bottom"/>
            <w:tcBorders>
              <w:bottom w:val="single" w:sz="8" w:color="auto"/>
            </w:tcBorders>
            <w:shd w:val="clear" w:color="auto" w:fill="BFBFBF"/>
          </w:tcPr>
          <w:p>
            <w:pPr>
              <w:spacing w:after="0"/>
              <w:rPr>
                <w:sz w:val="17"/>
                <w:szCs w:val="17"/>
                <w:color w:val="auto"/>
              </w:rPr>
            </w:pPr>
          </w:p>
        </w:tc>
        <w:tc>
          <w:tcPr>
            <w:tcW w:w="106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(1,557)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4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Decrease in cash and cash equivalents</w:t>
            </w:r>
          </w:p>
        </w:tc>
        <w:tc>
          <w:tcPr>
            <w:tcW w:w="1680" w:type="dxa"/>
            <w:vAlign w:val="bottom"/>
            <w:gridSpan w:val="2"/>
            <w:shd w:val="clear" w:color="auto" w:fill="BFBFBF"/>
          </w:tcPr>
          <w:p>
            <w:pPr>
              <w:jc w:val="right"/>
              <w:ind w:right="200"/>
              <w:spacing w:after="0" w:line="202" w:lineRule="exact"/>
              <w:rPr>
                <w:sz w:val="20"/>
                <w:szCs w:val="20"/>
                <w:color w:val="auto"/>
              </w:rPr>
            </w:pPr>
            <w:r>
              <w:rPr>
                <w:rFonts w:ascii="Arial" w:cs="Arial" w:eastAsia="Arial" w:hAnsi="Arial"/>
                <w:sz w:val="18"/>
                <w:szCs w:val="18"/>
                <w:color w:val="auto"/>
              </w:rPr>
              <w:t>(8,964)</w:t>
            </w:r>
          </w:p>
        </w:tc>
        <w:tc>
          <w:tcPr>
            <w:tcW w:w="420" w:type="dxa"/>
            <w:vAlign w:val="bottom"/>
            <w:shd w:val="clear" w:color="auto" w:fill="BFBFBF"/>
          </w:tcPr>
          <w:p>
            <w:pPr>
              <w:spacing w:after="0"/>
              <w:rPr>
                <w:sz w:val="17"/>
                <w:szCs w:val="17"/>
                <w:color w:val="auto"/>
              </w:rPr>
            </w:pPr>
          </w:p>
        </w:tc>
        <w:tc>
          <w:tcPr>
            <w:tcW w:w="10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(14,287)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Borders>
              <w:bottom w:val="single" w:sz="8" w:color="BFBFBF"/>
            </w:tcBorders>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179,802</w:t>
            </w:r>
          </w:p>
        </w:tc>
        <w:tc>
          <w:tcPr>
            <w:tcW w:w="200" w:type="dxa"/>
            <w:vAlign w:val="bottom"/>
            <w:tcBorders>
              <w:bottom w:val="single" w:sz="8" w:color="BFBFB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222,666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Borders>
              <w:bottom w:val="single" w:sz="8" w:color="BFBFBF"/>
            </w:tcBorders>
            <w:shd w:val="clear" w:color="auto" w:fill="BFBFBF"/>
          </w:tcPr>
          <w:p>
            <w:pPr>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148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$170,838</w:t>
            </w:r>
          </w:p>
        </w:tc>
        <w:tc>
          <w:tcPr>
            <w:tcW w:w="200" w:type="dxa"/>
            <w:vAlign w:val="bottom"/>
            <w:tcBorders>
              <w:bottom w:val="single" w:sz="8" w:color="BFBFBF"/>
            </w:tcBorders>
            <w:shd w:val="clear" w:color="auto" w:fill="BFBFBF"/>
          </w:tcPr>
          <w:p>
            <w:pPr>
              <w:spacing w:after="0"/>
              <w:rPr>
                <w:sz w:val="17"/>
                <w:szCs w:val="17"/>
                <w:color w:val="auto"/>
              </w:rPr>
            </w:pPr>
          </w:p>
        </w:tc>
        <w:tc>
          <w:tcPr>
            <w:tcW w:w="420" w:type="dxa"/>
            <w:vAlign w:val="bottom"/>
            <w:tcBorders>
              <w:bottom w:val="single" w:sz="8" w:color="auto"/>
            </w:tcBorders>
            <w:shd w:val="clear" w:color="auto" w:fill="BFBFBF"/>
          </w:tcPr>
          <w:p>
            <w:pPr>
              <w:spacing w:after="0"/>
              <w:rPr>
                <w:sz w:val="17"/>
                <w:szCs w:val="17"/>
                <w:color w:val="auto"/>
              </w:rPr>
            </w:pPr>
          </w:p>
        </w:tc>
        <w:tc>
          <w:tcPr>
            <w:tcW w:w="106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$208,379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Basis of Presentation</w:t>
      </w:r>
    </w:p>
    <w:p>
      <w:pPr>
        <w:spacing w:after="0" w:line="126" w:lineRule="exact"/>
        <w:rPr>
          <w:sz w:val="20"/>
          <w:szCs w:val="20"/>
          <w:color w:val="auto"/>
        </w:rPr>
      </w:pPr>
    </w:p>
    <w:p>
      <w:pPr>
        <w:ind w:right="80" w:firstLine="360"/>
        <w:spacing w:after="0" w:line="236"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consisting of only normal recurring adjustments and elimination of intercompany transactions necessary for a fair presentation of results for such periods. Albany International Corp. (“Albany”) consolidates the financial results of its subsidiaries for all periods presented. The results for any interim period are not necessarily indicative of results for the full year. The information included in this Quarterly Report on Form 10-Q should be read in conjunction with “Risk Factors,” “ Legal Proceedings,” “Management’s Discussion and Analysis of Financial Condition and Results of Operation,” “Quantitative and Qualitative Disclosures about Market Risk” and the Consolidated Financial Statements and Notes thereto included in Items 1A, 3, 7, 7A and 8, respectively, of the Albany International Corp. Annual Report on Form 10-K for the fiscal year ended December 31, 2014.</w:t>
      </w:r>
    </w:p>
    <w:p>
      <w:pPr>
        <w:spacing w:after="0" w:line="100" w:lineRule="exact"/>
        <w:rPr>
          <w:sz w:val="20"/>
          <w:szCs w:val="20"/>
          <w:color w:val="auto"/>
        </w:rPr>
      </w:pPr>
    </w:p>
    <w:p>
      <w:pPr>
        <w:ind w:right="120" w:firstLine="360"/>
        <w:spacing w:after="0"/>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Noncontrolling Interest</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4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tcPr>
          <w:p>
            <w:pPr>
              <w:jc w:val="right"/>
              <w:ind w:right="10"/>
              <w:spacing w:after="0" w:line="194" w:lineRule="exact"/>
              <w:rPr>
                <w:sz w:val="20"/>
                <w:szCs w:val="20"/>
                <w:color w:val="auto"/>
              </w:rPr>
            </w:pPr>
            <w:r>
              <w:rPr>
                <w:rFonts w:ascii="Arial" w:cs="Arial" w:eastAsia="Arial" w:hAnsi="Arial"/>
                <w:sz w:val="18"/>
                <w:szCs w:val="18"/>
                <w:b w:val="1"/>
                <w:bCs w:val="1"/>
                <w:color w:val="auto"/>
              </w:rPr>
              <w:t>Three months ended</w:t>
            </w:r>
          </w:p>
        </w:tc>
        <w:tc>
          <w:tcPr>
            <w:tcW w:w="1540" w:type="dxa"/>
            <w:vAlign w:val="bottom"/>
            <w:tcBorders>
              <w:top w:val="single" w:sz="8" w:color="auto"/>
            </w:tcBorders>
          </w:tcPr>
          <w:p>
            <w:pPr>
              <w:spacing w:after="0"/>
              <w:rPr>
                <w:sz w:val="16"/>
                <w:szCs w:val="16"/>
                <w:color w:val="auto"/>
              </w:rPr>
            </w:pPr>
          </w:p>
        </w:tc>
      </w:tr>
      <w:tr>
        <w:trPr>
          <w:trHeight w:val="203"/>
        </w:trPr>
        <w:tc>
          <w:tcPr>
            <w:tcW w:w="6840" w:type="dxa"/>
            <w:vAlign w:val="bottom"/>
          </w:tcPr>
          <w:p>
            <w:pPr>
              <w:spacing w:after="0"/>
              <w:rPr>
                <w:sz w:val="17"/>
                <w:szCs w:val="17"/>
                <w:color w:val="auto"/>
              </w:rPr>
            </w:pPr>
          </w:p>
        </w:tc>
        <w:tc>
          <w:tcPr>
            <w:tcW w:w="3040" w:type="dxa"/>
            <w:vAlign w:val="bottom"/>
          </w:tcPr>
          <w:p>
            <w:pPr>
              <w:ind w:left="1660"/>
              <w:spacing w:after="0" w:line="202" w:lineRule="exact"/>
              <w:rPr>
                <w:sz w:val="20"/>
                <w:szCs w:val="20"/>
                <w:color w:val="auto"/>
              </w:rPr>
            </w:pPr>
            <w:r>
              <w:rPr>
                <w:rFonts w:ascii="Arial" w:cs="Arial" w:eastAsia="Arial" w:hAnsi="Arial"/>
                <w:sz w:val="18"/>
                <w:szCs w:val="18"/>
                <w:b w:val="1"/>
                <w:bCs w:val="1"/>
                <w:color w:val="auto"/>
              </w:rPr>
              <w:t>March 31,</w:t>
            </w:r>
          </w:p>
        </w:tc>
        <w:tc>
          <w:tcPr>
            <w:tcW w:w="1540" w:type="dxa"/>
            <w:vAlign w:val="bottom"/>
          </w:tcPr>
          <w:p>
            <w:pPr>
              <w:spacing w:after="0"/>
              <w:rPr>
                <w:sz w:val="17"/>
                <w:szCs w:val="17"/>
                <w:color w:val="auto"/>
              </w:rPr>
            </w:pPr>
          </w:p>
        </w:tc>
      </w:tr>
      <w:tr>
        <w:trPr>
          <w:trHeight w:val="225"/>
        </w:trPr>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3040" w:type="dxa"/>
            <w:vAlign w:val="bottom"/>
            <w:tcBorders>
              <w:bottom w:val="single" w:sz="8" w:color="auto"/>
            </w:tcBorders>
          </w:tcPr>
          <w:p>
            <w:pPr>
              <w:jc w:val="right"/>
              <w:ind w:right="1930"/>
              <w:spacing w:after="0"/>
              <w:rPr>
                <w:sz w:val="20"/>
                <w:szCs w:val="20"/>
                <w:color w:val="auto"/>
              </w:rPr>
            </w:pPr>
            <w:r>
              <w:rPr>
                <w:rFonts w:ascii="Arial" w:cs="Arial" w:eastAsia="Arial" w:hAnsi="Arial"/>
                <w:sz w:val="18"/>
                <w:szCs w:val="18"/>
                <w:b w:val="1"/>
                <w:bCs w:val="1"/>
                <w:color w:val="auto"/>
              </w:rPr>
              <w:t>2015</w:t>
            </w:r>
          </w:p>
        </w:tc>
        <w:tc>
          <w:tcPr>
            <w:tcW w:w="15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2014</w:t>
            </w:r>
          </w:p>
        </w:tc>
      </w:tr>
      <w:tr>
        <w:trPr>
          <w:trHeight w:val="173"/>
        </w:trPr>
        <w:tc>
          <w:tcPr>
            <w:tcW w:w="6840" w:type="dxa"/>
            <w:vAlign w:val="bottom"/>
          </w:tcPr>
          <w:p>
            <w:pPr>
              <w:spacing w:after="0" w:line="173" w:lineRule="exact"/>
              <w:rPr>
                <w:sz w:val="20"/>
                <w:szCs w:val="20"/>
                <w:color w:val="auto"/>
              </w:rPr>
            </w:pPr>
            <w:r>
              <w:rPr>
                <w:rFonts w:ascii="Arial" w:cs="Arial" w:eastAsia="Arial" w:hAnsi="Arial"/>
                <w:sz w:val="18"/>
                <w:szCs w:val="18"/>
                <w:color w:val="auto"/>
              </w:rPr>
              <w:t>Net income of Albany Safran Composites, LLC (ASC)</w:t>
            </w:r>
          </w:p>
        </w:tc>
        <w:tc>
          <w:tcPr>
            <w:tcW w:w="3040" w:type="dxa"/>
            <w:vAlign w:val="bottom"/>
          </w:tcPr>
          <w:p>
            <w:pPr>
              <w:jc w:val="right"/>
              <w:ind w:right="910"/>
              <w:spacing w:after="0" w:line="173" w:lineRule="exact"/>
              <w:rPr>
                <w:sz w:val="20"/>
                <w:szCs w:val="20"/>
                <w:color w:val="auto"/>
              </w:rPr>
            </w:pPr>
            <w:r>
              <w:rPr>
                <w:rFonts w:ascii="Arial" w:cs="Arial" w:eastAsia="Arial" w:hAnsi="Arial"/>
                <w:sz w:val="18"/>
                <w:szCs w:val="18"/>
                <w:b w:val="1"/>
                <w:bCs w:val="1"/>
                <w:color w:val="auto"/>
              </w:rPr>
              <w:t>$511</w:t>
            </w:r>
          </w:p>
        </w:tc>
        <w:tc>
          <w:tcPr>
            <w:tcW w:w="1540" w:type="dxa"/>
            <w:vAlign w:val="bottom"/>
          </w:tcPr>
          <w:p>
            <w:pPr>
              <w:jc w:val="right"/>
              <w:spacing w:after="0" w:line="173" w:lineRule="exact"/>
              <w:rPr>
                <w:sz w:val="20"/>
                <w:szCs w:val="20"/>
                <w:color w:val="auto"/>
              </w:rPr>
            </w:pPr>
            <w:r>
              <w:rPr>
                <w:rFonts w:ascii="Arial" w:cs="Arial" w:eastAsia="Arial" w:hAnsi="Arial"/>
                <w:sz w:val="18"/>
                <w:szCs w:val="18"/>
                <w:color w:val="auto"/>
              </w:rPr>
              <w:t>$967</w:t>
            </w:r>
          </w:p>
        </w:tc>
      </w:tr>
      <w:tr>
        <w:trPr>
          <w:trHeight w:val="225"/>
        </w:trPr>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Return attributable to the Company's preferred holding</w:t>
            </w:r>
          </w:p>
        </w:tc>
        <w:tc>
          <w:tcPr>
            <w:tcW w:w="3040" w:type="dxa"/>
            <w:vAlign w:val="bottom"/>
            <w:tcBorders>
              <w:bottom w:val="single" w:sz="8" w:color="auto"/>
            </w:tcBorders>
          </w:tcPr>
          <w:p>
            <w:pPr>
              <w:ind w:left="1660"/>
              <w:spacing w:after="0"/>
              <w:rPr>
                <w:sz w:val="20"/>
                <w:szCs w:val="20"/>
                <w:color w:val="auto"/>
              </w:rPr>
            </w:pPr>
            <w:r>
              <w:rPr>
                <w:rFonts w:ascii="Arial" w:cs="Arial" w:eastAsia="Arial" w:hAnsi="Arial"/>
                <w:sz w:val="18"/>
                <w:szCs w:val="18"/>
                <w:b w:val="1"/>
                <w:bCs w:val="1"/>
                <w:color w:val="auto"/>
              </w:rPr>
              <w:t>(255)</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r>
      <w:tr>
        <w:trPr>
          <w:trHeight w:val="173"/>
        </w:trPr>
        <w:tc>
          <w:tcPr>
            <w:tcW w:w="6840" w:type="dxa"/>
            <w:vAlign w:val="bottom"/>
          </w:tcPr>
          <w:p>
            <w:pPr>
              <w:spacing w:after="0" w:line="173" w:lineRule="exact"/>
              <w:rPr>
                <w:sz w:val="20"/>
                <w:szCs w:val="20"/>
                <w:color w:val="auto"/>
              </w:rPr>
            </w:pPr>
            <w:r>
              <w:rPr>
                <w:rFonts w:ascii="Arial" w:cs="Arial" w:eastAsia="Arial" w:hAnsi="Arial"/>
                <w:sz w:val="18"/>
                <w:szCs w:val="18"/>
                <w:color w:val="auto"/>
              </w:rPr>
              <w:t>Net income of ASC available for common ownership</w:t>
            </w:r>
          </w:p>
        </w:tc>
        <w:tc>
          <w:tcPr>
            <w:tcW w:w="3040" w:type="dxa"/>
            <w:vAlign w:val="bottom"/>
          </w:tcPr>
          <w:p>
            <w:pPr>
              <w:jc w:val="right"/>
              <w:ind w:right="910"/>
              <w:spacing w:after="0" w:line="173" w:lineRule="exact"/>
              <w:rPr>
                <w:sz w:val="20"/>
                <w:szCs w:val="20"/>
                <w:color w:val="auto"/>
              </w:rPr>
            </w:pPr>
            <w:r>
              <w:rPr>
                <w:rFonts w:ascii="Arial" w:cs="Arial" w:eastAsia="Arial" w:hAnsi="Arial"/>
                <w:sz w:val="18"/>
                <w:szCs w:val="18"/>
                <w:b w:val="1"/>
                <w:bCs w:val="1"/>
                <w:color w:val="auto"/>
              </w:rPr>
              <w:t>256</w:t>
            </w:r>
          </w:p>
        </w:tc>
        <w:tc>
          <w:tcPr>
            <w:tcW w:w="1540" w:type="dxa"/>
            <w:vAlign w:val="bottom"/>
          </w:tcPr>
          <w:p>
            <w:pPr>
              <w:jc w:val="right"/>
              <w:spacing w:after="0" w:line="173" w:lineRule="exact"/>
              <w:rPr>
                <w:sz w:val="20"/>
                <w:szCs w:val="20"/>
                <w:color w:val="auto"/>
              </w:rPr>
            </w:pPr>
            <w:r>
              <w:rPr>
                <w:rFonts w:ascii="Arial" w:cs="Arial" w:eastAsia="Arial" w:hAnsi="Arial"/>
                <w:sz w:val="18"/>
                <w:szCs w:val="18"/>
                <w:color w:val="auto"/>
              </w:rPr>
              <w:t>721</w:t>
            </w:r>
          </w:p>
        </w:tc>
      </w:tr>
      <w:tr>
        <w:trPr>
          <w:trHeight w:val="225"/>
        </w:trPr>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Ownership percentage of noncontrolling shareholder</w:t>
            </w:r>
          </w:p>
        </w:tc>
        <w:tc>
          <w:tcPr>
            <w:tcW w:w="30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10%</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6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 attributable to noncontrolling interest</w:t>
            </w:r>
          </w:p>
        </w:tc>
        <w:tc>
          <w:tcPr>
            <w:tcW w:w="3040" w:type="dxa"/>
            <w:vAlign w:val="bottom"/>
            <w:tcBorders>
              <w:bottom w:val="single" w:sz="8" w:color="auto"/>
            </w:tcBorders>
          </w:tcPr>
          <w:p>
            <w:pPr>
              <w:jc w:val="right"/>
              <w:ind w:right="910"/>
              <w:spacing w:after="0" w:line="196" w:lineRule="exact"/>
              <w:rPr>
                <w:sz w:val="20"/>
                <w:szCs w:val="20"/>
                <w:color w:val="auto"/>
              </w:rPr>
            </w:pPr>
            <w:r>
              <w:rPr>
                <w:rFonts w:ascii="Arial" w:cs="Arial" w:eastAsia="Arial" w:hAnsi="Arial"/>
                <w:sz w:val="18"/>
                <w:szCs w:val="18"/>
                <w:b w:val="1"/>
                <w:bCs w:val="1"/>
                <w:color w:val="auto"/>
              </w:rPr>
              <w:t>$26</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684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r>
      <w:tr>
        <w:trPr>
          <w:trHeight w:val="173"/>
        </w:trPr>
        <w:tc>
          <w:tcPr>
            <w:tcW w:w="6840" w:type="dxa"/>
            <w:vAlign w:val="bottom"/>
          </w:tcPr>
          <w:p>
            <w:pPr>
              <w:spacing w:after="0" w:line="173" w:lineRule="exact"/>
              <w:rPr>
                <w:sz w:val="20"/>
                <w:szCs w:val="20"/>
                <w:color w:val="auto"/>
              </w:rPr>
            </w:pPr>
            <w:r>
              <w:rPr>
                <w:rFonts w:ascii="Arial" w:cs="Arial" w:eastAsia="Arial" w:hAnsi="Arial"/>
                <w:sz w:val="18"/>
                <w:szCs w:val="18"/>
                <w:color w:val="auto"/>
              </w:rPr>
              <w:t>Noncontrolling interest, beginning of year</w:t>
            </w:r>
          </w:p>
        </w:tc>
        <w:tc>
          <w:tcPr>
            <w:tcW w:w="3040" w:type="dxa"/>
            <w:vAlign w:val="bottom"/>
          </w:tcPr>
          <w:p>
            <w:pPr>
              <w:jc w:val="right"/>
              <w:ind w:right="910"/>
              <w:spacing w:after="0" w:line="173" w:lineRule="exact"/>
              <w:rPr>
                <w:sz w:val="20"/>
                <w:szCs w:val="20"/>
                <w:color w:val="auto"/>
              </w:rPr>
            </w:pPr>
            <w:r>
              <w:rPr>
                <w:rFonts w:ascii="Arial" w:cs="Arial" w:eastAsia="Arial" w:hAnsi="Arial"/>
                <w:sz w:val="18"/>
                <w:szCs w:val="18"/>
                <w:b w:val="1"/>
                <w:bCs w:val="1"/>
                <w:color w:val="auto"/>
              </w:rPr>
              <w:t>$3,699</w:t>
            </w:r>
          </w:p>
        </w:tc>
        <w:tc>
          <w:tcPr>
            <w:tcW w:w="1540" w:type="dxa"/>
            <w:vAlign w:val="bottom"/>
          </w:tcPr>
          <w:p>
            <w:pPr>
              <w:jc w:val="right"/>
              <w:spacing w:after="0" w:line="173" w:lineRule="exact"/>
              <w:rPr>
                <w:sz w:val="20"/>
                <w:szCs w:val="20"/>
                <w:color w:val="auto"/>
              </w:rPr>
            </w:pPr>
            <w:r>
              <w:rPr>
                <w:rFonts w:ascii="Arial" w:cs="Arial" w:eastAsia="Arial" w:hAnsi="Arial"/>
                <w:sz w:val="18"/>
                <w:szCs w:val="18"/>
                <w:color w:val="auto"/>
              </w:rPr>
              <w:t>$3,482</w:t>
            </w: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w:t>
            </w:r>
          </w:p>
        </w:tc>
        <w:tc>
          <w:tcPr>
            <w:tcW w:w="3040" w:type="dxa"/>
            <w:vAlign w:val="bottom"/>
          </w:tcPr>
          <w:p>
            <w:pPr>
              <w:jc w:val="right"/>
              <w:ind w:right="910"/>
              <w:spacing w:after="0" w:line="202" w:lineRule="exact"/>
              <w:rPr>
                <w:sz w:val="20"/>
                <w:szCs w:val="20"/>
                <w:color w:val="auto"/>
              </w:rPr>
            </w:pPr>
            <w:r>
              <w:rPr>
                <w:rFonts w:ascii="Arial" w:cs="Arial" w:eastAsia="Arial" w:hAnsi="Arial"/>
                <w:sz w:val="18"/>
                <w:szCs w:val="18"/>
                <w:b w:val="1"/>
                <w:bCs w:val="1"/>
                <w:color w:val="auto"/>
              </w:rPr>
              <w:t>26</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r>
      <w:tr>
        <w:trPr>
          <w:trHeight w:val="225"/>
        </w:trPr>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in other comprehensive income attributable to noncontrolling interest</w:t>
            </w:r>
          </w:p>
        </w:tc>
        <w:tc>
          <w:tcPr>
            <w:tcW w:w="30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1</w:t>
            </w: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196"/>
        </w:trPr>
        <w:tc>
          <w:tcPr>
            <w:tcW w:w="6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Noncontrolling interest, year to date</w:t>
            </w:r>
          </w:p>
        </w:tc>
        <w:tc>
          <w:tcPr>
            <w:tcW w:w="3040" w:type="dxa"/>
            <w:vAlign w:val="bottom"/>
            <w:tcBorders>
              <w:bottom w:val="single" w:sz="8" w:color="auto"/>
            </w:tcBorders>
          </w:tcPr>
          <w:p>
            <w:pPr>
              <w:jc w:val="right"/>
              <w:ind w:right="910"/>
              <w:spacing w:after="0" w:line="196" w:lineRule="exact"/>
              <w:rPr>
                <w:sz w:val="20"/>
                <w:szCs w:val="20"/>
                <w:color w:val="auto"/>
              </w:rPr>
            </w:pPr>
            <w:r>
              <w:rPr>
                <w:rFonts w:ascii="Arial" w:cs="Arial" w:eastAsia="Arial" w:hAnsi="Arial"/>
                <w:sz w:val="18"/>
                <w:szCs w:val="18"/>
                <w:b w:val="1"/>
                <w:bCs w:val="1"/>
                <w:color w:val="auto"/>
              </w:rPr>
              <w:t>$3,726</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$3,554</w:t>
            </w:r>
          </w:p>
        </w:tc>
      </w:tr>
      <w:tr>
        <w:trPr>
          <w:trHeight w:val="507"/>
        </w:trPr>
        <w:tc>
          <w:tcPr>
            <w:tcW w:w="6840" w:type="dxa"/>
            <w:vAlign w:val="bottom"/>
          </w:tcPr>
          <w:p>
            <w:pPr>
              <w:ind w:left="5660"/>
              <w:spacing w:after="0"/>
              <w:rPr>
                <w:sz w:val="20"/>
                <w:szCs w:val="20"/>
                <w:color w:val="auto"/>
              </w:rPr>
            </w:pPr>
            <w:r>
              <w:rPr>
                <w:rFonts w:ascii="Arial" w:cs="Arial" w:eastAsia="Arial" w:hAnsi="Arial"/>
                <w:sz w:val="18"/>
                <w:szCs w:val="18"/>
                <w:color w:val="auto"/>
              </w:rPr>
              <w:t>7</w:t>
            </w:r>
          </w:p>
        </w:tc>
        <w:tc>
          <w:tcPr>
            <w:tcW w:w="30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95"/>
        </w:trPr>
        <w:tc>
          <w:tcPr>
            <w:tcW w:w="684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540" w:type="dxa"/>
            <w:vAlign w:val="bottom"/>
          </w:tcPr>
          <w:p>
            <w:pPr>
              <w:spacing w:after="0"/>
              <w:rPr>
                <w:sz w:val="8"/>
                <w:szCs w:val="8"/>
                <w:color w:val="auto"/>
              </w:rPr>
            </w:pPr>
          </w:p>
        </w:tc>
      </w:tr>
      <w:tr>
        <w:trPr>
          <w:trHeight w:val="68"/>
        </w:trPr>
        <w:tc>
          <w:tcPr>
            <w:tcW w:w="6840" w:type="dxa"/>
            <w:vAlign w:val="bottom"/>
            <w:shd w:val="clear" w:color="auto" w:fill="000000"/>
          </w:tcPr>
          <w:p>
            <w:pPr>
              <w:spacing w:after="0"/>
              <w:rPr>
                <w:sz w:val="5"/>
                <w:szCs w:val="5"/>
                <w:color w:val="auto"/>
              </w:rPr>
            </w:pPr>
          </w:p>
        </w:tc>
        <w:tc>
          <w:tcPr>
            <w:tcW w:w="3040" w:type="dxa"/>
            <w:vAlign w:val="bottom"/>
            <w:shd w:val="clear" w:color="auto" w:fill="000000"/>
          </w:tcPr>
          <w:p>
            <w:pPr>
              <w:spacing w:after="0"/>
              <w:rPr>
                <w:sz w:val="5"/>
                <w:szCs w:val="5"/>
                <w:color w:val="auto"/>
              </w:rPr>
            </w:pPr>
          </w:p>
        </w:tc>
        <w:tc>
          <w:tcPr>
            <w:tcW w:w="15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3. Reportable Segments</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600" w:type="dxa"/>
            <w:vAlign w:val="bottom"/>
            <w:tcBorders>
              <w:top w:val="single" w:sz="8" w:color="auto"/>
            </w:tcBorders>
          </w:tcPr>
          <w:p>
            <w:pPr>
              <w:spacing w:after="0"/>
              <w:rPr>
                <w:sz w:val="16"/>
                <w:szCs w:val="16"/>
                <w:color w:val="auto"/>
              </w:rPr>
            </w:pPr>
          </w:p>
        </w:tc>
        <w:tc>
          <w:tcPr>
            <w:tcW w:w="4520" w:type="dxa"/>
            <w:vAlign w:val="bottom"/>
            <w:tcBorders>
              <w:top w:val="single" w:sz="8" w:color="auto"/>
            </w:tcBorders>
            <w:gridSpan w:val="2"/>
          </w:tcPr>
          <w:p>
            <w:pPr>
              <w:jc w:val="right"/>
              <w:ind w:right="550"/>
              <w:spacing w:after="0" w:line="194" w:lineRule="exact"/>
              <w:rPr>
                <w:sz w:val="20"/>
                <w:szCs w:val="20"/>
                <w:color w:val="auto"/>
              </w:rPr>
            </w:pPr>
            <w:r>
              <w:rPr>
                <w:rFonts w:ascii="Arial" w:cs="Arial" w:eastAsia="Arial" w:hAnsi="Arial"/>
                <w:sz w:val="18"/>
                <w:szCs w:val="18"/>
                <w:b w:val="1"/>
                <w:bCs w:val="1"/>
                <w:color w:val="auto"/>
              </w:rPr>
              <w:t>Three months ended 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06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2015</w:t>
            </w:r>
          </w:p>
        </w:tc>
        <w:tc>
          <w:tcPr>
            <w:tcW w:w="14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6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Net sales</w:t>
            </w:r>
          </w:p>
        </w:tc>
        <w:tc>
          <w:tcPr>
            <w:tcW w:w="30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$158,494</w:t>
            </w: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62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3060" w:type="dxa"/>
            <w:vAlign w:val="bottom"/>
            <w:vMerge w:val="continue"/>
          </w:tcPr>
          <w:p>
            <w:pPr>
              <w:spacing w:after="0"/>
              <w:rPr>
                <w:sz w:val="15"/>
                <w:szCs w:val="15"/>
                <w:color w:val="auto"/>
              </w:rPr>
            </w:pPr>
          </w:p>
        </w:tc>
        <w:tc>
          <w:tcPr>
            <w:tcW w:w="1460" w:type="dxa"/>
            <w:vAlign w:val="bottom"/>
          </w:tcPr>
          <w:p>
            <w:pPr>
              <w:jc w:val="right"/>
              <w:spacing w:after="0" w:line="181" w:lineRule="exact"/>
              <w:rPr>
                <w:sz w:val="20"/>
                <w:szCs w:val="20"/>
                <w:color w:val="auto"/>
              </w:rPr>
            </w:pPr>
            <w:r>
              <w:rPr>
                <w:rFonts w:ascii="Arial" w:cs="Arial" w:eastAsia="Arial" w:hAnsi="Arial"/>
                <w:sz w:val="18"/>
                <w:szCs w:val="18"/>
                <w:color w:val="auto"/>
              </w:rPr>
              <w:t>$164,088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Albany Engineered Composites</w:t>
            </w:r>
          </w:p>
        </w:tc>
        <w:tc>
          <w:tcPr>
            <w:tcW w:w="3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22,830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Consolidated total</w:t>
            </w:r>
          </w:p>
        </w:tc>
        <w:tc>
          <w:tcPr>
            <w:tcW w:w="30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$181,324</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$180,307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6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Operating income</w:t>
            </w:r>
          </w:p>
        </w:tc>
        <w:tc>
          <w:tcPr>
            <w:tcW w:w="30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$35,689</w:t>
            </w: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62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3060" w:type="dxa"/>
            <w:vAlign w:val="bottom"/>
            <w:vMerge w:val="continue"/>
          </w:tcPr>
          <w:p>
            <w:pPr>
              <w:spacing w:after="0"/>
              <w:rPr>
                <w:sz w:val="15"/>
                <w:szCs w:val="15"/>
                <w:color w:val="auto"/>
              </w:rPr>
            </w:pPr>
          </w:p>
        </w:tc>
        <w:tc>
          <w:tcPr>
            <w:tcW w:w="1460" w:type="dxa"/>
            <w:vAlign w:val="bottom"/>
          </w:tcPr>
          <w:p>
            <w:pPr>
              <w:jc w:val="right"/>
              <w:spacing w:after="0" w:line="181" w:lineRule="exact"/>
              <w:rPr>
                <w:sz w:val="20"/>
                <w:szCs w:val="20"/>
                <w:color w:val="auto"/>
              </w:rPr>
            </w:pPr>
            <w:r>
              <w:rPr>
                <w:rFonts w:ascii="Arial" w:cs="Arial" w:eastAsia="Arial" w:hAnsi="Arial"/>
                <w:sz w:val="18"/>
                <w:szCs w:val="18"/>
                <w:color w:val="auto"/>
              </w:rPr>
              <w:t>$36,142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06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(3,811)</w:t>
            </w: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25"/>
        </w:trPr>
        <w:tc>
          <w:tcPr>
            <w:tcW w:w="4620" w:type="dxa"/>
            <w:vAlign w:val="bottom"/>
            <w:gridSpan w:val="2"/>
          </w:tcPr>
          <w:p>
            <w:pPr>
              <w:spacing w:after="0"/>
              <w:rPr>
                <w:sz w:val="20"/>
                <w:szCs w:val="20"/>
                <w:color w:val="auto"/>
              </w:rPr>
            </w:pPr>
            <w:r>
              <w:rPr>
                <w:rFonts w:ascii="Arial" w:cs="Arial" w:eastAsia="Arial" w:hAnsi="Arial"/>
                <w:sz w:val="18"/>
                <w:szCs w:val="18"/>
                <w:color w:val="auto"/>
              </w:rPr>
              <w:t>Corporate expenses</w:t>
            </w:r>
          </w:p>
        </w:tc>
        <w:tc>
          <w:tcPr>
            <w:tcW w:w="3060" w:type="dxa"/>
            <w:vAlign w:val="bottom"/>
          </w:tcPr>
          <w:p>
            <w:pPr>
              <w:jc w:val="right"/>
              <w:ind w:right="270"/>
              <w:spacing w:after="0"/>
              <w:rPr>
                <w:sz w:val="20"/>
                <w:szCs w:val="20"/>
                <w:color w:val="auto"/>
              </w:rPr>
            </w:pPr>
            <w:r>
              <w:rPr>
                <w:rFonts w:ascii="Arial" w:cs="Arial" w:eastAsia="Arial" w:hAnsi="Arial"/>
                <w:sz w:val="18"/>
                <w:szCs w:val="18"/>
                <w:b w:val="1"/>
                <w:bCs w:val="1"/>
                <w:color w:val="auto"/>
              </w:rPr>
              <w:t>(11,729)</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(12,066)</w:t>
            </w:r>
          </w:p>
        </w:tc>
        <w:tc>
          <w:tcPr>
            <w:tcW w:w="0" w:type="dxa"/>
            <w:vAlign w:val="bottom"/>
          </w:tcPr>
          <w:p>
            <w:pPr>
              <w:spacing w:after="0"/>
              <w:rPr>
                <w:sz w:val="1"/>
                <w:szCs w:val="1"/>
                <w:color w:val="auto"/>
              </w:rPr>
            </w:pPr>
          </w:p>
        </w:tc>
      </w:tr>
      <w:tr>
        <w:trPr>
          <w:trHeight w:val="195"/>
        </w:trPr>
        <w:tc>
          <w:tcPr>
            <w:tcW w:w="46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Operating income before reconciling items</w:t>
            </w:r>
          </w:p>
        </w:tc>
        <w:tc>
          <w:tcPr>
            <w:tcW w:w="3060" w:type="dxa"/>
            <w:vAlign w:val="bottom"/>
            <w:tcBorders>
              <w:top w:val="single" w:sz="8" w:color="auto"/>
            </w:tcBorders>
          </w:tcPr>
          <w:p>
            <w:pPr>
              <w:jc w:val="right"/>
              <w:ind w:right="330"/>
              <w:spacing w:after="0" w:line="195" w:lineRule="exact"/>
              <w:rPr>
                <w:sz w:val="20"/>
                <w:szCs w:val="20"/>
                <w:color w:val="auto"/>
              </w:rPr>
            </w:pPr>
            <w:r>
              <w:rPr>
                <w:rFonts w:ascii="Arial" w:cs="Arial" w:eastAsia="Arial" w:hAnsi="Arial"/>
                <w:sz w:val="18"/>
                <w:szCs w:val="18"/>
                <w:b w:val="1"/>
                <w:bCs w:val="1"/>
                <w:color w:val="auto"/>
              </w:rPr>
              <w:t>20,149</w:t>
            </w:r>
          </w:p>
        </w:tc>
        <w:tc>
          <w:tcPr>
            <w:tcW w:w="1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20,601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line="202" w:lineRule="exact"/>
              <w:rPr>
                <w:sz w:val="20"/>
                <w:szCs w:val="20"/>
                <w:color w:val="auto"/>
              </w:rPr>
            </w:pPr>
            <w:r>
              <w:rPr>
                <w:rFonts w:ascii="Arial" w:cs="Arial" w:eastAsia="Arial" w:hAnsi="Arial"/>
                <w:sz w:val="18"/>
                <w:szCs w:val="18"/>
                <w:color w:val="auto"/>
              </w:rPr>
              <w:t>Reconciling items:</w:t>
            </w:r>
          </w:p>
        </w:tc>
        <w:tc>
          <w:tcPr>
            <w:tcW w:w="30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(340)</w:t>
            </w: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Pr>
          <w:p>
            <w:pPr>
              <w:ind w:left="140"/>
              <w:spacing w:after="0" w:line="181" w:lineRule="exact"/>
              <w:rPr>
                <w:sz w:val="20"/>
                <w:szCs w:val="20"/>
                <w:color w:val="auto"/>
              </w:rPr>
            </w:pPr>
            <w:r>
              <w:rPr>
                <w:rFonts w:ascii="Arial" w:cs="Arial" w:eastAsia="Arial" w:hAnsi="Arial"/>
                <w:sz w:val="18"/>
                <w:szCs w:val="18"/>
                <w:color w:val="auto"/>
              </w:rPr>
              <w:t>Interest income</w:t>
            </w:r>
          </w:p>
        </w:tc>
        <w:tc>
          <w:tcPr>
            <w:tcW w:w="3060" w:type="dxa"/>
            <w:vAlign w:val="bottom"/>
            <w:vMerge w:val="continue"/>
          </w:tcPr>
          <w:p>
            <w:pPr>
              <w:spacing w:after="0"/>
              <w:rPr>
                <w:sz w:val="15"/>
                <w:szCs w:val="15"/>
                <w:color w:val="auto"/>
              </w:rPr>
            </w:pPr>
          </w:p>
        </w:tc>
        <w:tc>
          <w:tcPr>
            <w:tcW w:w="148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140"/>
              <w:spacing w:after="0" w:line="202" w:lineRule="exact"/>
              <w:rPr>
                <w:sz w:val="20"/>
                <w:szCs w:val="20"/>
                <w:color w:val="auto"/>
              </w:rPr>
            </w:pPr>
            <w:r>
              <w:rPr>
                <w:rFonts w:ascii="Arial" w:cs="Arial" w:eastAsia="Arial" w:hAnsi="Arial"/>
                <w:sz w:val="18"/>
                <w:szCs w:val="18"/>
                <w:color w:val="auto"/>
              </w:rPr>
              <w:t>Interest expense</w:t>
            </w:r>
          </w:p>
        </w:tc>
        <w:tc>
          <w:tcPr>
            <w:tcW w:w="30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3,016</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Other expense/(income), net</w:t>
            </w:r>
          </w:p>
        </w:tc>
        <w:tc>
          <w:tcPr>
            <w:tcW w:w="3060" w:type="dxa"/>
            <w:vAlign w:val="bottom"/>
          </w:tcPr>
          <w:p>
            <w:pPr>
              <w:jc w:val="right"/>
              <w:ind w:right="270"/>
              <w:spacing w:after="0"/>
              <w:rPr>
                <w:sz w:val="20"/>
                <w:szCs w:val="20"/>
                <w:color w:val="auto"/>
              </w:rPr>
            </w:pPr>
            <w:r>
              <w:rPr>
                <w:rFonts w:ascii="Arial" w:cs="Arial" w:eastAsia="Arial" w:hAnsi="Arial"/>
                <w:sz w:val="18"/>
                <w:szCs w:val="18"/>
                <w:b w:val="1"/>
                <w:bCs w:val="1"/>
                <w:color w:val="auto"/>
              </w:rPr>
              <w:t>(3,285)</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6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Income before income taxes</w:t>
            </w:r>
          </w:p>
        </w:tc>
        <w:tc>
          <w:tcPr>
            <w:tcW w:w="306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$20,758</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restructuring costs by reportable segment (also see Note 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0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gridSpan w:val="2"/>
          </w:tcPr>
          <w:p>
            <w:pPr>
              <w:jc w:val="right"/>
              <w:ind w:right="70"/>
              <w:spacing w:after="0" w:line="194" w:lineRule="exact"/>
              <w:rPr>
                <w:sz w:val="20"/>
                <w:szCs w:val="20"/>
                <w:color w:val="auto"/>
              </w:rPr>
            </w:pPr>
            <w:r>
              <w:rPr>
                <w:rFonts w:ascii="Arial" w:cs="Arial" w:eastAsia="Arial" w:hAnsi="Arial"/>
                <w:sz w:val="18"/>
                <w:szCs w:val="18"/>
                <w:b w:val="1"/>
                <w:bCs w:val="1"/>
                <w:color w:val="auto"/>
              </w:rPr>
              <w:t>Three months ended March 31,</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4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2015</w:t>
            </w: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300" w:type="dxa"/>
            <w:vAlign w:val="bottom"/>
          </w:tcPr>
          <w:p>
            <w:pPr>
              <w:spacing w:after="0" w:line="195" w:lineRule="exact"/>
              <w:rPr>
                <w:sz w:val="20"/>
                <w:szCs w:val="20"/>
                <w:color w:val="auto"/>
              </w:rPr>
            </w:pPr>
            <w:r>
              <w:rPr>
                <w:rFonts w:ascii="Arial" w:cs="Arial" w:eastAsia="Arial" w:hAnsi="Arial"/>
                <w:sz w:val="18"/>
                <w:szCs w:val="18"/>
                <w:b w:val="1"/>
                <w:bCs w:val="1"/>
                <w:color w:val="auto"/>
              </w:rPr>
              <w:t>Restructuring expense</w:t>
            </w:r>
          </w:p>
        </w:tc>
        <w:tc>
          <w:tcPr>
            <w:tcW w:w="24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$9,001</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00" w:type="dxa"/>
            <w:vAlign w:val="bottom"/>
          </w:tcPr>
          <w:p>
            <w:pPr>
              <w:spacing w:after="0" w:line="181" w:lineRule="exact"/>
              <w:rPr>
                <w:sz w:val="20"/>
                <w:szCs w:val="20"/>
                <w:color w:val="auto"/>
              </w:rPr>
            </w:pPr>
            <w:r>
              <w:rPr>
                <w:rFonts w:ascii="Arial" w:cs="Arial" w:eastAsia="Arial" w:hAnsi="Arial"/>
                <w:sz w:val="18"/>
                <w:szCs w:val="18"/>
                <w:color w:val="auto"/>
              </w:rPr>
              <w:t>Machine Clothing</w:t>
            </w:r>
          </w:p>
        </w:tc>
        <w:tc>
          <w:tcPr>
            <w:tcW w:w="2440" w:type="dxa"/>
            <w:vAlign w:val="bottom"/>
            <w:vMerge w:val="continue"/>
          </w:tcPr>
          <w:p>
            <w:pPr>
              <w:spacing w:after="0"/>
              <w:rPr>
                <w:sz w:val="15"/>
                <w:szCs w:val="15"/>
                <w:color w:val="auto"/>
              </w:rPr>
            </w:pPr>
          </w:p>
        </w:tc>
        <w:tc>
          <w:tcPr>
            <w:tcW w:w="1160" w:type="dxa"/>
            <w:vAlign w:val="bottom"/>
            <w:gridSpan w:val="3"/>
          </w:tcPr>
          <w:p>
            <w:pPr>
              <w:jc w:val="right"/>
              <w:ind w:right="40"/>
              <w:spacing w:after="0" w:line="181" w:lineRule="exact"/>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25"/>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2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Consolidated total</w:t>
            </w:r>
          </w:p>
        </w:tc>
        <w:tc>
          <w:tcPr>
            <w:tcW w:w="24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$9,001</w:t>
            </w:r>
          </w:p>
        </w:tc>
        <w:tc>
          <w:tcPr>
            <w:tcW w:w="11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$1,182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60"/>
        <w:spacing w:after="0"/>
        <w:rPr>
          <w:sz w:val="20"/>
          <w:szCs w:val="20"/>
          <w:color w:val="auto"/>
        </w:rPr>
      </w:pPr>
      <w:r>
        <w:rPr>
          <w:rFonts w:ascii="Arial" w:cs="Arial" w:eastAsia="Arial" w:hAnsi="Arial"/>
          <w:sz w:val="18"/>
          <w:szCs w:val="18"/>
          <w:color w:val="auto"/>
        </w:rPr>
        <w:t>2015 Machine Clothing restructuring expense was principally related to the announced plan to discontinue manufacturing operations at its press fabric manufacturing facility in Germany. Machine Clothing restructuring costs in 2014 were principally related to restructuring actions in France. Albany Engineered Composites restructuring expense in 2014 was related to organizational changes.</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material changes in the total assets of the reportable segments during this period.</w:t>
      </w:r>
    </w:p>
    <w:p>
      <w:pPr>
        <w:spacing w:after="0" w:line="149" w:lineRule="exact"/>
        <w:rPr>
          <w:sz w:val="20"/>
          <w:szCs w:val="20"/>
          <w:color w:val="auto"/>
        </w:rPr>
      </w:pPr>
    </w:p>
    <w:p>
      <w:pPr>
        <w:ind w:right="6900" w:firstLine="8"/>
        <w:spacing w:after="0" w:line="372" w:lineRule="auto"/>
        <w:tabs>
          <w:tab w:leader="none" w:pos="20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Pensions and Other Postretirement Benefit Plans </w:t>
      </w:r>
      <w:r>
        <w:rPr>
          <w:rFonts w:ascii="Arial" w:cs="Arial" w:eastAsia="Arial" w:hAnsi="Arial"/>
          <w:sz w:val="18"/>
          <w:szCs w:val="18"/>
          <w:i w:val="1"/>
          <w:iCs w:val="1"/>
          <w:color w:val="auto"/>
        </w:rPr>
        <w:t>Pension Plans</w:t>
      </w:r>
    </w:p>
    <w:p>
      <w:pPr>
        <w:spacing w:after="0" w:line="2" w:lineRule="exact"/>
        <w:rPr>
          <w:sz w:val="20"/>
          <w:szCs w:val="20"/>
          <w:color w:val="auto"/>
        </w:rPr>
      </w:pPr>
    </w:p>
    <w:p>
      <w:pPr>
        <w:ind w:right="20" w:firstLine="360"/>
        <w:spacing w:after="0" w:line="239"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as of February 2009, benefits accrued under this plan were frozen. As a result of the freeze, employees covered by the pension plan will receive, at retirement, benefits already accrued through February 2009, but no new benefits accrue after that date. Benefit accruals under the U.S.</w:t>
      </w: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657" w:right="339" w:bottom="1440" w:gutter="0" w:footer="0" w:header="0"/>
        </w:sectPr>
      </w:pPr>
    </w:p>
    <w:bookmarkStart w:id="8" w:name="page9"/>
    <w:bookmarkEnd w:id="8"/>
    <w:p>
      <w:pPr>
        <w:ind w:right="420"/>
        <w:spacing w:after="0" w:line="246" w:lineRule="auto"/>
        <w:rPr>
          <w:sz w:val="20"/>
          <w:szCs w:val="20"/>
          <w:color w:val="auto"/>
        </w:rPr>
      </w:pPr>
      <w:r>
        <w:rPr>
          <w:rFonts w:ascii="Arial" w:cs="Arial" w:eastAsia="Arial" w:hAnsi="Arial"/>
          <w:sz w:val="18"/>
          <w:szCs w:val="18"/>
          <w:color w:val="auto"/>
        </w:rPr>
        <w:t>Supplemental Executive Retirement Plan ("SERP") were similarly frozen. The eligibility, benefit formulas, and contribution requirements for plans outside of the U.S. vary by location.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Postretirement Benefits</w:t>
      </w:r>
    </w:p>
    <w:p>
      <w:pPr>
        <w:spacing w:after="0" w:line="122" w:lineRule="exact"/>
        <w:rPr>
          <w:sz w:val="20"/>
          <w:szCs w:val="20"/>
          <w:color w:val="auto"/>
        </w:rPr>
      </w:pPr>
    </w:p>
    <w:p>
      <w:pPr>
        <w:ind w:right="120" w:firstLine="360"/>
        <w:spacing w:after="0"/>
        <w:rPr>
          <w:sz w:val="20"/>
          <w:szCs w:val="20"/>
          <w:color w:val="auto"/>
        </w:rPr>
      </w:pPr>
      <w:r>
        <w:rPr>
          <w:rFonts w:ascii="Arial" w:cs="Arial" w:eastAsia="Arial" w:hAnsi="Arial"/>
          <w:sz w:val="18"/>
          <w:szCs w:val="18"/>
          <w:color w:val="auto"/>
        </w:rPr>
        <w:t>The Company also provides certain postretirement life insurance benefits to retired employees in the U.S. and Canada. The Company accrues the cost of providing postretirement benefits during the active service period of the employees. The Company currently funds the plan as claims are paid.</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composition of the net periodic benefit plan cost for the three months ended March 31, 2015 and 2014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40" w:type="dxa"/>
            <w:vAlign w:val="bottom"/>
            <w:tcBorders>
              <w:top w:val="single" w:sz="8" w:color="auto"/>
            </w:tcBorders>
          </w:tcPr>
          <w:p>
            <w:pPr>
              <w:spacing w:after="0"/>
              <w:rPr>
                <w:sz w:val="16"/>
                <w:szCs w:val="16"/>
                <w:color w:val="auto"/>
              </w:rPr>
            </w:pPr>
          </w:p>
        </w:tc>
        <w:tc>
          <w:tcPr>
            <w:tcW w:w="3940" w:type="dxa"/>
            <w:vAlign w:val="bottom"/>
            <w:tcBorders>
              <w:top w:val="single" w:sz="8" w:color="auto"/>
            </w:tcBorders>
            <w:gridSpan w:val="2"/>
          </w:tcPr>
          <w:p>
            <w:pPr>
              <w:jc w:val="right"/>
              <w:ind w:right="970"/>
              <w:spacing w:after="0" w:line="194" w:lineRule="exact"/>
              <w:rPr>
                <w:sz w:val="20"/>
                <w:szCs w:val="20"/>
                <w:color w:val="auto"/>
              </w:rPr>
            </w:pPr>
            <w:r>
              <w:rPr>
                <w:rFonts w:ascii="Arial" w:cs="Arial" w:eastAsia="Arial" w:hAnsi="Arial"/>
                <w:sz w:val="18"/>
                <w:szCs w:val="18"/>
                <w:b w:val="1"/>
                <w:bCs w:val="1"/>
                <w:color w:val="auto"/>
              </w:rPr>
              <w:t>Pension plans</w:t>
            </w:r>
          </w:p>
        </w:tc>
        <w:tc>
          <w:tcPr>
            <w:tcW w:w="2940" w:type="dxa"/>
            <w:vAlign w:val="bottom"/>
            <w:tcBorders>
              <w:top w:val="single" w:sz="8" w:color="auto"/>
            </w:tcBorders>
            <w:gridSpan w:val="2"/>
          </w:tcPr>
          <w:p>
            <w:pPr>
              <w:jc w:val="right"/>
              <w:ind w:right="170"/>
              <w:spacing w:after="0" w:line="194" w:lineRule="exact"/>
              <w:rPr>
                <w:sz w:val="20"/>
                <w:szCs w:val="20"/>
                <w:color w:val="auto"/>
              </w:rPr>
            </w:pPr>
            <w:r>
              <w:rPr>
                <w:rFonts w:ascii="Arial" w:cs="Arial" w:eastAsia="Arial" w:hAnsi="Arial"/>
                <w:sz w:val="18"/>
                <w:szCs w:val="18"/>
                <w:b w:val="1"/>
                <w:bCs w:val="1"/>
                <w:color w:val="auto"/>
              </w:rPr>
              <w:t>Other postretirement benefits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6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2015</w:t>
            </w: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17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2015</w:t>
            </w: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540" w:type="dxa"/>
            <w:vAlign w:val="bottom"/>
          </w:tcPr>
          <w:p>
            <w:pPr>
              <w:spacing w:after="0" w:line="195" w:lineRule="exact"/>
              <w:rPr>
                <w:sz w:val="20"/>
                <w:szCs w:val="20"/>
                <w:color w:val="auto"/>
              </w:rPr>
            </w:pPr>
            <w:r>
              <w:rPr>
                <w:rFonts w:ascii="Arial" w:cs="Arial" w:eastAsia="Arial" w:hAnsi="Arial"/>
                <w:sz w:val="18"/>
                <w:szCs w:val="18"/>
                <w:color w:val="auto"/>
              </w:rPr>
              <w:t>Components of net periodic benefit cost:</w:t>
            </w:r>
          </w:p>
        </w:tc>
        <w:tc>
          <w:tcPr>
            <w:tcW w:w="26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$790</w:t>
            </w:r>
          </w:p>
        </w:tc>
        <w:tc>
          <w:tcPr>
            <w:tcW w:w="1340" w:type="dxa"/>
            <w:vAlign w:val="bottom"/>
          </w:tcPr>
          <w:p>
            <w:pPr>
              <w:spacing w:after="0"/>
              <w:rPr>
                <w:sz w:val="16"/>
                <w:szCs w:val="16"/>
                <w:color w:val="auto"/>
              </w:rPr>
            </w:pPr>
          </w:p>
        </w:tc>
        <w:tc>
          <w:tcPr>
            <w:tcW w:w="17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$83</w:t>
            </w: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540" w:type="dxa"/>
            <w:vAlign w:val="bottom"/>
          </w:tcPr>
          <w:p>
            <w:pPr>
              <w:spacing w:after="0" w:line="181" w:lineRule="exact"/>
              <w:rPr>
                <w:sz w:val="20"/>
                <w:szCs w:val="20"/>
                <w:color w:val="auto"/>
              </w:rPr>
            </w:pPr>
            <w:r>
              <w:rPr>
                <w:rFonts w:ascii="Arial" w:cs="Arial" w:eastAsia="Arial" w:hAnsi="Arial"/>
                <w:sz w:val="18"/>
                <w:szCs w:val="18"/>
                <w:color w:val="auto"/>
              </w:rPr>
              <w:t>Service cost</w:t>
            </w:r>
          </w:p>
        </w:tc>
        <w:tc>
          <w:tcPr>
            <w:tcW w:w="2600" w:type="dxa"/>
            <w:vAlign w:val="bottom"/>
            <w:vMerge w:val="continue"/>
          </w:tcPr>
          <w:p>
            <w:pPr>
              <w:spacing w:after="0"/>
              <w:rPr>
                <w:sz w:val="15"/>
                <w:szCs w:val="15"/>
                <w:color w:val="auto"/>
              </w:rPr>
            </w:pPr>
          </w:p>
        </w:tc>
        <w:tc>
          <w:tcPr>
            <w:tcW w:w="1340" w:type="dxa"/>
            <w:vAlign w:val="bottom"/>
          </w:tcPr>
          <w:p>
            <w:pPr>
              <w:jc w:val="right"/>
              <w:ind w:right="90"/>
              <w:spacing w:after="0" w:line="181" w:lineRule="exact"/>
              <w:rPr>
                <w:sz w:val="20"/>
                <w:szCs w:val="20"/>
                <w:color w:val="auto"/>
              </w:rPr>
            </w:pPr>
            <w:r>
              <w:rPr>
                <w:rFonts w:ascii="Arial" w:cs="Arial" w:eastAsia="Arial" w:hAnsi="Arial"/>
                <w:sz w:val="18"/>
                <w:szCs w:val="18"/>
                <w:color w:val="auto"/>
              </w:rPr>
              <w:t>$825</w:t>
            </w:r>
          </w:p>
        </w:tc>
        <w:tc>
          <w:tcPr>
            <w:tcW w:w="1740" w:type="dxa"/>
            <w:vAlign w:val="bottom"/>
            <w:vMerge w:val="continue"/>
          </w:tcPr>
          <w:p>
            <w:pPr>
              <w:spacing w:after="0"/>
              <w:rPr>
                <w:sz w:val="15"/>
                <w:szCs w:val="15"/>
                <w:color w:val="auto"/>
              </w:rPr>
            </w:pPr>
          </w:p>
        </w:tc>
        <w:tc>
          <w:tcPr>
            <w:tcW w:w="1200" w:type="dxa"/>
            <w:vAlign w:val="bottom"/>
          </w:tcPr>
          <w:p>
            <w:pPr>
              <w:jc w:val="right"/>
              <w:spacing w:after="0" w:line="181"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26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2,013</w:t>
            </w:r>
          </w:p>
        </w:tc>
        <w:tc>
          <w:tcPr>
            <w:tcW w:w="13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2,359</w:t>
            </w:r>
          </w:p>
        </w:tc>
        <w:tc>
          <w:tcPr>
            <w:tcW w:w="17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610</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Expected return on assets</w:t>
            </w:r>
          </w:p>
        </w:tc>
        <w:tc>
          <w:tcPr>
            <w:tcW w:w="26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(2,235)</w:t>
            </w:r>
          </w:p>
        </w:tc>
        <w:tc>
          <w:tcPr>
            <w:tcW w:w="1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(2,371)</w:t>
            </w:r>
          </w:p>
        </w:tc>
        <w:tc>
          <w:tcPr>
            <w:tcW w:w="17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Amortization of prior service cost/(credit)</w:t>
            </w:r>
          </w:p>
        </w:tc>
        <w:tc>
          <w:tcPr>
            <w:tcW w:w="26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13</w:t>
            </w:r>
          </w:p>
        </w:tc>
        <w:tc>
          <w:tcPr>
            <w:tcW w:w="13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13</w:t>
            </w:r>
          </w:p>
        </w:tc>
        <w:tc>
          <w:tcPr>
            <w:tcW w:w="17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(1,122)</w:t>
            </w: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Amortization of net actuarial loss</w:t>
            </w:r>
          </w:p>
        </w:tc>
        <w:tc>
          <w:tcPr>
            <w:tcW w:w="26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670</w:t>
            </w:r>
          </w:p>
        </w:tc>
        <w:tc>
          <w:tcPr>
            <w:tcW w:w="13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601</w:t>
            </w:r>
          </w:p>
        </w:tc>
        <w:tc>
          <w:tcPr>
            <w:tcW w:w="17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835</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Curtailment gain</w:t>
            </w:r>
          </w:p>
        </w:tc>
        <w:tc>
          <w:tcPr>
            <w:tcW w:w="2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(493)</w:t>
            </w:r>
          </w:p>
        </w:tc>
        <w:tc>
          <w:tcPr>
            <w:tcW w:w="1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periodic benefit cost</w:t>
            </w:r>
          </w:p>
        </w:tc>
        <w:tc>
          <w:tcPr>
            <w:tcW w:w="26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$1,251</w:t>
            </w:r>
          </w:p>
        </w:tc>
        <w:tc>
          <w:tcPr>
            <w:tcW w:w="13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$934</w:t>
            </w:r>
          </w:p>
        </w:tc>
        <w:tc>
          <w:tcPr>
            <w:tcW w:w="17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$406</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126" w:lineRule="exact"/>
        <w:rPr>
          <w:sz w:val="20"/>
          <w:szCs w:val="20"/>
          <w:color w:val="auto"/>
        </w:rPr>
      </w:pPr>
    </w:p>
    <w:p>
      <w:pPr>
        <w:ind w:right="120" w:firstLine="360"/>
        <w:spacing w:after="0" w:line="234" w:lineRule="auto"/>
        <w:rPr>
          <w:sz w:val="20"/>
          <w:szCs w:val="20"/>
          <w:color w:val="auto"/>
        </w:rPr>
      </w:pPr>
      <w:r>
        <w:rPr>
          <w:rFonts w:ascii="Arial" w:cs="Arial" w:eastAsia="Arial" w:hAnsi="Arial"/>
          <w:sz w:val="18"/>
          <w:szCs w:val="18"/>
          <w:color w:val="auto"/>
        </w:rPr>
        <w:t>During the first quarter of 2015, the Company announced a plan to discontinue manufacturing operations at its press fabric manufacturing facility in Göppingen, Germany. The restructuring program was driven by the Company’s need to balance manufacturing capacity with demand. In April 2015, we completed negotiations and reached agreement on the restructuring plan with the Works Council. Approximately</w:t>
      </w:r>
    </w:p>
    <w:p>
      <w:pPr>
        <w:spacing w:after="0" w:line="2"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50 employees will be terminated under this plan, and the restructuring expense recorded in the first quarter of 2015 reflects our estimate of the severance costs. Manufacturing operations will be discontinued in the second quarter of 2015. It is likely that we will record additional charges for asset impairments, but the amounts are presently not estimable. Whereas the affected employees are related to manufacturing operations, cost savings associated with this action will flow through Cost of goods sold.</w:t>
      </w:r>
    </w:p>
    <w:p>
      <w:pPr>
        <w:spacing w:after="0" w:line="94" w:lineRule="exact"/>
        <w:rPr>
          <w:sz w:val="20"/>
          <w:szCs w:val="20"/>
          <w:color w:val="auto"/>
        </w:rPr>
      </w:pPr>
    </w:p>
    <w:p>
      <w:pPr>
        <w:ind w:right="260" w:firstLine="360"/>
        <w:spacing w:after="0" w:line="246" w:lineRule="auto"/>
        <w:rPr>
          <w:sz w:val="20"/>
          <w:szCs w:val="20"/>
          <w:color w:val="auto"/>
        </w:rPr>
      </w:pPr>
      <w:r>
        <w:rPr>
          <w:rFonts w:ascii="Arial" w:cs="Arial" w:eastAsia="Arial" w:hAnsi="Arial"/>
          <w:sz w:val="18"/>
          <w:szCs w:val="18"/>
          <w:color w:val="auto"/>
        </w:rPr>
        <w:t>Machine Clothing restructuring costs in 2014 were principally related to restructuring actions in France. Albany Engineered Composites restructuring expense in 2014 was related to organizational changes.</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charges reported in the Statements of Income under “Restructuring and other, net”: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3"/>
        </w:trPr>
        <w:tc>
          <w:tcPr>
            <w:tcW w:w="3500" w:type="dxa"/>
            <w:vAlign w:val="bottom"/>
            <w:tcBorders>
              <w:top w:val="single" w:sz="8" w:color="auto"/>
            </w:tcBorders>
          </w:tcPr>
          <w:p>
            <w:pPr>
              <w:spacing w:after="0"/>
              <w:rPr>
                <w:sz w:val="16"/>
                <w:szCs w:val="16"/>
                <w:color w:val="auto"/>
              </w:rPr>
            </w:pPr>
          </w:p>
        </w:tc>
        <w:tc>
          <w:tcPr>
            <w:tcW w:w="3360" w:type="dxa"/>
            <w:vAlign w:val="bottom"/>
            <w:tcBorders>
              <w:top w:val="single" w:sz="8" w:color="auto"/>
            </w:tcBorders>
            <w:gridSpan w:val="2"/>
          </w:tcPr>
          <w:p>
            <w:pPr>
              <w:jc w:val="right"/>
              <w:ind w:right="530"/>
              <w:spacing w:after="0" w:line="194" w:lineRule="exact"/>
              <w:rPr>
                <w:sz w:val="20"/>
                <w:szCs w:val="20"/>
                <w:color w:val="auto"/>
              </w:rPr>
            </w:pPr>
            <w:r>
              <w:rPr>
                <w:rFonts w:ascii="Arial" w:cs="Arial" w:eastAsia="Arial" w:hAnsi="Arial"/>
                <w:sz w:val="18"/>
                <w:szCs w:val="18"/>
                <w:b w:val="1"/>
                <w:bCs w:val="1"/>
                <w:color w:val="auto"/>
              </w:rPr>
              <w:t>Three months ended</w:t>
            </w:r>
          </w:p>
        </w:tc>
        <w:tc>
          <w:tcPr>
            <w:tcW w:w="40" w:type="dxa"/>
            <w:vAlign w:val="bottom"/>
            <w:gridSpan w:val="2"/>
          </w:tcPr>
          <w:p>
            <w:pPr>
              <w:spacing w:after="0"/>
              <w:rPr>
                <w:sz w:val="16"/>
                <w:szCs w:val="16"/>
                <w:color w:val="auto"/>
              </w:rPr>
            </w:pPr>
          </w:p>
        </w:tc>
      </w:tr>
      <w:tr>
        <w:trPr>
          <w:trHeight w:val="203"/>
        </w:trPr>
        <w:tc>
          <w:tcPr>
            <w:tcW w:w="3500" w:type="dxa"/>
            <w:vAlign w:val="bottom"/>
          </w:tcPr>
          <w:p>
            <w:pPr>
              <w:spacing w:after="0"/>
              <w:rPr>
                <w:sz w:val="17"/>
                <w:szCs w:val="17"/>
                <w:color w:val="auto"/>
              </w:rPr>
            </w:pPr>
          </w:p>
        </w:tc>
        <w:tc>
          <w:tcPr>
            <w:tcW w:w="2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March 31,</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3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2015</w:t>
            </w: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3"/>
        </w:trPr>
        <w:tc>
          <w:tcPr>
            <w:tcW w:w="350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380" w:type="dxa"/>
            <w:vAlign w:val="bottom"/>
          </w:tcPr>
          <w:p>
            <w:pPr>
              <w:jc w:val="right"/>
              <w:ind w:right="290"/>
              <w:spacing w:after="0" w:line="173" w:lineRule="exact"/>
              <w:rPr>
                <w:sz w:val="20"/>
                <w:szCs w:val="20"/>
                <w:color w:val="auto"/>
              </w:rPr>
            </w:pPr>
            <w:r>
              <w:rPr>
                <w:rFonts w:ascii="Arial" w:cs="Arial" w:eastAsia="Arial" w:hAnsi="Arial"/>
                <w:sz w:val="18"/>
                <w:szCs w:val="18"/>
                <w:b w:val="1"/>
                <w:bCs w:val="1"/>
                <w:color w:val="auto"/>
              </w:rPr>
              <w:t>$9,001</w:t>
            </w:r>
          </w:p>
        </w:tc>
        <w:tc>
          <w:tcPr>
            <w:tcW w:w="980" w:type="dxa"/>
            <w:vAlign w:val="bottom"/>
          </w:tcPr>
          <w:p>
            <w:pPr>
              <w:jc w:val="right"/>
              <w:spacing w:after="0" w:line="173" w:lineRule="exact"/>
              <w:rPr>
                <w:sz w:val="20"/>
                <w:szCs w:val="20"/>
                <w:color w:val="auto"/>
              </w:rPr>
            </w:pPr>
            <w:r>
              <w:rPr>
                <w:rFonts w:ascii="Arial" w:cs="Arial" w:eastAsia="Arial" w:hAnsi="Arial"/>
                <w:sz w:val="18"/>
                <w:szCs w:val="18"/>
                <w:color w:val="auto"/>
              </w:rPr>
              <w:t>$862</w:t>
            </w:r>
          </w:p>
        </w:tc>
        <w:tc>
          <w:tcPr>
            <w:tcW w:w="40" w:type="dxa"/>
            <w:vAlign w:val="bottom"/>
            <w:gridSpan w:val="2"/>
          </w:tcPr>
          <w:p>
            <w:pPr>
              <w:spacing w:after="0"/>
              <w:rPr>
                <w:sz w:val="15"/>
                <w:szCs w:val="15"/>
                <w:color w:val="auto"/>
              </w:rPr>
            </w:pPr>
          </w:p>
        </w:tc>
      </w:tr>
      <w:tr>
        <w:trPr>
          <w:trHeight w:val="2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2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9"/>
                <w:szCs w:val="19"/>
                <w:color w:val="auto"/>
              </w:rPr>
            </w:pPr>
          </w:p>
        </w:tc>
      </w:tr>
      <w:tr>
        <w:trPr>
          <w:trHeight w:val="196"/>
        </w:trPr>
        <w:tc>
          <w:tcPr>
            <w:tcW w:w="35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23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$9,001</w:t>
            </w:r>
          </w:p>
        </w:tc>
        <w:tc>
          <w:tcPr>
            <w:tcW w:w="100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$1,182</w:t>
            </w:r>
          </w:p>
        </w:tc>
        <w:tc>
          <w:tcPr>
            <w:tcW w:w="20" w:type="dxa"/>
            <w:vAlign w:val="bottom"/>
            <w:tcBorders>
              <w:bottom w:val="single" w:sz="8" w:color="auto"/>
            </w:tcBorders>
          </w:tcPr>
          <w:p>
            <w:pPr>
              <w:spacing w:after="0"/>
              <w:rPr>
                <w:sz w:val="17"/>
                <w:szCs w:val="17"/>
                <w:color w:val="auto"/>
              </w:rPr>
            </w:pPr>
          </w:p>
        </w:tc>
      </w:tr>
    </w:tbl>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8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410"/>
              <w:spacing w:after="0" w:line="194" w:lineRule="exact"/>
              <w:rPr>
                <w:sz w:val="20"/>
                <w:szCs w:val="20"/>
                <w:color w:val="auto"/>
              </w:rPr>
            </w:pPr>
            <w:r>
              <w:rPr>
                <w:rFonts w:ascii="Arial" w:cs="Arial" w:eastAsia="Arial" w:hAnsi="Arial"/>
                <w:sz w:val="18"/>
                <w:szCs w:val="18"/>
                <w:b w:val="1"/>
                <w:bCs w:val="1"/>
                <w:color w:val="auto"/>
              </w:rPr>
              <w:t>Benefit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2700" w:type="dxa"/>
            <w:vAlign w:val="bottom"/>
          </w:tcPr>
          <w:p>
            <w:pPr>
              <w:jc w:val="center"/>
              <w:ind w:left="710"/>
              <w:spacing w:after="0" w:line="202" w:lineRule="exact"/>
              <w:rPr>
                <w:sz w:val="20"/>
                <w:szCs w:val="20"/>
                <w:color w:val="auto"/>
              </w:rPr>
            </w:pPr>
            <w:r>
              <w:rPr>
                <w:rFonts w:ascii="Arial" w:cs="Arial" w:eastAsia="Arial" w:hAnsi="Arial"/>
                <w:sz w:val="18"/>
                <w:szCs w:val="18"/>
                <w:b w:val="1"/>
                <w:bCs w:val="1"/>
                <w:color w:val="auto"/>
                <w:w w:val="98"/>
              </w:rPr>
              <w:t>Total restructuring</w:t>
            </w:r>
          </w:p>
        </w:tc>
        <w:tc>
          <w:tcPr>
            <w:tcW w:w="158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8"/>
              </w:rPr>
              <w:t>Termination</w:t>
            </w:r>
          </w:p>
        </w:tc>
        <w:tc>
          <w:tcPr>
            <w:tcW w:w="1600" w:type="dxa"/>
            <w:vAlign w:val="bottom"/>
          </w:tcPr>
          <w:p>
            <w:pPr>
              <w:jc w:val="center"/>
              <w:ind w:right="230"/>
              <w:spacing w:after="0" w:line="202" w:lineRule="exact"/>
              <w:rPr>
                <w:sz w:val="20"/>
                <w:szCs w:val="20"/>
                <w:color w:val="auto"/>
              </w:rPr>
            </w:pPr>
            <w:r>
              <w:rPr>
                <w:rFonts w:ascii="Arial" w:cs="Arial" w:eastAsia="Arial" w:hAnsi="Arial"/>
                <w:sz w:val="18"/>
                <w:szCs w:val="18"/>
                <w:b w:val="1"/>
                <w:bCs w:val="1"/>
                <w:color w:val="auto"/>
                <w:w w:val="98"/>
              </w:rPr>
              <w:t>Impairment</w:t>
            </w:r>
          </w:p>
        </w:tc>
        <w:tc>
          <w:tcPr>
            <w:tcW w:w="148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7"/>
              </w:rPr>
              <w:t>plan</w:t>
            </w:r>
          </w:p>
        </w:tc>
        <w:tc>
          <w:tcPr>
            <w:tcW w:w="0" w:type="dxa"/>
            <w:vAlign w:val="bottom"/>
          </w:tcPr>
          <w:p>
            <w:pPr>
              <w:spacing w:after="0"/>
              <w:rPr>
                <w:sz w:val="1"/>
                <w:szCs w:val="1"/>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b w:val="1"/>
                <w:bCs w:val="1"/>
                <w:color w:val="auto"/>
              </w:rPr>
              <w:t>Three months ended March 31, 2015</w:t>
            </w:r>
          </w:p>
        </w:tc>
        <w:tc>
          <w:tcPr>
            <w:tcW w:w="2700" w:type="dxa"/>
            <w:vAlign w:val="bottom"/>
          </w:tcPr>
          <w:p>
            <w:pPr>
              <w:jc w:val="center"/>
              <w:ind w:left="670"/>
              <w:spacing w:after="0" w:line="202" w:lineRule="exact"/>
              <w:rPr>
                <w:sz w:val="20"/>
                <w:szCs w:val="20"/>
                <w:color w:val="auto"/>
              </w:rPr>
            </w:pPr>
            <w:r>
              <w:rPr>
                <w:rFonts w:ascii="Arial" w:cs="Arial" w:eastAsia="Arial" w:hAnsi="Arial"/>
                <w:sz w:val="18"/>
                <w:szCs w:val="18"/>
                <w:b w:val="1"/>
                <w:bCs w:val="1"/>
                <w:color w:val="auto"/>
                <w:w w:val="97"/>
              </w:rPr>
              <w:t>costs</w:t>
            </w:r>
          </w:p>
        </w:tc>
        <w:tc>
          <w:tcPr>
            <w:tcW w:w="1580" w:type="dxa"/>
            <w:vAlign w:val="bottom"/>
          </w:tcPr>
          <w:p>
            <w:pPr>
              <w:jc w:val="center"/>
              <w:ind w:right="230"/>
              <w:spacing w:after="0" w:line="202" w:lineRule="exact"/>
              <w:rPr>
                <w:sz w:val="20"/>
                <w:szCs w:val="20"/>
                <w:color w:val="auto"/>
              </w:rPr>
            </w:pPr>
            <w:r>
              <w:rPr>
                <w:rFonts w:ascii="Arial" w:cs="Arial" w:eastAsia="Arial" w:hAnsi="Arial"/>
                <w:sz w:val="18"/>
                <w:szCs w:val="18"/>
                <w:b w:val="1"/>
                <w:bCs w:val="1"/>
                <w:color w:val="auto"/>
                <w:w w:val="99"/>
              </w:rPr>
              <w:t>and other</w:t>
            </w:r>
          </w:p>
        </w:tc>
        <w:tc>
          <w:tcPr>
            <w:tcW w:w="160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99"/>
              </w:rPr>
              <w:t>of plant and</w:t>
            </w:r>
          </w:p>
        </w:tc>
        <w:tc>
          <w:tcPr>
            <w:tcW w:w="148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curtailment/</w:t>
            </w:r>
          </w:p>
        </w:tc>
        <w:tc>
          <w:tcPr>
            <w:tcW w:w="0" w:type="dxa"/>
            <w:vAlign w:val="bottom"/>
          </w:tcPr>
          <w:p>
            <w:pPr>
              <w:spacing w:after="0"/>
              <w:rPr>
                <w:sz w:val="1"/>
                <w:szCs w:val="1"/>
                <w:color w:val="auto"/>
              </w:rPr>
            </w:pPr>
          </w:p>
        </w:tc>
      </w:tr>
      <w:tr>
        <w:trPr>
          <w:trHeight w:val="225"/>
        </w:trPr>
        <w:tc>
          <w:tcPr>
            <w:tcW w:w="40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700" w:type="dxa"/>
            <w:vAlign w:val="bottom"/>
          </w:tcPr>
          <w:p>
            <w:pPr>
              <w:jc w:val="center"/>
              <w:ind w:left="730"/>
              <w:spacing w:after="0"/>
              <w:rPr>
                <w:sz w:val="20"/>
                <w:szCs w:val="20"/>
                <w:color w:val="auto"/>
              </w:rPr>
            </w:pPr>
            <w:r>
              <w:rPr>
                <w:rFonts w:ascii="Arial" w:cs="Arial" w:eastAsia="Arial" w:hAnsi="Arial"/>
                <w:sz w:val="18"/>
                <w:szCs w:val="18"/>
                <w:b w:val="1"/>
                <w:bCs w:val="1"/>
                <w:color w:val="auto"/>
                <w:w w:val="99"/>
              </w:rPr>
              <w:t>incurred</w:t>
            </w:r>
          </w:p>
        </w:tc>
        <w:tc>
          <w:tcPr>
            <w:tcW w:w="1580" w:type="dxa"/>
            <w:vAlign w:val="bottom"/>
          </w:tcPr>
          <w:p>
            <w:pPr>
              <w:jc w:val="right"/>
              <w:ind w:right="650"/>
              <w:spacing w:after="0"/>
              <w:rPr>
                <w:sz w:val="20"/>
                <w:szCs w:val="20"/>
                <w:color w:val="auto"/>
              </w:rPr>
            </w:pPr>
            <w:r>
              <w:rPr>
                <w:rFonts w:ascii="Arial" w:cs="Arial" w:eastAsia="Arial" w:hAnsi="Arial"/>
                <w:sz w:val="18"/>
                <w:szCs w:val="18"/>
                <w:b w:val="1"/>
                <w:bCs w:val="1"/>
                <w:color w:val="auto"/>
              </w:rPr>
              <w:t>costs</w:t>
            </w:r>
          </w:p>
        </w:tc>
        <w:tc>
          <w:tcPr>
            <w:tcW w:w="1600" w:type="dxa"/>
            <w:vAlign w:val="bottom"/>
          </w:tcPr>
          <w:p>
            <w:pPr>
              <w:jc w:val="center"/>
              <w:ind w:right="170"/>
              <w:spacing w:after="0"/>
              <w:rPr>
                <w:sz w:val="20"/>
                <w:szCs w:val="20"/>
                <w:color w:val="auto"/>
              </w:rPr>
            </w:pPr>
            <w:r>
              <w:rPr>
                <w:rFonts w:ascii="Arial" w:cs="Arial" w:eastAsia="Arial" w:hAnsi="Arial"/>
                <w:sz w:val="18"/>
                <w:szCs w:val="18"/>
                <w:b w:val="1"/>
                <w:bCs w:val="1"/>
                <w:color w:val="auto"/>
                <w:w w:val="98"/>
              </w:rPr>
              <w:t>equipment</w:t>
            </w: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settlement</w:t>
            </w:r>
          </w:p>
        </w:tc>
        <w:tc>
          <w:tcPr>
            <w:tcW w:w="0" w:type="dxa"/>
            <w:vAlign w:val="bottom"/>
          </w:tcPr>
          <w:p>
            <w:pPr>
              <w:spacing w:after="0"/>
              <w:rPr>
                <w:sz w:val="1"/>
                <w:szCs w:val="1"/>
                <w:color w:val="auto"/>
              </w:rPr>
            </w:pPr>
          </w:p>
        </w:tc>
      </w:tr>
      <w:tr>
        <w:trPr>
          <w:trHeight w:val="195"/>
        </w:trPr>
        <w:tc>
          <w:tcPr>
            <w:tcW w:w="4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Machine Clothing</w:t>
            </w:r>
          </w:p>
        </w:tc>
        <w:tc>
          <w:tcPr>
            <w:tcW w:w="270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$9,001</w:t>
            </w:r>
          </w:p>
        </w:tc>
        <w:tc>
          <w:tcPr>
            <w:tcW w:w="15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$9,001</w:t>
            </w:r>
          </w:p>
        </w:tc>
        <w:tc>
          <w:tcPr>
            <w:tcW w:w="160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Albany Engineered Composites</w:t>
            </w:r>
          </w:p>
        </w:tc>
        <w:tc>
          <w:tcPr>
            <w:tcW w:w="270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7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$9,001</w:t>
            </w:r>
          </w:p>
        </w:tc>
        <w:tc>
          <w:tcPr>
            <w:tcW w:w="15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$9,001</w:t>
            </w:r>
          </w:p>
        </w:tc>
        <w:tc>
          <w:tcPr>
            <w:tcW w:w="16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0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2700" w:type="dxa"/>
            <w:vAlign w:val="bottom"/>
          </w:tcPr>
          <w:p>
            <w:pPr>
              <w:jc w:val="center"/>
              <w:ind w:left="670"/>
              <w:spacing w:after="0" w:line="173" w:lineRule="exact"/>
              <w:rPr>
                <w:sz w:val="20"/>
                <w:szCs w:val="20"/>
                <w:color w:val="auto"/>
              </w:rPr>
            </w:pPr>
            <w:r>
              <w:rPr>
                <w:rFonts w:ascii="Arial" w:cs="Arial" w:eastAsia="Arial" w:hAnsi="Arial"/>
                <w:sz w:val="18"/>
                <w:szCs w:val="18"/>
                <w:b w:val="1"/>
                <w:bCs w:val="1"/>
                <w:color w:val="auto"/>
                <w:w w:val="97"/>
              </w:rPr>
              <w:t>Total</w:t>
            </w:r>
          </w:p>
        </w:tc>
        <w:tc>
          <w:tcPr>
            <w:tcW w:w="1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60" w:type="dxa"/>
            <w:vAlign w:val="bottom"/>
          </w:tcPr>
          <w:p>
            <w:pPr>
              <w:jc w:val="center"/>
              <w:ind w:right="50"/>
              <w:spacing w:after="0" w:line="173" w:lineRule="exact"/>
              <w:rPr>
                <w:sz w:val="20"/>
                <w:szCs w:val="20"/>
                <w:color w:val="auto"/>
              </w:rPr>
            </w:pPr>
            <w:r>
              <w:rPr>
                <w:rFonts w:ascii="Arial" w:cs="Arial" w:eastAsia="Arial" w:hAnsi="Arial"/>
                <w:sz w:val="18"/>
                <w:szCs w:val="18"/>
                <w:b w:val="1"/>
                <w:bCs w:val="1"/>
                <w:color w:val="auto"/>
                <w:w w:val="98"/>
              </w:rPr>
              <w:t>Benefit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2700" w:type="dxa"/>
            <w:vAlign w:val="bottom"/>
          </w:tcPr>
          <w:p>
            <w:pPr>
              <w:jc w:val="center"/>
              <w:ind w:left="69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158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8"/>
              </w:rPr>
              <w:t>Termination</w:t>
            </w:r>
          </w:p>
        </w:tc>
        <w:tc>
          <w:tcPr>
            <w:tcW w:w="1600" w:type="dxa"/>
            <w:vAlign w:val="bottom"/>
          </w:tcPr>
          <w:p>
            <w:pPr>
              <w:jc w:val="center"/>
              <w:ind w:right="230"/>
              <w:spacing w:after="0" w:line="202" w:lineRule="exact"/>
              <w:rPr>
                <w:sz w:val="20"/>
                <w:szCs w:val="20"/>
                <w:color w:val="auto"/>
              </w:rPr>
            </w:pPr>
            <w:r>
              <w:rPr>
                <w:rFonts w:ascii="Arial" w:cs="Arial" w:eastAsia="Arial" w:hAnsi="Arial"/>
                <w:sz w:val="18"/>
                <w:szCs w:val="18"/>
                <w:b w:val="1"/>
                <w:bCs w:val="1"/>
                <w:color w:val="auto"/>
                <w:w w:val="98"/>
              </w:rPr>
              <w:t>Impairment</w:t>
            </w:r>
          </w:p>
        </w:tc>
        <w:tc>
          <w:tcPr>
            <w:tcW w:w="148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7"/>
              </w:rPr>
              <w:t>plan</w:t>
            </w:r>
          </w:p>
        </w:tc>
        <w:tc>
          <w:tcPr>
            <w:tcW w:w="0" w:type="dxa"/>
            <w:vAlign w:val="bottom"/>
          </w:tcPr>
          <w:p>
            <w:pPr>
              <w:spacing w:after="0"/>
              <w:rPr>
                <w:sz w:val="1"/>
                <w:szCs w:val="1"/>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b w:val="1"/>
                <w:bCs w:val="1"/>
                <w:color w:val="auto"/>
              </w:rPr>
              <w:t>Three months ended March 31, 2014</w:t>
            </w:r>
          </w:p>
        </w:tc>
        <w:tc>
          <w:tcPr>
            <w:tcW w:w="2700" w:type="dxa"/>
            <w:vAlign w:val="bottom"/>
          </w:tcPr>
          <w:p>
            <w:pPr>
              <w:jc w:val="center"/>
              <w:ind w:left="670"/>
              <w:spacing w:after="0" w:line="202" w:lineRule="exact"/>
              <w:rPr>
                <w:sz w:val="20"/>
                <w:szCs w:val="20"/>
                <w:color w:val="auto"/>
              </w:rPr>
            </w:pPr>
            <w:r>
              <w:rPr>
                <w:rFonts w:ascii="Arial" w:cs="Arial" w:eastAsia="Arial" w:hAnsi="Arial"/>
                <w:sz w:val="18"/>
                <w:szCs w:val="18"/>
                <w:b w:val="1"/>
                <w:bCs w:val="1"/>
                <w:color w:val="auto"/>
                <w:w w:val="97"/>
              </w:rPr>
              <w:t>costs</w:t>
            </w:r>
          </w:p>
        </w:tc>
        <w:tc>
          <w:tcPr>
            <w:tcW w:w="1580" w:type="dxa"/>
            <w:vAlign w:val="bottom"/>
          </w:tcPr>
          <w:p>
            <w:pPr>
              <w:jc w:val="center"/>
              <w:ind w:right="230"/>
              <w:spacing w:after="0" w:line="202" w:lineRule="exact"/>
              <w:rPr>
                <w:sz w:val="20"/>
                <w:szCs w:val="20"/>
                <w:color w:val="auto"/>
              </w:rPr>
            </w:pPr>
            <w:r>
              <w:rPr>
                <w:rFonts w:ascii="Arial" w:cs="Arial" w:eastAsia="Arial" w:hAnsi="Arial"/>
                <w:sz w:val="18"/>
                <w:szCs w:val="18"/>
                <w:b w:val="1"/>
                <w:bCs w:val="1"/>
                <w:color w:val="auto"/>
                <w:w w:val="99"/>
              </w:rPr>
              <w:t>and other</w:t>
            </w:r>
          </w:p>
        </w:tc>
        <w:tc>
          <w:tcPr>
            <w:tcW w:w="160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99"/>
              </w:rPr>
              <w:t>of plant and</w:t>
            </w:r>
          </w:p>
        </w:tc>
        <w:tc>
          <w:tcPr>
            <w:tcW w:w="148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curtailment/</w:t>
            </w:r>
          </w:p>
        </w:tc>
        <w:tc>
          <w:tcPr>
            <w:tcW w:w="0" w:type="dxa"/>
            <w:vAlign w:val="bottom"/>
          </w:tcPr>
          <w:p>
            <w:pPr>
              <w:spacing w:after="0"/>
              <w:rPr>
                <w:sz w:val="1"/>
                <w:szCs w:val="1"/>
                <w:color w:val="auto"/>
              </w:rPr>
            </w:pPr>
          </w:p>
        </w:tc>
      </w:tr>
      <w:tr>
        <w:trPr>
          <w:trHeight w:val="225"/>
        </w:trPr>
        <w:tc>
          <w:tcPr>
            <w:tcW w:w="40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700" w:type="dxa"/>
            <w:vAlign w:val="bottom"/>
          </w:tcPr>
          <w:p>
            <w:pPr>
              <w:jc w:val="center"/>
              <w:ind w:left="730"/>
              <w:spacing w:after="0"/>
              <w:rPr>
                <w:sz w:val="20"/>
                <w:szCs w:val="20"/>
                <w:color w:val="auto"/>
              </w:rPr>
            </w:pPr>
            <w:r>
              <w:rPr>
                <w:rFonts w:ascii="Arial" w:cs="Arial" w:eastAsia="Arial" w:hAnsi="Arial"/>
                <w:sz w:val="18"/>
                <w:szCs w:val="18"/>
                <w:b w:val="1"/>
                <w:bCs w:val="1"/>
                <w:color w:val="auto"/>
                <w:w w:val="99"/>
              </w:rPr>
              <w:t>incurred</w:t>
            </w:r>
          </w:p>
        </w:tc>
        <w:tc>
          <w:tcPr>
            <w:tcW w:w="1580" w:type="dxa"/>
            <w:vAlign w:val="bottom"/>
          </w:tcPr>
          <w:p>
            <w:pPr>
              <w:jc w:val="center"/>
              <w:ind w:right="170"/>
              <w:spacing w:after="0"/>
              <w:rPr>
                <w:sz w:val="20"/>
                <w:szCs w:val="20"/>
                <w:color w:val="auto"/>
              </w:rPr>
            </w:pPr>
            <w:r>
              <w:rPr>
                <w:rFonts w:ascii="Arial" w:cs="Arial" w:eastAsia="Arial" w:hAnsi="Arial"/>
                <w:sz w:val="18"/>
                <w:szCs w:val="18"/>
                <w:b w:val="1"/>
                <w:bCs w:val="1"/>
                <w:color w:val="auto"/>
              </w:rPr>
              <w:t>costs</w:t>
            </w:r>
          </w:p>
        </w:tc>
        <w:tc>
          <w:tcPr>
            <w:tcW w:w="1600" w:type="dxa"/>
            <w:vAlign w:val="bottom"/>
          </w:tcPr>
          <w:p>
            <w:pPr>
              <w:jc w:val="center"/>
              <w:ind w:right="170"/>
              <w:spacing w:after="0"/>
              <w:rPr>
                <w:sz w:val="20"/>
                <w:szCs w:val="20"/>
                <w:color w:val="auto"/>
              </w:rPr>
            </w:pPr>
            <w:r>
              <w:rPr>
                <w:rFonts w:ascii="Arial" w:cs="Arial" w:eastAsia="Arial" w:hAnsi="Arial"/>
                <w:sz w:val="18"/>
                <w:szCs w:val="18"/>
                <w:b w:val="1"/>
                <w:bCs w:val="1"/>
                <w:color w:val="auto"/>
                <w:w w:val="98"/>
              </w:rPr>
              <w:t>equipment</w:t>
            </w: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settlement</w:t>
            </w:r>
          </w:p>
        </w:tc>
        <w:tc>
          <w:tcPr>
            <w:tcW w:w="0" w:type="dxa"/>
            <w:vAlign w:val="bottom"/>
          </w:tcPr>
          <w:p>
            <w:pPr>
              <w:spacing w:after="0"/>
              <w:rPr>
                <w:sz w:val="1"/>
                <w:szCs w:val="1"/>
                <w:color w:val="auto"/>
              </w:rPr>
            </w:pPr>
          </w:p>
        </w:tc>
      </w:tr>
      <w:tr>
        <w:trPr>
          <w:trHeight w:val="195"/>
        </w:trPr>
        <w:tc>
          <w:tcPr>
            <w:tcW w:w="4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Machine Clothing</w:t>
            </w:r>
          </w:p>
        </w:tc>
        <w:tc>
          <w:tcPr>
            <w:tcW w:w="270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rPr>
              <w:t>$862</w:t>
            </w:r>
          </w:p>
        </w:tc>
        <w:tc>
          <w:tcPr>
            <w:tcW w:w="158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$1,355</w:t>
            </w:r>
          </w:p>
        </w:tc>
        <w:tc>
          <w:tcPr>
            <w:tcW w:w="160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Albany Engineered Composites</w:t>
            </w:r>
          </w:p>
        </w:tc>
        <w:tc>
          <w:tcPr>
            <w:tcW w:w="27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320</w:t>
            </w:r>
          </w:p>
        </w:tc>
        <w:tc>
          <w:tcPr>
            <w:tcW w:w="15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320</w:t>
            </w:r>
          </w:p>
        </w:tc>
        <w:tc>
          <w:tcPr>
            <w:tcW w:w="16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7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$1,182</w:t>
            </w:r>
          </w:p>
        </w:tc>
        <w:tc>
          <w:tcPr>
            <w:tcW w:w="15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$1,675</w:t>
            </w:r>
          </w:p>
        </w:tc>
        <w:tc>
          <w:tcPr>
            <w:tcW w:w="16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500" w:firstLine="360"/>
        <w:spacing w:after="0" w:line="246" w:lineRule="auto"/>
        <w:rPr>
          <w:sz w:val="20"/>
          <w:szCs w:val="20"/>
          <w:color w:val="auto"/>
        </w:rPr>
      </w:pPr>
      <w:r>
        <w:rPr>
          <w:rFonts w:ascii="Arial" w:cs="Arial" w:eastAsia="Arial" w:hAnsi="Arial"/>
          <w:sz w:val="18"/>
          <w:szCs w:val="18"/>
          <w:color w:val="auto"/>
        </w:rPr>
        <w:t>We expect that substantially all Accrued liabilities for restructuring will be paid within one year. The table below presents year-to-date changes in restructuring liabilities for 2015 and 2014, all of which related to termination costs: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0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tcPr>
          <w:p>
            <w:pPr>
              <w:jc w:val="center"/>
              <w:ind w:left="210"/>
              <w:spacing w:after="0" w:line="194" w:lineRule="exact"/>
              <w:rPr>
                <w:sz w:val="20"/>
                <w:szCs w:val="20"/>
                <w:color w:val="auto"/>
              </w:rPr>
            </w:pPr>
            <w:r>
              <w:rPr>
                <w:rFonts w:ascii="Arial" w:cs="Arial" w:eastAsia="Arial" w:hAnsi="Arial"/>
                <w:sz w:val="18"/>
                <w:szCs w:val="18"/>
                <w:b w:val="1"/>
                <w:bCs w:val="1"/>
                <w:color w:val="auto"/>
              </w:rPr>
              <w:t>December 31,</w:t>
            </w:r>
          </w:p>
        </w:tc>
        <w:tc>
          <w:tcPr>
            <w:tcW w:w="1860" w:type="dxa"/>
            <w:vAlign w:val="bottom"/>
            <w:tcBorders>
              <w:top w:val="single" w:sz="8" w:color="auto"/>
            </w:tcBorders>
          </w:tcPr>
          <w:p>
            <w:pPr>
              <w:jc w:val="center"/>
              <w:ind w:right="190"/>
              <w:spacing w:after="0" w:line="194" w:lineRule="exact"/>
              <w:rPr>
                <w:sz w:val="20"/>
                <w:szCs w:val="20"/>
                <w:color w:val="auto"/>
              </w:rPr>
            </w:pPr>
            <w:r>
              <w:rPr>
                <w:rFonts w:ascii="Arial" w:cs="Arial" w:eastAsia="Arial" w:hAnsi="Arial"/>
                <w:sz w:val="18"/>
                <w:szCs w:val="18"/>
                <w:b w:val="1"/>
                <w:bCs w:val="1"/>
                <w:color w:val="auto"/>
                <w:w w:val="99"/>
              </w:rPr>
              <w:t>Restructuring</w:t>
            </w:r>
          </w:p>
        </w:tc>
        <w:tc>
          <w:tcPr>
            <w:tcW w:w="156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center"/>
              <w:ind w:right="190"/>
              <w:spacing w:after="0" w:line="194" w:lineRule="exact"/>
              <w:rPr>
                <w:sz w:val="20"/>
                <w:szCs w:val="20"/>
                <w:color w:val="auto"/>
              </w:rPr>
            </w:pPr>
            <w:r>
              <w:rPr>
                <w:rFonts w:ascii="Arial" w:cs="Arial" w:eastAsia="Arial" w:hAnsi="Arial"/>
                <w:sz w:val="18"/>
                <w:szCs w:val="18"/>
                <w:b w:val="1"/>
                <w:bCs w:val="1"/>
                <w:color w:val="auto"/>
                <w:w w:val="98"/>
              </w:rPr>
              <w:t>Currency</w:t>
            </w:r>
          </w:p>
        </w:tc>
        <w:tc>
          <w:tcPr>
            <w:tcW w:w="1480" w:type="dxa"/>
            <w:vAlign w:val="bottom"/>
            <w:tcBorders>
              <w:top w:val="single" w:sz="8" w:color="auto"/>
            </w:tcBorders>
          </w:tcPr>
          <w:p>
            <w:pPr>
              <w:jc w:val="center"/>
              <w:ind w:right="130"/>
              <w:spacing w:after="0" w:line="194" w:lineRule="exact"/>
              <w:rPr>
                <w:sz w:val="20"/>
                <w:szCs w:val="20"/>
                <w:color w:val="auto"/>
              </w:rPr>
            </w:pPr>
            <w:r>
              <w:rPr>
                <w:rFonts w:ascii="Arial" w:cs="Arial" w:eastAsia="Arial" w:hAnsi="Arial"/>
                <w:sz w:val="18"/>
                <w:szCs w:val="18"/>
                <w:b w:val="1"/>
                <w:bCs w:val="1"/>
                <w:color w:val="auto"/>
                <w:w w:val="98"/>
              </w:rPr>
              <w:t>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16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2014</w:t>
            </w:r>
          </w:p>
        </w:tc>
        <w:tc>
          <w:tcPr>
            <w:tcW w:w="18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rPr>
              <w:t>charges accrued</w:t>
            </w:r>
          </w:p>
        </w:tc>
        <w:tc>
          <w:tcPr>
            <w:tcW w:w="15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Payments</w:t>
            </w:r>
          </w:p>
        </w:tc>
        <w:tc>
          <w:tcPr>
            <w:tcW w:w="18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translation /other</w:t>
            </w:r>
          </w:p>
        </w:tc>
        <w:tc>
          <w:tcPr>
            <w:tcW w:w="14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2500" w:type="dxa"/>
            <w:vAlign w:val="bottom"/>
          </w:tcPr>
          <w:p>
            <w:pPr>
              <w:spacing w:after="0"/>
              <w:rPr>
                <w:sz w:val="20"/>
                <w:szCs w:val="20"/>
                <w:color w:val="auto"/>
              </w:rPr>
            </w:pPr>
            <w:r>
              <w:rPr>
                <w:rFonts w:ascii="Arial" w:cs="Arial" w:eastAsia="Arial" w:hAnsi="Arial"/>
                <w:sz w:val="18"/>
                <w:szCs w:val="18"/>
                <w:color w:val="auto"/>
              </w:rPr>
              <w:t>Total Termination costs</w:t>
            </w:r>
          </w:p>
        </w:tc>
        <w:tc>
          <w:tcPr>
            <w:tcW w:w="2160" w:type="dxa"/>
            <w:vAlign w:val="bottom"/>
          </w:tcPr>
          <w:p>
            <w:pPr>
              <w:jc w:val="right"/>
              <w:spacing w:after="0"/>
              <w:rPr>
                <w:sz w:val="20"/>
                <w:szCs w:val="20"/>
                <w:color w:val="auto"/>
              </w:rPr>
            </w:pPr>
            <w:r>
              <w:rPr>
                <w:rFonts w:ascii="Arial" w:cs="Arial" w:eastAsia="Arial" w:hAnsi="Arial"/>
                <w:sz w:val="18"/>
                <w:szCs w:val="18"/>
                <w:color w:val="auto"/>
              </w:rPr>
              <w:t>$1,874</w:t>
            </w: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$9,001</w:t>
            </w:r>
          </w:p>
        </w:tc>
        <w:tc>
          <w:tcPr>
            <w:tcW w:w="1560" w:type="dxa"/>
            <w:vAlign w:val="bottom"/>
          </w:tcPr>
          <w:p>
            <w:pPr>
              <w:jc w:val="right"/>
              <w:spacing w:after="0"/>
              <w:rPr>
                <w:sz w:val="20"/>
                <w:szCs w:val="20"/>
                <w:color w:val="auto"/>
              </w:rPr>
            </w:pPr>
            <w:r>
              <w:rPr>
                <w:rFonts w:ascii="Arial" w:cs="Arial" w:eastAsia="Arial" w:hAnsi="Arial"/>
                <w:sz w:val="18"/>
                <w:szCs w:val="18"/>
                <w:color w:val="auto"/>
              </w:rPr>
              <w:t>$(2,122)</w:t>
            </w: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$(228)</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$8,525</w:t>
            </w:r>
          </w:p>
        </w:tc>
        <w:tc>
          <w:tcPr>
            <w:tcW w:w="0" w:type="dxa"/>
            <w:vAlign w:val="bottom"/>
          </w:tcPr>
          <w:p>
            <w:pPr>
              <w:spacing w:after="0"/>
              <w:rPr>
                <w:sz w:val="1"/>
                <w:szCs w:val="1"/>
                <w:color w:val="auto"/>
              </w:rPr>
            </w:pPr>
          </w:p>
        </w:tc>
      </w:tr>
      <w:tr>
        <w:trPr>
          <w:trHeight w:val="372"/>
        </w:trPr>
        <w:tc>
          <w:tcPr>
            <w:tcW w:w="2500" w:type="dxa"/>
            <w:vAlign w:val="bottom"/>
            <w:tcBorders>
              <w:top w:val="single" w:sz="8" w:color="auto"/>
              <w:bottom w:val="single" w:sz="8" w:color="auto"/>
            </w:tcBorders>
          </w:tcPr>
          <w:p>
            <w:pPr>
              <w:spacing w:after="0"/>
              <w:rPr>
                <w:sz w:val="24"/>
                <w:szCs w:val="24"/>
                <w:color w:val="auto"/>
              </w:rPr>
            </w:pPr>
          </w:p>
        </w:tc>
        <w:tc>
          <w:tcPr>
            <w:tcW w:w="2160" w:type="dxa"/>
            <w:vAlign w:val="bottom"/>
            <w:tcBorders>
              <w:top w:val="single" w:sz="8" w:color="auto"/>
              <w:bottom w:val="single" w:sz="8" w:color="auto"/>
            </w:tcBorders>
          </w:tcPr>
          <w:p>
            <w:pPr>
              <w:spacing w:after="0"/>
              <w:rPr>
                <w:sz w:val="24"/>
                <w:szCs w:val="24"/>
                <w:color w:val="auto"/>
              </w:rPr>
            </w:pPr>
          </w:p>
        </w:tc>
        <w:tc>
          <w:tcPr>
            <w:tcW w:w="1860" w:type="dxa"/>
            <w:vAlign w:val="bottom"/>
            <w:tcBorders>
              <w:top w:val="single" w:sz="8" w:color="auto"/>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186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500" w:type="dxa"/>
            <w:vAlign w:val="bottom"/>
          </w:tcPr>
          <w:p>
            <w:pPr>
              <w:spacing w:after="0"/>
              <w:rPr>
                <w:sz w:val="15"/>
                <w:szCs w:val="15"/>
                <w:color w:val="auto"/>
              </w:rPr>
            </w:pPr>
          </w:p>
        </w:tc>
        <w:tc>
          <w:tcPr>
            <w:tcW w:w="2160" w:type="dxa"/>
            <w:vAlign w:val="bottom"/>
          </w:tcPr>
          <w:p>
            <w:pPr>
              <w:jc w:val="center"/>
              <w:ind w:left="210"/>
              <w:spacing w:after="0" w:line="173" w:lineRule="exact"/>
              <w:rPr>
                <w:sz w:val="20"/>
                <w:szCs w:val="20"/>
                <w:color w:val="auto"/>
              </w:rPr>
            </w:pPr>
            <w:r>
              <w:rPr>
                <w:rFonts w:ascii="Arial" w:cs="Arial" w:eastAsia="Arial" w:hAnsi="Arial"/>
                <w:sz w:val="18"/>
                <w:szCs w:val="18"/>
                <w:b w:val="1"/>
                <w:bCs w:val="1"/>
                <w:color w:val="auto"/>
              </w:rPr>
              <w:t>December 31,</w:t>
            </w:r>
          </w:p>
        </w:tc>
        <w:tc>
          <w:tcPr>
            <w:tcW w:w="1860" w:type="dxa"/>
            <w:vAlign w:val="bottom"/>
          </w:tcPr>
          <w:p>
            <w:pPr>
              <w:jc w:val="center"/>
              <w:ind w:right="190"/>
              <w:spacing w:after="0" w:line="173" w:lineRule="exact"/>
              <w:rPr>
                <w:sz w:val="20"/>
                <w:szCs w:val="20"/>
                <w:color w:val="auto"/>
              </w:rPr>
            </w:pPr>
            <w:r>
              <w:rPr>
                <w:rFonts w:ascii="Arial" w:cs="Arial" w:eastAsia="Arial" w:hAnsi="Arial"/>
                <w:sz w:val="18"/>
                <w:szCs w:val="18"/>
                <w:b w:val="1"/>
                <w:bCs w:val="1"/>
                <w:color w:val="auto"/>
                <w:w w:val="99"/>
              </w:rPr>
              <w:t>Restructuring</w:t>
            </w:r>
          </w:p>
        </w:tc>
        <w:tc>
          <w:tcPr>
            <w:tcW w:w="1560" w:type="dxa"/>
            <w:vAlign w:val="bottom"/>
          </w:tcPr>
          <w:p>
            <w:pPr>
              <w:spacing w:after="0"/>
              <w:rPr>
                <w:sz w:val="15"/>
                <w:szCs w:val="15"/>
                <w:color w:val="auto"/>
              </w:rPr>
            </w:pPr>
          </w:p>
        </w:tc>
        <w:tc>
          <w:tcPr>
            <w:tcW w:w="1860" w:type="dxa"/>
            <w:vAlign w:val="bottom"/>
          </w:tcPr>
          <w:p>
            <w:pPr>
              <w:jc w:val="center"/>
              <w:ind w:right="190"/>
              <w:spacing w:after="0" w:line="173" w:lineRule="exact"/>
              <w:rPr>
                <w:sz w:val="20"/>
                <w:szCs w:val="20"/>
                <w:color w:val="auto"/>
              </w:rPr>
            </w:pPr>
            <w:r>
              <w:rPr>
                <w:rFonts w:ascii="Arial" w:cs="Arial" w:eastAsia="Arial" w:hAnsi="Arial"/>
                <w:sz w:val="18"/>
                <w:szCs w:val="18"/>
                <w:b w:val="1"/>
                <w:bCs w:val="1"/>
                <w:color w:val="auto"/>
                <w:w w:val="98"/>
              </w:rPr>
              <w:t>Currency</w:t>
            </w:r>
          </w:p>
        </w:tc>
        <w:tc>
          <w:tcPr>
            <w:tcW w:w="1480" w:type="dxa"/>
            <w:vAlign w:val="bottom"/>
          </w:tcPr>
          <w:p>
            <w:pPr>
              <w:jc w:val="center"/>
              <w:ind w:right="130"/>
              <w:spacing w:after="0" w:line="173" w:lineRule="exact"/>
              <w:rPr>
                <w:sz w:val="20"/>
                <w:szCs w:val="20"/>
                <w:color w:val="auto"/>
              </w:rPr>
            </w:pPr>
            <w:r>
              <w:rPr>
                <w:rFonts w:ascii="Arial" w:cs="Arial" w:eastAsia="Arial" w:hAnsi="Arial"/>
                <w:sz w:val="18"/>
                <w:szCs w:val="18"/>
                <w:b w:val="1"/>
                <w:bCs w:val="1"/>
                <w:color w:val="auto"/>
                <w:w w:val="98"/>
              </w:rPr>
              <w:t>March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16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9"/>
              </w:rPr>
              <w:t>2013</w:t>
            </w:r>
          </w:p>
        </w:tc>
        <w:tc>
          <w:tcPr>
            <w:tcW w:w="18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rPr>
              <w:t>charges accrued</w:t>
            </w:r>
          </w:p>
        </w:tc>
        <w:tc>
          <w:tcPr>
            <w:tcW w:w="15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Payments</w:t>
            </w:r>
          </w:p>
        </w:tc>
        <w:tc>
          <w:tcPr>
            <w:tcW w:w="18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translation /other</w:t>
            </w:r>
          </w:p>
        </w:tc>
        <w:tc>
          <w:tcPr>
            <w:tcW w:w="14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Termination costs</w:t>
            </w:r>
          </w:p>
        </w:tc>
        <w:tc>
          <w:tcPr>
            <w:tcW w:w="2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$9,656</w:t>
            </w:r>
          </w:p>
        </w:tc>
        <w:tc>
          <w:tcPr>
            <w:tcW w:w="18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$1,182</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($4,633)</w:t>
            </w:r>
          </w:p>
        </w:tc>
        <w:tc>
          <w:tcPr>
            <w:tcW w:w="18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$481</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2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60" w:type="dxa"/>
            <w:vAlign w:val="bottom"/>
          </w:tcPr>
          <w:p>
            <w:pPr>
              <w:jc w:val="right"/>
              <w:ind w:right="630"/>
              <w:spacing w:after="0"/>
              <w:rPr>
                <w:sz w:val="20"/>
                <w:szCs w:val="20"/>
                <w:color w:val="auto"/>
              </w:rPr>
            </w:pPr>
            <w:r>
              <w:rPr>
                <w:rFonts w:ascii="Arial" w:cs="Arial" w:eastAsia="Arial" w:hAnsi="Arial"/>
                <w:sz w:val="18"/>
                <w:szCs w:val="18"/>
                <w:color w:val="auto"/>
              </w:rPr>
              <w:t>10</w:t>
            </w:r>
          </w:p>
        </w:tc>
        <w:tc>
          <w:tcPr>
            <w:tcW w:w="1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5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500" w:type="dxa"/>
            <w:vAlign w:val="bottom"/>
            <w:shd w:val="clear" w:color="auto" w:fill="000000"/>
          </w:tcPr>
          <w:p>
            <w:pPr>
              <w:spacing w:after="0"/>
              <w:rPr>
                <w:sz w:val="5"/>
                <w:szCs w:val="5"/>
                <w:color w:val="auto"/>
              </w:rPr>
            </w:pPr>
          </w:p>
        </w:tc>
        <w:tc>
          <w:tcPr>
            <w:tcW w:w="2160" w:type="dxa"/>
            <w:vAlign w:val="bottom"/>
            <w:shd w:val="clear" w:color="auto" w:fill="000000"/>
          </w:tcPr>
          <w:p>
            <w:pPr>
              <w:spacing w:after="0"/>
              <w:rPr>
                <w:sz w:val="5"/>
                <w:szCs w:val="5"/>
                <w:color w:val="auto"/>
              </w:rPr>
            </w:pPr>
          </w:p>
        </w:tc>
        <w:tc>
          <w:tcPr>
            <w:tcW w:w="1860" w:type="dxa"/>
            <w:vAlign w:val="bottom"/>
            <w:shd w:val="clear" w:color="auto" w:fill="000000"/>
          </w:tcPr>
          <w:p>
            <w:pPr>
              <w:spacing w:after="0"/>
              <w:rPr>
                <w:sz w:val="5"/>
                <w:szCs w:val="5"/>
                <w:color w:val="auto"/>
              </w:rPr>
            </w:pPr>
          </w:p>
        </w:tc>
        <w:tc>
          <w:tcPr>
            <w:tcW w:w="1560" w:type="dxa"/>
            <w:vAlign w:val="bottom"/>
            <w:shd w:val="clear" w:color="auto" w:fill="000000"/>
          </w:tcPr>
          <w:p>
            <w:pPr>
              <w:spacing w:after="0"/>
              <w:rPr>
                <w:sz w:val="5"/>
                <w:szCs w:val="5"/>
                <w:color w:val="auto"/>
              </w:rPr>
            </w:pPr>
          </w:p>
        </w:tc>
        <w:tc>
          <w:tcPr>
            <w:tcW w:w="186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6. Other (Income)/Expenses, net</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Other (income)/expenses, net, are: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80" w:type="dxa"/>
            <w:vAlign w:val="bottom"/>
            <w:tcBorders>
              <w:top w:val="single" w:sz="8" w:color="auto"/>
            </w:tcBorders>
          </w:tcPr>
          <w:p>
            <w:pPr>
              <w:spacing w:after="0"/>
              <w:rPr>
                <w:sz w:val="16"/>
                <w:szCs w:val="16"/>
                <w:color w:val="auto"/>
              </w:rPr>
            </w:pPr>
          </w:p>
        </w:tc>
        <w:tc>
          <w:tcPr>
            <w:tcW w:w="4940" w:type="dxa"/>
            <w:vAlign w:val="bottom"/>
            <w:tcBorders>
              <w:top w:val="single" w:sz="8" w:color="auto"/>
            </w:tcBorders>
            <w:gridSpan w:val="2"/>
          </w:tcPr>
          <w:p>
            <w:pPr>
              <w:jc w:val="right"/>
              <w:ind w:right="570"/>
              <w:spacing w:after="0" w:line="194" w:lineRule="exact"/>
              <w:rPr>
                <w:sz w:val="20"/>
                <w:szCs w:val="20"/>
                <w:color w:val="auto"/>
              </w:rPr>
            </w:pPr>
            <w:r>
              <w:rPr>
                <w:rFonts w:ascii="Arial" w:cs="Arial" w:eastAsia="Arial" w:hAnsi="Arial"/>
                <w:sz w:val="18"/>
                <w:szCs w:val="18"/>
                <w:b w:val="1"/>
                <w:bCs w:val="1"/>
                <w:color w:val="auto"/>
              </w:rPr>
              <w:t>Three months ended</w:t>
            </w:r>
          </w:p>
        </w:tc>
        <w:tc>
          <w:tcPr>
            <w:tcW w:w="40" w:type="dxa"/>
            <w:vAlign w:val="bottom"/>
            <w:gridSpan w:val="2"/>
          </w:tcPr>
          <w:p>
            <w:pPr>
              <w:spacing w:after="0"/>
              <w:rPr>
                <w:sz w:val="16"/>
                <w:szCs w:val="16"/>
                <w:color w:val="auto"/>
              </w:rPr>
            </w:pPr>
          </w:p>
        </w:tc>
      </w:tr>
      <w:tr>
        <w:trPr>
          <w:trHeight w:val="203"/>
        </w:trPr>
        <w:tc>
          <w:tcPr>
            <w:tcW w:w="6480" w:type="dxa"/>
            <w:vAlign w:val="bottom"/>
          </w:tcPr>
          <w:p>
            <w:pPr>
              <w:spacing w:after="0"/>
              <w:rPr>
                <w:sz w:val="17"/>
                <w:szCs w:val="17"/>
                <w:color w:val="auto"/>
              </w:rPr>
            </w:pPr>
          </w:p>
        </w:tc>
        <w:tc>
          <w:tcPr>
            <w:tcW w:w="3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March 31,</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90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2015</w:t>
            </w: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3"/>
        </w:trPr>
        <w:tc>
          <w:tcPr>
            <w:tcW w:w="6480" w:type="dxa"/>
            <w:vAlign w:val="bottom"/>
          </w:tcPr>
          <w:p>
            <w:pPr>
              <w:spacing w:after="0" w:line="173" w:lineRule="exact"/>
              <w:rPr>
                <w:sz w:val="20"/>
                <w:szCs w:val="20"/>
                <w:color w:val="auto"/>
              </w:rPr>
            </w:pPr>
            <w:r>
              <w:rPr>
                <w:rFonts w:ascii="Arial" w:cs="Arial" w:eastAsia="Arial" w:hAnsi="Arial"/>
                <w:sz w:val="18"/>
                <w:szCs w:val="18"/>
                <w:color w:val="auto"/>
              </w:rPr>
              <w:t>Currency transactions</w:t>
            </w:r>
          </w:p>
        </w:tc>
        <w:tc>
          <w:tcPr>
            <w:tcW w:w="3900" w:type="dxa"/>
            <w:vAlign w:val="bottom"/>
          </w:tcPr>
          <w:p>
            <w:pPr>
              <w:jc w:val="right"/>
              <w:ind w:right="350"/>
              <w:spacing w:after="0" w:line="173" w:lineRule="exact"/>
              <w:rPr>
                <w:sz w:val="20"/>
                <w:szCs w:val="20"/>
                <w:color w:val="auto"/>
              </w:rPr>
            </w:pPr>
            <w:r>
              <w:rPr>
                <w:rFonts w:ascii="Arial" w:cs="Arial" w:eastAsia="Arial" w:hAnsi="Arial"/>
                <w:sz w:val="18"/>
                <w:szCs w:val="18"/>
                <w:b w:val="1"/>
                <w:bCs w:val="1"/>
                <w:color w:val="auto"/>
              </w:rPr>
              <w:t>($2,427)</w:t>
            </w:r>
          </w:p>
        </w:tc>
        <w:tc>
          <w:tcPr>
            <w:tcW w:w="1040" w:type="dxa"/>
            <w:vAlign w:val="bottom"/>
          </w:tcPr>
          <w:p>
            <w:pPr>
              <w:jc w:val="right"/>
              <w:spacing w:after="0" w:line="173" w:lineRule="exact"/>
              <w:rPr>
                <w:sz w:val="20"/>
                <w:szCs w:val="20"/>
                <w:color w:val="auto"/>
              </w:rPr>
            </w:pPr>
            <w:r>
              <w:rPr>
                <w:rFonts w:ascii="Arial" w:cs="Arial" w:eastAsia="Arial" w:hAnsi="Arial"/>
                <w:sz w:val="18"/>
                <w:szCs w:val="18"/>
                <w:color w:val="auto"/>
              </w:rPr>
              <w:t>($505)</w:t>
            </w:r>
          </w:p>
        </w:tc>
        <w:tc>
          <w:tcPr>
            <w:tcW w:w="40" w:type="dxa"/>
            <w:vAlign w:val="bottom"/>
            <w:gridSpan w:val="2"/>
          </w:tcPr>
          <w:p>
            <w:pPr>
              <w:spacing w:after="0"/>
              <w:rPr>
                <w:sz w:val="15"/>
                <w:szCs w:val="15"/>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Bank fees and amortization of debt issuance costs</w:t>
            </w:r>
          </w:p>
        </w:tc>
        <w:tc>
          <w:tcPr>
            <w:tcW w:w="390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311</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312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Gain on sale of investment</w:t>
            </w:r>
          </w:p>
        </w:tc>
        <w:tc>
          <w:tcPr>
            <w:tcW w:w="39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(872)</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(297)</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9"/>
                <w:szCs w:val="19"/>
                <w:color w:val="auto"/>
              </w:rPr>
            </w:pPr>
          </w:p>
        </w:tc>
      </w:tr>
      <w:tr>
        <w:trPr>
          <w:trHeight w:val="196"/>
        </w:trPr>
        <w:tc>
          <w:tcPr>
            <w:tcW w:w="64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9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($3,285)</w:t>
            </w:r>
          </w:p>
        </w:tc>
        <w:tc>
          <w:tcPr>
            <w:tcW w:w="10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($467)</w:t>
            </w:r>
          </w:p>
        </w:tc>
        <w:tc>
          <w:tcPr>
            <w:tcW w:w="20" w:type="dxa"/>
            <w:vAlign w:val="bottom"/>
            <w:tcBorders>
              <w:bottom w:val="single" w:sz="8" w:color="auto"/>
            </w:tcBorders>
          </w:tcPr>
          <w:p>
            <w:pPr>
              <w:spacing w:after="0"/>
              <w:rPr>
                <w:sz w:val="17"/>
                <w:szCs w:val="17"/>
                <w:color w:val="auto"/>
              </w:rPr>
            </w:pPr>
          </w:p>
        </w:tc>
      </w:tr>
    </w:tbl>
    <w:p>
      <w:pPr>
        <w:spacing w:after="0" w:line="161" w:lineRule="exact"/>
        <w:rPr>
          <w:sz w:val="20"/>
          <w:szCs w:val="20"/>
          <w:color w:val="auto"/>
        </w:rPr>
      </w:pPr>
    </w:p>
    <w:p>
      <w:pPr>
        <w:ind w:right="460" w:firstLine="360"/>
        <w:spacing w:after="0" w:line="246" w:lineRule="auto"/>
        <w:rPr>
          <w:sz w:val="20"/>
          <w:szCs w:val="20"/>
          <w:color w:val="auto"/>
        </w:rPr>
      </w:pPr>
      <w:r>
        <w:rPr>
          <w:rFonts w:ascii="Arial" w:cs="Arial" w:eastAsia="Arial" w:hAnsi="Arial"/>
          <w:sz w:val="18"/>
          <w:szCs w:val="18"/>
          <w:color w:val="auto"/>
        </w:rPr>
        <w:t>In March 2015, the Company sold its total equity investment in an unaffiliated company. The value of the investment was written off in 2004, resulting in a gain of $0.9 million in the first quarter of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components of income tax expense for the three months ended March 31, 2015 and 2014: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846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gridSpan w:val="2"/>
          </w:tcPr>
          <w:p>
            <w:pPr>
              <w:jc w:val="right"/>
              <w:ind w:right="570"/>
              <w:spacing w:after="0" w:line="194"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1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March 31,</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90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2015</w:t>
            </w: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8480" w:type="dxa"/>
            <w:vAlign w:val="bottom"/>
            <w:gridSpan w:val="2"/>
          </w:tcPr>
          <w:p>
            <w:pPr>
              <w:spacing w:after="0" w:line="195" w:lineRule="exact"/>
              <w:rPr>
                <w:sz w:val="20"/>
                <w:szCs w:val="20"/>
                <w:color w:val="auto"/>
              </w:rPr>
            </w:pPr>
            <w:r>
              <w:rPr>
                <w:rFonts w:ascii="Arial" w:cs="Arial" w:eastAsia="Arial" w:hAnsi="Arial"/>
                <w:sz w:val="18"/>
                <w:szCs w:val="18"/>
                <w:color w:val="auto"/>
              </w:rPr>
              <w:t>Income tax based on income from continuing operations, at estimated tax rates of 40.0% and 35.0%,</w:t>
            </w:r>
          </w:p>
        </w:tc>
        <w:tc>
          <w:tcPr>
            <w:tcW w:w="190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$8,300</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8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respectively</w:t>
            </w:r>
          </w:p>
        </w:tc>
        <w:tc>
          <w:tcPr>
            <w:tcW w:w="19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$6,353</w:t>
            </w:r>
          </w:p>
        </w:tc>
        <w:tc>
          <w:tcPr>
            <w:tcW w:w="0" w:type="dxa"/>
            <w:vAlign w:val="bottom"/>
          </w:tcPr>
          <w:p>
            <w:pPr>
              <w:spacing w:after="0"/>
              <w:rPr>
                <w:sz w:val="1"/>
                <w:szCs w:val="1"/>
                <w:color w:val="auto"/>
              </w:rPr>
            </w:pPr>
          </w:p>
        </w:tc>
      </w:tr>
      <w:tr>
        <w:trPr>
          <w:trHeight w:val="195"/>
        </w:trPr>
        <w:tc>
          <w:tcPr>
            <w:tcW w:w="8480" w:type="dxa"/>
            <w:vAlign w:val="bottom"/>
            <w:gridSpan w:val="2"/>
          </w:tcPr>
          <w:p>
            <w:pPr>
              <w:spacing w:after="0" w:line="195" w:lineRule="exact"/>
              <w:rPr>
                <w:sz w:val="20"/>
                <w:szCs w:val="20"/>
                <w:color w:val="auto"/>
              </w:rPr>
            </w:pPr>
            <w:r>
              <w:rPr>
                <w:rFonts w:ascii="Arial" w:cs="Arial" w:eastAsia="Arial" w:hAnsi="Arial"/>
                <w:sz w:val="18"/>
                <w:szCs w:val="18"/>
                <w:color w:val="auto"/>
              </w:rPr>
              <w:t>Income tax before discrete items</w:t>
            </w:r>
          </w:p>
        </w:tc>
        <w:tc>
          <w:tcPr>
            <w:tcW w:w="1900" w:type="dxa"/>
            <w:vAlign w:val="bottom"/>
          </w:tcPr>
          <w:p>
            <w:pPr>
              <w:jc w:val="right"/>
              <w:ind w:right="350"/>
              <w:spacing w:after="0" w:line="195" w:lineRule="exact"/>
              <w:rPr>
                <w:sz w:val="20"/>
                <w:szCs w:val="20"/>
                <w:color w:val="auto"/>
              </w:rPr>
            </w:pPr>
            <w:r>
              <w:rPr>
                <w:rFonts w:ascii="Arial" w:cs="Arial" w:eastAsia="Arial" w:hAnsi="Arial"/>
                <w:sz w:val="18"/>
                <w:szCs w:val="18"/>
                <w:b w:val="1"/>
                <w:bCs w:val="1"/>
                <w:color w:val="auto"/>
              </w:rPr>
              <w:t>8,300</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6,353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80" w:type="dxa"/>
            <w:vAlign w:val="bottom"/>
            <w:gridSpan w:val="2"/>
          </w:tcPr>
          <w:p>
            <w:pPr>
              <w:spacing w:after="0" w:line="202" w:lineRule="exact"/>
              <w:rPr>
                <w:sz w:val="20"/>
                <w:szCs w:val="20"/>
                <w:color w:val="auto"/>
              </w:rPr>
            </w:pPr>
            <w:r>
              <w:rPr>
                <w:rFonts w:ascii="Arial" w:cs="Arial" w:eastAsia="Arial" w:hAnsi="Arial"/>
                <w:sz w:val="18"/>
                <w:szCs w:val="18"/>
                <w:color w:val="auto"/>
              </w:rPr>
              <w:t>Discrete tax expense:</w:t>
            </w:r>
          </w:p>
        </w:tc>
        <w:tc>
          <w:tcPr>
            <w:tcW w:w="190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83</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460" w:type="dxa"/>
            <w:vAlign w:val="bottom"/>
          </w:tcPr>
          <w:p>
            <w:pPr>
              <w:ind w:left="140"/>
              <w:spacing w:after="0" w:line="181" w:lineRule="exact"/>
              <w:rPr>
                <w:sz w:val="20"/>
                <w:szCs w:val="20"/>
                <w:color w:val="auto"/>
              </w:rPr>
            </w:pPr>
            <w:r>
              <w:rPr>
                <w:rFonts w:ascii="Arial" w:cs="Arial" w:eastAsia="Arial" w:hAnsi="Arial"/>
                <w:sz w:val="18"/>
                <w:szCs w:val="18"/>
                <w:color w:val="auto"/>
              </w:rPr>
              <w:t>Provision for/resolution of tax audits and contingencies, net</w:t>
            </w:r>
          </w:p>
        </w:tc>
        <w:tc>
          <w:tcPr>
            <w:tcW w:w="1900" w:type="dxa"/>
            <w:vAlign w:val="bottom"/>
            <w:vMerge w:val="continue"/>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Arial" w:cs="Arial" w:eastAsia="Arial" w:hAnsi="Arial"/>
                <w:sz w:val="18"/>
                <w:szCs w:val="18"/>
                <w:color w:val="auto"/>
              </w:rPr>
              <w:t>880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tcPr>
          <w:p>
            <w:pPr>
              <w:ind w:left="120"/>
              <w:spacing w:after="0" w:line="202" w:lineRule="exact"/>
              <w:rPr>
                <w:sz w:val="20"/>
                <w:szCs w:val="20"/>
                <w:color w:val="auto"/>
              </w:rPr>
            </w:pPr>
            <w:r>
              <w:rPr>
                <w:rFonts w:ascii="Arial" w:cs="Arial" w:eastAsia="Arial" w:hAnsi="Arial"/>
                <w:sz w:val="18"/>
                <w:szCs w:val="18"/>
                <w:color w:val="auto"/>
              </w:rPr>
              <w:t>Adjustments to prior period tax liabilities</w:t>
            </w:r>
          </w:p>
        </w:tc>
        <w:tc>
          <w:tcPr>
            <w:tcW w:w="19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45</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Enacted tax legislation</w:t>
            </w:r>
          </w:p>
        </w:tc>
        <w:tc>
          <w:tcPr>
            <w:tcW w:w="1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91</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income tax expense</w:t>
            </w:r>
          </w:p>
        </w:tc>
        <w:tc>
          <w:tcPr>
            <w:tcW w:w="19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$8,519</w:t>
            </w:r>
          </w:p>
        </w:tc>
        <w:tc>
          <w:tcPr>
            <w:tcW w:w="10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$7,457</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60" w:firstLine="360"/>
        <w:spacing w:after="0" w:line="246" w:lineRule="auto"/>
        <w:rPr>
          <w:sz w:val="20"/>
          <w:szCs w:val="20"/>
          <w:color w:val="auto"/>
        </w:rPr>
      </w:pPr>
      <w:r>
        <w:rPr>
          <w:rFonts w:ascii="Arial" w:cs="Arial" w:eastAsia="Arial" w:hAnsi="Arial"/>
          <w:sz w:val="18"/>
          <w:szCs w:val="18"/>
          <w:color w:val="auto"/>
        </w:rPr>
        <w:t>The first quarter estimated effective tax rate on continuing operations was 40.0 percent in 2015, as compared to 35.0 percent for the same period in 2014.</w:t>
      </w:r>
    </w:p>
    <w:p>
      <w:pPr>
        <w:spacing w:after="0" w:line="143" w:lineRule="exact"/>
        <w:rPr>
          <w:sz w:val="20"/>
          <w:szCs w:val="20"/>
          <w:color w:val="auto"/>
        </w:rPr>
      </w:pPr>
    </w:p>
    <w:p>
      <w:pPr>
        <w:ind w:right="120" w:firstLine="360"/>
        <w:spacing w:after="0" w:line="238" w:lineRule="auto"/>
        <w:rPr>
          <w:sz w:val="20"/>
          <w:szCs w:val="20"/>
          <w:color w:val="auto"/>
        </w:rPr>
      </w:pPr>
      <w:r>
        <w:rPr>
          <w:rFonts w:ascii="Arial" w:cs="Arial" w:eastAsia="Arial" w:hAnsi="Arial"/>
          <w:sz w:val="18"/>
          <w:szCs w:val="18"/>
          <w:color w:val="auto"/>
        </w:rPr>
        <w:t>The Company records the residual U.S. and foreign taxes on certain amounts of current year foreign earnings that have been targeted for repatriation to the U.S. As a result, such amounts are not considered to be permanently reinvested, and the Company accrued as part of the income tax provision before discrete items, for the residual taxes on these earnings to the extent they cannot be repatriated in a tax-free manner. At March 31, 2015 the Company reported a deferred tax liability of $3.7 million on $59.4 million of prior year non-U.S. earnings that had been targeted for future repatriation to the U.S.</w:t>
      </w:r>
    </w:p>
    <w:p>
      <w:pPr>
        <w:spacing w:after="0" w:line="149" w:lineRule="exact"/>
        <w:rPr>
          <w:sz w:val="20"/>
          <w:szCs w:val="20"/>
          <w:color w:val="auto"/>
        </w:rPr>
      </w:pPr>
    </w:p>
    <w:p>
      <w:pPr>
        <w:ind w:right="40" w:firstLine="360"/>
        <w:spacing w:after="0" w:line="239" w:lineRule="auto"/>
        <w:rPr>
          <w:sz w:val="20"/>
          <w:szCs w:val="20"/>
          <w:color w:val="auto"/>
        </w:rPr>
      </w:pPr>
      <w:r>
        <w:rPr>
          <w:rFonts w:ascii="Arial" w:cs="Arial" w:eastAsia="Arial" w:hAnsi="Arial"/>
          <w:sz w:val="18"/>
          <w:szCs w:val="18"/>
          <w:color w:val="auto"/>
        </w:rPr>
        <w:t>We conduct business globally and, as a result, the Company files income tax returns in the U.S. federal jurisdiction and various state and foreign jurisdictions. In the normal course of business we are subject to examination by taxing authorities throughout the world, including major jurisdictions such as the United States, Brazil, Canada, France, Germany, Italy, Mexico, and Switzerland. The open tax years in these jurisdictions range from 2000 to 2014. We are currently under audit in the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U.S. and in other non-U.S. tax jurisdictions, including but not limited to Canada, Germany, Switzerland and Italy.</w:t>
      </w:r>
    </w:p>
    <w:p>
      <w:pPr>
        <w:spacing w:after="0" w:line="158" w:lineRule="exact"/>
        <w:rPr>
          <w:sz w:val="20"/>
          <w:szCs w:val="20"/>
          <w:color w:val="auto"/>
        </w:rPr>
      </w:pPr>
    </w:p>
    <w:p>
      <w:pPr>
        <w:ind w:right="60" w:firstLine="360"/>
        <w:spacing w:after="0"/>
        <w:rPr>
          <w:sz w:val="20"/>
          <w:szCs w:val="20"/>
          <w:color w:val="auto"/>
        </w:rPr>
      </w:pPr>
      <w:r>
        <w:rPr>
          <w:rFonts w:ascii="Arial" w:cs="Arial" w:eastAsia="Arial" w:hAnsi="Arial"/>
          <w:sz w:val="18"/>
          <w:szCs w:val="18"/>
          <w:color w:val="auto"/>
        </w:rPr>
        <w:t>It is reasonably possible that over the next twelve months the amount of unrecognized tax benefits may change within a range of a net increase of $ 8.8 million to a net decrease of $2.4 million, from the reevaluation of uncertain tax positions arising in examinations, in appeals, or in the courts, or from the closure of tax statutes.</w:t>
      </w:r>
    </w:p>
    <w:p>
      <w:pPr>
        <w:spacing w:after="0" w:line="149" w:lineRule="exact"/>
        <w:rPr>
          <w:sz w:val="20"/>
          <w:szCs w:val="20"/>
          <w:color w:val="auto"/>
        </w:rPr>
      </w:pPr>
    </w:p>
    <w:p>
      <w:pPr>
        <w:ind w:firstLine="360"/>
        <w:spacing w:after="0" w:line="235" w:lineRule="auto"/>
        <w:rPr>
          <w:sz w:val="20"/>
          <w:szCs w:val="20"/>
          <w:color w:val="auto"/>
        </w:rPr>
      </w:pPr>
      <w:r>
        <w:rPr>
          <w:rFonts w:ascii="Arial" w:cs="Arial" w:eastAsia="Arial" w:hAnsi="Arial"/>
          <w:sz w:val="18"/>
          <w:szCs w:val="18"/>
          <w:color w:val="auto"/>
        </w:rPr>
        <w:t>The Company recognized current and deferred tax benefits of approximately $25.3 million on their corporate income tax returns filed in Germany related to a 1999 reorganization that have been challenged by the German tax authorities in the course of an audit. In 2008 the German Federal Tax Court (FTC) denied tax benefits to other taxpayers in a case involving German tax laws relevant to our reorganization. One of these cases involved a non-German party, and in the ruling in that case, the FTC acknowledged that the German law in question may be violative of European Union (EU) principles and referred the issue to the European Court of Justice (ECJ) for its determination on this issue. In September 2009, the ECJ issued an opinion in this case that is generally favorable to the other taxpayer and referred the case back to the FTC for further consideration. In May 2010 the FTC released its decision, in which it resolved certain tax issues that may be relevant to our audit and remanded the case to a lower court for further development. In 2012, the lower court decided in favor of the taxpayer and the government appealed the findings to the FTC. On July 2, 2014, The FTC conducted a hearing in the aforementioned case involving the other taxpayer, and the taxpayer lost. The final written decision of the FTC was published during the fourth quarter of 2014. Although the decision of the FTC in the case is not determinative of the outcome in our case, management viewed the conclusion of this matter as an opportunity to approach the German tax authorities with the goal of a settlement agreement. We were required to pay tax and interest of approximately $14.5 million to the German tax authorities in order to pursue our appeal position. In anticipation of a settlement, a portion of the prepaid taxes and interest along with certain deferred tax assets were adjusted downward by $6.3 million in 2014. The recognition of the uncertain tax position in deferred tax assets was partially offset by a reduction in a valuation allowance that offset the deferred tax assets. The remaining tax benefits sustained on the books are related to current tax benefits that were recognized in earlier tax years. Included in the range above is approximately $8.8 million of tax benefits that will continue to be challenged by the German tax authorities.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180" w:lineRule="exact"/>
        <w:rPr>
          <w:sz w:val="20"/>
          <w:szCs w:val="20"/>
          <w:color w:val="auto"/>
        </w:rPr>
      </w:pPr>
    </w:p>
    <w:p>
      <w:pPr>
        <w:ind w:right="320" w:firstLine="360"/>
        <w:spacing w:after="0" w:line="246" w:lineRule="auto"/>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 follows: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6820" w:type="dxa"/>
            <w:vAlign w:val="bottom"/>
            <w:tcBorders>
              <w:top w:val="single" w:sz="8" w:color="auto"/>
            </w:tcBorders>
          </w:tcPr>
          <w:p>
            <w:pPr>
              <w:spacing w:after="0"/>
              <w:rPr>
                <w:sz w:val="16"/>
                <w:szCs w:val="16"/>
                <w:color w:val="auto"/>
              </w:rPr>
            </w:pPr>
          </w:p>
        </w:tc>
        <w:tc>
          <w:tcPr>
            <w:tcW w:w="4580" w:type="dxa"/>
            <w:vAlign w:val="bottom"/>
            <w:tcBorders>
              <w:top w:val="single" w:sz="8" w:color="auto"/>
            </w:tcBorders>
            <w:gridSpan w:val="2"/>
          </w:tcPr>
          <w:p>
            <w:pPr>
              <w:jc w:val="right"/>
              <w:ind w:right="790"/>
              <w:spacing w:after="0" w:line="194"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33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March 31,</w:t>
            </w: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 except market price and earnings per share)</w:t>
            </w:r>
          </w:p>
        </w:tc>
        <w:tc>
          <w:tcPr>
            <w:tcW w:w="338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2015</w:t>
            </w: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8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Net income attributable to the Company</w:t>
            </w:r>
          </w:p>
        </w:tc>
        <w:tc>
          <w:tcPr>
            <w:tcW w:w="338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$12,213</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Weighted average number of shares:</w:t>
            </w:r>
          </w:p>
        </w:tc>
        <w:tc>
          <w:tcPr>
            <w:tcW w:w="3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Pr>
          <w:p>
            <w:pPr>
              <w:ind w:left="140"/>
              <w:spacing w:after="0" w:line="202" w:lineRule="exact"/>
              <w:rPr>
                <w:sz w:val="20"/>
                <w:szCs w:val="20"/>
                <w:color w:val="auto"/>
              </w:rPr>
            </w:pPr>
            <w:r>
              <w:rPr>
                <w:rFonts w:ascii="Arial" w:cs="Arial" w:eastAsia="Arial" w:hAnsi="Arial"/>
                <w:sz w:val="18"/>
                <w:szCs w:val="18"/>
                <w:color w:val="auto"/>
              </w:rPr>
              <w:t>Weighted average number of shares used in</w:t>
            </w:r>
          </w:p>
        </w:tc>
        <w:tc>
          <w:tcPr>
            <w:tcW w:w="33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31,882</w:t>
            </w: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20" w:type="dxa"/>
            <w:vAlign w:val="bottom"/>
          </w:tcPr>
          <w:p>
            <w:pPr>
              <w:ind w:left="140"/>
              <w:spacing w:after="0" w:line="181" w:lineRule="exact"/>
              <w:rPr>
                <w:sz w:val="20"/>
                <w:szCs w:val="20"/>
                <w:color w:val="auto"/>
              </w:rPr>
            </w:pPr>
            <w:r>
              <w:rPr>
                <w:rFonts w:ascii="Arial" w:cs="Arial" w:eastAsia="Arial" w:hAnsi="Arial"/>
                <w:sz w:val="18"/>
                <w:szCs w:val="18"/>
                <w:color w:val="auto"/>
              </w:rPr>
              <w:t>calculating basic net income per share</w:t>
            </w:r>
          </w:p>
        </w:tc>
        <w:tc>
          <w:tcPr>
            <w:tcW w:w="3380" w:type="dxa"/>
            <w:vAlign w:val="bottom"/>
            <w:vMerge w:val="continue"/>
          </w:tcPr>
          <w:p>
            <w:pPr>
              <w:spacing w:after="0"/>
              <w:rPr>
                <w:sz w:val="15"/>
                <w:szCs w:val="15"/>
                <w:color w:val="auto"/>
              </w:rPr>
            </w:pPr>
          </w:p>
        </w:tc>
        <w:tc>
          <w:tcPr>
            <w:tcW w:w="122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31,786</w:t>
            </w:r>
          </w:p>
        </w:tc>
        <w:tc>
          <w:tcPr>
            <w:tcW w:w="0" w:type="dxa"/>
            <w:vAlign w:val="bottom"/>
          </w:tcPr>
          <w:p>
            <w:pPr>
              <w:spacing w:after="0"/>
              <w:rPr>
                <w:sz w:val="1"/>
                <w:szCs w:val="1"/>
                <w:color w:val="auto"/>
              </w:rPr>
            </w:pPr>
          </w:p>
        </w:tc>
      </w:tr>
      <w:tr>
        <w:trPr>
          <w:trHeight w:val="225"/>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Effect of dilutive stock-based compensation plans:</w:t>
            </w:r>
          </w:p>
        </w:tc>
        <w:tc>
          <w:tcPr>
            <w:tcW w:w="33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90</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Borders>
              <w:bottom w:val="single" w:sz="8" w:color="auto"/>
            </w:tcBorders>
          </w:tcPr>
          <w:p>
            <w:pPr>
              <w:ind w:left="140"/>
              <w:spacing w:after="0" w:line="203" w:lineRule="exact"/>
              <w:rPr>
                <w:sz w:val="20"/>
                <w:szCs w:val="20"/>
                <w:color w:val="auto"/>
              </w:rPr>
            </w:pPr>
            <w:r>
              <w:rPr>
                <w:rFonts w:ascii="Arial" w:cs="Arial" w:eastAsia="Arial" w:hAnsi="Arial"/>
                <w:sz w:val="18"/>
                <w:szCs w:val="18"/>
                <w:color w:val="auto"/>
              </w:rPr>
              <w:t>Stock options</w:t>
            </w:r>
          </w:p>
        </w:tc>
        <w:tc>
          <w:tcPr>
            <w:tcW w:w="338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20" w:type="dxa"/>
            <w:vAlign w:val="bottom"/>
          </w:tcPr>
          <w:p>
            <w:pPr>
              <w:spacing w:after="0" w:line="195" w:lineRule="exact"/>
              <w:rPr>
                <w:sz w:val="20"/>
                <w:szCs w:val="20"/>
                <w:color w:val="auto"/>
              </w:rPr>
            </w:pPr>
            <w:r>
              <w:rPr>
                <w:rFonts w:ascii="Arial" w:cs="Arial" w:eastAsia="Arial" w:hAnsi="Arial"/>
                <w:sz w:val="18"/>
                <w:szCs w:val="18"/>
                <w:color w:val="auto"/>
              </w:rPr>
              <w:t>Weighted average number of shares used in</w:t>
            </w:r>
          </w:p>
        </w:tc>
        <w:tc>
          <w:tcPr>
            <w:tcW w:w="33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31,972</w:t>
            </w: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spacing w:after="0" w:line="203" w:lineRule="exact"/>
              <w:rPr>
                <w:sz w:val="20"/>
                <w:szCs w:val="20"/>
                <w:color w:val="auto"/>
              </w:rPr>
            </w:pPr>
            <w:r>
              <w:rPr>
                <w:rFonts w:ascii="Arial" w:cs="Arial" w:eastAsia="Arial" w:hAnsi="Arial"/>
                <w:sz w:val="18"/>
                <w:szCs w:val="18"/>
                <w:color w:val="auto"/>
              </w:rPr>
              <w:t>calculating diluted net income per share</w:t>
            </w:r>
          </w:p>
        </w:tc>
        <w:tc>
          <w:tcPr>
            <w:tcW w:w="3380" w:type="dxa"/>
            <w:vAlign w:val="bottom"/>
            <w:vMerge w:val="continue"/>
          </w:tcPr>
          <w:p>
            <w:pPr>
              <w:spacing w:after="0"/>
              <w:rPr>
                <w:sz w:val="17"/>
                <w:szCs w:val="17"/>
                <w:color w:val="auto"/>
              </w:rPr>
            </w:pPr>
          </w:p>
        </w:tc>
        <w:tc>
          <w:tcPr>
            <w:tcW w:w="12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31,892</w:t>
            </w:r>
          </w:p>
        </w:tc>
        <w:tc>
          <w:tcPr>
            <w:tcW w:w="0" w:type="dxa"/>
            <w:vAlign w:val="bottom"/>
          </w:tcPr>
          <w:p>
            <w:pPr>
              <w:spacing w:after="0"/>
              <w:rPr>
                <w:sz w:val="1"/>
                <w:szCs w:val="1"/>
                <w:color w:val="auto"/>
              </w:rPr>
            </w:pPr>
          </w:p>
        </w:tc>
      </w:tr>
      <w:tr>
        <w:trPr>
          <w:trHeight w:val="195"/>
        </w:trPr>
        <w:tc>
          <w:tcPr>
            <w:tcW w:w="68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Average market price of common stock used</w:t>
            </w:r>
          </w:p>
        </w:tc>
        <w:tc>
          <w:tcPr>
            <w:tcW w:w="3380" w:type="dxa"/>
            <w:vAlign w:val="bottom"/>
            <w:tcBorders>
              <w:top w:val="single" w:sz="8" w:color="auto"/>
            </w:tcBorders>
            <w:vMerge w:val="restart"/>
          </w:tcPr>
          <w:p>
            <w:pPr>
              <w:jc w:val="right"/>
              <w:ind w:right="410"/>
              <w:spacing w:after="0"/>
              <w:rPr>
                <w:sz w:val="20"/>
                <w:szCs w:val="20"/>
                <w:color w:val="auto"/>
              </w:rPr>
            </w:pPr>
            <w:r>
              <w:rPr>
                <w:rFonts w:ascii="Arial" w:cs="Arial" w:eastAsia="Arial" w:hAnsi="Arial"/>
                <w:sz w:val="18"/>
                <w:szCs w:val="18"/>
                <w:b w:val="1"/>
                <w:bCs w:val="1"/>
                <w:color w:val="auto"/>
              </w:rPr>
              <w:t>$37.36</w:t>
            </w:r>
          </w:p>
        </w:tc>
        <w:tc>
          <w:tcPr>
            <w:tcW w:w="12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spacing w:after="0" w:line="203" w:lineRule="exact"/>
              <w:rPr>
                <w:sz w:val="20"/>
                <w:szCs w:val="20"/>
                <w:color w:val="auto"/>
              </w:rPr>
            </w:pPr>
            <w:r>
              <w:rPr>
                <w:rFonts w:ascii="Arial" w:cs="Arial" w:eastAsia="Arial" w:hAnsi="Arial"/>
                <w:sz w:val="18"/>
                <w:szCs w:val="18"/>
                <w:color w:val="auto"/>
              </w:rPr>
              <w:t>for calculation of dilutive shares</w:t>
            </w:r>
          </w:p>
        </w:tc>
        <w:tc>
          <w:tcPr>
            <w:tcW w:w="3380" w:type="dxa"/>
            <w:vAlign w:val="bottom"/>
            <w:vMerge w:val="continue"/>
          </w:tcPr>
          <w:p>
            <w:pPr>
              <w:spacing w:after="0"/>
              <w:rPr>
                <w:sz w:val="17"/>
                <w:szCs w:val="17"/>
                <w:color w:val="auto"/>
              </w:rPr>
            </w:pPr>
          </w:p>
        </w:tc>
        <w:tc>
          <w:tcPr>
            <w:tcW w:w="12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195"/>
        </w:trPr>
        <w:tc>
          <w:tcPr>
            <w:tcW w:w="68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b w:val="1"/>
                <w:bCs w:val="1"/>
                <w:color w:val="auto"/>
              </w:rPr>
              <w:t>Earnings per share attributable to Company shareholders:</w:t>
            </w:r>
          </w:p>
        </w:tc>
        <w:tc>
          <w:tcPr>
            <w:tcW w:w="3380" w:type="dxa"/>
            <w:vAlign w:val="bottom"/>
            <w:tcBorders>
              <w:top w:val="single" w:sz="8" w:color="auto"/>
            </w:tcBorders>
            <w:vMerge w:val="restart"/>
          </w:tcPr>
          <w:p>
            <w:pPr>
              <w:jc w:val="right"/>
              <w:ind w:right="410"/>
              <w:spacing w:after="0"/>
              <w:rPr>
                <w:sz w:val="20"/>
                <w:szCs w:val="20"/>
                <w:color w:val="auto"/>
              </w:rPr>
            </w:pPr>
            <w:r>
              <w:rPr>
                <w:rFonts w:ascii="Arial" w:cs="Arial" w:eastAsia="Arial" w:hAnsi="Arial"/>
                <w:sz w:val="18"/>
                <w:szCs w:val="18"/>
                <w:b w:val="1"/>
                <w:bCs w:val="1"/>
                <w:color w:val="auto"/>
              </w:rPr>
              <w:t>$0.38</w:t>
            </w:r>
          </w:p>
        </w:tc>
        <w:tc>
          <w:tcPr>
            <w:tcW w:w="12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20" w:type="dxa"/>
            <w:vAlign w:val="bottom"/>
          </w:tcPr>
          <w:p>
            <w:pPr>
              <w:ind w:left="140"/>
              <w:spacing w:after="0" w:line="181" w:lineRule="exact"/>
              <w:rPr>
                <w:sz w:val="20"/>
                <w:szCs w:val="20"/>
                <w:color w:val="auto"/>
              </w:rPr>
            </w:pPr>
            <w:r>
              <w:rPr>
                <w:rFonts w:ascii="Arial" w:cs="Arial" w:eastAsia="Arial" w:hAnsi="Arial"/>
                <w:sz w:val="18"/>
                <w:szCs w:val="18"/>
                <w:color w:val="auto"/>
              </w:rPr>
              <w:t>Basic</w:t>
            </w:r>
          </w:p>
        </w:tc>
        <w:tc>
          <w:tcPr>
            <w:tcW w:w="3380" w:type="dxa"/>
            <w:vAlign w:val="bottom"/>
            <w:vMerge w:val="continue"/>
          </w:tcPr>
          <w:p>
            <w:pPr>
              <w:spacing w:after="0"/>
              <w:rPr>
                <w:sz w:val="15"/>
                <w:szCs w:val="15"/>
                <w:color w:val="auto"/>
              </w:rPr>
            </w:pPr>
          </w:p>
        </w:tc>
        <w:tc>
          <w:tcPr>
            <w:tcW w:w="1200" w:type="dxa"/>
            <w:vAlign w:val="bottom"/>
          </w:tcPr>
          <w:p>
            <w:pPr>
              <w:jc w:val="right"/>
              <w:spacing w:after="0" w:line="181" w:lineRule="exact"/>
              <w:rPr>
                <w:sz w:val="20"/>
                <w:szCs w:val="20"/>
                <w:color w:val="auto"/>
              </w:rPr>
            </w:pPr>
            <w:r>
              <w:rPr>
                <w:rFonts w:ascii="Arial" w:cs="Arial" w:eastAsia="Arial" w:hAnsi="Arial"/>
                <w:sz w:val="18"/>
                <w:szCs w:val="18"/>
                <w:color w:val="auto"/>
              </w:rPr>
              <w:t>$0.33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3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$0.38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Accumulated Other Comprehensive Income/(Loss)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changes in the components of AOCI for the period December 31, 2014 to March 31,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30"/>
              <w:spacing w:after="0" w:line="194" w:lineRule="exact"/>
              <w:rPr>
                <w:sz w:val="20"/>
                <w:szCs w:val="20"/>
                <w:color w:val="auto"/>
              </w:rPr>
            </w:pPr>
            <w:r>
              <w:rPr>
                <w:rFonts w:ascii="Arial" w:cs="Arial" w:eastAsia="Arial" w:hAnsi="Arial"/>
                <w:sz w:val="18"/>
                <w:szCs w:val="18"/>
                <w:b w:val="1"/>
                <w:bCs w:val="1"/>
                <w:color w:val="auto"/>
                <w:w w:val="98"/>
              </w:rPr>
              <w:t>Pension and</w:t>
            </w:r>
          </w:p>
        </w:tc>
        <w:tc>
          <w:tcPr>
            <w:tcW w:w="12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28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Derivative</w:t>
            </w:r>
          </w:p>
        </w:tc>
        <w:tc>
          <w:tcPr>
            <w:tcW w:w="1740" w:type="dxa"/>
            <w:vAlign w:val="bottom"/>
            <w:gridSpan w:val="2"/>
          </w:tcPr>
          <w:p>
            <w:pPr>
              <w:jc w:val="right"/>
              <w:ind w:right="480"/>
              <w:spacing w:after="0" w:line="202" w:lineRule="exact"/>
              <w:rPr>
                <w:sz w:val="20"/>
                <w:szCs w:val="20"/>
                <w:color w:val="auto"/>
              </w:rPr>
            </w:pPr>
            <w:r>
              <w:rPr>
                <w:rFonts w:ascii="Arial" w:cs="Arial" w:eastAsia="Arial" w:hAnsi="Arial"/>
                <w:sz w:val="18"/>
                <w:szCs w:val="18"/>
                <w:b w:val="1"/>
                <w:bCs w:val="1"/>
                <w:color w:val="auto"/>
              </w:rPr>
              <w:t>Total Other</w:t>
            </w:r>
          </w:p>
        </w:tc>
      </w:tr>
      <w:tr>
        <w:trPr>
          <w:trHeight w:val="203"/>
        </w:trPr>
        <w:tc>
          <w:tcPr>
            <w:tcW w:w="5320" w:type="dxa"/>
            <w:vAlign w:val="bottom"/>
          </w:tcPr>
          <w:p>
            <w:pPr>
              <w:spacing w:after="0"/>
              <w:rPr>
                <w:sz w:val="17"/>
                <w:szCs w:val="17"/>
                <w:color w:val="auto"/>
              </w:rPr>
            </w:pPr>
          </w:p>
        </w:tc>
        <w:tc>
          <w:tcPr>
            <w:tcW w:w="142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Translation</w:t>
            </w:r>
          </w:p>
        </w:tc>
        <w:tc>
          <w:tcPr>
            <w:tcW w:w="168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liability</w:t>
            </w:r>
          </w:p>
        </w:tc>
        <w:tc>
          <w:tcPr>
            <w:tcW w:w="128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8"/>
              </w:rPr>
              <w:t>valuation</w:t>
            </w:r>
          </w:p>
        </w:tc>
        <w:tc>
          <w:tcPr>
            <w:tcW w:w="1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Comprehensive</w:t>
            </w:r>
          </w:p>
        </w:tc>
      </w:tr>
      <w:tr>
        <w:trPr>
          <w:trHeight w:val="225"/>
        </w:trPr>
        <w:tc>
          <w:tcPr>
            <w:tcW w:w="53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rPr>
              <w:t>adjustments</w:t>
            </w:r>
          </w:p>
        </w:tc>
        <w:tc>
          <w:tcPr>
            <w:tcW w:w="16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adjustments</w:t>
            </w: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adjustment</w:t>
            </w:r>
          </w:p>
        </w:tc>
        <w:tc>
          <w:tcPr>
            <w:tcW w:w="17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Income</w:t>
            </w:r>
          </w:p>
        </w:tc>
      </w:tr>
      <w:tr>
        <w:trPr>
          <w:trHeight w:val="196"/>
        </w:trPr>
        <w:tc>
          <w:tcPr>
            <w:tcW w:w="5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2014</w:t>
            </w:r>
          </w:p>
        </w:tc>
        <w:tc>
          <w:tcPr>
            <w:tcW w:w="14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($55,240)</w:t>
            </w:r>
          </w:p>
        </w:tc>
        <w:tc>
          <w:tcPr>
            <w:tcW w:w="1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($51,666)</w:t>
            </w:r>
          </w:p>
        </w:tc>
        <w:tc>
          <w:tcPr>
            <w:tcW w:w="128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($861)</w:t>
            </w:r>
          </w:p>
        </w:tc>
        <w:tc>
          <w:tcPr>
            <w:tcW w:w="1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($107,767)</w:t>
            </w:r>
          </w:p>
        </w:tc>
        <w:tc>
          <w:tcPr>
            <w:tcW w:w="20" w:type="dxa"/>
            <w:vAlign w:val="bottom"/>
            <w:tcBorders>
              <w:bottom w:val="single" w:sz="8" w:color="auto"/>
            </w:tcBorders>
          </w:tcPr>
          <w:p>
            <w:pPr>
              <w:spacing w:after="0"/>
              <w:rPr>
                <w:sz w:val="17"/>
                <w:szCs w:val="17"/>
                <w:color w:val="auto"/>
              </w:rPr>
            </w:pPr>
          </w:p>
        </w:tc>
      </w:tr>
      <w:tr>
        <w:trPr>
          <w:trHeight w:val="195"/>
        </w:trPr>
        <w:tc>
          <w:tcPr>
            <w:tcW w:w="5320" w:type="dxa"/>
            <w:vAlign w:val="bottom"/>
          </w:tcPr>
          <w:p>
            <w:pPr>
              <w:spacing w:after="0" w:line="195" w:lineRule="exact"/>
              <w:rPr>
                <w:sz w:val="20"/>
                <w:szCs w:val="20"/>
                <w:color w:val="auto"/>
              </w:rPr>
            </w:pPr>
            <w:r>
              <w:rPr>
                <w:rFonts w:ascii="Arial" w:cs="Arial" w:eastAsia="Arial" w:hAnsi="Arial"/>
                <w:sz w:val="18"/>
                <w:szCs w:val="18"/>
                <w:color w:val="auto"/>
              </w:rPr>
              <w:t>Other comprehensive income before reclassifications</w:t>
            </w:r>
          </w:p>
        </w:tc>
        <w:tc>
          <w:tcPr>
            <w:tcW w:w="14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(37,413)</w:t>
            </w:r>
          </w:p>
        </w:tc>
        <w:tc>
          <w:tcPr>
            <w:tcW w:w="16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1,730</w:t>
            </w:r>
          </w:p>
        </w:tc>
        <w:tc>
          <w:tcPr>
            <w:tcW w:w="12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(675)</w:t>
            </w:r>
          </w:p>
        </w:tc>
        <w:tc>
          <w:tcPr>
            <w:tcW w:w="174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(36,358)</w:t>
            </w: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Interest expense related to swaps reclassified to the Statement of</w:t>
            </w: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Income, net of tax</w:t>
            </w: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296</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296</w:t>
            </w:r>
          </w:p>
        </w:tc>
        <w:tc>
          <w:tcPr>
            <w:tcW w:w="20" w:type="dxa"/>
            <w:vAlign w:val="bottom"/>
          </w:tcPr>
          <w:p>
            <w:pPr>
              <w:spacing w:after="0"/>
              <w:rPr>
                <w:sz w:val="17"/>
                <w:szCs w:val="17"/>
                <w:color w:val="auto"/>
              </w:rPr>
            </w:pP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 adjustments reclassified to</w:t>
            </w: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3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Statement of Income, net of tax</w:t>
            </w:r>
          </w:p>
        </w:tc>
        <w:tc>
          <w:tcPr>
            <w:tcW w:w="14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257</w:t>
            </w:r>
          </w:p>
        </w:tc>
        <w:tc>
          <w:tcPr>
            <w:tcW w:w="1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257</w:t>
            </w:r>
          </w:p>
        </w:tc>
        <w:tc>
          <w:tcPr>
            <w:tcW w:w="20" w:type="dxa"/>
            <w:vAlign w:val="bottom"/>
          </w:tcPr>
          <w:p>
            <w:pPr>
              <w:spacing w:after="0"/>
              <w:rPr>
                <w:sz w:val="17"/>
                <w:szCs w:val="17"/>
                <w:color w:val="auto"/>
              </w:rPr>
            </w:pPr>
          </w:p>
        </w:tc>
      </w:tr>
      <w:tr>
        <w:trPr>
          <w:trHeight w:val="196"/>
        </w:trPr>
        <w:tc>
          <w:tcPr>
            <w:tcW w:w="5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4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(37,413)</w:t>
            </w:r>
          </w:p>
        </w:tc>
        <w:tc>
          <w:tcPr>
            <w:tcW w:w="16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1,987</w:t>
            </w:r>
          </w:p>
        </w:tc>
        <w:tc>
          <w:tcPr>
            <w:tcW w:w="1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(379)</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(35,805)</w:t>
            </w:r>
          </w:p>
        </w:tc>
        <w:tc>
          <w:tcPr>
            <w:tcW w:w="20" w:type="dxa"/>
            <w:vAlign w:val="bottom"/>
            <w:tcBorders>
              <w:bottom w:val="single" w:sz="8" w:color="auto"/>
            </w:tcBorders>
          </w:tcPr>
          <w:p>
            <w:pPr>
              <w:spacing w:after="0"/>
              <w:rPr>
                <w:sz w:val="17"/>
                <w:szCs w:val="17"/>
                <w:color w:val="auto"/>
              </w:rPr>
            </w:pPr>
          </w:p>
        </w:tc>
      </w:tr>
      <w:tr>
        <w:trPr>
          <w:trHeight w:val="196"/>
        </w:trPr>
        <w:tc>
          <w:tcPr>
            <w:tcW w:w="5320" w:type="dxa"/>
            <w:vAlign w:val="bottom"/>
          </w:tcPr>
          <w:p>
            <w:pPr>
              <w:spacing w:after="0" w:line="196" w:lineRule="exact"/>
              <w:rPr>
                <w:sz w:val="20"/>
                <w:szCs w:val="20"/>
                <w:color w:val="auto"/>
              </w:rPr>
            </w:pPr>
            <w:r>
              <w:rPr>
                <w:rFonts w:ascii="Arial" w:cs="Arial" w:eastAsia="Arial" w:hAnsi="Arial"/>
                <w:sz w:val="18"/>
                <w:szCs w:val="18"/>
                <w:b w:val="1"/>
                <w:bCs w:val="1"/>
                <w:color w:val="auto"/>
              </w:rPr>
              <w:t>March 31, 2015</w:t>
            </w:r>
          </w:p>
        </w:tc>
        <w:tc>
          <w:tcPr>
            <w:tcW w:w="142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($92,653)</w:t>
            </w:r>
          </w:p>
        </w:tc>
        <w:tc>
          <w:tcPr>
            <w:tcW w:w="1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($49,679)</w:t>
            </w:r>
          </w:p>
        </w:tc>
        <w:tc>
          <w:tcPr>
            <w:tcW w:w="128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($1,240)</w:t>
            </w:r>
          </w:p>
        </w:tc>
        <w:tc>
          <w:tcPr>
            <w:tcW w:w="174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($143,572)</w:t>
            </w:r>
          </w:p>
        </w:tc>
      </w:tr>
      <w:tr>
        <w:trPr>
          <w:trHeight w:val="507"/>
        </w:trPr>
        <w:tc>
          <w:tcPr>
            <w:tcW w:w="53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rPr>
              <w:t>13</w:t>
            </w:r>
          </w:p>
        </w:tc>
        <w:tc>
          <w:tcPr>
            <w:tcW w:w="16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53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68"/>
        </w:trPr>
        <w:tc>
          <w:tcPr>
            <w:tcW w:w="532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168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172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r>
    </w:tbl>
    <w:p>
      <w:pPr>
        <w:sectPr>
          <w:pgSz w:w="11900" w:h="16838" w:orient="portrait"/>
          <w:cols w:equalWidth="0" w:num="1">
            <w:col w:w="11420"/>
          </w:cols>
          <w:pgMar w:left="240" w:top="660" w:right="239" w:bottom="1440" w:gutter="0" w:footer="0" w:header="0"/>
        </w:sectPr>
      </w:pPr>
    </w:p>
    <w:bookmarkStart w:id="13" w:name="page14"/>
    <w:bookmarkEnd w:id="13"/>
    <w:p>
      <w:pPr>
        <w:ind w:left="360"/>
        <w:spacing w:after="0"/>
        <w:rPr>
          <w:sz w:val="20"/>
          <w:szCs w:val="20"/>
          <w:color w:val="auto"/>
        </w:rPr>
      </w:pPr>
      <w:r>
        <w:rPr>
          <w:rFonts w:ascii="Arial" w:cs="Arial" w:eastAsia="Arial" w:hAnsi="Arial"/>
          <w:sz w:val="18"/>
          <w:szCs w:val="18"/>
          <w:color w:val="auto"/>
        </w:rPr>
        <w:t>The table below presents changes in the components of AOCI for the period December 31, 2013 to March 31, 2014: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130"/>
              <w:spacing w:after="0" w:line="194" w:lineRule="exact"/>
              <w:rPr>
                <w:sz w:val="20"/>
                <w:szCs w:val="20"/>
                <w:color w:val="auto"/>
              </w:rPr>
            </w:pPr>
            <w:r>
              <w:rPr>
                <w:rFonts w:ascii="Arial" w:cs="Arial" w:eastAsia="Arial" w:hAnsi="Arial"/>
                <w:sz w:val="18"/>
                <w:szCs w:val="18"/>
                <w:b w:val="1"/>
                <w:bCs w:val="1"/>
                <w:color w:val="auto"/>
                <w:w w:val="98"/>
              </w:rPr>
              <w:t>Pension and</w:t>
            </w:r>
          </w:p>
        </w:tc>
        <w:tc>
          <w:tcPr>
            <w:tcW w:w="12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8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28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Derivative</w:t>
            </w:r>
          </w:p>
        </w:tc>
        <w:tc>
          <w:tcPr>
            <w:tcW w:w="1740" w:type="dxa"/>
            <w:vAlign w:val="bottom"/>
            <w:gridSpan w:val="2"/>
          </w:tcPr>
          <w:p>
            <w:pPr>
              <w:jc w:val="right"/>
              <w:ind w:right="480"/>
              <w:spacing w:after="0" w:line="202" w:lineRule="exact"/>
              <w:rPr>
                <w:sz w:val="20"/>
                <w:szCs w:val="20"/>
                <w:color w:val="auto"/>
              </w:rPr>
            </w:pPr>
            <w:r>
              <w:rPr>
                <w:rFonts w:ascii="Arial" w:cs="Arial" w:eastAsia="Arial" w:hAnsi="Arial"/>
                <w:sz w:val="18"/>
                <w:szCs w:val="18"/>
                <w:b w:val="1"/>
                <w:bCs w:val="1"/>
                <w:color w:val="auto"/>
              </w:rPr>
              <w:t>Total Other</w:t>
            </w:r>
          </w:p>
        </w:tc>
      </w:tr>
      <w:tr>
        <w:trPr>
          <w:trHeight w:val="203"/>
        </w:trPr>
        <w:tc>
          <w:tcPr>
            <w:tcW w:w="5320" w:type="dxa"/>
            <w:vAlign w:val="bottom"/>
          </w:tcPr>
          <w:p>
            <w:pPr>
              <w:spacing w:after="0"/>
              <w:rPr>
                <w:sz w:val="17"/>
                <w:szCs w:val="17"/>
                <w:color w:val="auto"/>
              </w:rPr>
            </w:pPr>
          </w:p>
        </w:tc>
        <w:tc>
          <w:tcPr>
            <w:tcW w:w="142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Translation</w:t>
            </w:r>
          </w:p>
        </w:tc>
        <w:tc>
          <w:tcPr>
            <w:tcW w:w="168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liability</w:t>
            </w:r>
          </w:p>
        </w:tc>
        <w:tc>
          <w:tcPr>
            <w:tcW w:w="128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8"/>
              </w:rPr>
              <w:t>valuation</w:t>
            </w:r>
          </w:p>
        </w:tc>
        <w:tc>
          <w:tcPr>
            <w:tcW w:w="1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Comprehensive</w:t>
            </w:r>
          </w:p>
        </w:tc>
      </w:tr>
      <w:tr>
        <w:trPr>
          <w:trHeight w:val="225"/>
        </w:trPr>
        <w:tc>
          <w:tcPr>
            <w:tcW w:w="53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rPr>
              <w:t>adjustments</w:t>
            </w:r>
          </w:p>
        </w:tc>
        <w:tc>
          <w:tcPr>
            <w:tcW w:w="16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adjustments</w:t>
            </w: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adjustment</w:t>
            </w:r>
          </w:p>
        </w:tc>
        <w:tc>
          <w:tcPr>
            <w:tcW w:w="17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Income</w:t>
            </w:r>
          </w:p>
        </w:tc>
      </w:tr>
      <w:tr>
        <w:trPr>
          <w:trHeight w:val="196"/>
        </w:trPr>
        <w:tc>
          <w:tcPr>
            <w:tcW w:w="5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2013</w:t>
            </w:r>
          </w:p>
        </w:tc>
        <w:tc>
          <w:tcPr>
            <w:tcW w:w="14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($138)</w:t>
            </w:r>
          </w:p>
        </w:tc>
        <w:tc>
          <w:tcPr>
            <w:tcW w:w="1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($48,383)</w:t>
            </w:r>
          </w:p>
        </w:tc>
        <w:tc>
          <w:tcPr>
            <w:tcW w:w="128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($977)</w:t>
            </w:r>
          </w:p>
        </w:tc>
        <w:tc>
          <w:tcPr>
            <w:tcW w:w="1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($49,498)</w:t>
            </w:r>
          </w:p>
        </w:tc>
        <w:tc>
          <w:tcPr>
            <w:tcW w:w="20" w:type="dxa"/>
            <w:vAlign w:val="bottom"/>
            <w:tcBorders>
              <w:bottom w:val="single" w:sz="8" w:color="auto"/>
            </w:tcBorders>
          </w:tcPr>
          <w:p>
            <w:pPr>
              <w:spacing w:after="0"/>
              <w:rPr>
                <w:sz w:val="17"/>
                <w:szCs w:val="17"/>
                <w:color w:val="auto"/>
              </w:rPr>
            </w:pPr>
          </w:p>
        </w:tc>
      </w:tr>
      <w:tr>
        <w:trPr>
          <w:trHeight w:val="195"/>
        </w:trPr>
        <w:tc>
          <w:tcPr>
            <w:tcW w:w="5320" w:type="dxa"/>
            <w:vAlign w:val="bottom"/>
          </w:tcPr>
          <w:p>
            <w:pPr>
              <w:spacing w:after="0" w:line="195" w:lineRule="exact"/>
              <w:rPr>
                <w:sz w:val="20"/>
                <w:szCs w:val="20"/>
                <w:color w:val="auto"/>
              </w:rPr>
            </w:pPr>
            <w:r>
              <w:rPr>
                <w:rFonts w:ascii="Arial" w:cs="Arial" w:eastAsia="Arial" w:hAnsi="Arial"/>
                <w:sz w:val="18"/>
                <w:szCs w:val="18"/>
                <w:color w:val="auto"/>
              </w:rPr>
              <w:t>Other comprehensive income before reclassifications</w:t>
            </w:r>
          </w:p>
        </w:tc>
        <w:tc>
          <w:tcPr>
            <w:tcW w:w="14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(5,599)</w:t>
            </w:r>
          </w:p>
        </w:tc>
        <w:tc>
          <w:tcPr>
            <w:tcW w:w="16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371</w:t>
            </w:r>
          </w:p>
        </w:tc>
        <w:tc>
          <w:tcPr>
            <w:tcW w:w="12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(220)</w:t>
            </w:r>
          </w:p>
        </w:tc>
        <w:tc>
          <w:tcPr>
            <w:tcW w:w="174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(5,448)</w:t>
            </w: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Interest expense related to swaps reclassified to the Statement of</w:t>
            </w: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Income, net of tax</w:t>
            </w: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292</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20" w:type="dxa"/>
            <w:vAlign w:val="bottom"/>
          </w:tcPr>
          <w:p>
            <w:pPr>
              <w:spacing w:after="0"/>
              <w:rPr>
                <w:sz w:val="17"/>
                <w:szCs w:val="17"/>
                <w:color w:val="auto"/>
              </w:rPr>
            </w:pP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 adjustments reclassified to</w:t>
            </w:r>
          </w:p>
        </w:tc>
        <w:tc>
          <w:tcPr>
            <w:tcW w:w="1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3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Statement of Income, net of tax</w:t>
            </w:r>
          </w:p>
        </w:tc>
        <w:tc>
          <w:tcPr>
            <w:tcW w:w="14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131</w:t>
            </w:r>
          </w:p>
        </w:tc>
        <w:tc>
          <w:tcPr>
            <w:tcW w:w="1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w:t>
            </w:r>
          </w:p>
        </w:tc>
        <w:tc>
          <w:tcPr>
            <w:tcW w:w="20" w:type="dxa"/>
            <w:vAlign w:val="bottom"/>
          </w:tcPr>
          <w:p>
            <w:pPr>
              <w:spacing w:after="0"/>
              <w:rPr>
                <w:sz w:val="17"/>
                <w:szCs w:val="17"/>
                <w:color w:val="auto"/>
              </w:rPr>
            </w:pPr>
          </w:p>
        </w:tc>
      </w:tr>
      <w:tr>
        <w:trPr>
          <w:trHeight w:val="196"/>
        </w:trPr>
        <w:tc>
          <w:tcPr>
            <w:tcW w:w="5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4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(5,599)</w:t>
            </w:r>
          </w:p>
        </w:tc>
        <w:tc>
          <w:tcPr>
            <w:tcW w:w="16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502</w:t>
            </w:r>
          </w:p>
        </w:tc>
        <w:tc>
          <w:tcPr>
            <w:tcW w:w="12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72</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(5,025)</w:t>
            </w:r>
          </w:p>
        </w:tc>
        <w:tc>
          <w:tcPr>
            <w:tcW w:w="20" w:type="dxa"/>
            <w:vAlign w:val="bottom"/>
            <w:tcBorders>
              <w:bottom w:val="single" w:sz="8" w:color="auto"/>
            </w:tcBorders>
          </w:tcPr>
          <w:p>
            <w:pPr>
              <w:spacing w:after="0"/>
              <w:rPr>
                <w:sz w:val="17"/>
                <w:szCs w:val="17"/>
                <w:color w:val="auto"/>
              </w:rPr>
            </w:pPr>
          </w:p>
        </w:tc>
      </w:tr>
      <w:tr>
        <w:trPr>
          <w:trHeight w:val="196"/>
        </w:trPr>
        <w:tc>
          <w:tcPr>
            <w:tcW w:w="5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March 31, 2014</w:t>
            </w:r>
          </w:p>
        </w:tc>
        <w:tc>
          <w:tcPr>
            <w:tcW w:w="14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($5,737)</w:t>
            </w: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($47,881)</w:t>
            </w:r>
          </w:p>
        </w:tc>
        <w:tc>
          <w:tcPr>
            <w:tcW w:w="1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($905)</w:t>
            </w:r>
          </w:p>
        </w:tc>
        <w:tc>
          <w:tcPr>
            <w:tcW w:w="17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($54,523)</w:t>
            </w:r>
          </w:p>
        </w:tc>
      </w:tr>
    </w:tbl>
    <w:p>
      <w:pPr>
        <w:spacing w:after="0" w:line="377" w:lineRule="exact"/>
        <w:rPr>
          <w:sz w:val="20"/>
          <w:szCs w:val="20"/>
          <w:color w:val="auto"/>
        </w:rPr>
      </w:pPr>
    </w:p>
    <w:p>
      <w:pPr>
        <w:ind w:right="100" w:firstLine="360"/>
        <w:spacing w:after="0" w:line="246" w:lineRule="auto"/>
        <w:rPr>
          <w:sz w:val="20"/>
          <w:szCs w:val="20"/>
          <w:color w:val="auto"/>
        </w:rPr>
      </w:pPr>
      <w:r>
        <w:rPr>
          <w:rFonts w:ascii="Arial" w:cs="Arial" w:eastAsia="Arial" w:hAnsi="Arial"/>
          <w:sz w:val="18"/>
          <w:szCs w:val="18"/>
          <w:color w:val="auto"/>
        </w:rPr>
        <w:t>The table below presents the expense/(income) amounts reclassified, and the line items of the Statement of Income that were affected for the periods March 31, 2015 and 2014.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8280" w:type="dxa"/>
            <w:vAlign w:val="bottom"/>
            <w:tcBorders>
              <w:top w:val="single" w:sz="8" w:color="auto"/>
            </w:tcBorders>
          </w:tcPr>
          <w:p>
            <w:pPr>
              <w:spacing w:after="0"/>
              <w:rPr>
                <w:sz w:val="16"/>
                <w:szCs w:val="16"/>
                <w:color w:val="auto"/>
              </w:rPr>
            </w:pPr>
          </w:p>
        </w:tc>
        <w:tc>
          <w:tcPr>
            <w:tcW w:w="3120" w:type="dxa"/>
            <w:vAlign w:val="bottom"/>
            <w:tcBorders>
              <w:top w:val="single" w:sz="8" w:color="auto"/>
            </w:tcBorders>
            <w:gridSpan w:val="2"/>
          </w:tcPr>
          <w:p>
            <w:pPr>
              <w:jc w:val="right"/>
              <w:ind w:right="570"/>
              <w:spacing w:after="0" w:line="194"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March 31,</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0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2015</w:t>
            </w: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830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Pretax Derivative valuation reclassified from Accumulated Other Comprehensive Income:</w:t>
            </w:r>
          </w:p>
        </w:tc>
        <w:tc>
          <w:tcPr>
            <w:tcW w:w="20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$486</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280" w:type="dxa"/>
            <w:vAlign w:val="bottom"/>
          </w:tcPr>
          <w:p>
            <w:pPr>
              <w:ind w:left="140"/>
              <w:spacing w:after="0" w:line="181" w:lineRule="exact"/>
              <w:rPr>
                <w:sz w:val="20"/>
                <w:szCs w:val="20"/>
                <w:color w:val="auto"/>
              </w:rPr>
            </w:pPr>
            <w:r>
              <w:rPr>
                <w:rFonts w:ascii="Arial" w:cs="Arial" w:eastAsia="Arial" w:hAnsi="Arial"/>
                <w:sz w:val="18"/>
                <w:szCs w:val="18"/>
                <w:color w:val="auto"/>
              </w:rPr>
              <w:t>Payments made on interest rate swaps included in Income before taxes(a)</w:t>
            </w:r>
          </w:p>
        </w:tc>
        <w:tc>
          <w:tcPr>
            <w:tcW w:w="2080" w:type="dxa"/>
            <w:vAlign w:val="bottom"/>
            <w:vMerge w:val="continue"/>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Arial" w:cs="Arial" w:eastAsia="Arial" w:hAnsi="Arial"/>
                <w:sz w:val="18"/>
                <w:szCs w:val="18"/>
                <w:color w:val="auto"/>
              </w:rPr>
              <w:t>$478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280" w:type="dxa"/>
            <w:vAlign w:val="bottom"/>
          </w:tcPr>
          <w:p>
            <w:pPr>
              <w:ind w:left="140"/>
              <w:spacing w:after="0"/>
              <w:rPr>
                <w:sz w:val="20"/>
                <w:szCs w:val="20"/>
                <w:color w:val="auto"/>
              </w:rPr>
            </w:pPr>
            <w:r>
              <w:rPr>
                <w:rFonts w:ascii="Arial" w:cs="Arial" w:eastAsia="Arial" w:hAnsi="Arial"/>
                <w:sz w:val="18"/>
                <w:szCs w:val="18"/>
                <w:color w:val="auto"/>
              </w:rPr>
              <w:t>Income tax effect</w:t>
            </w:r>
          </w:p>
        </w:tc>
        <w:tc>
          <w:tcPr>
            <w:tcW w:w="2080" w:type="dxa"/>
            <w:vAlign w:val="bottom"/>
          </w:tcPr>
          <w:p>
            <w:pPr>
              <w:jc w:val="right"/>
              <w:ind w:right="350"/>
              <w:spacing w:after="0"/>
              <w:rPr>
                <w:sz w:val="20"/>
                <w:szCs w:val="20"/>
                <w:color w:val="auto"/>
              </w:rPr>
            </w:pPr>
            <w:r>
              <w:rPr>
                <w:rFonts w:ascii="Arial" w:cs="Arial" w:eastAsia="Arial" w:hAnsi="Arial"/>
                <w:sz w:val="18"/>
                <w:szCs w:val="18"/>
                <w:b w:val="1"/>
                <w:bCs w:val="1"/>
                <w:color w:val="auto"/>
              </w:rPr>
              <w:t>(190)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2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Effect on net income due to items reclassified from Accumulated Other Comprehensive Income</w:t>
            </w:r>
          </w:p>
        </w:tc>
        <w:tc>
          <w:tcPr>
            <w:tcW w:w="208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$296</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Pretax pension and postretirement liabilities reclassified from Accumulated Other</w:t>
            </w:r>
          </w:p>
        </w:tc>
        <w:tc>
          <w:tcPr>
            <w:tcW w:w="2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($1,109)</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280" w:type="dxa"/>
            <w:vAlign w:val="bottom"/>
          </w:tcPr>
          <w:p>
            <w:pPr>
              <w:ind w:left="120"/>
              <w:spacing w:after="0" w:line="181" w:lineRule="exact"/>
              <w:rPr>
                <w:sz w:val="20"/>
                <w:szCs w:val="20"/>
                <w:color w:val="auto"/>
              </w:rPr>
            </w:pPr>
            <w:r>
              <w:rPr>
                <w:rFonts w:ascii="Arial" w:cs="Arial" w:eastAsia="Arial" w:hAnsi="Arial"/>
                <w:sz w:val="18"/>
                <w:szCs w:val="18"/>
                <w:color w:val="auto"/>
              </w:rPr>
              <w:t>Amortization of prior service cost/(credit)</w:t>
            </w:r>
          </w:p>
        </w:tc>
        <w:tc>
          <w:tcPr>
            <w:tcW w:w="2080" w:type="dxa"/>
            <w:vAlign w:val="bottom"/>
            <w:vMerge w:val="continue"/>
          </w:tcPr>
          <w:p>
            <w:pPr>
              <w:spacing w:after="0"/>
              <w:rPr>
                <w:sz w:val="15"/>
                <w:szCs w:val="15"/>
                <w:color w:val="auto"/>
              </w:rPr>
            </w:pPr>
          </w:p>
        </w:tc>
        <w:tc>
          <w:tcPr>
            <w:tcW w:w="1060" w:type="dxa"/>
            <w:vAlign w:val="bottom"/>
            <w:gridSpan w:val="2"/>
          </w:tcPr>
          <w:p>
            <w:pPr>
              <w:jc w:val="right"/>
              <w:ind w:right="20"/>
              <w:spacing w:after="0" w:line="181" w:lineRule="exact"/>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Amortization of net actuarial loss</w:t>
            </w:r>
          </w:p>
        </w:tc>
        <w:tc>
          <w:tcPr>
            <w:tcW w:w="2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1,505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80" w:type="dxa"/>
            <w:vAlign w:val="bottom"/>
          </w:tcPr>
          <w:p>
            <w:pPr>
              <w:spacing w:after="0" w:line="173" w:lineRule="exact"/>
              <w:rPr>
                <w:sz w:val="20"/>
                <w:szCs w:val="20"/>
                <w:color w:val="auto"/>
              </w:rPr>
            </w:pPr>
            <w:r>
              <w:rPr>
                <w:rFonts w:ascii="Arial" w:cs="Arial" w:eastAsia="Arial" w:hAnsi="Arial"/>
                <w:sz w:val="18"/>
                <w:szCs w:val="18"/>
                <w:color w:val="auto"/>
              </w:rPr>
              <w:t>Total pretax amount reclassified (b)</w:t>
            </w:r>
          </w:p>
        </w:tc>
        <w:tc>
          <w:tcPr>
            <w:tcW w:w="2080" w:type="dxa"/>
            <w:vAlign w:val="bottom"/>
          </w:tcPr>
          <w:p>
            <w:pPr>
              <w:jc w:val="right"/>
              <w:ind w:right="390"/>
              <w:spacing w:after="0" w:line="173" w:lineRule="exact"/>
              <w:rPr>
                <w:sz w:val="20"/>
                <w:szCs w:val="20"/>
                <w:color w:val="auto"/>
              </w:rPr>
            </w:pPr>
            <w:r>
              <w:rPr>
                <w:rFonts w:ascii="Arial" w:cs="Arial" w:eastAsia="Arial" w:hAnsi="Arial"/>
                <w:sz w:val="18"/>
                <w:szCs w:val="18"/>
                <w:b w:val="1"/>
                <w:bCs w:val="1"/>
                <w:color w:val="auto"/>
              </w:rPr>
              <w:t>396</w:t>
            </w:r>
          </w:p>
        </w:tc>
        <w:tc>
          <w:tcPr>
            <w:tcW w:w="1040" w:type="dxa"/>
            <w:vAlign w:val="bottom"/>
          </w:tcPr>
          <w:p>
            <w:pPr>
              <w:jc w:val="right"/>
              <w:spacing w:after="0" w:line="173" w:lineRule="exact"/>
              <w:rPr>
                <w:sz w:val="20"/>
                <w:szCs w:val="20"/>
                <w:color w:val="auto"/>
              </w:rPr>
            </w:pPr>
            <w:r>
              <w:rPr>
                <w:rFonts w:ascii="Arial" w:cs="Arial" w:eastAsia="Arial" w:hAnsi="Arial"/>
                <w:sz w:val="18"/>
                <w:szCs w:val="18"/>
                <w:color w:val="auto"/>
              </w:rPr>
              <w:t>219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300" w:type="dxa"/>
            <w:vAlign w:val="bottom"/>
            <w:gridSpan w:val="2"/>
          </w:tcPr>
          <w:p>
            <w:pPr>
              <w:spacing w:after="0"/>
              <w:rPr>
                <w:sz w:val="20"/>
                <w:szCs w:val="20"/>
                <w:color w:val="auto"/>
              </w:rPr>
            </w:pPr>
            <w:r>
              <w:rPr>
                <w:rFonts w:ascii="Arial" w:cs="Arial" w:eastAsia="Arial" w:hAnsi="Arial"/>
                <w:sz w:val="18"/>
                <w:szCs w:val="18"/>
                <w:color w:val="auto"/>
              </w:rPr>
              <w:t>Income tax effect</w:t>
            </w:r>
          </w:p>
        </w:tc>
        <w:tc>
          <w:tcPr>
            <w:tcW w:w="2080" w:type="dxa"/>
            <w:vAlign w:val="bottom"/>
          </w:tcPr>
          <w:p>
            <w:pPr>
              <w:jc w:val="right"/>
              <w:ind w:right="350"/>
              <w:spacing w:after="0"/>
              <w:rPr>
                <w:sz w:val="20"/>
                <w:szCs w:val="20"/>
                <w:color w:val="auto"/>
              </w:rPr>
            </w:pPr>
            <w:r>
              <w:rPr>
                <w:rFonts w:ascii="Arial" w:cs="Arial" w:eastAsia="Arial" w:hAnsi="Arial"/>
                <w:sz w:val="18"/>
                <w:szCs w:val="18"/>
                <w:b w:val="1"/>
                <w:bCs w:val="1"/>
                <w:color w:val="auto"/>
              </w:rPr>
              <w:t>(139)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830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Effect on net income due to items reclassified from Accumulated Other Comprehensive Income</w:t>
            </w:r>
          </w:p>
        </w:tc>
        <w:tc>
          <w:tcPr>
            <w:tcW w:w="208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$257</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20" w:hanging="344"/>
        <w:spacing w:after="0"/>
        <w:tabs>
          <w:tab w:leader="none" w:pos="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Included in Interest expense.</w:t>
      </w:r>
    </w:p>
    <w:p>
      <w:pPr>
        <w:spacing w:after="0" w:line="171" w:lineRule="exact"/>
        <w:rPr>
          <w:rFonts w:ascii="Arial" w:cs="Arial" w:eastAsia="Arial" w:hAnsi="Arial"/>
          <w:sz w:val="18"/>
          <w:szCs w:val="18"/>
          <w:color w:val="auto"/>
        </w:rPr>
      </w:pPr>
    </w:p>
    <w:p>
      <w:pPr>
        <w:ind w:left="420" w:hanging="344"/>
        <w:spacing w:after="0"/>
        <w:tabs>
          <w:tab w:leader="none" w:pos="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These accumulated other comprehensive income components are included in the computation of net periodic pension cost (see Note 4).</w:t>
      </w: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300" w:hanging="292"/>
        <w:spacing w:after="0"/>
        <w:tabs>
          <w:tab w:leader="none" w:pos="30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Accounts Receivable</w:t>
      </w:r>
    </w:p>
    <w:p>
      <w:pPr>
        <w:spacing w:after="0" w:line="180" w:lineRule="exact"/>
        <w:rPr>
          <w:sz w:val="20"/>
          <w:szCs w:val="20"/>
          <w:color w:val="auto"/>
        </w:rPr>
      </w:pPr>
    </w:p>
    <w:p>
      <w:pPr>
        <w:ind w:firstLine="360"/>
        <w:spacing w:after="0"/>
        <w:rPr>
          <w:sz w:val="20"/>
          <w:szCs w:val="20"/>
          <w:color w:val="auto"/>
        </w:rPr>
      </w:pPr>
      <w:r>
        <w:rPr>
          <w:rFonts w:ascii="Arial" w:cs="Arial" w:eastAsia="Arial" w:hAnsi="Arial"/>
          <w:sz w:val="18"/>
          <w:szCs w:val="18"/>
          <w:color w:val="auto"/>
        </w:rPr>
        <w:t>Accounts receivable includes trade receivables and revenue in excess of progress billings on long-term contracts in the Albany Engineered Composites business. The Company maintains allowances for doubtful accounts for estimated losses resulting from the inability of its customers to make required payments. The Company determines the allowance based on historical write-off</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4" w:name="page15"/>
    <w:bookmarkEnd w:id="14"/>
    <w:p>
      <w:pPr>
        <w:ind w:right="660"/>
        <w:spacing w:after="0" w:line="246" w:lineRule="auto"/>
        <w:rPr>
          <w:sz w:val="20"/>
          <w:szCs w:val="20"/>
          <w:color w:val="auto"/>
        </w:rPr>
      </w:pPr>
      <w:r>
        <w:rPr>
          <w:rFonts w:ascii="Arial" w:cs="Arial" w:eastAsia="Arial" w:hAnsi="Arial"/>
          <w:sz w:val="18"/>
          <w:szCs w:val="18"/>
          <w:color w:val="auto"/>
        </w:rPr>
        <w:t>experience, customer-specific facts and economic conditions. If the financial condition of the Company’s customers were to deteriorate, resulting in an impairment of their ability to make payments, additional allowances may be required.</w:t>
      </w:r>
    </w:p>
    <w:p>
      <w:pPr>
        <w:spacing w:after="0" w:line="34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March 31, 2015 and December 31, 2014, accounts receivable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60" w:type="dxa"/>
            <w:vAlign w:val="bottom"/>
            <w:tcBorders>
              <w:top w:val="single" w:sz="8" w:color="auto"/>
            </w:tcBorders>
          </w:tcPr>
          <w:p>
            <w:pPr>
              <w:spacing w:after="0"/>
              <w:rPr>
                <w:sz w:val="16"/>
                <w:szCs w:val="16"/>
                <w:color w:val="auto"/>
              </w:rPr>
            </w:pPr>
          </w:p>
        </w:tc>
        <w:tc>
          <w:tcPr>
            <w:tcW w:w="4100" w:type="dxa"/>
            <w:vAlign w:val="bottom"/>
            <w:tcBorders>
              <w:top w:val="single" w:sz="8" w:color="auto"/>
            </w:tcBorders>
          </w:tcPr>
          <w:p>
            <w:pPr>
              <w:jc w:val="right"/>
              <w:ind w:right="590"/>
              <w:spacing w:after="0" w:line="194" w:lineRule="exact"/>
              <w:rPr>
                <w:sz w:val="20"/>
                <w:szCs w:val="20"/>
                <w:color w:val="auto"/>
              </w:rPr>
            </w:pPr>
            <w:r>
              <w:rPr>
                <w:rFonts w:ascii="Arial" w:cs="Arial" w:eastAsia="Arial" w:hAnsi="Arial"/>
                <w:sz w:val="18"/>
                <w:szCs w:val="18"/>
                <w:b w:val="1"/>
                <w:bCs w:val="1"/>
                <w:color w:val="auto"/>
              </w:rPr>
              <w:t>March 31,</w:t>
            </w:r>
          </w:p>
        </w:tc>
        <w:tc>
          <w:tcPr>
            <w:tcW w:w="1660" w:type="dxa"/>
            <w:vAlign w:val="bottom"/>
            <w:tcBorders>
              <w:top w:val="single" w:sz="8" w:color="auto"/>
            </w:tcBorders>
          </w:tcPr>
          <w:p>
            <w:pPr>
              <w:jc w:val="right"/>
              <w:ind w:right="230"/>
              <w:spacing w:after="0" w:line="194" w:lineRule="exact"/>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6"/>
                <w:szCs w:val="16"/>
                <w:color w:val="auto"/>
              </w:rPr>
            </w:pPr>
          </w:p>
        </w:tc>
      </w:tr>
      <w:tr>
        <w:trPr>
          <w:trHeight w:val="225"/>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1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2015</w:t>
            </w:r>
          </w:p>
        </w:tc>
        <w:tc>
          <w:tcPr>
            <w:tcW w:w="16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r>
      <w:tr>
        <w:trPr>
          <w:trHeight w:val="173"/>
        </w:trPr>
        <w:tc>
          <w:tcPr>
            <w:tcW w:w="5660" w:type="dxa"/>
            <w:vAlign w:val="bottom"/>
          </w:tcPr>
          <w:p>
            <w:pPr>
              <w:spacing w:after="0" w:line="173" w:lineRule="exact"/>
              <w:rPr>
                <w:sz w:val="20"/>
                <w:szCs w:val="20"/>
                <w:color w:val="auto"/>
              </w:rPr>
            </w:pPr>
            <w:r>
              <w:rPr>
                <w:rFonts w:ascii="Arial" w:cs="Arial" w:eastAsia="Arial" w:hAnsi="Arial"/>
                <w:sz w:val="18"/>
                <w:szCs w:val="18"/>
                <w:color w:val="auto"/>
              </w:rPr>
              <w:t>Trade and other accounts receivable</w:t>
            </w:r>
          </w:p>
        </w:tc>
        <w:tc>
          <w:tcPr>
            <w:tcW w:w="410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rPr>
              <w:t>$133,219</w:t>
            </w:r>
          </w:p>
        </w:tc>
        <w:tc>
          <w:tcPr>
            <w:tcW w:w="1660" w:type="dxa"/>
            <w:vAlign w:val="bottom"/>
          </w:tcPr>
          <w:p>
            <w:pPr>
              <w:jc w:val="right"/>
              <w:spacing w:after="0" w:line="173" w:lineRule="exact"/>
              <w:rPr>
                <w:sz w:val="20"/>
                <w:szCs w:val="20"/>
                <w:color w:val="auto"/>
              </w:rPr>
            </w:pPr>
            <w:r>
              <w:rPr>
                <w:rFonts w:ascii="Arial" w:cs="Arial" w:eastAsia="Arial" w:hAnsi="Arial"/>
                <w:sz w:val="18"/>
                <w:szCs w:val="18"/>
                <w:color w:val="auto"/>
              </w:rPr>
              <w:t>$136,479</w:t>
            </w:r>
          </w:p>
        </w:tc>
        <w:tc>
          <w:tcPr>
            <w:tcW w:w="20" w:type="dxa"/>
            <w:vAlign w:val="bottom"/>
          </w:tcPr>
          <w:p>
            <w:pPr>
              <w:spacing w:after="0"/>
              <w:rPr>
                <w:sz w:val="15"/>
                <w:szCs w:val="15"/>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Bank promissory notes</w:t>
            </w:r>
          </w:p>
        </w:tc>
        <w:tc>
          <w:tcPr>
            <w:tcW w:w="410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17,156</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17,426</w:t>
            </w:r>
          </w:p>
        </w:tc>
        <w:tc>
          <w:tcPr>
            <w:tcW w:w="20" w:type="dxa"/>
            <w:vAlign w:val="bottom"/>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Revenue in excess of progress billings</w:t>
            </w:r>
          </w:p>
        </w:tc>
        <w:tc>
          <w:tcPr>
            <w:tcW w:w="410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20,909</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13,045</w:t>
            </w:r>
          </w:p>
        </w:tc>
        <w:tc>
          <w:tcPr>
            <w:tcW w:w="20" w:type="dxa"/>
            <w:vAlign w:val="bottom"/>
          </w:tcPr>
          <w:p>
            <w:pPr>
              <w:spacing w:after="0"/>
              <w:rPr>
                <w:sz w:val="17"/>
                <w:szCs w:val="17"/>
                <w:color w:val="auto"/>
              </w:rPr>
            </w:pPr>
          </w:p>
        </w:tc>
      </w:tr>
      <w:tr>
        <w:trPr>
          <w:trHeight w:val="225"/>
        </w:trPr>
        <w:tc>
          <w:tcPr>
            <w:tcW w:w="56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4100" w:type="dxa"/>
            <w:vAlign w:val="bottom"/>
          </w:tcPr>
          <w:p>
            <w:pPr>
              <w:jc w:val="right"/>
              <w:ind w:right="70"/>
              <w:spacing w:after="0"/>
              <w:rPr>
                <w:sz w:val="20"/>
                <w:szCs w:val="20"/>
                <w:color w:val="auto"/>
              </w:rPr>
            </w:pPr>
            <w:r>
              <w:rPr>
                <w:rFonts w:ascii="Arial" w:cs="Arial" w:eastAsia="Arial" w:hAnsi="Arial"/>
                <w:sz w:val="18"/>
                <w:szCs w:val="18"/>
                <w:b w:val="1"/>
                <w:bCs w:val="1"/>
                <w:color w:val="auto"/>
              </w:rPr>
              <w:t>(7,875)</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(8,713)</w:t>
            </w:r>
          </w:p>
        </w:tc>
      </w:tr>
      <w:tr>
        <w:trPr>
          <w:trHeight w:val="196"/>
        </w:trPr>
        <w:tc>
          <w:tcPr>
            <w:tcW w:w="56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Total accounts receivable</w:t>
            </w:r>
          </w:p>
        </w:tc>
        <w:tc>
          <w:tcPr>
            <w:tcW w:w="410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$163,409</w:t>
            </w:r>
          </w:p>
        </w:tc>
        <w:tc>
          <w:tcPr>
            <w:tcW w:w="1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$158,237</w:t>
            </w:r>
          </w:p>
        </w:tc>
        <w:tc>
          <w:tcPr>
            <w:tcW w:w="20" w:type="dxa"/>
            <w:vAlign w:val="bottom"/>
          </w:tcPr>
          <w:p>
            <w:pPr>
              <w:spacing w:after="0"/>
              <w:rPr>
                <w:sz w:val="17"/>
                <w:szCs w:val="17"/>
                <w:color w:val="auto"/>
              </w:rPr>
            </w:pPr>
          </w:p>
        </w:tc>
      </w:tr>
    </w:tbl>
    <w:p>
      <w:pPr>
        <w:spacing w:after="0" w:line="188" w:lineRule="exact"/>
        <w:rPr>
          <w:sz w:val="20"/>
          <w:szCs w:val="20"/>
          <w:color w:val="auto"/>
        </w:rPr>
      </w:pPr>
    </w:p>
    <w:p>
      <w:pPr>
        <w:ind w:right="300" w:firstLine="360"/>
        <w:spacing w:after="0" w:line="246" w:lineRule="auto"/>
        <w:rPr>
          <w:sz w:val="20"/>
          <w:szCs w:val="20"/>
          <w:color w:val="auto"/>
        </w:rPr>
      </w:pPr>
      <w:r>
        <w:rPr>
          <w:rFonts w:ascii="Arial" w:cs="Arial" w:eastAsia="Arial" w:hAnsi="Arial"/>
          <w:sz w:val="18"/>
          <w:szCs w:val="18"/>
          <w:color w:val="auto"/>
        </w:rPr>
        <w:t>In connection with certain sales in Asia Pacific, the Company accepts a bank promissory note as customer payment. The notes may be presented for payment at maturity, which is less than one year.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Inventories</w:t>
      </w:r>
    </w:p>
    <w:p>
      <w:pPr>
        <w:spacing w:after="0" w:line="180" w:lineRule="exact"/>
        <w:rPr>
          <w:sz w:val="20"/>
          <w:szCs w:val="20"/>
          <w:color w:val="auto"/>
        </w:rPr>
      </w:pPr>
    </w:p>
    <w:p>
      <w:pPr>
        <w:jc w:val="both"/>
        <w:ind w:right="180" w:firstLine="360"/>
        <w:spacing w:after="0" w:line="234" w:lineRule="auto"/>
        <w:rPr>
          <w:sz w:val="20"/>
          <w:szCs w:val="20"/>
          <w:color w:val="auto"/>
        </w:rPr>
      </w:pPr>
      <w:r>
        <w:rPr>
          <w:rFonts w:ascii="Arial" w:cs="Arial" w:eastAsia="Arial" w:hAnsi="Arial"/>
          <w:sz w:val="18"/>
          <w:szCs w:val="18"/>
          <w:color w:val="auto"/>
        </w:rPr>
        <w:t>Inventories are stated at the lower of cost or market, and are valued at average cost, net of reserves. Costs included in inventory are raw materials, labor, supplies, and allocable depreciation and overhead. The Company maintains reserves for possible impairment in the value of inventories. Such reserves can be specific to certain inventory, or general based on judgments about the overall condition of the inventory.</w:t>
      </w:r>
    </w:p>
    <w:p>
      <w:pPr>
        <w:spacing w:after="0" w:line="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General reserves are established based on percentage write-downs applied to aged inventories, or for inventories that are slow-moving. If actual results differ from estimates, additional inventory write-downs may be necessary. These general reserves for aged inventory are relieved through income only when the inventory is sold.</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March 31, 2015 and December 31, 2014, inventories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80" w:type="dxa"/>
            <w:vAlign w:val="bottom"/>
            <w:tcBorders>
              <w:top w:val="single" w:sz="8" w:color="auto"/>
            </w:tcBorders>
          </w:tcPr>
          <w:p>
            <w:pPr>
              <w:spacing w:after="0"/>
              <w:rPr>
                <w:sz w:val="16"/>
                <w:szCs w:val="16"/>
                <w:color w:val="auto"/>
              </w:rPr>
            </w:pPr>
          </w:p>
        </w:tc>
        <w:tc>
          <w:tcPr>
            <w:tcW w:w="4960" w:type="dxa"/>
            <w:vAlign w:val="bottom"/>
            <w:tcBorders>
              <w:top w:val="single" w:sz="8" w:color="auto"/>
            </w:tcBorders>
          </w:tcPr>
          <w:p>
            <w:pPr>
              <w:jc w:val="right"/>
              <w:ind w:right="570"/>
              <w:spacing w:after="0" w:line="194" w:lineRule="exact"/>
              <w:rPr>
                <w:sz w:val="20"/>
                <w:szCs w:val="20"/>
                <w:color w:val="auto"/>
              </w:rPr>
            </w:pPr>
            <w:r>
              <w:rPr>
                <w:rFonts w:ascii="Arial" w:cs="Arial" w:eastAsia="Arial" w:hAnsi="Arial"/>
                <w:sz w:val="18"/>
                <w:szCs w:val="18"/>
                <w:b w:val="1"/>
                <w:bCs w:val="1"/>
                <w:color w:val="auto"/>
              </w:rPr>
              <w:t>March 31,</w:t>
            </w:r>
          </w:p>
        </w:tc>
        <w:tc>
          <w:tcPr>
            <w:tcW w:w="1680" w:type="dxa"/>
            <w:vAlign w:val="bottom"/>
            <w:tcBorders>
              <w:top w:val="single" w:sz="8" w:color="auto"/>
            </w:tcBorders>
          </w:tcPr>
          <w:p>
            <w:pPr>
              <w:jc w:val="right"/>
              <w:ind w:right="270"/>
              <w:spacing w:after="0" w:line="194" w:lineRule="exact"/>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6"/>
                <w:szCs w:val="16"/>
                <w:color w:val="auto"/>
              </w:rPr>
            </w:pPr>
          </w:p>
        </w:tc>
      </w:tr>
      <w:tr>
        <w:trPr>
          <w:trHeight w:val="225"/>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2015</w:t>
            </w:r>
          </w:p>
        </w:tc>
        <w:tc>
          <w:tcPr>
            <w:tcW w:w="16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r>
      <w:tr>
        <w:trPr>
          <w:trHeight w:val="173"/>
        </w:trPr>
        <w:tc>
          <w:tcPr>
            <w:tcW w:w="4780" w:type="dxa"/>
            <w:vAlign w:val="bottom"/>
          </w:tcPr>
          <w:p>
            <w:pPr>
              <w:spacing w:after="0" w:line="173" w:lineRule="exact"/>
              <w:rPr>
                <w:sz w:val="20"/>
                <w:szCs w:val="20"/>
                <w:color w:val="auto"/>
              </w:rPr>
            </w:pPr>
            <w:r>
              <w:rPr>
                <w:rFonts w:ascii="Arial" w:cs="Arial" w:eastAsia="Arial" w:hAnsi="Arial"/>
                <w:sz w:val="18"/>
                <w:szCs w:val="18"/>
                <w:color w:val="auto"/>
              </w:rPr>
              <w:t>Raw materials</w:t>
            </w:r>
          </w:p>
        </w:tc>
        <w:tc>
          <w:tcPr>
            <w:tcW w:w="4960" w:type="dxa"/>
            <w:vAlign w:val="bottom"/>
          </w:tcPr>
          <w:p>
            <w:pPr>
              <w:jc w:val="right"/>
              <w:ind w:right="50"/>
              <w:spacing w:after="0" w:line="173" w:lineRule="exact"/>
              <w:rPr>
                <w:sz w:val="20"/>
                <w:szCs w:val="20"/>
                <w:color w:val="auto"/>
              </w:rPr>
            </w:pPr>
            <w:r>
              <w:rPr>
                <w:rFonts w:ascii="Arial" w:cs="Arial" w:eastAsia="Arial" w:hAnsi="Arial"/>
                <w:sz w:val="18"/>
                <w:szCs w:val="18"/>
                <w:b w:val="1"/>
                <w:bCs w:val="1"/>
                <w:color w:val="auto"/>
              </w:rPr>
              <w:t>$24,612</w:t>
            </w:r>
          </w:p>
        </w:tc>
        <w:tc>
          <w:tcPr>
            <w:tcW w:w="1680" w:type="dxa"/>
            <w:vAlign w:val="bottom"/>
          </w:tcPr>
          <w:p>
            <w:pPr>
              <w:jc w:val="right"/>
              <w:spacing w:after="0" w:line="173" w:lineRule="exact"/>
              <w:rPr>
                <w:sz w:val="20"/>
                <w:szCs w:val="20"/>
                <w:color w:val="auto"/>
              </w:rPr>
            </w:pPr>
            <w:r>
              <w:rPr>
                <w:rFonts w:ascii="Arial" w:cs="Arial" w:eastAsia="Arial" w:hAnsi="Arial"/>
                <w:sz w:val="18"/>
                <w:szCs w:val="18"/>
                <w:color w:val="auto"/>
              </w:rPr>
              <w:t>$27,006</w:t>
            </w:r>
          </w:p>
        </w:tc>
        <w:tc>
          <w:tcPr>
            <w:tcW w:w="20" w:type="dxa"/>
            <w:vAlign w:val="bottom"/>
          </w:tcPr>
          <w:p>
            <w:pPr>
              <w:spacing w:after="0"/>
              <w:rPr>
                <w:sz w:val="15"/>
                <w:szCs w:val="15"/>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49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43,639</w:t>
            </w:r>
          </w:p>
        </w:tc>
        <w:tc>
          <w:tcPr>
            <w:tcW w:w="1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43,512</w:t>
            </w:r>
          </w:p>
        </w:tc>
      </w:tr>
      <w:tr>
        <w:trPr>
          <w:trHeight w:val="225"/>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Finished goods</w:t>
            </w:r>
          </w:p>
        </w:tc>
        <w:tc>
          <w:tcPr>
            <w:tcW w:w="4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36,569</w:t>
            </w:r>
          </w:p>
        </w:tc>
        <w:tc>
          <w:tcPr>
            <w:tcW w:w="1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36,756</w:t>
            </w:r>
          </w:p>
        </w:tc>
      </w:tr>
      <w:tr>
        <w:trPr>
          <w:trHeight w:val="196"/>
        </w:trPr>
        <w:tc>
          <w:tcPr>
            <w:tcW w:w="4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inventories</w:t>
            </w:r>
          </w:p>
        </w:tc>
        <w:tc>
          <w:tcPr>
            <w:tcW w:w="49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$104,820</w:t>
            </w:r>
          </w:p>
        </w:tc>
        <w:tc>
          <w:tcPr>
            <w:tcW w:w="170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$107,274</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Goodwill and Other Intangible Assets</w:t>
      </w:r>
    </w:p>
    <w:p>
      <w:pPr>
        <w:spacing w:after="0" w:line="180" w:lineRule="exact"/>
        <w:rPr>
          <w:sz w:val="20"/>
          <w:szCs w:val="20"/>
          <w:color w:val="auto"/>
        </w:rPr>
      </w:pPr>
    </w:p>
    <w:p>
      <w:pPr>
        <w:ind w:right="180" w:firstLine="360"/>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w:t>
      </w:r>
    </w:p>
    <w:p>
      <w:pPr>
        <w:spacing w:after="0" w:line="351" w:lineRule="exact"/>
        <w:rPr>
          <w:sz w:val="20"/>
          <w:szCs w:val="20"/>
          <w:color w:val="auto"/>
        </w:rPr>
      </w:pPr>
    </w:p>
    <w:p>
      <w:pPr>
        <w:ind w:right="320" w:firstLine="360"/>
        <w:spacing w:after="0"/>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5" w:name="page16"/>
    <w:bookmarkEnd w:id="15"/>
    <w:p>
      <w:pPr>
        <w:ind w:right="200"/>
        <w:spacing w:after="0" w:line="246" w:lineRule="auto"/>
        <w:rPr>
          <w:sz w:val="20"/>
          <w:szCs w:val="20"/>
          <w:color w:val="auto"/>
        </w:rPr>
      </w:pPr>
      <w:r>
        <w:rPr>
          <w:rFonts w:ascii="Arial" w:cs="Arial" w:eastAsia="Arial" w:hAnsi="Arial"/>
          <w:sz w:val="18"/>
          <w:szCs w:val="18"/>
          <w:color w:val="auto"/>
        </w:rPr>
        <w:t>events, such as significant changes in the business climate, plant closures, changes in product offerings, or other circumstances indicate that the carrying amount may not be recoverable.</w:t>
      </w:r>
    </w:p>
    <w:p>
      <w:pPr>
        <w:spacing w:after="0" w:line="143" w:lineRule="exact"/>
        <w:rPr>
          <w:sz w:val="20"/>
          <w:szCs w:val="20"/>
          <w:color w:val="auto"/>
        </w:rPr>
      </w:pPr>
    </w:p>
    <w:p>
      <w:pPr>
        <w:ind w:right="20" w:firstLine="360"/>
        <w:spacing w:after="0" w:line="238"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49" w:lineRule="exact"/>
        <w:rPr>
          <w:sz w:val="20"/>
          <w:szCs w:val="20"/>
          <w:color w:val="auto"/>
        </w:rPr>
      </w:pPr>
    </w:p>
    <w:p>
      <w:pPr>
        <w:ind w:right="360" w:firstLine="360"/>
        <w:spacing w:after="0" w:line="246" w:lineRule="auto"/>
        <w:rPr>
          <w:sz w:val="20"/>
          <w:szCs w:val="20"/>
          <w:color w:val="auto"/>
        </w:rPr>
      </w:pPr>
      <w:r>
        <w:rPr>
          <w:rFonts w:ascii="Arial" w:cs="Arial" w:eastAsia="Arial" w:hAnsi="Arial"/>
          <w:sz w:val="18"/>
          <w:szCs w:val="18"/>
          <w:color w:val="auto"/>
        </w:rPr>
        <w:t>The entire balance of goodwill on our books is attributable to the Machine Clothing business. There were no amounts at risk due to the large spread between the fair and carrying values.</w:t>
      </w:r>
    </w:p>
    <w:p>
      <w:pPr>
        <w:spacing w:after="0" w:line="143" w:lineRule="exact"/>
        <w:rPr>
          <w:sz w:val="20"/>
          <w:szCs w:val="20"/>
          <w:color w:val="auto"/>
        </w:rPr>
      </w:pPr>
    </w:p>
    <w:p>
      <w:pPr>
        <w:ind w:right="100" w:firstLine="360"/>
        <w:spacing w:after="0" w:line="246" w:lineRule="auto"/>
        <w:rPr>
          <w:sz w:val="20"/>
          <w:szCs w:val="20"/>
          <w:color w:val="auto"/>
        </w:rPr>
      </w:pPr>
      <w:r>
        <w:rPr>
          <w:rFonts w:ascii="Arial" w:cs="Arial" w:eastAsia="Arial" w:hAnsi="Arial"/>
          <w:sz w:val="18"/>
          <w:szCs w:val="18"/>
          <w:color w:val="auto"/>
        </w:rPr>
        <w:t>We are continuing to amortize certain patents, trade names, customer contracts and technology assets that have finite lives. The changes in intangible assets and goodwill from December 31, 2014 to March 31, 2015,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700" w:type="dxa"/>
            <w:vAlign w:val="bottom"/>
            <w:tcBorders>
              <w:top w:val="single" w:sz="8" w:color="auto"/>
            </w:tcBorders>
          </w:tcPr>
          <w:p>
            <w:pPr>
              <w:spacing w:after="0"/>
              <w:rPr>
                <w:sz w:val="16"/>
                <w:szCs w:val="16"/>
                <w:color w:val="auto"/>
              </w:rPr>
            </w:pPr>
          </w:p>
        </w:tc>
        <w:tc>
          <w:tcPr>
            <w:tcW w:w="2740" w:type="dxa"/>
            <w:vAlign w:val="bottom"/>
            <w:tcBorders>
              <w:top w:val="single" w:sz="8" w:color="auto"/>
            </w:tcBorders>
          </w:tcPr>
          <w:p>
            <w:pPr>
              <w:jc w:val="right"/>
              <w:ind w:right="370"/>
              <w:spacing w:after="0" w:line="194" w:lineRule="exact"/>
              <w:rPr>
                <w:sz w:val="20"/>
                <w:szCs w:val="20"/>
                <w:color w:val="auto"/>
              </w:rPr>
            </w:pPr>
            <w:r>
              <w:rPr>
                <w:rFonts w:ascii="Arial" w:cs="Arial" w:eastAsia="Arial" w:hAnsi="Arial"/>
                <w:sz w:val="18"/>
                <w:szCs w:val="18"/>
                <w:b w:val="1"/>
                <w:bCs w:val="1"/>
                <w:color w:val="auto"/>
              </w:rPr>
              <w:t>December 31,</w:t>
            </w:r>
          </w:p>
        </w:tc>
        <w:tc>
          <w:tcPr>
            <w:tcW w:w="174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right"/>
              <w:ind w:right="590"/>
              <w:spacing w:after="0" w:line="194" w:lineRule="exact"/>
              <w:rPr>
                <w:sz w:val="20"/>
                <w:szCs w:val="20"/>
                <w:color w:val="auto"/>
              </w:rPr>
            </w:pPr>
            <w:r>
              <w:rPr>
                <w:rFonts w:ascii="Arial" w:cs="Arial" w:eastAsia="Arial" w:hAnsi="Arial"/>
                <w:sz w:val="18"/>
                <w:szCs w:val="18"/>
                <w:b w:val="1"/>
                <w:bCs w:val="1"/>
                <w:color w:val="auto"/>
              </w:rPr>
              <w:t>Currency</w:t>
            </w:r>
          </w:p>
        </w:tc>
        <w:tc>
          <w:tcPr>
            <w:tcW w:w="1500" w:type="dxa"/>
            <w:vAlign w:val="bottom"/>
            <w:tcBorders>
              <w:top w:val="single" w:sz="8" w:color="auto"/>
            </w:tcBorders>
          </w:tcPr>
          <w:p>
            <w:pPr>
              <w:jc w:val="right"/>
              <w:ind w:right="370"/>
              <w:spacing w:after="0" w:line="194" w:lineRule="exact"/>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7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2014</w:t>
            </w:r>
          </w:p>
        </w:tc>
        <w:tc>
          <w:tcPr>
            <w:tcW w:w="17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Amortization</w:t>
            </w:r>
          </w:p>
        </w:tc>
        <w:tc>
          <w:tcPr>
            <w:tcW w:w="17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Translation</w:t>
            </w: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720" w:type="dxa"/>
            <w:vAlign w:val="bottom"/>
            <w:gridSpan w:val="2"/>
          </w:tcPr>
          <w:p>
            <w:pPr>
              <w:spacing w:after="0" w:line="195" w:lineRule="exact"/>
              <w:rPr>
                <w:sz w:val="20"/>
                <w:szCs w:val="20"/>
                <w:color w:val="auto"/>
              </w:rPr>
            </w:pPr>
            <w:r>
              <w:rPr>
                <w:rFonts w:ascii="Arial" w:cs="Arial" w:eastAsia="Arial" w:hAnsi="Arial"/>
                <w:sz w:val="18"/>
                <w:szCs w:val="18"/>
                <w:color w:val="auto"/>
              </w:rPr>
              <w:t>Amortized intangible assets:</w:t>
            </w:r>
          </w:p>
        </w:tc>
        <w:tc>
          <w:tcPr>
            <w:tcW w:w="27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5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00" w:type="dxa"/>
            <w:vAlign w:val="bottom"/>
          </w:tcPr>
          <w:p>
            <w:pPr>
              <w:ind w:left="120"/>
              <w:spacing w:after="0" w:line="181" w:lineRule="exact"/>
              <w:rPr>
                <w:sz w:val="20"/>
                <w:szCs w:val="20"/>
                <w:color w:val="auto"/>
              </w:rPr>
            </w:pPr>
            <w:r>
              <w:rPr>
                <w:rFonts w:ascii="Arial" w:cs="Arial" w:eastAsia="Arial" w:hAnsi="Arial"/>
                <w:sz w:val="18"/>
                <w:szCs w:val="18"/>
                <w:color w:val="auto"/>
              </w:rPr>
              <w:t>AEC trade names</w:t>
            </w:r>
          </w:p>
        </w:tc>
        <w:tc>
          <w:tcPr>
            <w:tcW w:w="2740" w:type="dxa"/>
            <w:vAlign w:val="bottom"/>
          </w:tcPr>
          <w:p>
            <w:pPr>
              <w:jc w:val="right"/>
              <w:ind w:right="70"/>
              <w:spacing w:after="0" w:line="181" w:lineRule="exact"/>
              <w:rPr>
                <w:sz w:val="20"/>
                <w:szCs w:val="20"/>
                <w:color w:val="auto"/>
              </w:rPr>
            </w:pPr>
            <w:r>
              <w:rPr>
                <w:rFonts w:ascii="Arial" w:cs="Arial" w:eastAsia="Arial" w:hAnsi="Arial"/>
                <w:sz w:val="18"/>
                <w:szCs w:val="18"/>
                <w:color w:val="auto"/>
              </w:rPr>
              <w:t>$29</w:t>
            </w:r>
          </w:p>
        </w:tc>
        <w:tc>
          <w:tcPr>
            <w:tcW w:w="1740" w:type="dxa"/>
            <w:vAlign w:val="bottom"/>
          </w:tcPr>
          <w:p>
            <w:pPr>
              <w:jc w:val="right"/>
              <w:ind w:right="90"/>
              <w:spacing w:after="0" w:line="181" w:lineRule="exact"/>
              <w:rPr>
                <w:sz w:val="20"/>
                <w:szCs w:val="20"/>
                <w:color w:val="auto"/>
              </w:rPr>
            </w:pPr>
            <w:r>
              <w:rPr>
                <w:rFonts w:ascii="Arial" w:cs="Arial" w:eastAsia="Arial" w:hAnsi="Arial"/>
                <w:sz w:val="18"/>
                <w:szCs w:val="18"/>
                <w:color w:val="auto"/>
              </w:rPr>
              <w:t>($1)</w:t>
            </w:r>
          </w:p>
        </w:tc>
        <w:tc>
          <w:tcPr>
            <w:tcW w:w="172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w:t>
            </w: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ind w:left="120"/>
              <w:spacing w:after="0" w:line="202" w:lineRule="exact"/>
              <w:rPr>
                <w:sz w:val="20"/>
                <w:szCs w:val="20"/>
                <w:color w:val="auto"/>
              </w:rPr>
            </w:pPr>
            <w:r>
              <w:rPr>
                <w:rFonts w:ascii="Arial" w:cs="Arial" w:eastAsia="Arial" w:hAnsi="Arial"/>
                <w:sz w:val="18"/>
                <w:szCs w:val="18"/>
                <w:color w:val="auto"/>
              </w:rPr>
              <w:t>AEC customer contracts</w:t>
            </w:r>
          </w:p>
        </w:tc>
        <w:tc>
          <w:tcPr>
            <w:tcW w:w="27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202</w:t>
            </w:r>
          </w:p>
        </w:tc>
        <w:tc>
          <w:tcPr>
            <w:tcW w:w="17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(50)</w:t>
            </w:r>
          </w:p>
        </w:tc>
        <w:tc>
          <w:tcPr>
            <w:tcW w:w="17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152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AEC technology</w:t>
            </w:r>
          </w:p>
        </w:tc>
        <w:tc>
          <w:tcPr>
            <w:tcW w:w="2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154</w:t>
            </w:r>
          </w:p>
        </w:tc>
        <w:tc>
          <w:tcPr>
            <w:tcW w:w="1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w:t>
            </w: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148</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27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$385</w:t>
            </w:r>
          </w:p>
        </w:tc>
        <w:tc>
          <w:tcPr>
            <w:tcW w:w="17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($57)</w:t>
            </w:r>
          </w:p>
        </w:tc>
        <w:tc>
          <w:tcPr>
            <w:tcW w:w="17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372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2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$65,724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Borders>
              <w:bottom w:val="single" w:sz="8" w:color="auto"/>
            </w:tcBorders>
          </w:tcPr>
          <w:p>
            <w:pPr>
              <w:ind w:left="140"/>
              <w:spacing w:after="0" w:line="203" w:lineRule="exact"/>
              <w:rPr>
                <w:sz w:val="20"/>
                <w:szCs w:val="20"/>
                <w:color w:val="auto"/>
              </w:rPr>
            </w:pPr>
            <w:r>
              <w:rPr>
                <w:rFonts w:ascii="Arial" w:cs="Arial" w:eastAsia="Arial" w:hAnsi="Arial"/>
                <w:sz w:val="18"/>
                <w:szCs w:val="18"/>
                <w:color w:val="auto"/>
              </w:rPr>
              <w:t>Goodwill</w:t>
            </w:r>
          </w:p>
        </w:tc>
        <w:tc>
          <w:tcPr>
            <w:tcW w:w="274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$71,680</w:t>
            </w:r>
          </w:p>
        </w:tc>
        <w:tc>
          <w:tcPr>
            <w:tcW w:w="174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($5,956)</w:t>
            </w:r>
          </w:p>
        </w:tc>
        <w:tc>
          <w:tcPr>
            <w:tcW w:w="15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amortization expense of intangibles for the years ending December 31, 2015 through 2019,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2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Annual amortization</w:t>
            </w:r>
          </w:p>
        </w:tc>
      </w:tr>
      <w:tr>
        <w:trPr>
          <w:trHeight w:val="225"/>
        </w:trPr>
        <w:tc>
          <w:tcPr>
            <w:tcW w:w="272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Year</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thousands)</w:t>
            </w:r>
          </w:p>
        </w:tc>
      </w:tr>
      <w:tr>
        <w:trPr>
          <w:trHeight w:val="195"/>
        </w:trPr>
        <w:tc>
          <w:tcPr>
            <w:tcW w:w="2720" w:type="dxa"/>
            <w:vAlign w:val="bottom"/>
          </w:tcPr>
          <w:p>
            <w:pPr>
              <w:ind w:left="1060"/>
              <w:spacing w:after="0" w:line="195" w:lineRule="exact"/>
              <w:rPr>
                <w:sz w:val="20"/>
                <w:szCs w:val="20"/>
                <w:color w:val="auto"/>
              </w:rPr>
            </w:pPr>
            <w:r>
              <w:rPr>
                <w:rFonts w:ascii="Arial" w:cs="Arial" w:eastAsia="Arial" w:hAnsi="Arial"/>
                <w:sz w:val="18"/>
                <w:szCs w:val="18"/>
                <w:color w:val="auto"/>
              </w:rPr>
              <w:t>2015</w:t>
            </w:r>
          </w:p>
        </w:tc>
        <w:tc>
          <w:tcPr>
            <w:tcW w:w="2980" w:type="dxa"/>
            <w:vAlign w:val="bottom"/>
          </w:tcPr>
          <w:p>
            <w:pPr>
              <w:jc w:val="right"/>
              <w:spacing w:after="0" w:line="195" w:lineRule="exact"/>
              <w:rPr>
                <w:sz w:val="20"/>
                <w:szCs w:val="20"/>
                <w:color w:val="auto"/>
              </w:rPr>
            </w:pPr>
            <w:r>
              <w:rPr>
                <w:rFonts w:ascii="Arial" w:cs="Arial" w:eastAsia="Arial" w:hAnsi="Arial"/>
                <w:sz w:val="18"/>
                <w:szCs w:val="18"/>
                <w:color w:val="auto"/>
              </w:rPr>
              <w:t>$231</w:t>
            </w:r>
          </w:p>
        </w:tc>
      </w:tr>
      <w:tr>
        <w:trPr>
          <w:trHeight w:val="203"/>
        </w:trPr>
        <w:tc>
          <w:tcPr>
            <w:tcW w:w="2720" w:type="dxa"/>
            <w:vAlign w:val="bottom"/>
          </w:tcPr>
          <w:p>
            <w:pPr>
              <w:ind w:left="1060"/>
              <w:spacing w:after="0" w:line="202" w:lineRule="exact"/>
              <w:rPr>
                <w:sz w:val="20"/>
                <w:szCs w:val="20"/>
                <w:color w:val="auto"/>
              </w:rPr>
            </w:pPr>
            <w:r>
              <w:rPr>
                <w:rFonts w:ascii="Arial" w:cs="Arial" w:eastAsia="Arial" w:hAnsi="Arial"/>
                <w:sz w:val="18"/>
                <w:szCs w:val="18"/>
                <w:color w:val="auto"/>
              </w:rPr>
              <w:t>2016</w:t>
            </w:r>
          </w:p>
        </w:tc>
        <w:tc>
          <w:tcPr>
            <w:tcW w:w="298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2720" w:type="dxa"/>
            <w:vAlign w:val="bottom"/>
          </w:tcPr>
          <w:p>
            <w:pPr>
              <w:ind w:left="1060"/>
              <w:spacing w:after="0" w:line="202" w:lineRule="exact"/>
              <w:rPr>
                <w:sz w:val="20"/>
                <w:szCs w:val="20"/>
                <w:color w:val="auto"/>
              </w:rPr>
            </w:pPr>
            <w:r>
              <w:rPr>
                <w:rFonts w:ascii="Arial" w:cs="Arial" w:eastAsia="Arial" w:hAnsi="Arial"/>
                <w:sz w:val="18"/>
                <w:szCs w:val="18"/>
                <w:color w:val="auto"/>
              </w:rPr>
              <w:t>2017</w:t>
            </w:r>
          </w:p>
        </w:tc>
        <w:tc>
          <w:tcPr>
            <w:tcW w:w="298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2720" w:type="dxa"/>
            <w:vAlign w:val="bottom"/>
          </w:tcPr>
          <w:p>
            <w:pPr>
              <w:ind w:left="1060"/>
              <w:spacing w:after="0" w:line="202" w:lineRule="exact"/>
              <w:rPr>
                <w:sz w:val="20"/>
                <w:szCs w:val="20"/>
                <w:color w:val="auto"/>
              </w:rPr>
            </w:pPr>
            <w:r>
              <w:rPr>
                <w:rFonts w:ascii="Arial" w:cs="Arial" w:eastAsia="Arial" w:hAnsi="Arial"/>
                <w:sz w:val="18"/>
                <w:szCs w:val="18"/>
                <w:color w:val="auto"/>
              </w:rPr>
              <w:t>2018</w:t>
            </w:r>
          </w:p>
        </w:tc>
        <w:tc>
          <w:tcPr>
            <w:tcW w:w="298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2720" w:type="dxa"/>
            <w:vAlign w:val="bottom"/>
            <w:tcBorders>
              <w:bottom w:val="single" w:sz="8" w:color="auto"/>
            </w:tcBorders>
          </w:tcPr>
          <w:p>
            <w:pPr>
              <w:ind w:left="1060"/>
              <w:spacing w:after="0" w:line="203" w:lineRule="exact"/>
              <w:rPr>
                <w:sz w:val="20"/>
                <w:szCs w:val="20"/>
                <w:color w:val="auto"/>
              </w:rPr>
            </w:pPr>
            <w:r>
              <w:rPr>
                <w:rFonts w:ascii="Arial" w:cs="Arial" w:eastAsia="Arial" w:hAnsi="Arial"/>
                <w:sz w:val="18"/>
                <w:szCs w:val="18"/>
                <w:color w:val="auto"/>
              </w:rPr>
              <w:t>2019</w:t>
            </w:r>
          </w:p>
        </w:tc>
        <w:tc>
          <w:tcPr>
            <w:tcW w:w="2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Financial Instruments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Long-term debt, principally to banks and bondholders, consists of:</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6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interest rates)</w:t>
            </w:r>
          </w:p>
        </w:tc>
        <w:tc>
          <w:tcPr>
            <w:tcW w:w="238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March 31, 2015</w:t>
            </w:r>
          </w:p>
        </w:tc>
        <w:tc>
          <w:tcPr>
            <w:tcW w:w="22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December 31, 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6840" w:type="dxa"/>
            <w:vAlign w:val="bottom"/>
          </w:tcPr>
          <w:p>
            <w:pPr>
              <w:spacing w:after="0"/>
              <w:rPr>
                <w:sz w:val="20"/>
                <w:szCs w:val="20"/>
                <w:color w:val="auto"/>
              </w:rPr>
            </w:pPr>
            <w:r>
              <w:rPr>
                <w:rFonts w:ascii="Arial" w:cs="Arial" w:eastAsia="Arial" w:hAnsi="Arial"/>
                <w:sz w:val="18"/>
                <w:szCs w:val="18"/>
                <w:color w:val="auto"/>
              </w:rPr>
              <w:t>Private placement with a fixed interest rate of 6.84%, due 2015 and 2017</w:t>
            </w:r>
          </w:p>
        </w:tc>
        <w:tc>
          <w:tcPr>
            <w:tcW w:w="2380" w:type="dxa"/>
            <w:vAlign w:val="bottom"/>
          </w:tcPr>
          <w:p>
            <w:pPr>
              <w:jc w:val="right"/>
              <w:ind w:right="150"/>
              <w:spacing w:after="0"/>
              <w:rPr>
                <w:sz w:val="20"/>
                <w:szCs w:val="20"/>
                <w:color w:val="auto"/>
              </w:rPr>
            </w:pPr>
            <w:r>
              <w:rPr>
                <w:rFonts w:ascii="Arial" w:cs="Arial" w:eastAsia="Arial" w:hAnsi="Arial"/>
                <w:sz w:val="18"/>
                <w:szCs w:val="18"/>
                <w:b w:val="1"/>
                <w:bCs w:val="1"/>
                <w:color w:val="auto"/>
              </w:rPr>
              <w:t>$100,000</w:t>
            </w:r>
          </w:p>
        </w:tc>
        <w:tc>
          <w:tcPr>
            <w:tcW w:w="2200" w:type="dxa"/>
            <w:vAlign w:val="bottom"/>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840" w:type="dxa"/>
            <w:vAlign w:val="bottom"/>
          </w:tcPr>
          <w:p>
            <w:pPr>
              <w:spacing w:after="0"/>
              <w:rPr>
                <w:sz w:val="20"/>
                <w:szCs w:val="20"/>
                <w:color w:val="auto"/>
              </w:rPr>
            </w:pPr>
            <w:r>
              <w:rPr>
                <w:rFonts w:ascii="Arial" w:cs="Arial" w:eastAsia="Arial" w:hAnsi="Arial"/>
                <w:sz w:val="18"/>
                <w:szCs w:val="18"/>
                <w:color w:val="auto"/>
              </w:rPr>
              <w:t>Credit agreement with borrowings outstanding at an end of period interest rate of</w:t>
            </w:r>
          </w:p>
        </w:tc>
        <w:tc>
          <w:tcPr>
            <w:tcW w:w="2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2.63% in 2015 and 2.69% in 2014 (including the effect of interest rate hedging</w:t>
            </w:r>
          </w:p>
        </w:tc>
        <w:tc>
          <w:tcPr>
            <w:tcW w:w="23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182,000</w:t>
            </w:r>
          </w:p>
        </w:tc>
        <w:tc>
          <w:tcPr>
            <w:tcW w:w="2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840" w:type="dxa"/>
            <w:vAlign w:val="bottom"/>
          </w:tcPr>
          <w:p>
            <w:pPr>
              <w:spacing w:after="0"/>
              <w:rPr>
                <w:sz w:val="20"/>
                <w:szCs w:val="20"/>
                <w:color w:val="auto"/>
              </w:rPr>
            </w:pPr>
            <w:r>
              <w:rPr>
                <w:rFonts w:ascii="Arial" w:cs="Arial" w:eastAsia="Arial" w:hAnsi="Arial"/>
                <w:sz w:val="18"/>
                <w:szCs w:val="18"/>
                <w:color w:val="auto"/>
              </w:rPr>
              <w:t>transactions, as described below), due in 2018</w:t>
            </w:r>
          </w:p>
        </w:tc>
        <w:tc>
          <w:tcPr>
            <w:tcW w:w="2380" w:type="dxa"/>
            <w:vAlign w:val="bottom"/>
            <w:vMerge w:val="continue"/>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172,000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6840" w:type="dxa"/>
            <w:vAlign w:val="bottom"/>
          </w:tcPr>
          <w:p>
            <w:pPr>
              <w:spacing w:after="0"/>
              <w:rPr>
                <w:sz w:val="20"/>
                <w:szCs w:val="20"/>
                <w:color w:val="auto"/>
              </w:rPr>
            </w:pPr>
            <w:r>
              <w:rPr>
                <w:rFonts w:ascii="Arial" w:cs="Arial" w:eastAsia="Arial" w:hAnsi="Arial"/>
                <w:sz w:val="18"/>
                <w:szCs w:val="18"/>
                <w:color w:val="auto"/>
              </w:rPr>
              <w:t>Various notes and mortgages relative to operations principally outside the United</w:t>
            </w:r>
          </w:p>
        </w:tc>
        <w:tc>
          <w:tcPr>
            <w:tcW w:w="2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States, at an average end of period rate of 5.5% in 2015 and 2014, due in varying</w:t>
            </w:r>
          </w:p>
        </w:tc>
        <w:tc>
          <w:tcPr>
            <w:tcW w:w="23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107</w:t>
            </w:r>
          </w:p>
        </w:tc>
        <w:tc>
          <w:tcPr>
            <w:tcW w:w="2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amounts through 2021</w:t>
            </w:r>
          </w:p>
        </w:tc>
        <w:tc>
          <w:tcPr>
            <w:tcW w:w="2380" w:type="dxa"/>
            <w:vAlign w:val="bottom"/>
            <w:tcBorders>
              <w:bottom w:val="single" w:sz="8" w:color="auto"/>
            </w:tcBorders>
            <w:vMerge w:val="continue"/>
          </w:tcPr>
          <w:p>
            <w:pPr>
              <w:spacing w:after="0"/>
              <w:rPr>
                <w:sz w:val="17"/>
                <w:szCs w:val="17"/>
                <w:color w:val="auto"/>
              </w:rPr>
            </w:pPr>
          </w:p>
        </w:tc>
        <w:tc>
          <w:tcPr>
            <w:tcW w:w="2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40" w:type="dxa"/>
            <w:vAlign w:val="bottom"/>
          </w:tcPr>
          <w:p>
            <w:pPr>
              <w:spacing w:after="0"/>
              <w:rPr>
                <w:sz w:val="20"/>
                <w:szCs w:val="20"/>
                <w:color w:val="auto"/>
              </w:rPr>
            </w:pPr>
            <w:r>
              <w:rPr>
                <w:rFonts w:ascii="Arial" w:cs="Arial" w:eastAsia="Arial" w:hAnsi="Arial"/>
                <w:sz w:val="18"/>
                <w:szCs w:val="18"/>
                <w:color w:val="auto"/>
              </w:rPr>
              <w:t>Long-term debt</w:t>
            </w:r>
          </w:p>
        </w:tc>
        <w:tc>
          <w:tcPr>
            <w:tcW w:w="2380" w:type="dxa"/>
            <w:vAlign w:val="bottom"/>
          </w:tcPr>
          <w:p>
            <w:pPr>
              <w:jc w:val="right"/>
              <w:ind w:right="150"/>
              <w:spacing w:after="0"/>
              <w:rPr>
                <w:sz w:val="20"/>
                <w:szCs w:val="20"/>
                <w:color w:val="auto"/>
              </w:rPr>
            </w:pPr>
            <w:r>
              <w:rPr>
                <w:rFonts w:ascii="Arial" w:cs="Arial" w:eastAsia="Arial" w:hAnsi="Arial"/>
                <w:sz w:val="18"/>
                <w:szCs w:val="18"/>
                <w:b w:val="1"/>
                <w:bCs w:val="1"/>
                <w:color w:val="auto"/>
              </w:rPr>
              <w:t>282,107</w:t>
            </w:r>
          </w:p>
        </w:tc>
        <w:tc>
          <w:tcPr>
            <w:tcW w:w="2200" w:type="dxa"/>
            <w:vAlign w:val="bottom"/>
          </w:tcPr>
          <w:p>
            <w:pPr>
              <w:jc w:val="right"/>
              <w:spacing w:after="0"/>
              <w:rPr>
                <w:sz w:val="20"/>
                <w:szCs w:val="20"/>
                <w:color w:val="auto"/>
              </w:rPr>
            </w:pPr>
            <w:r>
              <w:rPr>
                <w:rFonts w:ascii="Arial" w:cs="Arial" w:eastAsia="Arial" w:hAnsi="Arial"/>
                <w:sz w:val="18"/>
                <w:szCs w:val="18"/>
                <w:color w:val="auto"/>
              </w:rPr>
              <w:t>272,111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40" w:type="dxa"/>
            <w:vAlign w:val="bottom"/>
          </w:tcPr>
          <w:p>
            <w:pPr>
              <w:spacing w:after="0"/>
              <w:rPr>
                <w:sz w:val="20"/>
                <w:szCs w:val="20"/>
                <w:color w:val="auto"/>
              </w:rPr>
            </w:pPr>
            <w:r>
              <w:rPr>
                <w:rFonts w:ascii="Arial" w:cs="Arial" w:eastAsia="Arial" w:hAnsi="Arial"/>
                <w:sz w:val="18"/>
                <w:szCs w:val="18"/>
                <w:color w:val="auto"/>
              </w:rPr>
              <w:t>Less: current portion</w:t>
            </w:r>
          </w:p>
        </w:tc>
        <w:tc>
          <w:tcPr>
            <w:tcW w:w="2380" w:type="dxa"/>
            <w:vAlign w:val="bottom"/>
          </w:tcPr>
          <w:p>
            <w:pPr>
              <w:jc w:val="right"/>
              <w:ind w:right="110"/>
              <w:spacing w:after="0"/>
              <w:rPr>
                <w:sz w:val="20"/>
                <w:szCs w:val="20"/>
                <w:color w:val="auto"/>
              </w:rPr>
            </w:pPr>
            <w:r>
              <w:rPr>
                <w:rFonts w:ascii="Arial" w:cs="Arial" w:eastAsia="Arial" w:hAnsi="Arial"/>
                <w:sz w:val="18"/>
                <w:szCs w:val="18"/>
                <w:b w:val="1"/>
                <w:bCs w:val="1"/>
                <w:color w:val="auto"/>
              </w:rPr>
              <w:t>(50,015)</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(50,015)</w:t>
            </w:r>
          </w:p>
        </w:tc>
        <w:tc>
          <w:tcPr>
            <w:tcW w:w="0" w:type="dxa"/>
            <w:vAlign w:val="bottom"/>
          </w:tcPr>
          <w:p>
            <w:pPr>
              <w:spacing w:after="0"/>
              <w:rPr>
                <w:sz w:val="1"/>
                <w:szCs w:val="1"/>
                <w:color w:val="auto"/>
              </w:rPr>
            </w:pPr>
          </w:p>
        </w:tc>
      </w:tr>
      <w:tr>
        <w:trPr>
          <w:trHeight w:val="399"/>
        </w:trPr>
        <w:tc>
          <w:tcPr>
            <w:tcW w:w="6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Long-term debt, net of current portion</w:t>
            </w:r>
          </w:p>
        </w:tc>
        <w:tc>
          <w:tcPr>
            <w:tcW w:w="23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$232,092</w:t>
            </w:r>
          </w:p>
        </w:tc>
        <w:tc>
          <w:tcPr>
            <w:tcW w:w="2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380"/>
        <w:spacing w:after="0" w:line="234" w:lineRule="auto"/>
        <w:rPr>
          <w:sz w:val="20"/>
          <w:szCs w:val="20"/>
          <w:color w:val="auto"/>
        </w:rPr>
      </w:pPr>
      <w:r>
        <w:rPr>
          <w:rFonts w:ascii="Arial" w:cs="Arial" w:eastAsia="Arial" w:hAnsi="Arial"/>
          <w:sz w:val="18"/>
          <w:szCs w:val="18"/>
          <w:color w:val="auto"/>
        </w:rPr>
        <w:t>A note agreement and guaranty (“Prudential Agreement”) was entered into in October 2005, and was amended and restated as of September 17, 2010 and March 26, 2013, with the Prudential Insurance Company of America, and certain other purchasers with interest at</w:t>
      </w:r>
    </w:p>
    <w:p>
      <w:pPr>
        <w:spacing w:after="0" w:line="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6.84% and a maturity date of October 25, 2017. The remaining obligation under the Prudential Agreement has a mandatory payment of $50 million due on October 25, 2015, and the final payment is due October 25, 2017. At the noteholders’ election, certain prepayments may also be required in connection with certain asset dispositions or financings. The notes may not otherwise be prepaid without a premium, under certain market conditions. The Prudential Agreement contains customary terms, as well as affirmative covenants, negative covenants, and events of default comparable to those in our current principal credit facility (as described below). For disclosure purposes, we are required to measure the fair value of outstanding debt on a recurring basis. As of March 31, 2015, the fair value of this debt was approximately $109.6 million, and was measured using active market interest rates, which would be considered Level 2 for fair value measurement purposes.</w:t>
      </w:r>
    </w:p>
    <w:p>
      <w:pPr>
        <w:spacing w:after="0" w:line="352" w:lineRule="exact"/>
        <w:rPr>
          <w:sz w:val="20"/>
          <w:szCs w:val="20"/>
          <w:color w:val="auto"/>
        </w:rPr>
      </w:pPr>
    </w:p>
    <w:p>
      <w:pPr>
        <w:ind w:right="100" w:firstLine="360"/>
        <w:spacing w:after="0" w:line="238" w:lineRule="auto"/>
        <w:rPr>
          <w:sz w:val="20"/>
          <w:szCs w:val="20"/>
          <w:color w:val="auto"/>
        </w:rPr>
      </w:pPr>
      <w:r>
        <w:rPr>
          <w:rFonts w:ascii="Arial" w:cs="Arial" w:eastAsia="Arial" w:hAnsi="Arial"/>
          <w:sz w:val="18"/>
          <w:szCs w:val="18"/>
          <w:color w:val="auto"/>
        </w:rPr>
        <w:t>On March 26, 2013, we entered into a $330 million, unsecured Five-Year Revolving Credit Facility Agreement (“Credit Agreement”), under which $182 million of borrowings were outstanding as of March 31, 2015. The Credit Agreement replaces the previous $390 million five-year Credit Agreement made in 2010. The applicable interest rate for borrowings under the Credit Agreement, as well as under the former agreement, is LIBOR plus a spread, based on our leverage ratio at the time of borrowing. At the time of the last borrowing on March 23, 2015, the spread was 1.375%. The spread is based on a pricing grid, which ranges from 1.25% to 1.875%, based on our leverage ratio.</w:t>
      </w:r>
    </w:p>
    <w:p>
      <w:pPr>
        <w:spacing w:after="0" w:line="149" w:lineRule="exact"/>
        <w:rPr>
          <w:sz w:val="20"/>
          <w:szCs w:val="20"/>
          <w:color w:val="auto"/>
        </w:rPr>
      </w:pPr>
    </w:p>
    <w:p>
      <w:pPr>
        <w:ind w:right="160" w:firstLine="360"/>
        <w:spacing w:after="0" w:line="239"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Based on our maximum leverage ratio and our consolidated EBITDA (as defined in the Credit Agreement), and without modification to any other credit agreements, as of March 31, 2015, we would have been able to borrow an additional $148 million under the Credit Agreement.</w:t>
      </w:r>
    </w:p>
    <w:p>
      <w:pPr>
        <w:spacing w:after="0" w:line="148" w:lineRule="exact"/>
        <w:rPr>
          <w:sz w:val="20"/>
          <w:szCs w:val="20"/>
          <w:color w:val="auto"/>
        </w:rPr>
      </w:pPr>
    </w:p>
    <w:p>
      <w:pPr>
        <w:ind w:right="60" w:firstLine="360"/>
        <w:spacing w:after="0" w:line="246" w:lineRule="auto"/>
        <w:rPr>
          <w:sz w:val="20"/>
          <w:szCs w:val="20"/>
          <w:color w:val="auto"/>
        </w:rPr>
      </w:pPr>
      <w:r>
        <w:rPr>
          <w:rFonts w:ascii="Arial" w:cs="Arial" w:eastAsia="Arial" w:hAnsi="Arial"/>
          <w:sz w:val="18"/>
          <w:szCs w:val="18"/>
          <w:color w:val="auto"/>
        </w:rPr>
        <w:t>On July 16, 2010, we entered into interest rate hedging transactions that have the effect of fixing the LIBOR portion of the effective interest rate (before addition of the spread) on $105 million of</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17" w:name="page18"/>
    <w:bookmarkEnd w:id="17"/>
    <w:p>
      <w:pPr>
        <w:spacing w:after="0" w:line="239" w:lineRule="auto"/>
        <w:rPr>
          <w:sz w:val="20"/>
          <w:szCs w:val="20"/>
          <w:color w:val="auto"/>
        </w:rPr>
      </w:pPr>
      <w:r>
        <w:rPr>
          <w:rFonts w:ascii="Arial" w:cs="Arial" w:eastAsia="Arial" w:hAnsi="Arial"/>
          <w:sz w:val="18"/>
          <w:szCs w:val="18"/>
          <w:color w:val="auto"/>
        </w:rPr>
        <w:t>the indebtedness drawn under the Credit Agreement at the rate of 2.04% until July 16, 2015. Under the terms of these transactions, we pay the fixed rate of 2.04% and the counterparties pay a floating rate based on the three-month LIBOR rate at each quarterly calculation date, which on January 16, 2015 was 0.26%. The net effect is to fix the effective interest rate on $ 105 million of indebtedness at 2.04%, plus the applicable spread, until these swap agreements expire. On March 31, 2015, the all-in rate on the $105 million of debt was 3.415%.</w:t>
      </w:r>
    </w:p>
    <w:p>
      <w:pPr>
        <w:spacing w:after="0" w:line="148" w:lineRule="exact"/>
        <w:rPr>
          <w:sz w:val="20"/>
          <w:szCs w:val="20"/>
          <w:color w:val="auto"/>
        </w:rPr>
      </w:pPr>
    </w:p>
    <w:p>
      <w:pPr>
        <w:ind w:right="60" w:firstLine="360"/>
        <w:spacing w:after="0" w:line="237" w:lineRule="auto"/>
        <w:rPr>
          <w:sz w:val="20"/>
          <w:szCs w:val="20"/>
          <w:color w:val="auto"/>
        </w:rPr>
      </w:pPr>
      <w:r>
        <w:rPr>
          <w:rFonts w:ascii="Arial" w:cs="Arial" w:eastAsia="Arial" w:hAnsi="Arial"/>
          <w:sz w:val="18"/>
          <w:szCs w:val="18"/>
          <w:color w:val="auto"/>
        </w:rPr>
        <w:t>On May 20, 2013, we entered into interest rate hedging transactions for the period July 16, 2015 through March 16, 2018. These transactions have the effect of fixing the LIBOR portion of the effective interest rate (before addition of the spread) on $110 million of indebtedness drawn under the Credit Agreement at the rate of 1.414% during this period. Under the terms of these transactions, we pay the fixed rate of 1.414% and the counterparties pay a floating rate based on the one-month LIBOR rate at each monthly calculation date, which on March 31, 2015 was 0.17625%. The net effect is to fix the effective interest rate on $110 million of indebtedness at 1.414%, plus the applicable spread, during the swap period.</w:t>
      </w:r>
    </w:p>
    <w:p>
      <w:pPr>
        <w:spacing w:after="0" w:line="151" w:lineRule="exact"/>
        <w:rPr>
          <w:sz w:val="20"/>
          <w:szCs w:val="20"/>
          <w:color w:val="auto"/>
        </w:rPr>
      </w:pPr>
    </w:p>
    <w:p>
      <w:pPr>
        <w:ind w:right="100" w:firstLine="360"/>
        <w:spacing w:after="0" w:line="246"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14 of the Notes to Consolidated Financial Statements. No cash collateral was received or pledged in relation to the swap agreements.</w:t>
      </w:r>
    </w:p>
    <w:p>
      <w:pPr>
        <w:spacing w:after="0" w:line="143" w:lineRule="exact"/>
        <w:rPr>
          <w:sz w:val="20"/>
          <w:szCs w:val="20"/>
          <w:color w:val="auto"/>
        </w:rPr>
      </w:pPr>
    </w:p>
    <w:p>
      <w:pPr>
        <w:ind w:right="900" w:firstLine="360"/>
        <w:spacing w:after="0" w:line="246" w:lineRule="auto"/>
        <w:rPr>
          <w:sz w:val="20"/>
          <w:szCs w:val="20"/>
          <w:color w:val="auto"/>
        </w:rPr>
      </w:pPr>
      <w:r>
        <w:rPr>
          <w:rFonts w:ascii="Arial" w:cs="Arial" w:eastAsia="Arial" w:hAnsi="Arial"/>
          <w:sz w:val="18"/>
          <w:szCs w:val="18"/>
          <w:color w:val="auto"/>
        </w:rPr>
        <w:t>Under the Credit Agreement and Prudential Agreement, we are currently required to maintain a leverage ratio (as defined in the agreements) of not greater than 3.50 to 1.00 and minimum interest coverage (as defined) of 3.00 to 1.00.</w:t>
      </w:r>
    </w:p>
    <w:p>
      <w:pPr>
        <w:spacing w:after="0" w:line="143" w:lineRule="exact"/>
        <w:rPr>
          <w:sz w:val="20"/>
          <w:szCs w:val="20"/>
          <w:color w:val="auto"/>
        </w:rPr>
      </w:pPr>
    </w:p>
    <w:p>
      <w:pPr>
        <w:jc w:val="both"/>
        <w:ind w:right="620" w:firstLine="360"/>
        <w:spacing w:after="0"/>
        <w:rPr>
          <w:sz w:val="20"/>
          <w:szCs w:val="20"/>
          <w:color w:val="auto"/>
        </w:rPr>
      </w:pPr>
      <w:r>
        <w:rPr>
          <w:rFonts w:ascii="Arial" w:cs="Arial" w:eastAsia="Arial" w:hAnsi="Arial"/>
          <w:sz w:val="18"/>
          <w:szCs w:val="18"/>
          <w:color w:val="auto"/>
        </w:rPr>
        <w:t>As of March 31, 2015, our leverage ratio was 1.28 to 1.00 and our interest coverage ratio was 13.94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149" w:lineRule="exact"/>
        <w:rPr>
          <w:sz w:val="20"/>
          <w:szCs w:val="20"/>
          <w:color w:val="auto"/>
        </w:rPr>
      </w:pPr>
    </w:p>
    <w:p>
      <w:pPr>
        <w:ind w:right="340" w:firstLine="360"/>
        <w:spacing w:after="0" w:line="246" w:lineRule="auto"/>
        <w:rPr>
          <w:sz w:val="20"/>
          <w:szCs w:val="20"/>
          <w:color w:val="auto"/>
        </w:rPr>
      </w:pPr>
      <w:r>
        <w:rPr>
          <w:rFonts w:ascii="Arial" w:cs="Arial" w:eastAsia="Arial" w:hAnsi="Arial"/>
          <w:sz w:val="18"/>
          <w:szCs w:val="18"/>
          <w:color w:val="auto"/>
        </w:rPr>
        <w:t>Indebtedness under each of the Prudential Agreement and the Credit Agreement is ranked equally in right of payment to all unsecured senior debt.</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in compliance with all debt covenants as of March 31, 2015.</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Fair-Value Measurements</w:t>
      </w:r>
    </w:p>
    <w:p>
      <w:pPr>
        <w:spacing w:after="0" w:line="180" w:lineRule="exact"/>
        <w:rPr>
          <w:sz w:val="20"/>
          <w:szCs w:val="20"/>
          <w:color w:val="auto"/>
        </w:rPr>
      </w:pPr>
    </w:p>
    <w:p>
      <w:pPr>
        <w:ind w:firstLine="360"/>
        <w:spacing w:after="0" w:line="23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As of March 31, 2015 and December 31, 2014, we have no Level 3 financial assets or liabilities.</w:t>
      </w:r>
    </w:p>
    <w:p>
      <w:pPr>
        <w:spacing w:after="0" w:line="151" w:lineRule="exact"/>
        <w:rPr>
          <w:sz w:val="20"/>
          <w:szCs w:val="20"/>
          <w:color w:val="auto"/>
        </w:rPr>
      </w:pPr>
    </w:p>
    <w:p>
      <w:pPr>
        <w:ind w:right="140" w:firstLine="360"/>
        <w:spacing w:after="0" w:line="246" w:lineRule="auto"/>
        <w:rPr>
          <w:sz w:val="20"/>
          <w:szCs w:val="20"/>
          <w:color w:val="auto"/>
        </w:rPr>
      </w:pPr>
      <w:r>
        <w:rPr>
          <w:rFonts w:ascii="Arial" w:cs="Arial" w:eastAsia="Arial" w:hAnsi="Arial"/>
          <w:sz w:val="18"/>
          <w:szCs w:val="18"/>
          <w:color w:val="auto"/>
        </w:rPr>
        <w:t>The following table presents the fair-value hierarchy for our Level 1 and Level 2 financial assets and liabilities measured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5160" w:type="dxa"/>
            <w:vAlign w:val="bottom"/>
            <w:tcBorders>
              <w:top w:val="single" w:sz="8" w:color="auto"/>
            </w:tcBorders>
          </w:tcPr>
          <w:p>
            <w:pPr>
              <w:spacing w:after="0"/>
              <w:rPr>
                <w:sz w:val="17"/>
                <w:szCs w:val="17"/>
                <w:color w:val="auto"/>
              </w:rPr>
            </w:pPr>
          </w:p>
        </w:tc>
        <w:tc>
          <w:tcPr>
            <w:tcW w:w="3400" w:type="dxa"/>
            <w:vAlign w:val="bottom"/>
            <w:tcBorders>
              <w:top w:val="single" w:sz="8" w:color="auto"/>
            </w:tcBorders>
            <w:gridSpan w:val="2"/>
          </w:tcPr>
          <w:p>
            <w:pPr>
              <w:jc w:val="right"/>
              <w:ind w:right="1010"/>
              <w:spacing w:after="0"/>
              <w:rPr>
                <w:sz w:val="20"/>
                <w:szCs w:val="20"/>
                <w:color w:val="auto"/>
              </w:rPr>
            </w:pPr>
            <w:r>
              <w:rPr>
                <w:rFonts w:ascii="Arial" w:cs="Arial" w:eastAsia="Arial" w:hAnsi="Arial"/>
                <w:sz w:val="18"/>
                <w:szCs w:val="18"/>
                <w:b w:val="1"/>
                <w:bCs w:val="1"/>
                <w:color w:val="auto"/>
              </w:rPr>
              <w:t>March 31, 2015</w:t>
            </w:r>
          </w:p>
        </w:tc>
        <w:tc>
          <w:tcPr>
            <w:tcW w:w="2860" w:type="dxa"/>
            <w:vAlign w:val="bottom"/>
            <w:tcBorders>
              <w:top w:val="single" w:sz="8" w:color="auto"/>
            </w:tcBorders>
            <w:gridSpan w:val="2"/>
          </w:tcPr>
          <w:p>
            <w:pPr>
              <w:jc w:val="right"/>
              <w:ind w:right="730"/>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720" w:type="dxa"/>
            <w:vAlign w:val="bottom"/>
          </w:tcPr>
          <w:p>
            <w:pPr>
              <w:jc w:val="center"/>
              <w:ind w:left="90"/>
              <w:spacing w:after="0" w:line="202" w:lineRule="exact"/>
              <w:rPr>
                <w:sz w:val="20"/>
                <w:szCs w:val="20"/>
                <w:color w:val="auto"/>
              </w:rPr>
            </w:pPr>
            <w:r>
              <w:rPr>
                <w:rFonts w:ascii="Arial" w:cs="Arial" w:eastAsia="Arial" w:hAnsi="Arial"/>
                <w:sz w:val="18"/>
                <w:szCs w:val="18"/>
                <w:b w:val="1"/>
                <w:bCs w:val="1"/>
                <w:color w:val="auto"/>
                <w:w w:val="98"/>
              </w:rPr>
              <w:t>Quoted</w:t>
            </w:r>
          </w:p>
        </w:tc>
        <w:tc>
          <w:tcPr>
            <w:tcW w:w="1680" w:type="dxa"/>
            <w:vAlign w:val="bottom"/>
          </w:tcPr>
          <w:p>
            <w:pPr>
              <w:jc w:val="center"/>
              <w:ind w:right="39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1300" w:type="dxa"/>
            <w:vAlign w:val="bottom"/>
          </w:tcPr>
          <w:p>
            <w:pPr>
              <w:jc w:val="center"/>
              <w:ind w:right="150"/>
              <w:spacing w:after="0" w:line="202" w:lineRule="exact"/>
              <w:rPr>
                <w:sz w:val="20"/>
                <w:szCs w:val="20"/>
                <w:color w:val="auto"/>
              </w:rPr>
            </w:pPr>
            <w:r>
              <w:rPr>
                <w:rFonts w:ascii="Arial" w:cs="Arial" w:eastAsia="Arial" w:hAnsi="Arial"/>
                <w:sz w:val="18"/>
                <w:szCs w:val="18"/>
                <w:color w:val="auto"/>
                <w:w w:val="98"/>
              </w:rPr>
              <w:t>Quoted</w:t>
            </w:r>
          </w:p>
        </w:tc>
        <w:tc>
          <w:tcPr>
            <w:tcW w:w="1560" w:type="dxa"/>
            <w:vAlign w:val="bottom"/>
          </w:tcPr>
          <w:p>
            <w:pPr>
              <w:jc w:val="center"/>
              <w:ind w:right="310"/>
              <w:spacing w:after="0" w:line="202" w:lineRule="exact"/>
              <w:rPr>
                <w:sz w:val="20"/>
                <w:szCs w:val="20"/>
                <w:color w:val="auto"/>
              </w:rPr>
            </w:pPr>
            <w:r>
              <w:rPr>
                <w:rFonts w:ascii="Arial" w:cs="Arial" w:eastAsia="Arial" w:hAnsi="Arial"/>
                <w:sz w:val="18"/>
                <w:szCs w:val="18"/>
                <w:color w:val="auto"/>
              </w:rPr>
              <w:t>Significant</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720" w:type="dxa"/>
            <w:vAlign w:val="bottom"/>
          </w:tcPr>
          <w:p>
            <w:pPr>
              <w:jc w:val="center"/>
              <w:ind w:left="90"/>
              <w:spacing w:after="0" w:line="202" w:lineRule="exact"/>
              <w:rPr>
                <w:sz w:val="20"/>
                <w:szCs w:val="20"/>
                <w:color w:val="auto"/>
              </w:rPr>
            </w:pPr>
            <w:r>
              <w:rPr>
                <w:rFonts w:ascii="Arial" w:cs="Arial" w:eastAsia="Arial" w:hAnsi="Arial"/>
                <w:sz w:val="18"/>
                <w:szCs w:val="18"/>
                <w:b w:val="1"/>
                <w:bCs w:val="1"/>
                <w:color w:val="auto"/>
                <w:w w:val="99"/>
              </w:rPr>
              <w:t>prices in</w:t>
            </w:r>
          </w:p>
        </w:tc>
        <w:tc>
          <w:tcPr>
            <w:tcW w:w="1680" w:type="dxa"/>
            <w:vAlign w:val="bottom"/>
          </w:tcPr>
          <w:p>
            <w:pPr>
              <w:jc w:val="center"/>
              <w:ind w:right="370"/>
              <w:spacing w:after="0" w:line="202" w:lineRule="exact"/>
              <w:rPr>
                <w:sz w:val="20"/>
                <w:szCs w:val="20"/>
                <w:color w:val="auto"/>
              </w:rPr>
            </w:pPr>
            <w:r>
              <w:rPr>
                <w:rFonts w:ascii="Arial" w:cs="Arial" w:eastAsia="Arial" w:hAnsi="Arial"/>
                <w:sz w:val="18"/>
                <w:szCs w:val="18"/>
                <w:b w:val="1"/>
                <w:bCs w:val="1"/>
                <w:color w:val="auto"/>
              </w:rPr>
              <w:t>other</w:t>
            </w:r>
          </w:p>
        </w:tc>
        <w:tc>
          <w:tcPr>
            <w:tcW w:w="1300" w:type="dxa"/>
            <w:vAlign w:val="bottom"/>
          </w:tcPr>
          <w:p>
            <w:pPr>
              <w:jc w:val="center"/>
              <w:ind w:right="150"/>
              <w:spacing w:after="0" w:line="202" w:lineRule="exact"/>
              <w:rPr>
                <w:sz w:val="20"/>
                <w:szCs w:val="20"/>
                <w:color w:val="auto"/>
              </w:rPr>
            </w:pPr>
            <w:r>
              <w:rPr>
                <w:rFonts w:ascii="Arial" w:cs="Arial" w:eastAsia="Arial" w:hAnsi="Arial"/>
                <w:sz w:val="18"/>
                <w:szCs w:val="18"/>
                <w:color w:val="auto"/>
                <w:w w:val="98"/>
              </w:rPr>
              <w:t>prices in</w:t>
            </w:r>
          </w:p>
        </w:tc>
        <w:tc>
          <w:tcPr>
            <w:tcW w:w="156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7"/>
              </w:rPr>
              <w:t>other</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720" w:type="dxa"/>
            <w:vAlign w:val="bottom"/>
          </w:tcPr>
          <w:p>
            <w:pPr>
              <w:jc w:val="center"/>
              <w:ind w:left="90"/>
              <w:spacing w:after="0" w:line="202" w:lineRule="exact"/>
              <w:rPr>
                <w:sz w:val="20"/>
                <w:szCs w:val="20"/>
                <w:color w:val="auto"/>
              </w:rPr>
            </w:pPr>
            <w:r>
              <w:rPr>
                <w:rFonts w:ascii="Arial" w:cs="Arial" w:eastAsia="Arial" w:hAnsi="Arial"/>
                <w:sz w:val="18"/>
                <w:szCs w:val="18"/>
                <w:b w:val="1"/>
                <w:bCs w:val="1"/>
                <w:color w:val="auto"/>
                <w:w w:val="97"/>
              </w:rPr>
              <w:t>active</w:t>
            </w:r>
          </w:p>
        </w:tc>
        <w:tc>
          <w:tcPr>
            <w:tcW w:w="1680" w:type="dxa"/>
            <w:vAlign w:val="bottom"/>
          </w:tcPr>
          <w:p>
            <w:pPr>
              <w:jc w:val="center"/>
              <w:ind w:right="390"/>
              <w:spacing w:after="0" w:line="202" w:lineRule="exact"/>
              <w:rPr>
                <w:sz w:val="20"/>
                <w:szCs w:val="20"/>
                <w:color w:val="auto"/>
              </w:rPr>
            </w:pPr>
            <w:r>
              <w:rPr>
                <w:rFonts w:ascii="Arial" w:cs="Arial" w:eastAsia="Arial" w:hAnsi="Arial"/>
                <w:sz w:val="18"/>
                <w:szCs w:val="18"/>
                <w:b w:val="1"/>
                <w:bCs w:val="1"/>
                <w:color w:val="auto"/>
              </w:rPr>
              <w:t>observable</w:t>
            </w:r>
          </w:p>
        </w:tc>
        <w:tc>
          <w:tcPr>
            <w:tcW w:w="1300" w:type="dxa"/>
            <w:vAlign w:val="bottom"/>
          </w:tcPr>
          <w:p>
            <w:pPr>
              <w:jc w:val="center"/>
              <w:ind w:right="150"/>
              <w:spacing w:after="0" w:line="202" w:lineRule="exact"/>
              <w:rPr>
                <w:sz w:val="20"/>
                <w:szCs w:val="20"/>
                <w:color w:val="auto"/>
              </w:rPr>
            </w:pPr>
            <w:r>
              <w:rPr>
                <w:rFonts w:ascii="Arial" w:cs="Arial" w:eastAsia="Arial" w:hAnsi="Arial"/>
                <w:sz w:val="18"/>
                <w:szCs w:val="18"/>
                <w:color w:val="auto"/>
                <w:w w:val="97"/>
              </w:rPr>
              <w:t>active</w:t>
            </w:r>
          </w:p>
        </w:tc>
        <w:tc>
          <w:tcPr>
            <w:tcW w:w="156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9"/>
              </w:rPr>
              <w:t>observable</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720" w:type="dxa"/>
            <w:vAlign w:val="bottom"/>
          </w:tcPr>
          <w:p>
            <w:pPr>
              <w:jc w:val="center"/>
              <w:ind w:left="130"/>
              <w:spacing w:after="0" w:line="202" w:lineRule="exact"/>
              <w:rPr>
                <w:sz w:val="20"/>
                <w:szCs w:val="20"/>
                <w:color w:val="auto"/>
              </w:rPr>
            </w:pPr>
            <w:r>
              <w:rPr>
                <w:rFonts w:ascii="Arial" w:cs="Arial" w:eastAsia="Arial" w:hAnsi="Arial"/>
                <w:sz w:val="18"/>
                <w:szCs w:val="18"/>
                <w:b w:val="1"/>
                <w:bCs w:val="1"/>
                <w:color w:val="auto"/>
              </w:rPr>
              <w:t>markets</w:t>
            </w:r>
          </w:p>
        </w:tc>
        <w:tc>
          <w:tcPr>
            <w:tcW w:w="1680" w:type="dxa"/>
            <w:vAlign w:val="bottom"/>
          </w:tcPr>
          <w:p>
            <w:pPr>
              <w:jc w:val="center"/>
              <w:ind w:right="330"/>
              <w:spacing w:after="0" w:line="202" w:lineRule="exact"/>
              <w:rPr>
                <w:sz w:val="20"/>
                <w:szCs w:val="20"/>
                <w:color w:val="auto"/>
              </w:rPr>
            </w:pPr>
            <w:r>
              <w:rPr>
                <w:rFonts w:ascii="Arial" w:cs="Arial" w:eastAsia="Arial" w:hAnsi="Arial"/>
                <w:sz w:val="18"/>
                <w:szCs w:val="18"/>
                <w:b w:val="1"/>
                <w:bCs w:val="1"/>
                <w:color w:val="auto"/>
                <w:w w:val="99"/>
              </w:rPr>
              <w:t>inputs</w:t>
            </w:r>
          </w:p>
        </w:tc>
        <w:tc>
          <w:tcPr>
            <w:tcW w:w="13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markets</w:t>
            </w:r>
          </w:p>
        </w:tc>
        <w:tc>
          <w:tcPr>
            <w:tcW w:w="1560" w:type="dxa"/>
            <w:vAlign w:val="bottom"/>
          </w:tcPr>
          <w:p>
            <w:pPr>
              <w:jc w:val="center"/>
              <w:ind w:right="270"/>
              <w:spacing w:after="0" w:line="202" w:lineRule="exact"/>
              <w:rPr>
                <w:sz w:val="20"/>
                <w:szCs w:val="20"/>
                <w:color w:val="auto"/>
              </w:rPr>
            </w:pPr>
            <w:r>
              <w:rPr>
                <w:rFonts w:ascii="Arial" w:cs="Arial" w:eastAsia="Arial" w:hAnsi="Arial"/>
                <w:sz w:val="18"/>
                <w:szCs w:val="18"/>
                <w:color w:val="auto"/>
                <w:w w:val="99"/>
              </w:rPr>
              <w:t>inputs</w:t>
            </w:r>
          </w:p>
        </w:tc>
        <w:tc>
          <w:tcPr>
            <w:tcW w:w="0" w:type="dxa"/>
            <w:vAlign w:val="bottom"/>
          </w:tcPr>
          <w:p>
            <w:pPr>
              <w:spacing w:after="0"/>
              <w:rPr>
                <w:sz w:val="1"/>
                <w:szCs w:val="1"/>
                <w:color w:val="auto"/>
              </w:rPr>
            </w:pPr>
          </w:p>
        </w:tc>
      </w:tr>
      <w:tr>
        <w:trPr>
          <w:trHeight w:val="225"/>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7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rPr>
              <w:t>(Level 1)</w:t>
            </w:r>
          </w:p>
        </w:tc>
        <w:tc>
          <w:tcPr>
            <w:tcW w:w="16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rPr>
              <w:t>(Level 2)</w:t>
            </w: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1)</w:t>
            </w:r>
          </w:p>
        </w:tc>
        <w:tc>
          <w:tcPr>
            <w:tcW w:w="15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9"/>
              </w:rPr>
              <w:t>(Level 2)</w:t>
            </w:r>
          </w:p>
        </w:tc>
        <w:tc>
          <w:tcPr>
            <w:tcW w:w="0" w:type="dxa"/>
            <w:vAlign w:val="bottom"/>
          </w:tcPr>
          <w:p>
            <w:pPr>
              <w:spacing w:after="0"/>
              <w:rPr>
                <w:sz w:val="1"/>
                <w:szCs w:val="1"/>
                <w:color w:val="auto"/>
              </w:rPr>
            </w:pPr>
          </w:p>
        </w:tc>
      </w:tr>
      <w:tr>
        <w:trPr>
          <w:trHeight w:val="177"/>
        </w:trPr>
        <w:tc>
          <w:tcPr>
            <w:tcW w:w="5160" w:type="dxa"/>
            <w:vAlign w:val="bottom"/>
          </w:tcPr>
          <w:p>
            <w:pPr>
              <w:spacing w:after="0" w:line="177" w:lineRule="exact"/>
              <w:rPr>
                <w:sz w:val="20"/>
                <w:szCs w:val="20"/>
                <w:color w:val="auto"/>
              </w:rPr>
            </w:pPr>
            <w:r>
              <w:rPr>
                <w:rFonts w:ascii="Arial" w:cs="Arial" w:eastAsia="Arial" w:hAnsi="Arial"/>
                <w:sz w:val="18"/>
                <w:szCs w:val="18"/>
                <w:b w:val="1"/>
                <w:bCs w:val="1"/>
                <w:color w:val="auto"/>
              </w:rPr>
              <w:t>Fair Value</w:t>
            </w:r>
          </w:p>
        </w:tc>
        <w:tc>
          <w:tcPr>
            <w:tcW w:w="17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16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17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$19,391</w:t>
            </w:r>
          </w:p>
        </w:tc>
        <w:tc>
          <w:tcPr>
            <w:tcW w:w="16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80"/>
              <w:spacing w:after="0" w:line="202" w:lineRule="exact"/>
              <w:rPr>
                <w:sz w:val="20"/>
                <w:szCs w:val="20"/>
                <w:color w:val="auto"/>
              </w:rPr>
            </w:pPr>
            <w:r>
              <w:rPr>
                <w:rFonts w:ascii="Arial" w:cs="Arial" w:eastAsia="Arial" w:hAnsi="Arial"/>
                <w:sz w:val="18"/>
                <w:szCs w:val="18"/>
                <w:color w:val="auto"/>
              </w:rPr>
              <w:t>Cash equivalents</w:t>
            </w:r>
          </w:p>
        </w:tc>
        <w:tc>
          <w:tcPr>
            <w:tcW w:w="172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$14,096</w:t>
            </w:r>
          </w:p>
        </w:tc>
        <w:tc>
          <w:tcPr>
            <w:tcW w:w="15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tcPr>
          <w:p>
            <w:pPr>
              <w:ind w:left="1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7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286</w:t>
            </w:r>
          </w:p>
        </w:tc>
        <w:tc>
          <w:tcPr>
            <w:tcW w:w="16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160" w:type="dxa"/>
            <w:vAlign w:val="bottom"/>
          </w:tcPr>
          <w:p>
            <w:pPr>
              <w:ind w:left="360"/>
              <w:spacing w:after="0" w:line="185" w:lineRule="exact"/>
              <w:rPr>
                <w:sz w:val="20"/>
                <w:szCs w:val="20"/>
                <w:color w:val="auto"/>
              </w:rPr>
            </w:pPr>
            <w:r>
              <w:rPr>
                <w:rFonts w:ascii="Arial" w:cs="Arial" w:eastAsia="Arial" w:hAnsi="Arial"/>
                <w:sz w:val="18"/>
                <w:szCs w:val="18"/>
                <w:color w:val="auto"/>
              </w:rPr>
              <w:t>Foreign currency options</w:t>
            </w:r>
          </w:p>
        </w:tc>
        <w:tc>
          <w:tcPr>
            <w:tcW w:w="172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300" w:type="dxa"/>
            <w:vAlign w:val="bottom"/>
          </w:tcPr>
          <w:p>
            <w:pPr>
              <w:jc w:val="right"/>
              <w:ind w:right="30"/>
              <w:spacing w:after="0" w:line="185" w:lineRule="exact"/>
              <w:rPr>
                <w:sz w:val="20"/>
                <w:szCs w:val="20"/>
                <w:color w:val="auto"/>
              </w:rPr>
            </w:pPr>
            <w:r>
              <w:rPr>
                <w:rFonts w:ascii="Arial" w:cs="Arial" w:eastAsia="Arial" w:hAnsi="Arial"/>
                <w:sz w:val="18"/>
                <w:szCs w:val="18"/>
                <w:color w:val="auto"/>
              </w:rPr>
              <w:t>69</w:t>
            </w:r>
          </w:p>
        </w:tc>
        <w:tc>
          <w:tcPr>
            <w:tcW w:w="1560" w:type="dxa"/>
            <w:vAlign w:val="bottom"/>
          </w:tcPr>
          <w:p>
            <w:pPr>
              <w:jc w:val="right"/>
              <w:ind w:right="390"/>
              <w:spacing w:after="0" w:line="18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160" w:type="dxa"/>
            <w:vAlign w:val="bottom"/>
          </w:tcPr>
          <w:p>
            <w:pPr>
              <w:ind w:left="180"/>
              <w:spacing w:after="0"/>
              <w:rPr>
                <w:sz w:val="20"/>
                <w:szCs w:val="20"/>
                <w:color w:val="auto"/>
              </w:rPr>
            </w:pPr>
            <w:r>
              <w:rPr>
                <w:rFonts w:ascii="Arial" w:cs="Arial" w:eastAsia="Arial" w:hAnsi="Arial"/>
                <w:sz w:val="18"/>
                <w:szCs w:val="18"/>
                <w:i w:val="1"/>
                <w:iCs w:val="1"/>
                <w:color w:val="auto"/>
              </w:rPr>
              <w:t>Other Assets:</w:t>
            </w:r>
          </w:p>
        </w:tc>
        <w:tc>
          <w:tcPr>
            <w:tcW w:w="17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735</w:t>
            </w:r>
          </w:p>
        </w:tc>
        <w:tc>
          <w:tcPr>
            <w:tcW w:w="16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160" w:type="dxa"/>
            <w:vAlign w:val="bottom"/>
          </w:tcPr>
          <w:p>
            <w:pPr>
              <w:ind w:left="360"/>
              <w:spacing w:after="0" w:line="185" w:lineRule="exact"/>
              <w:rPr>
                <w:sz w:val="20"/>
                <w:szCs w:val="20"/>
                <w:color w:val="auto"/>
              </w:rPr>
            </w:pPr>
            <w:r>
              <w:rPr>
                <w:rFonts w:ascii="Arial" w:cs="Arial" w:eastAsia="Arial" w:hAnsi="Arial"/>
                <w:sz w:val="18"/>
                <w:szCs w:val="18"/>
                <w:color w:val="auto"/>
              </w:rPr>
              <w:t>Common stock of unaffiliated foreign public company</w:t>
            </w:r>
          </w:p>
        </w:tc>
        <w:tc>
          <w:tcPr>
            <w:tcW w:w="172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300" w:type="dxa"/>
            <w:vAlign w:val="bottom"/>
          </w:tcPr>
          <w:p>
            <w:pPr>
              <w:jc w:val="right"/>
              <w:ind w:right="30"/>
              <w:spacing w:after="0" w:line="185" w:lineRule="exact"/>
              <w:rPr>
                <w:sz w:val="20"/>
                <w:szCs w:val="20"/>
                <w:color w:val="auto"/>
              </w:rPr>
            </w:pPr>
            <w:r>
              <w:rPr>
                <w:rFonts w:ascii="Arial" w:cs="Arial" w:eastAsia="Arial" w:hAnsi="Arial"/>
                <w:sz w:val="18"/>
                <w:szCs w:val="18"/>
                <w:color w:val="auto"/>
              </w:rPr>
              <w:t>701</w:t>
            </w:r>
          </w:p>
        </w:tc>
        <w:tc>
          <w:tcPr>
            <w:tcW w:w="1560" w:type="dxa"/>
            <w:vAlign w:val="bottom"/>
          </w:tcPr>
          <w:p>
            <w:pPr>
              <w:jc w:val="right"/>
              <w:ind w:right="390"/>
              <w:spacing w:after="0" w:line="18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16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17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6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720" w:type="dxa"/>
            <w:vAlign w:val="bottom"/>
          </w:tcPr>
          <w:p>
            <w:pPr>
              <w:spacing w:after="0"/>
              <w:rPr>
                <w:sz w:val="18"/>
                <w:szCs w:val="18"/>
                <w:color w:val="auto"/>
              </w:rPr>
            </w:pPr>
          </w:p>
        </w:tc>
        <w:tc>
          <w:tcPr>
            <w:tcW w:w="16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 xml:space="preserve">(2,034) </w:t>
            </w:r>
            <w:r>
              <w:rPr>
                <w:rFonts w:ascii="Arial" w:cs="Arial" w:eastAsia="Arial" w:hAnsi="Arial"/>
                <w:sz w:val="30"/>
                <w:szCs w:val="30"/>
                <w:color w:val="auto"/>
                <w:vertAlign w:val="superscript"/>
              </w:rPr>
              <w:t>(a)</w:t>
            </w:r>
          </w:p>
        </w:tc>
        <w:tc>
          <w:tcPr>
            <w:tcW w:w="1300" w:type="dxa"/>
            <w:vAlign w:val="bottom"/>
          </w:tcPr>
          <w:p>
            <w:pPr>
              <w:spacing w:after="0"/>
              <w:rPr>
                <w:sz w:val="18"/>
                <w:szCs w:val="18"/>
                <w:color w:val="auto"/>
              </w:rPr>
            </w:pPr>
          </w:p>
        </w:tc>
        <w:tc>
          <w:tcPr>
            <w:tcW w:w="1560" w:type="dxa"/>
            <w:vAlign w:val="bottom"/>
            <w:vMerge w:val="restart"/>
          </w:tcPr>
          <w:p>
            <w:pPr>
              <w:jc w:val="right"/>
              <w:ind w:right="10"/>
              <w:spacing w:after="0"/>
              <w:rPr>
                <w:sz w:val="20"/>
                <w:szCs w:val="20"/>
                <w:color w:val="auto"/>
              </w:rPr>
            </w:pPr>
            <w:r>
              <w:rPr>
                <w:rFonts w:ascii="Arial" w:cs="Arial" w:eastAsia="Arial" w:hAnsi="Arial"/>
                <w:sz w:val="18"/>
                <w:szCs w:val="18"/>
                <w:color w:val="auto"/>
              </w:rPr>
              <w:t xml:space="preserve">(1,411) </w:t>
            </w:r>
            <w:r>
              <w:rPr>
                <w:rFonts w:ascii="Arial" w:cs="Arial" w:eastAsia="Arial" w:hAnsi="Arial"/>
                <w:sz w:val="30"/>
                <w:szCs w:val="30"/>
                <w:color w:val="auto"/>
                <w:vertAlign w:val="superscript"/>
              </w:rPr>
              <w:t>(b)</w:t>
            </w:r>
          </w:p>
        </w:tc>
        <w:tc>
          <w:tcPr>
            <w:tcW w:w="0" w:type="dxa"/>
            <w:vAlign w:val="bottom"/>
          </w:tcPr>
          <w:p>
            <w:pPr>
              <w:spacing w:after="0"/>
              <w:rPr>
                <w:sz w:val="1"/>
                <w:szCs w:val="1"/>
                <w:color w:val="auto"/>
              </w:rPr>
            </w:pPr>
          </w:p>
        </w:tc>
      </w:tr>
      <w:tr>
        <w:trPr>
          <w:trHeight w:val="369"/>
        </w:trPr>
        <w:tc>
          <w:tcPr>
            <w:tcW w:w="516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17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680" w:type="dxa"/>
            <w:vAlign w:val="bottom"/>
            <w:vMerge w:val="continue"/>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720" w:hanging="361"/>
        <w:spacing w:after="0"/>
        <w:tabs>
          <w:tab w:leader="none" w:pos="72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of $3.2 million receivable floating leg and $5.2 million liability fixed leg</w:t>
      </w:r>
    </w:p>
    <w:p>
      <w:pPr>
        <w:spacing w:after="0" w:line="163" w:lineRule="exact"/>
        <w:rPr>
          <w:rFonts w:ascii="Arial" w:cs="Arial" w:eastAsia="Arial" w:hAnsi="Arial"/>
          <w:sz w:val="14"/>
          <w:szCs w:val="14"/>
          <w:color w:val="auto"/>
        </w:rPr>
      </w:pPr>
    </w:p>
    <w:p>
      <w:pPr>
        <w:ind w:left="720" w:hanging="361"/>
        <w:spacing w:after="0"/>
        <w:tabs>
          <w:tab w:leader="none" w:pos="72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of $4.3 million receivable floating leg and $5.7 million liability fixed leg</w:t>
      </w:r>
    </w:p>
    <w:p>
      <w:pPr>
        <w:spacing w:after="0" w:line="200" w:lineRule="exact"/>
        <w:rPr>
          <w:sz w:val="20"/>
          <w:szCs w:val="20"/>
          <w:color w:val="auto"/>
        </w:rPr>
      </w:pPr>
    </w:p>
    <w:p>
      <w:pPr>
        <w:spacing w:after="0" w:line="322" w:lineRule="exact"/>
        <w:rPr>
          <w:sz w:val="20"/>
          <w:szCs w:val="20"/>
          <w:color w:val="auto"/>
        </w:rPr>
      </w:pPr>
    </w:p>
    <w:p>
      <w:pPr>
        <w:ind w:right="480" w:firstLine="360"/>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143" w:lineRule="exact"/>
        <w:rPr>
          <w:sz w:val="20"/>
          <w:szCs w:val="20"/>
          <w:color w:val="auto"/>
        </w:rPr>
      </w:pPr>
    </w:p>
    <w:p>
      <w:pPr>
        <w:ind w:right="420" w:firstLine="360"/>
        <w:spacing w:after="0" w:line="237" w:lineRule="auto"/>
        <w:rPr>
          <w:sz w:val="20"/>
          <w:szCs w:val="20"/>
          <w:color w:val="auto"/>
        </w:rPr>
      </w:pPr>
      <w:r>
        <w:rPr>
          <w:rFonts w:ascii="Arial" w:cs="Arial" w:eastAsia="Arial" w:hAnsi="Arial"/>
          <w:sz w:val="18"/>
          <w:szCs w:val="18"/>
          <w:color w:val="auto"/>
        </w:rPr>
        <w:t>The common stock of the unaffiliated foreign public company is traded in an active market exchange. The shares are measured at fair value using closing stock prices and are recorded in the Consolidated Balance Sheets as Other assets. The securities are classified as available for sale, and as a result any unrealized gain or loss is recorded in the Shareholders’ Equity section of the Consolidated Balance Sheets rather than in the Consolidated Statements of Income. When the security is sold or impaired, gains and losses are reported on the Consolidated Statements of Income. Investments are considered to be impaired when a decline in fair value is judged to be other than temporary.</w:t>
      </w:r>
    </w:p>
    <w:p>
      <w:pPr>
        <w:spacing w:after="0" w:line="151" w:lineRule="exact"/>
        <w:rPr>
          <w:sz w:val="20"/>
          <w:szCs w:val="20"/>
          <w:color w:val="auto"/>
        </w:rPr>
      </w:pPr>
    </w:p>
    <w:p>
      <w:pPr>
        <w:ind w:right="160" w:firstLine="360"/>
        <w:spacing w:after="0" w:line="239" w:lineRule="auto"/>
        <w:rPr>
          <w:sz w:val="20"/>
          <w:szCs w:val="20"/>
          <w:color w:val="auto"/>
        </w:rPr>
      </w:pPr>
      <w:r>
        <w:rPr>
          <w:rFonts w:ascii="Arial" w:cs="Arial" w:eastAsia="Arial" w:hAnsi="Arial"/>
          <w:sz w:val="18"/>
          <w:szCs w:val="18"/>
          <w:color w:val="auto"/>
        </w:rPr>
        <w:t>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(income)/expenses, net.</w:t>
      </w:r>
    </w:p>
    <w:p>
      <w:pPr>
        <w:spacing w:after="0" w:line="148" w:lineRule="exact"/>
        <w:rPr>
          <w:sz w:val="20"/>
          <w:szCs w:val="20"/>
          <w:color w:val="auto"/>
        </w:rPr>
      </w:pPr>
    </w:p>
    <w:p>
      <w:pPr>
        <w:ind w:firstLine="360"/>
        <w:spacing w:after="0" w:line="238"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control risk by evaluating the creditworthiness of counterparties and by monitoring the currency exchange and interest rate markets while reviewing the hedging risks and contracts to ensure compliance with our internal guidelines and policies.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19" w:name="page20"/>
    <w:bookmarkEnd w:id="19"/>
    <w:p>
      <w:pPr>
        <w:ind w:right="20" w:firstLine="360"/>
        <w:spacing w:after="0" w:line="239"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(income)/expenses, net. Revaluation gains and losses occur when our business units have cash, intercompany (recorded in Other (income)/expenses, net) or third-party trade (recorded in Selling, General and Administrative expenses) receivable or payable balances in a currency other than their local reporting (or functional) currency.</w:t>
      </w:r>
    </w:p>
    <w:p>
      <w:pPr>
        <w:spacing w:after="0" w:line="148" w:lineRule="exact"/>
        <w:rPr>
          <w:sz w:val="20"/>
          <w:szCs w:val="20"/>
          <w:color w:val="auto"/>
        </w:rPr>
      </w:pPr>
    </w:p>
    <w:p>
      <w:pPr>
        <w:ind w:right="20" w:firstLine="360"/>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Consolidated Statement of Income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148" w:lineRule="exact"/>
        <w:rPr>
          <w:sz w:val="20"/>
          <w:szCs w:val="20"/>
          <w:color w:val="auto"/>
        </w:rPr>
      </w:pPr>
    </w:p>
    <w:p>
      <w:pPr>
        <w:ind w:right="60" w:firstLine="360"/>
        <w:spacing w:after="0" w:line="236"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 Other noncurrent liabilities in the Consolidated Balance Sheets. Unrealized gains and losses on the swaps will flow through the caption Derivative valuation adjustment in the Shareholders’ equity section of the Consolidated Balance Sheets, to the extent that the hedges are highly effective. As of March 31, 2015, these interest rate swaps were determined to be 100% effective hedges of interest rate cash flow risk. Gains and losses related to the ineffective portion of the hedges will be recognized in the current period in earnings. Amounts accumulated in Other comprehensive income are reclassified as Interest expense, net when the related interest payments (that is, the hedged forecasted transactions) affect earnings. Interest expense related to the swaps totaled $0.5 million for each of the three month periods ended March 31, 2015 and 2014.</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Gains/ (losses) related to changes in fair value of derivative instruments that were recognized in Other (income)/expenses, net in the</w:t>
      </w:r>
    </w:p>
    <w:p>
      <w:pPr>
        <w:spacing w:after="0"/>
        <w:rPr>
          <w:sz w:val="20"/>
          <w:szCs w:val="20"/>
          <w:color w:val="auto"/>
        </w:rPr>
      </w:pPr>
      <w:r>
        <w:rPr>
          <w:rFonts w:ascii="Arial" w:cs="Arial" w:eastAsia="Arial" w:hAnsi="Arial"/>
          <w:sz w:val="18"/>
          <w:szCs w:val="18"/>
          <w:color w:val="auto"/>
        </w:rPr>
        <w:t>Statements of Income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00" w:type="dxa"/>
            <w:vAlign w:val="bottom"/>
            <w:tcBorders>
              <w:top w:val="single" w:sz="8" w:color="auto"/>
            </w:tcBorders>
          </w:tcPr>
          <w:p>
            <w:pPr>
              <w:spacing w:after="0"/>
              <w:rPr>
                <w:sz w:val="16"/>
                <w:szCs w:val="16"/>
                <w:color w:val="auto"/>
              </w:rPr>
            </w:pPr>
          </w:p>
        </w:tc>
        <w:tc>
          <w:tcPr>
            <w:tcW w:w="5120" w:type="dxa"/>
            <w:vAlign w:val="bottom"/>
            <w:tcBorders>
              <w:top w:val="single" w:sz="8" w:color="auto"/>
            </w:tcBorders>
            <w:gridSpan w:val="2"/>
          </w:tcPr>
          <w:p>
            <w:pPr>
              <w:jc w:val="center"/>
              <w:ind w:left="1390"/>
              <w:spacing w:after="0" w:line="194" w:lineRule="exact"/>
              <w:rPr>
                <w:sz w:val="20"/>
                <w:szCs w:val="20"/>
                <w:color w:val="auto"/>
              </w:rPr>
            </w:pPr>
            <w:r>
              <w:rPr>
                <w:rFonts w:ascii="Arial" w:cs="Arial" w:eastAsia="Arial" w:hAnsi="Arial"/>
                <w:sz w:val="18"/>
                <w:szCs w:val="18"/>
                <w:b w:val="1"/>
                <w:bCs w:val="1"/>
                <w:color w:val="auto"/>
                <w:w w:val="99"/>
              </w:rPr>
              <w:t>Three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00" w:type="dxa"/>
            <w:vAlign w:val="bottom"/>
          </w:tcPr>
          <w:p>
            <w:pPr>
              <w:spacing w:after="0"/>
              <w:rPr>
                <w:sz w:val="17"/>
                <w:szCs w:val="17"/>
                <w:color w:val="auto"/>
              </w:rPr>
            </w:pPr>
          </w:p>
        </w:tc>
        <w:tc>
          <w:tcPr>
            <w:tcW w:w="3900" w:type="dxa"/>
            <w:vAlign w:val="bottom"/>
          </w:tcPr>
          <w:p>
            <w:pPr>
              <w:jc w:val="center"/>
              <w:ind w:left="2610"/>
              <w:spacing w:after="0" w:line="202" w:lineRule="exact"/>
              <w:rPr>
                <w:sz w:val="20"/>
                <w:szCs w:val="20"/>
                <w:color w:val="auto"/>
              </w:rPr>
            </w:pPr>
            <w:r>
              <w:rPr>
                <w:rFonts w:ascii="Arial" w:cs="Arial" w:eastAsia="Arial" w:hAnsi="Arial"/>
                <w:sz w:val="18"/>
                <w:szCs w:val="18"/>
                <w:b w:val="1"/>
                <w:bCs w:val="1"/>
                <w:color w:val="auto"/>
              </w:rPr>
              <w:t>March 31,</w:t>
            </w: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90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2015</w:t>
            </w: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630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39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$217</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Forward currency options</w:t>
            </w:r>
          </w:p>
        </w:tc>
        <w:tc>
          <w:tcPr>
            <w:tcW w:w="39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80" w:lineRule="exact"/>
        <w:rPr>
          <w:sz w:val="20"/>
          <w:szCs w:val="20"/>
          <w:color w:val="auto"/>
        </w:rPr>
      </w:pPr>
    </w:p>
    <w:p>
      <w:pPr>
        <w:ind w:right="160" w:firstLine="360"/>
        <w:spacing w:after="0" w:line="239"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defending 3,813 claims as of March 31, 2015.</w:t>
      </w:r>
    </w:p>
    <w:p>
      <w:pPr>
        <w:spacing w:after="0" w:line="158" w:lineRule="exact"/>
        <w:rPr>
          <w:sz w:val="20"/>
          <w:szCs w:val="20"/>
          <w:color w:val="auto"/>
        </w:rPr>
      </w:pPr>
    </w:p>
    <w:p>
      <w:pPr>
        <w:ind w:right="80" w:firstLine="36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193"/>
        </w:trPr>
        <w:tc>
          <w:tcPr>
            <w:tcW w:w="3000" w:type="dxa"/>
            <w:vAlign w:val="bottom"/>
            <w:tcBorders>
              <w:top w:val="single" w:sz="8" w:color="auto"/>
              <w:left w:val="single" w:sz="8" w:color="auto"/>
              <w:right w:val="single" w:sz="8" w:color="auto"/>
            </w:tcBorders>
          </w:tcPr>
          <w:p>
            <w:pPr>
              <w:ind w:left="1000"/>
              <w:spacing w:after="0" w:line="194" w:lineRule="exact"/>
              <w:rPr>
                <w:sz w:val="20"/>
                <w:szCs w:val="20"/>
                <w:color w:val="auto"/>
              </w:rPr>
            </w:pPr>
            <w:r>
              <w:rPr>
                <w:rFonts w:ascii="Arial" w:cs="Arial" w:eastAsia="Arial" w:hAnsi="Arial"/>
                <w:sz w:val="18"/>
                <w:szCs w:val="18"/>
                <w:b w:val="1"/>
                <w:bCs w:val="1"/>
                <w:color w:val="auto"/>
              </w:rPr>
              <w:t>Year ended</w:t>
            </w:r>
          </w:p>
        </w:tc>
        <w:tc>
          <w:tcPr>
            <w:tcW w:w="172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8"/>
              </w:rPr>
              <w:t>Opening</w:t>
            </w:r>
          </w:p>
        </w:tc>
        <w:tc>
          <w:tcPr>
            <w:tcW w:w="160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Claims</w:t>
            </w:r>
          </w:p>
        </w:tc>
        <w:tc>
          <w:tcPr>
            <w:tcW w:w="1700" w:type="dxa"/>
            <w:vAlign w:val="bottom"/>
            <w:tcBorders>
              <w:top w:val="single" w:sz="8" w:color="auto"/>
              <w:right w:val="single" w:sz="8" w:color="auto"/>
            </w:tcBorders>
          </w:tcPr>
          <w:p>
            <w:pPr>
              <w:jc w:val="right"/>
              <w:ind w:right="270"/>
              <w:spacing w:after="0" w:line="194" w:lineRule="exact"/>
              <w:rPr>
                <w:sz w:val="20"/>
                <w:szCs w:val="20"/>
                <w:color w:val="auto"/>
              </w:rPr>
            </w:pPr>
            <w:r>
              <w:rPr>
                <w:rFonts w:ascii="Arial" w:cs="Arial" w:eastAsia="Arial" w:hAnsi="Arial"/>
                <w:sz w:val="18"/>
                <w:szCs w:val="18"/>
                <w:b w:val="1"/>
                <w:bCs w:val="1"/>
                <w:color w:val="auto"/>
              </w:rPr>
              <w:t>New Claims</w:t>
            </w:r>
          </w:p>
        </w:tc>
        <w:tc>
          <w:tcPr>
            <w:tcW w:w="170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Closing</w:t>
            </w:r>
          </w:p>
        </w:tc>
        <w:tc>
          <w:tcPr>
            <w:tcW w:w="170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Amounts</w:t>
            </w:r>
          </w:p>
        </w:tc>
      </w:tr>
      <w:tr>
        <w:trPr>
          <w:trHeight w:val="203"/>
        </w:trPr>
        <w:tc>
          <w:tcPr>
            <w:tcW w:w="3000" w:type="dxa"/>
            <w:vAlign w:val="bottom"/>
            <w:tcBorders>
              <w:left w:val="single" w:sz="8" w:color="auto"/>
              <w:right w:val="single" w:sz="8" w:color="auto"/>
            </w:tcBorders>
          </w:tcPr>
          <w:p>
            <w:pPr>
              <w:ind w:left="920"/>
              <w:spacing w:after="0" w:line="202" w:lineRule="exact"/>
              <w:rPr>
                <w:sz w:val="20"/>
                <w:szCs w:val="20"/>
                <w:color w:val="auto"/>
              </w:rPr>
            </w:pPr>
            <w:r>
              <w:rPr>
                <w:rFonts w:ascii="Arial" w:cs="Arial" w:eastAsia="Arial" w:hAnsi="Arial"/>
                <w:sz w:val="18"/>
                <w:szCs w:val="18"/>
                <w:b w:val="1"/>
                <w:bCs w:val="1"/>
                <w:color w:val="auto"/>
              </w:rPr>
              <w:t>December 31,</w:t>
            </w:r>
          </w:p>
        </w:tc>
        <w:tc>
          <w:tcPr>
            <w:tcW w:w="172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Number of</w:t>
            </w:r>
          </w:p>
        </w:tc>
        <w:tc>
          <w:tcPr>
            <w:tcW w:w="1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Dismissed,</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Paid</w:t>
            </w: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Claims</w:t>
            </w:r>
          </w:p>
        </w:tc>
        <w:tc>
          <w:tcPr>
            <w:tcW w:w="1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Settled, or</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Claims</w:t>
            </w: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(thousands)</w:t>
            </w: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right"/>
              <w:ind w:right="330"/>
              <w:spacing w:after="0" w:line="202" w:lineRule="exact"/>
              <w:rPr>
                <w:sz w:val="20"/>
                <w:szCs w:val="20"/>
                <w:color w:val="auto"/>
              </w:rPr>
            </w:pPr>
            <w:r>
              <w:rPr>
                <w:rFonts w:ascii="Arial" w:cs="Arial" w:eastAsia="Arial" w:hAnsi="Arial"/>
                <w:sz w:val="18"/>
                <w:szCs w:val="18"/>
                <w:b w:val="1"/>
                <w:bCs w:val="1"/>
                <w:color w:val="auto"/>
              </w:rPr>
              <w:t>Resolved</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to Settle or</w:t>
            </w:r>
          </w:p>
        </w:tc>
      </w:tr>
      <w:tr>
        <w:trPr>
          <w:trHeight w:val="225"/>
        </w:trPr>
        <w:tc>
          <w:tcPr>
            <w:tcW w:w="300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Resolve</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29,411</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6,257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1,297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24,451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$504</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2006</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24,451</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6,841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1,806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19,416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3,879</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2007</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19,416</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808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18,798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2008</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18,798</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523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18,385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2009</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18,385</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9,482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8,945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2010</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8,945</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3,963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5,170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159</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2011</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5,170</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4,446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1,111</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2012</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4,446</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4,463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530</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2013</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4,463</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230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4,299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2014</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4,299</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625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147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3,821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437</w:t>
            </w:r>
          </w:p>
        </w:tc>
      </w:tr>
      <w:tr>
        <w:trPr>
          <w:trHeight w:val="196"/>
        </w:trPr>
        <w:tc>
          <w:tcPr>
            <w:tcW w:w="3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As of March 31, 2015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3,821</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3,813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$69</w:t>
            </w:r>
          </w:p>
        </w:tc>
      </w:tr>
    </w:tbl>
    <w:p>
      <w:pPr>
        <w:spacing w:after="0" w:line="175" w:lineRule="exact"/>
        <w:rPr>
          <w:sz w:val="20"/>
          <w:szCs w:val="20"/>
          <w:color w:val="auto"/>
        </w:rPr>
      </w:pPr>
    </w:p>
    <w:p>
      <w:pPr>
        <w:ind w:right="340" w:firstLine="360"/>
        <w:spacing w:after="0" w:line="24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143" w:lineRule="exact"/>
        <w:rPr>
          <w:sz w:val="20"/>
          <w:szCs w:val="20"/>
          <w:color w:val="auto"/>
        </w:rPr>
      </w:pPr>
    </w:p>
    <w:p>
      <w:pPr>
        <w:jc w:val="both"/>
        <w:ind w:right="100" w:firstLine="360"/>
        <w:spacing w:after="0"/>
        <w:rPr>
          <w:sz w:val="20"/>
          <w:szCs w:val="20"/>
          <w:color w:val="auto"/>
        </w:rPr>
      </w:pPr>
      <w:r>
        <w:rPr>
          <w:rFonts w:ascii="Arial" w:cs="Arial" w:eastAsia="Arial" w:hAnsi="Arial"/>
          <w:sz w:val="18"/>
          <w:szCs w:val="18"/>
          <w:color w:val="auto"/>
        </w:rPr>
        <w:t>Exposure and disease information sufficient to meaningfully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149" w:lineRule="exact"/>
        <w:rPr>
          <w:sz w:val="20"/>
          <w:szCs w:val="20"/>
          <w:color w:val="auto"/>
        </w:rPr>
      </w:pPr>
    </w:p>
    <w:p>
      <w:pPr>
        <w:ind w:right="80" w:firstLine="360"/>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March 31, 2015 we had resolved, by means of settlement or dismissal, 37,247 claims. The total cost of resolving all claims was $9.3 million. Of this amount, almost 100% was paid by our insurance carrier. The Company’s insurer has confirmed that although the coverage limits under two (of approximately 23) primary insurance policies have been exhausted, there still remains approximately $ 3 million in coverage limits under other applicable primary policies, and $140 million in coverage under excess umbrella coverage policies that should be available with respect to current and future asbestos claims.</w:t>
      </w:r>
    </w:p>
    <w:p>
      <w:pPr>
        <w:spacing w:after="0" w:line="149" w:lineRule="exact"/>
        <w:rPr>
          <w:sz w:val="20"/>
          <w:szCs w:val="20"/>
          <w:color w:val="auto"/>
        </w:rPr>
      </w:pPr>
    </w:p>
    <w:p>
      <w:pPr>
        <w:ind w:right="140" w:firstLine="360"/>
        <w:spacing w:after="0"/>
        <w:rPr>
          <w:sz w:val="20"/>
          <w:szCs w:val="20"/>
          <w:color w:val="auto"/>
        </w:rPr>
      </w:pPr>
      <w:r>
        <w:rPr>
          <w:rFonts w:ascii="Arial" w:cs="Arial" w:eastAsia="Arial" w:hAnsi="Arial"/>
          <w:sz w:val="18"/>
          <w:szCs w:val="18"/>
          <w:color w:val="auto"/>
        </w:rPr>
        <w:t>Brandon Drying Fabrics, Inc. (“Brandon”), a subsidiary of Geschmay Corp., which is a subsidiary of the Company, is also a separate defendant in many of the asbestos cases in which Albany is named as a defendant. Brandon was defending against 7,730 claims as of March 31, 2015.</w:t>
      </w:r>
    </w:p>
    <w:p>
      <w:pPr>
        <w:spacing w:after="0" w:line="149" w:lineRule="exact"/>
        <w:rPr>
          <w:sz w:val="20"/>
          <w:szCs w:val="20"/>
          <w:color w:val="auto"/>
        </w:rPr>
      </w:pPr>
    </w:p>
    <w:p>
      <w:pPr>
        <w:ind w:right="80" w:firstLine="36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193"/>
        </w:trPr>
        <w:tc>
          <w:tcPr>
            <w:tcW w:w="3000" w:type="dxa"/>
            <w:vAlign w:val="bottom"/>
            <w:tcBorders>
              <w:top w:val="single" w:sz="8" w:color="auto"/>
              <w:left w:val="single" w:sz="8" w:color="auto"/>
              <w:right w:val="single" w:sz="8" w:color="auto"/>
            </w:tcBorders>
          </w:tcPr>
          <w:p>
            <w:pPr>
              <w:ind w:left="1000"/>
              <w:spacing w:after="0" w:line="194" w:lineRule="exact"/>
              <w:rPr>
                <w:sz w:val="20"/>
                <w:szCs w:val="20"/>
                <w:color w:val="auto"/>
              </w:rPr>
            </w:pPr>
            <w:r>
              <w:rPr>
                <w:rFonts w:ascii="Arial" w:cs="Arial" w:eastAsia="Arial" w:hAnsi="Arial"/>
                <w:sz w:val="18"/>
                <w:szCs w:val="18"/>
                <w:b w:val="1"/>
                <w:bCs w:val="1"/>
                <w:color w:val="auto"/>
              </w:rPr>
              <w:t>Year ended</w:t>
            </w:r>
          </w:p>
        </w:tc>
        <w:tc>
          <w:tcPr>
            <w:tcW w:w="172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8"/>
              </w:rPr>
              <w:t>Opening</w:t>
            </w:r>
          </w:p>
        </w:tc>
        <w:tc>
          <w:tcPr>
            <w:tcW w:w="160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Claims</w:t>
            </w:r>
          </w:p>
        </w:tc>
        <w:tc>
          <w:tcPr>
            <w:tcW w:w="1700" w:type="dxa"/>
            <w:vAlign w:val="bottom"/>
            <w:tcBorders>
              <w:top w:val="single" w:sz="8" w:color="auto"/>
              <w:right w:val="single" w:sz="8" w:color="auto"/>
            </w:tcBorders>
          </w:tcPr>
          <w:p>
            <w:pPr>
              <w:jc w:val="right"/>
              <w:ind w:right="270"/>
              <w:spacing w:after="0" w:line="194" w:lineRule="exact"/>
              <w:rPr>
                <w:sz w:val="20"/>
                <w:szCs w:val="20"/>
                <w:color w:val="auto"/>
              </w:rPr>
            </w:pPr>
            <w:r>
              <w:rPr>
                <w:rFonts w:ascii="Arial" w:cs="Arial" w:eastAsia="Arial" w:hAnsi="Arial"/>
                <w:sz w:val="18"/>
                <w:szCs w:val="18"/>
                <w:b w:val="1"/>
                <w:bCs w:val="1"/>
                <w:color w:val="auto"/>
              </w:rPr>
              <w:t>New Claims</w:t>
            </w:r>
          </w:p>
        </w:tc>
        <w:tc>
          <w:tcPr>
            <w:tcW w:w="170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Closing</w:t>
            </w:r>
          </w:p>
        </w:tc>
        <w:tc>
          <w:tcPr>
            <w:tcW w:w="170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Amounts</w:t>
            </w:r>
          </w:p>
        </w:tc>
      </w:tr>
      <w:tr>
        <w:trPr>
          <w:trHeight w:val="203"/>
        </w:trPr>
        <w:tc>
          <w:tcPr>
            <w:tcW w:w="3000" w:type="dxa"/>
            <w:vAlign w:val="bottom"/>
            <w:tcBorders>
              <w:left w:val="single" w:sz="8" w:color="auto"/>
              <w:right w:val="single" w:sz="8" w:color="auto"/>
            </w:tcBorders>
          </w:tcPr>
          <w:p>
            <w:pPr>
              <w:ind w:left="920"/>
              <w:spacing w:after="0" w:line="202" w:lineRule="exact"/>
              <w:rPr>
                <w:sz w:val="20"/>
                <w:szCs w:val="20"/>
                <w:color w:val="auto"/>
              </w:rPr>
            </w:pPr>
            <w:r>
              <w:rPr>
                <w:rFonts w:ascii="Arial" w:cs="Arial" w:eastAsia="Arial" w:hAnsi="Arial"/>
                <w:sz w:val="18"/>
                <w:szCs w:val="18"/>
                <w:b w:val="1"/>
                <w:bCs w:val="1"/>
                <w:color w:val="auto"/>
              </w:rPr>
              <w:t>December 31,</w:t>
            </w:r>
          </w:p>
        </w:tc>
        <w:tc>
          <w:tcPr>
            <w:tcW w:w="172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Number of</w:t>
            </w:r>
          </w:p>
        </w:tc>
        <w:tc>
          <w:tcPr>
            <w:tcW w:w="1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Dismissed,</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Paid (thousands)</w:t>
            </w: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Claims</w:t>
            </w:r>
          </w:p>
        </w:tc>
        <w:tc>
          <w:tcPr>
            <w:tcW w:w="1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Settled, or</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Claims</w:t>
            </w: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to Settle or</w:t>
            </w:r>
          </w:p>
        </w:tc>
      </w:tr>
      <w:tr>
        <w:trPr>
          <w:trHeight w:val="225"/>
        </w:trPr>
        <w:tc>
          <w:tcPr>
            <w:tcW w:w="300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Resolved</w:t>
            </w: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Resolve</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9,985</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642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9,566</w:t>
            </w:r>
          </w:p>
        </w:tc>
        <w:tc>
          <w:tcPr>
            <w:tcW w:w="170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2006</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9,566</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1,182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730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9,114</w:t>
            </w:r>
          </w:p>
        </w:tc>
        <w:tc>
          <w:tcPr>
            <w:tcW w:w="170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2007</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9,114</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462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8,740</w:t>
            </w:r>
          </w:p>
        </w:tc>
        <w:tc>
          <w:tcPr>
            <w:tcW w:w="170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2008</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8,740</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8,664</w:t>
            </w:r>
          </w:p>
        </w:tc>
        <w:tc>
          <w:tcPr>
            <w:tcW w:w="170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2009</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8,664</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760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7,907</w:t>
            </w:r>
          </w:p>
        </w:tc>
        <w:tc>
          <w:tcPr>
            <w:tcW w:w="170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2010</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7,907</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7,869</w:t>
            </w:r>
          </w:p>
        </w:tc>
        <w:tc>
          <w:tcPr>
            <w:tcW w:w="170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2011</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7,869</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7,877</w:t>
            </w:r>
          </w:p>
        </w:tc>
        <w:tc>
          <w:tcPr>
            <w:tcW w:w="170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2012</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7,877</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7,867</w:t>
            </w:r>
          </w:p>
        </w:tc>
        <w:tc>
          <w:tcPr>
            <w:tcW w:w="170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2013</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7,867</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7,815</w:t>
            </w:r>
          </w:p>
        </w:tc>
        <w:tc>
          <w:tcPr>
            <w:tcW w:w="170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2014</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7,815</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7,730</w:t>
            </w:r>
          </w:p>
        </w:tc>
        <w:tc>
          <w:tcPr>
            <w:tcW w:w="1700" w:type="dxa"/>
            <w:vAlign w:val="bottom"/>
            <w:tcBorders>
              <w:bottom w:val="single" w:sz="8" w:color="auto"/>
              <w:right w:val="single" w:sz="8" w:color="auto"/>
            </w:tcBorders>
          </w:tcPr>
          <w:p>
            <w:pPr>
              <w:spacing w:after="0"/>
              <w:rPr>
                <w:sz w:val="17"/>
                <w:szCs w:val="17"/>
                <w:color w:val="auto"/>
              </w:rPr>
            </w:pPr>
          </w:p>
        </w:tc>
      </w:tr>
      <w:tr>
        <w:trPr>
          <w:trHeight w:val="196"/>
        </w:trPr>
        <w:tc>
          <w:tcPr>
            <w:tcW w:w="3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As of March 31, 2015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7,730</w:t>
            </w:r>
          </w:p>
        </w:tc>
        <w:tc>
          <w:tcPr>
            <w:tcW w:w="160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7,730</w:t>
            </w:r>
          </w:p>
        </w:tc>
        <w:tc>
          <w:tcPr>
            <w:tcW w:w="1700" w:type="dxa"/>
            <w:vAlign w:val="bottom"/>
            <w:tcBorders>
              <w:bottom w:val="single" w:sz="8" w:color="auto"/>
              <w:right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r>
    </w:tbl>
    <w:p>
      <w:pPr>
        <w:spacing w:after="0" w:line="364" w:lineRule="exact"/>
        <w:rPr>
          <w:sz w:val="20"/>
          <w:szCs w:val="20"/>
          <w:color w:val="auto"/>
        </w:rPr>
      </w:pPr>
    </w:p>
    <w:p>
      <w:pPr>
        <w:ind w:right="40" w:firstLine="360"/>
        <w:spacing w:after="0" w:line="236"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March 31, 2015, Brandon has resolved, by means of settlement or dismissal, 9,875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151" w:lineRule="exact"/>
        <w:rPr>
          <w:sz w:val="20"/>
          <w:szCs w:val="20"/>
          <w:color w:val="auto"/>
        </w:rPr>
      </w:pPr>
    </w:p>
    <w:p>
      <w:pPr>
        <w:jc w:val="both"/>
        <w:ind w:right="240" w:firstLine="360"/>
        <w:spacing w:after="0"/>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149" w:lineRule="exact"/>
        <w:rPr>
          <w:sz w:val="20"/>
          <w:szCs w:val="20"/>
          <w:color w:val="auto"/>
        </w:rPr>
      </w:pPr>
    </w:p>
    <w:p>
      <w:pPr>
        <w:ind w:right="120" w:firstLine="360"/>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51" w:lineRule="exact"/>
        <w:rPr>
          <w:sz w:val="20"/>
          <w:szCs w:val="20"/>
          <w:color w:val="auto"/>
        </w:rPr>
      </w:pPr>
    </w:p>
    <w:p>
      <w:pPr>
        <w:ind w:right="360" w:firstLine="360"/>
        <w:spacing w:after="0"/>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 have been allocated to various policies, our settlement experience, the absence of any judgments against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22" w:name="page23"/>
    <w:bookmarkEnd w:id="22"/>
    <w:p>
      <w:pPr>
        <w:ind w:right="500"/>
        <w:spacing w:after="0" w:line="246" w:lineRule="auto"/>
        <w:rPr>
          <w:sz w:val="20"/>
          <w:szCs w:val="20"/>
          <w:color w:val="auto"/>
        </w:rPr>
      </w:pPr>
      <w:r>
        <w:rPr>
          <w:rFonts w:ascii="Arial" w:cs="Arial" w:eastAsia="Arial" w:hAnsi="Arial"/>
          <w:sz w:val="18"/>
          <w:szCs w:val="18"/>
          <w:color w:val="auto"/>
        </w:rPr>
        <w:t>the Company or Brandon, the ratio of paper mill claims to total claims filed, and the defenses available, we currently do not anticipate any material liability relating to the resolution of the aforementioned pending proceedings in excess of existing insurance limits.</w:t>
      </w:r>
    </w:p>
    <w:p>
      <w:pPr>
        <w:spacing w:after="0" w:line="143" w:lineRule="exact"/>
        <w:rPr>
          <w:sz w:val="20"/>
          <w:szCs w:val="20"/>
          <w:color w:val="auto"/>
        </w:rPr>
      </w:pPr>
    </w:p>
    <w:p>
      <w:pPr>
        <w:ind w:right="220" w:firstLine="360"/>
        <w:spacing w:after="0" w:line="237" w:lineRule="auto"/>
        <w:rPr>
          <w:sz w:val="20"/>
          <w:szCs w:val="20"/>
          <w:color w:val="auto"/>
        </w:rPr>
      </w:pPr>
      <w:r>
        <w:rPr>
          <w:rFonts w:ascii="Arial" w:cs="Arial" w:eastAsia="Arial" w:hAnsi="Arial"/>
          <w:sz w:val="18"/>
          <w:szCs w:val="18"/>
          <w:color w:val="auto"/>
        </w:rPr>
        <w:t>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Changes in Shareholders’ Equity</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changes in Shareholders’ Equity:</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Common</w:t>
            </w:r>
          </w:p>
        </w:tc>
        <w:tc>
          <w:tcPr>
            <w:tcW w:w="1160" w:type="dxa"/>
            <w:vAlign w:val="bottom"/>
            <w:tcBorders>
              <w:top w:val="single" w:sz="8" w:color="auto"/>
            </w:tcBorders>
            <w:vMerge w:val="restart"/>
          </w:tcPr>
          <w:p>
            <w:pPr>
              <w:jc w:val="right"/>
              <w:ind w:right="268"/>
              <w:spacing w:after="0"/>
              <w:rPr>
                <w:sz w:val="20"/>
                <w:szCs w:val="20"/>
                <w:color w:val="auto"/>
              </w:rPr>
            </w:pPr>
            <w:r>
              <w:rPr>
                <w:rFonts w:ascii="Arial" w:cs="Arial" w:eastAsia="Arial" w:hAnsi="Arial"/>
                <w:sz w:val="14"/>
                <w:szCs w:val="14"/>
                <w:b w:val="1"/>
                <w:bCs w:val="1"/>
                <w:color w:val="auto"/>
              </w:rPr>
              <w:t>Additional</w:t>
            </w:r>
          </w:p>
        </w:tc>
        <w:tc>
          <w:tcPr>
            <w:tcW w:w="10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Accumulated</w:t>
            </w:r>
          </w:p>
        </w:tc>
        <w:tc>
          <w:tcPr>
            <w:tcW w:w="10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vMerge w:val="restart"/>
          </w:tcPr>
          <w:p>
            <w:pPr>
              <w:jc w:val="center"/>
              <w:ind w:right="28"/>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1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0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Retained</w:t>
            </w:r>
          </w:p>
        </w:tc>
        <w:tc>
          <w:tcPr>
            <w:tcW w:w="142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items of other</w:t>
            </w:r>
          </w:p>
        </w:tc>
        <w:tc>
          <w:tcPr>
            <w:tcW w:w="10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Treasury</w:t>
            </w:r>
          </w:p>
        </w:tc>
        <w:tc>
          <w:tcPr>
            <w:tcW w:w="12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Noncontrolling</w:t>
            </w:r>
          </w:p>
        </w:tc>
        <w:tc>
          <w:tcPr>
            <w:tcW w:w="118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180" w:type="dxa"/>
            <w:vAlign w:val="bottom"/>
          </w:tcPr>
          <w:p>
            <w:pPr>
              <w:spacing w:after="0"/>
              <w:rPr>
                <w:sz w:val="7"/>
                <w:szCs w:val="7"/>
                <w:color w:val="auto"/>
              </w:rPr>
            </w:pPr>
          </w:p>
        </w:tc>
        <w:tc>
          <w:tcPr>
            <w:tcW w:w="11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Stock Class</w:t>
            </w:r>
          </w:p>
        </w:tc>
        <w:tc>
          <w:tcPr>
            <w:tcW w:w="11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paid in</w:t>
            </w:r>
          </w:p>
        </w:tc>
        <w:tc>
          <w:tcPr>
            <w:tcW w:w="100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81"/>
        </w:trPr>
        <w:tc>
          <w:tcPr>
            <w:tcW w:w="31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0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earnings</w:t>
            </w:r>
          </w:p>
        </w:tc>
        <w:tc>
          <w:tcPr>
            <w:tcW w:w="142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comprehensive</w:t>
            </w:r>
          </w:p>
        </w:tc>
        <w:tc>
          <w:tcPr>
            <w:tcW w:w="10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stock</w:t>
            </w:r>
          </w:p>
        </w:tc>
        <w:tc>
          <w:tcPr>
            <w:tcW w:w="12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Interest</w:t>
            </w:r>
          </w:p>
        </w:tc>
        <w:tc>
          <w:tcPr>
            <w:tcW w:w="12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180" w:type="dxa"/>
            <w:vAlign w:val="bottom"/>
          </w:tcPr>
          <w:p>
            <w:pPr>
              <w:spacing w:after="0"/>
              <w:rPr>
                <w:sz w:val="7"/>
                <w:szCs w:val="7"/>
                <w:color w:val="auto"/>
              </w:rPr>
            </w:pPr>
          </w:p>
        </w:tc>
        <w:tc>
          <w:tcPr>
            <w:tcW w:w="11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A and B</w:t>
            </w:r>
          </w:p>
        </w:tc>
        <w:tc>
          <w:tcPr>
            <w:tcW w:w="11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capital</w:t>
            </w:r>
          </w:p>
        </w:tc>
        <w:tc>
          <w:tcPr>
            <w:tcW w:w="100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09"/>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42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income</w:t>
            </w:r>
          </w:p>
        </w:tc>
        <w:tc>
          <w:tcPr>
            <w:tcW w:w="10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180" w:type="dxa"/>
            <w:vAlign w:val="bottom"/>
            <w:tcBorders>
              <w:bottom w:val="single" w:sz="8" w:color="auto"/>
            </w:tcBorders>
            <w:vMerge w:val="continue"/>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vMerge w:val="continue"/>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1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December 31, 2014</w:t>
            </w:r>
          </w:p>
        </w:tc>
        <w:tc>
          <w:tcPr>
            <w:tcW w:w="11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$40</w:t>
            </w:r>
          </w:p>
        </w:tc>
        <w:tc>
          <w:tcPr>
            <w:tcW w:w="11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$418,972</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$456,105</w:t>
            </w:r>
          </w:p>
        </w:tc>
        <w:tc>
          <w:tcPr>
            <w:tcW w:w="14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($107,767)</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($257,481)</w:t>
            </w: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$3,699</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$513,568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180" w:type="dxa"/>
            <w:vAlign w:val="bottom"/>
          </w:tcPr>
          <w:p>
            <w:pPr>
              <w:spacing w:after="0"/>
              <w:rPr>
                <w:sz w:val="20"/>
                <w:szCs w:val="20"/>
                <w:color w:val="auto"/>
              </w:rPr>
            </w:pPr>
            <w:r>
              <w:rPr>
                <w:rFonts w:ascii="Arial" w:cs="Arial" w:eastAsia="Arial" w:hAnsi="Arial"/>
                <w:sz w:val="14"/>
                <w:szCs w:val="14"/>
                <w:color w:val="auto"/>
              </w:rPr>
              <w:t>Compensation and benefits paid or payable in</w:t>
            </w:r>
          </w:p>
        </w:tc>
        <w:tc>
          <w:tcPr>
            <w:tcW w:w="1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80" w:type="dxa"/>
            <w:vAlign w:val="bottom"/>
          </w:tcPr>
          <w:p>
            <w:pPr>
              <w:spacing w:after="0" w:line="144" w:lineRule="exact"/>
              <w:rPr>
                <w:sz w:val="20"/>
                <w:szCs w:val="20"/>
                <w:color w:val="auto"/>
              </w:rPr>
            </w:pPr>
            <w:r>
              <w:rPr>
                <w:rFonts w:ascii="Arial" w:cs="Arial" w:eastAsia="Arial" w:hAnsi="Arial"/>
                <w:sz w:val="14"/>
                <w:szCs w:val="14"/>
                <w:color w:val="auto"/>
              </w:rPr>
              <w:t>shares</w:t>
            </w:r>
          </w:p>
        </w:tc>
        <w:tc>
          <w:tcPr>
            <w:tcW w:w="1160" w:type="dxa"/>
            <w:vAlign w:val="bottom"/>
          </w:tcPr>
          <w:p>
            <w:pPr>
              <w:jc w:val="right"/>
              <w:ind w:right="28"/>
              <w:spacing w:after="0" w:line="144"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line="144" w:lineRule="exact"/>
              <w:rPr>
                <w:sz w:val="20"/>
                <w:szCs w:val="20"/>
                <w:color w:val="auto"/>
              </w:rPr>
            </w:pPr>
            <w:r>
              <w:rPr>
                <w:rFonts w:ascii="Arial" w:cs="Arial" w:eastAsia="Arial" w:hAnsi="Arial"/>
                <w:sz w:val="14"/>
                <w:szCs w:val="14"/>
                <w:color w:val="auto"/>
              </w:rPr>
              <w:t>575</w:t>
            </w:r>
          </w:p>
        </w:tc>
        <w:tc>
          <w:tcPr>
            <w:tcW w:w="1000" w:type="dxa"/>
            <w:vAlign w:val="bottom"/>
          </w:tcPr>
          <w:p>
            <w:pPr>
              <w:jc w:val="right"/>
              <w:ind w:right="28"/>
              <w:spacing w:after="0" w:line="144" w:lineRule="exact"/>
              <w:rPr>
                <w:sz w:val="20"/>
                <w:szCs w:val="20"/>
                <w:color w:val="auto"/>
              </w:rPr>
            </w:pPr>
            <w:r>
              <w:rPr>
                <w:rFonts w:ascii="Arial" w:cs="Arial" w:eastAsia="Arial" w:hAnsi="Arial"/>
                <w:sz w:val="14"/>
                <w:szCs w:val="14"/>
                <w:color w:val="auto"/>
              </w:rPr>
              <w:t>-</w:t>
            </w:r>
          </w:p>
        </w:tc>
        <w:tc>
          <w:tcPr>
            <w:tcW w:w="1420" w:type="dxa"/>
            <w:vAlign w:val="bottom"/>
            <w:vMerge w:val="continue"/>
          </w:tcPr>
          <w:p>
            <w:pPr>
              <w:spacing w:after="0"/>
              <w:rPr>
                <w:sz w:val="12"/>
                <w:szCs w:val="12"/>
                <w:color w:val="auto"/>
              </w:rPr>
            </w:pPr>
          </w:p>
        </w:tc>
        <w:tc>
          <w:tcPr>
            <w:tcW w:w="1060" w:type="dxa"/>
            <w:vAlign w:val="bottom"/>
          </w:tcPr>
          <w:p>
            <w:pPr>
              <w:jc w:val="right"/>
              <w:ind w:right="8"/>
              <w:spacing w:after="0" w:line="144" w:lineRule="exact"/>
              <w:rPr>
                <w:sz w:val="20"/>
                <w:szCs w:val="20"/>
                <w:color w:val="auto"/>
              </w:rPr>
            </w:pPr>
            <w:r>
              <w:rPr>
                <w:rFonts w:ascii="Arial" w:cs="Arial" w:eastAsia="Arial" w:hAnsi="Arial"/>
                <w:sz w:val="14"/>
                <w:szCs w:val="14"/>
                <w:color w:val="auto"/>
              </w:rPr>
              <w:t>-</w:t>
            </w:r>
          </w:p>
        </w:tc>
        <w:tc>
          <w:tcPr>
            <w:tcW w:w="126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44" w:lineRule="exact"/>
              <w:rPr>
                <w:sz w:val="20"/>
                <w:szCs w:val="20"/>
                <w:color w:val="auto"/>
              </w:rPr>
            </w:pPr>
            <w:r>
              <w:rPr>
                <w:rFonts w:ascii="Arial" w:cs="Arial" w:eastAsia="Arial" w:hAnsi="Arial"/>
                <w:sz w:val="14"/>
                <w:szCs w:val="14"/>
                <w:color w:val="auto"/>
              </w:rPr>
              <w:t>575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Options exercised</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946</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Net income attributable to the Company</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12,213</w:t>
            </w:r>
          </w:p>
        </w:tc>
        <w:tc>
          <w:tcPr>
            <w:tcW w:w="14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26</w:t>
            </w:r>
          </w:p>
        </w:tc>
        <w:tc>
          <w:tcPr>
            <w:tcW w:w="1180" w:type="dxa"/>
            <w:vAlign w:val="bottom"/>
          </w:tcPr>
          <w:p>
            <w:pPr>
              <w:jc w:val="right"/>
              <w:spacing w:after="0"/>
              <w:rPr>
                <w:sz w:val="20"/>
                <w:szCs w:val="20"/>
                <w:color w:val="auto"/>
              </w:rPr>
            </w:pPr>
            <w:r>
              <w:rPr>
                <w:rFonts w:ascii="Arial" w:cs="Arial" w:eastAsia="Arial" w:hAnsi="Arial"/>
                <w:sz w:val="14"/>
                <w:szCs w:val="14"/>
                <w:color w:val="auto"/>
              </w:rPr>
              <w:t>12,239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Dividends declared</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(5,080)</w:t>
            </w:r>
          </w:p>
        </w:tc>
        <w:tc>
          <w:tcPr>
            <w:tcW w:w="14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(5,080)</w:t>
            </w:r>
          </w:p>
        </w:tc>
        <w:tc>
          <w:tcPr>
            <w:tcW w:w="0" w:type="dxa"/>
            <w:vAlign w:val="bottom"/>
          </w:tcPr>
          <w:p>
            <w:pPr>
              <w:spacing w:after="0"/>
              <w:rPr>
                <w:sz w:val="1"/>
                <w:szCs w:val="1"/>
                <w:color w:val="auto"/>
              </w:rPr>
            </w:pPr>
          </w:p>
        </w:tc>
      </w:tr>
      <w:tr>
        <w:trPr>
          <w:trHeight w:val="189"/>
        </w:trPr>
        <w:tc>
          <w:tcPr>
            <w:tcW w:w="3180" w:type="dxa"/>
            <w:vAlign w:val="bottom"/>
          </w:tcPr>
          <w:p>
            <w:pPr>
              <w:spacing w:after="0"/>
              <w:rPr>
                <w:sz w:val="20"/>
                <w:szCs w:val="20"/>
                <w:color w:val="auto"/>
              </w:rPr>
            </w:pPr>
            <w:r>
              <w:rPr>
                <w:rFonts w:ascii="Arial" w:cs="Arial" w:eastAsia="Arial" w:hAnsi="Arial"/>
                <w:sz w:val="14"/>
                <w:szCs w:val="14"/>
                <w:color w:val="auto"/>
              </w:rPr>
              <w:t>Cumulative translation adjustments</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b w:val="1"/>
                <w:bCs w:val="1"/>
                <w:color w:val="auto"/>
              </w:rPr>
              <w:t>(37,413)</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(37,412)</w:t>
            </w:r>
          </w:p>
        </w:tc>
        <w:tc>
          <w:tcPr>
            <w:tcW w:w="0" w:type="dxa"/>
            <w:vAlign w:val="bottom"/>
          </w:tcPr>
          <w:p>
            <w:pPr>
              <w:spacing w:after="0"/>
              <w:rPr>
                <w:sz w:val="1"/>
                <w:szCs w:val="1"/>
                <w:color w:val="auto"/>
              </w:rPr>
            </w:pPr>
          </w:p>
        </w:tc>
      </w:tr>
      <w:tr>
        <w:trPr>
          <w:trHeight w:val="176"/>
        </w:trPr>
        <w:tc>
          <w:tcPr>
            <w:tcW w:w="3180" w:type="dxa"/>
            <w:vAlign w:val="bottom"/>
          </w:tcPr>
          <w:p>
            <w:pPr>
              <w:spacing w:after="0"/>
              <w:rPr>
                <w:sz w:val="20"/>
                <w:szCs w:val="20"/>
                <w:color w:val="auto"/>
              </w:rPr>
            </w:pPr>
            <w:r>
              <w:rPr>
                <w:rFonts w:ascii="Arial" w:cs="Arial" w:eastAsia="Arial" w:hAnsi="Arial"/>
                <w:sz w:val="14"/>
                <w:szCs w:val="14"/>
                <w:color w:val="auto"/>
              </w:rPr>
              <w:t>Pension and postretirement liability adjustments</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8"/>
              <w:spacing w:after="0"/>
              <w:rPr>
                <w:sz w:val="20"/>
                <w:szCs w:val="20"/>
                <w:color w:val="auto"/>
              </w:rPr>
            </w:pPr>
            <w:r>
              <w:rPr>
                <w:rFonts w:ascii="Arial" w:cs="Arial" w:eastAsia="Arial" w:hAnsi="Arial"/>
                <w:sz w:val="14"/>
                <w:szCs w:val="14"/>
                <w:b w:val="1"/>
                <w:bCs w:val="1"/>
                <w:color w:val="auto"/>
              </w:rPr>
              <w:t>1,987</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1,987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spacing w:after="0"/>
              <w:rPr>
                <w:sz w:val="20"/>
                <w:szCs w:val="20"/>
                <w:color w:val="auto"/>
              </w:rPr>
            </w:pPr>
            <w:r>
              <w:rPr>
                <w:rFonts w:ascii="Arial" w:cs="Arial" w:eastAsia="Arial" w:hAnsi="Arial"/>
                <w:sz w:val="14"/>
                <w:szCs w:val="14"/>
                <w:color w:val="auto"/>
              </w:rPr>
              <w:t>Derivative valuation adjustment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b w:val="1"/>
                <w:bCs w:val="1"/>
                <w:color w:val="auto"/>
              </w:rPr>
              <w:t>(379)</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196"/>
        </w:trPr>
        <w:tc>
          <w:tcPr>
            <w:tcW w:w="3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March 31, 2015</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$40</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$420,493</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$463,238</w:t>
            </w:r>
          </w:p>
        </w:tc>
        <w:tc>
          <w:tcPr>
            <w:tcW w:w="14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($143,572)</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($257,481)</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$3,726</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$486,444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Recent Accounting Pronouncements</w:t>
      </w:r>
    </w:p>
    <w:p>
      <w:pPr>
        <w:spacing w:after="0" w:line="382" w:lineRule="exact"/>
        <w:rPr>
          <w:sz w:val="20"/>
          <w:szCs w:val="20"/>
          <w:color w:val="auto"/>
        </w:rPr>
      </w:pPr>
    </w:p>
    <w:p>
      <w:pPr>
        <w:ind w:right="320" w:firstLine="360"/>
        <w:spacing w:after="0"/>
        <w:rPr>
          <w:sz w:val="20"/>
          <w:szCs w:val="20"/>
          <w:color w:val="auto"/>
        </w:rPr>
      </w:pPr>
      <w:r>
        <w:rPr>
          <w:rFonts w:ascii="Arial" w:cs="Arial" w:eastAsia="Arial" w:hAnsi="Arial"/>
          <w:sz w:val="18"/>
          <w:szCs w:val="18"/>
          <w:color w:val="auto"/>
        </w:rPr>
        <w:t>In April 2014, an accounting update was issued regarding which disposals qualify for reporting as discontinued operations. Additionally, new disclosures will apply for discontinued operations. This accounting update was adopted in 2015 and had no effect on our financial statements.</w:t>
      </w:r>
    </w:p>
    <w:p>
      <w:pPr>
        <w:spacing w:after="0" w:line="149" w:lineRule="exact"/>
        <w:rPr>
          <w:sz w:val="20"/>
          <w:szCs w:val="20"/>
          <w:color w:val="auto"/>
        </w:rPr>
      </w:pPr>
    </w:p>
    <w:p>
      <w:pPr>
        <w:ind w:right="20" w:firstLine="360"/>
        <w:spacing w:after="0"/>
        <w:rPr>
          <w:sz w:val="20"/>
          <w:szCs w:val="20"/>
          <w:color w:val="auto"/>
        </w:rPr>
      </w:pPr>
      <w:r>
        <w:rPr>
          <w:rFonts w:ascii="Arial" w:cs="Arial" w:eastAsia="Arial" w:hAnsi="Arial"/>
          <w:sz w:val="18"/>
          <w:szCs w:val="18"/>
          <w:color w:val="auto"/>
        </w:rPr>
        <w:t>In June 2014, an accounting update was issued that replaces the existing revenue recognition framework regarding contracts with customers. In April 2015, the FASB proposed a one year delay in the required adoption date. We have not determined the impact of this update on our financial statements.</w:t>
      </w:r>
    </w:p>
    <w:p>
      <w:pPr>
        <w:spacing w:after="0" w:line="149" w:lineRule="exact"/>
        <w:rPr>
          <w:sz w:val="20"/>
          <w:szCs w:val="20"/>
          <w:color w:val="auto"/>
        </w:rPr>
      </w:pPr>
    </w:p>
    <w:p>
      <w:pPr>
        <w:ind w:right="180" w:firstLine="360"/>
        <w:spacing w:after="0"/>
        <w:rPr>
          <w:sz w:val="20"/>
          <w:szCs w:val="20"/>
          <w:color w:val="auto"/>
        </w:rPr>
      </w:pPr>
      <w:r>
        <w:rPr>
          <w:rFonts w:ascii="Arial" w:cs="Arial" w:eastAsia="Arial" w:hAnsi="Arial"/>
          <w:sz w:val="18"/>
          <w:szCs w:val="18"/>
          <w:color w:val="auto"/>
        </w:rPr>
        <w:t>In June 2014, an accounting update was issued relating to accounting for share-based payments with a performance target that could be achieved after the requisite service period. The adoption of this accounting guidance will be effective for reporting periods beginning after December 15, 2015. We do not expect the adoption of this update to have a significant effect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3" w:name="page24"/>
    <w:bookmarkEnd w:id="23"/>
    <w:p>
      <w:pPr>
        <w:ind w:right="220" w:firstLine="360"/>
        <w:spacing w:after="0"/>
        <w:rPr>
          <w:sz w:val="20"/>
          <w:szCs w:val="20"/>
          <w:color w:val="auto"/>
        </w:rPr>
      </w:pPr>
      <w:r>
        <w:rPr>
          <w:rFonts w:ascii="Arial" w:cs="Arial" w:eastAsia="Arial" w:hAnsi="Arial"/>
          <w:sz w:val="18"/>
          <w:szCs w:val="18"/>
          <w:color w:val="auto"/>
        </w:rPr>
        <w:t>In August 2014, an accounting update was issued relating to how management assesses conditions and events that could raise substantial doubt about an entity’s ability to continue as a going concern. This accounting update is effective for reporting periods beginning after December 15, 2016. We do not expect the adoption of this update to have a significant effect on our financial statements.</w:t>
      </w:r>
    </w:p>
    <w:p>
      <w:pPr>
        <w:spacing w:after="0" w:line="149" w:lineRule="exact"/>
        <w:rPr>
          <w:sz w:val="20"/>
          <w:szCs w:val="20"/>
          <w:color w:val="auto"/>
        </w:rPr>
      </w:pPr>
    </w:p>
    <w:p>
      <w:pPr>
        <w:ind w:right="120" w:firstLine="360"/>
        <w:spacing w:after="0" w:line="238" w:lineRule="auto"/>
        <w:rPr>
          <w:sz w:val="20"/>
          <w:szCs w:val="20"/>
          <w:color w:val="auto"/>
        </w:rPr>
      </w:pPr>
      <w:r>
        <w:rPr>
          <w:rFonts w:ascii="Arial" w:cs="Arial" w:eastAsia="Arial" w:hAnsi="Arial"/>
          <w:sz w:val="18"/>
          <w:szCs w:val="18"/>
          <w:color w:val="auto"/>
        </w:rPr>
        <w:t>In January 2015, an accounting update was issued which simplifies the income statement presentation by eliminating the concept of extraordinary items from U.S. GAAP. The concept of separately presenting an extraordinary item after income from continuing operations will no longer be required. This accounting update is effective for reporting periods beginning after December 15, 2015. We do not expect this update to have a significant effect on our financial statements, absent any future transactions that would have qualified for extraordinary item presentation under the prior guidance.</w:t>
      </w:r>
    </w:p>
    <w:p>
      <w:pPr>
        <w:spacing w:after="0" w:line="149" w:lineRule="exact"/>
        <w:rPr>
          <w:sz w:val="20"/>
          <w:szCs w:val="20"/>
          <w:color w:val="auto"/>
        </w:rPr>
      </w:pPr>
    </w:p>
    <w:p>
      <w:pPr>
        <w:ind w:right="120" w:firstLine="360"/>
        <w:spacing w:after="0" w:line="239" w:lineRule="auto"/>
        <w:rPr>
          <w:sz w:val="20"/>
          <w:szCs w:val="20"/>
          <w:color w:val="auto"/>
        </w:rPr>
      </w:pPr>
      <w:r>
        <w:rPr>
          <w:rFonts w:ascii="Arial" w:cs="Arial" w:eastAsia="Arial" w:hAnsi="Arial"/>
          <w:sz w:val="18"/>
          <w:szCs w:val="18"/>
          <w:color w:val="auto"/>
        </w:rPr>
        <w:t>In February 2015, amended accounting guidance was issued which changes the evaluation of variable interest entities (VIE) regarding whether they should consolidate limited partnerships and similar entities, or whether fees are paid to a decision maker or service provider, or whether they are held by related parties. This accounting update is effective for reporting periods beginning after December 15, 2015. We do not expect the adoption of this update to have a significant effect on our financial statements.</w:t>
      </w:r>
    </w:p>
    <w:p>
      <w:pPr>
        <w:spacing w:after="0" w:line="148" w:lineRule="exact"/>
        <w:rPr>
          <w:sz w:val="20"/>
          <w:szCs w:val="20"/>
          <w:color w:val="auto"/>
        </w:rPr>
      </w:pPr>
    </w:p>
    <w:p>
      <w:pPr>
        <w:ind w:firstLine="360"/>
        <w:spacing w:after="0"/>
        <w:rPr>
          <w:sz w:val="20"/>
          <w:szCs w:val="20"/>
          <w:color w:val="auto"/>
        </w:rPr>
      </w:pPr>
      <w:r>
        <w:rPr>
          <w:rFonts w:ascii="Arial" w:cs="Arial" w:eastAsia="Arial" w:hAnsi="Arial"/>
          <w:sz w:val="18"/>
          <w:szCs w:val="18"/>
          <w:color w:val="auto"/>
        </w:rPr>
        <w:t>In April 2015, an accounting update was issued which requires that debt issuance costs related to a recognized debt liability be presented in the balance sheet as a direct deduction of that debt, which will result in a minor netting down of our assets and liabilities. This accounting update is effective January 1, 2016; early adoption is permitted.</w:t>
      </w:r>
    </w:p>
    <w:p>
      <w:pPr>
        <w:spacing w:after="0" w:line="149" w:lineRule="exact"/>
        <w:rPr>
          <w:sz w:val="20"/>
          <w:szCs w:val="20"/>
          <w:color w:val="auto"/>
        </w:rPr>
      </w:pPr>
    </w:p>
    <w:p>
      <w:pPr>
        <w:ind w:right="40" w:firstLine="360"/>
        <w:spacing w:after="0" w:line="239" w:lineRule="auto"/>
        <w:rPr>
          <w:sz w:val="20"/>
          <w:szCs w:val="20"/>
          <w:color w:val="auto"/>
        </w:rPr>
      </w:pPr>
      <w:r>
        <w:rPr>
          <w:rFonts w:ascii="Arial" w:cs="Arial" w:eastAsia="Arial" w:hAnsi="Arial"/>
          <w:sz w:val="18"/>
          <w:szCs w:val="18"/>
          <w:color w:val="auto"/>
        </w:rPr>
        <w:t>In April 2015, an accounting update was issued which clarifies that if a license is acquired as part of fees paid in a cloud computing arrangement, then the license should be accounted for in the same manner as other software licenses. This accounting update is effective for reporting periods beginning after January 1, 2016. We do not expect the adoption of this update to have a significant effect on our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0" w:lineRule="exact"/>
        <w:rPr>
          <w:sz w:val="20"/>
          <w:szCs w:val="20"/>
          <w:color w:val="auto"/>
        </w:rPr>
      </w:pPr>
    </w:p>
    <w:p>
      <w:pPr>
        <w:ind w:right="580" w:firstLine="360"/>
        <w:spacing w:after="0"/>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0" w:lineRule="exact"/>
        <w:rPr>
          <w:sz w:val="20"/>
          <w:szCs w:val="20"/>
          <w:color w:val="auto"/>
        </w:rPr>
      </w:pPr>
    </w:p>
    <w:p>
      <w:pPr>
        <w:ind w:firstLine="360"/>
        <w:spacing w:after="0" w:line="237"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“intend,” “estimate,” “anticipate,” ”may,” “plan,” “project,” “will,” “should” and variations of such words or similar expressions are intended, but are not the exclusive means, to identify forward-looking statements. Because forward-looking statements are subject to risks and uncertainties, (including, without limitation, those set forth in the Company’s most recent Annual Report on Form 10-K or prior Quarterly Reports on Form 10-Q) actual results may differ materially from those expressed or implied by the forward-looking statements.</w:t>
      </w: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679" w:right="359" w:bottom="1440" w:gutter="0" w:footer="0" w:header="0"/>
        </w:sectPr>
      </w:pPr>
    </w:p>
    <w:bookmarkStart w:id="24" w:name="page25"/>
    <w:bookmarkEnd w:id="24"/>
    <w:p>
      <w:pPr>
        <w:ind w:right="80" w:firstLine="360"/>
        <w:spacing w:after="0" w:line="246"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143" w:lineRule="exact"/>
        <w:rPr>
          <w:sz w:val="20"/>
          <w:szCs w:val="20"/>
          <w:color w:val="auto"/>
        </w:rPr>
      </w:pPr>
    </w:p>
    <w:p>
      <w:pPr>
        <w:ind w:left="720" w:right="220" w:hanging="361"/>
        <w:spacing w:after="0" w:line="246"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segment competes, including the paper industry, along with general risks associated with economic downturns;</w:t>
      </w:r>
    </w:p>
    <w:p>
      <w:pPr>
        <w:spacing w:after="0" w:line="142" w:lineRule="exact"/>
        <w:rPr>
          <w:rFonts w:ascii="Arial" w:cs="Arial" w:eastAsia="Arial" w:hAnsi="Arial"/>
          <w:sz w:val="18"/>
          <w:szCs w:val="18"/>
          <w:color w:val="auto"/>
        </w:rPr>
      </w:pPr>
    </w:p>
    <w:p>
      <w:pPr>
        <w:ind w:left="720" w:right="80" w:hanging="361"/>
        <w:spacing w:after="0" w:line="246"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Recent declines in demand for paper in certain regions and market segments could continue at a rate that is greater than anticipated, and growth in demand in other segments or regions could be lower or slower than anticipated;</w:t>
      </w:r>
    </w:p>
    <w:p>
      <w:pPr>
        <w:spacing w:after="0" w:line="142" w:lineRule="exact"/>
        <w:rPr>
          <w:rFonts w:ascii="Arial" w:cs="Arial" w:eastAsia="Arial" w:hAnsi="Arial"/>
          <w:sz w:val="18"/>
          <w:szCs w:val="18"/>
          <w:color w:val="auto"/>
        </w:rPr>
      </w:pPr>
    </w:p>
    <w:p>
      <w:pPr>
        <w:ind w:left="720" w:hanging="361"/>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171" w:lineRule="exact"/>
        <w:rPr>
          <w:sz w:val="20"/>
          <w:szCs w:val="20"/>
          <w:color w:val="auto"/>
        </w:rPr>
      </w:pPr>
    </w:p>
    <w:p>
      <w:pPr>
        <w:ind w:right="40" w:firstLine="360"/>
        <w:spacing w:after="0" w:line="252" w:lineRule="auto"/>
        <w:rPr>
          <w:sz w:val="20"/>
          <w:szCs w:val="20"/>
          <w:color w:val="auto"/>
        </w:rPr>
      </w:pPr>
      <w:r>
        <w:rPr>
          <w:rFonts w:ascii="Arial" w:cs="Arial" w:eastAsia="Arial" w:hAnsi="Arial"/>
          <w:sz w:val="17"/>
          <w:szCs w:val="17"/>
          <w:color w:val="auto"/>
        </w:rPr>
        <w:t>Further information concerning important factors that could cause actual events or results to be materially different from the forward-looking statements can be found in “Business Environment and Trends” section of this quarterly report, as well as in the “Risk Factors”, section of our most recent Annual Report on Form 10-K. While we believe such assessments to have a reasonable basis, such assessments are, by their nature, inherently uncertain. This report sets forth a number of assumptions regarding these assessments, including projected timing and volume of demand for aircraft and for LEAP aircraft engines. Such assumptions could prove incorrect. Although we believe the expectations reflected in our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138" w:lineRule="exact"/>
        <w:rPr>
          <w:sz w:val="20"/>
          <w:szCs w:val="20"/>
          <w:color w:val="auto"/>
        </w:rPr>
      </w:pPr>
    </w:p>
    <w:p>
      <w:pPr>
        <w:jc w:val="both"/>
        <w:ind w:right="120" w:firstLine="360"/>
        <w:spacing w:after="0"/>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0" w:lineRule="exact"/>
        <w:rPr>
          <w:sz w:val="20"/>
          <w:szCs w:val="20"/>
          <w:color w:val="auto"/>
        </w:rPr>
      </w:pPr>
    </w:p>
    <w:p>
      <w:pPr>
        <w:ind w:firstLine="360"/>
        <w:spacing w:after="0"/>
        <w:rPr>
          <w:sz w:val="20"/>
          <w:szCs w:val="20"/>
          <w:color w:val="auto"/>
        </w:rPr>
      </w:pPr>
      <w:r>
        <w:rPr>
          <w:rFonts w:ascii="Arial" w:cs="Arial" w:eastAsia="Arial" w:hAnsi="Arial"/>
          <w:sz w:val="18"/>
          <w:szCs w:val="18"/>
          <w:color w:val="auto"/>
        </w:rPr>
        <w:t>Our reportable segments: Machine Clothing (MC) and Albany Engineered Composites (AEC) draw on many of the same advanced textiles and materials processing capabilities, and compete on the basis of proprietary, product-based advantage that is grounded in those core capabilities. As a result, technology and manufacturing advances in one tend to benefit the other.</w:t>
      </w:r>
    </w:p>
    <w:p>
      <w:pPr>
        <w:spacing w:after="0" w:line="149" w:lineRule="exact"/>
        <w:rPr>
          <w:sz w:val="20"/>
          <w:szCs w:val="20"/>
          <w:color w:val="auto"/>
        </w:rPr>
      </w:pPr>
    </w:p>
    <w:p>
      <w:pPr>
        <w:ind w:right="60" w:firstLine="360"/>
        <w:spacing w:after="0" w:line="236" w:lineRule="auto"/>
        <w:rPr>
          <w:sz w:val="20"/>
          <w:szCs w:val="20"/>
          <w:color w:val="auto"/>
        </w:rPr>
      </w:pPr>
      <w:r>
        <w:rPr>
          <w:rFonts w:ascii="Arial" w:cs="Arial" w:eastAsia="Arial" w:hAnsi="Arial"/>
          <w:sz w:val="18"/>
          <w:szCs w:val="18"/>
          <w:color w:val="auto"/>
        </w:rPr>
        <w:t>The Machine Clothing segment is the Company’s long-established core business and primary generator of cash. While the paper and paperboard industry in our traditional geographic markets has suffered from well-documented overcapacity in publication grades, especially newsprint, the industry is still expected to grow on a global basis, driven by demand for packaging and tissue grades, as well as the expansion of paper consumption and production in Asia and South America. We feel we are now well-positioned in these markets, with high-quality, low-cost production in growth markets, substantially lower fixed costs in mature markets, and continued strength in new product development, field services, and manufacturing technology. Although we consider the market for Machine Clothing as having flat growth potential, the business has been a significant generator of cash, and we seek to maintain the cash-generating potential of this business by maintaining the low costs that we achieved</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79" w:right="279" w:bottom="1440" w:gutter="0" w:footer="0" w:header="0"/>
        </w:sectPr>
      </w:pPr>
    </w:p>
    <w:bookmarkStart w:id="25" w:name="page26"/>
    <w:bookmarkEnd w:id="25"/>
    <w:p>
      <w:pPr>
        <w:ind w:right="680"/>
        <w:spacing w:after="0" w:line="246" w:lineRule="auto"/>
        <w:rPr>
          <w:sz w:val="20"/>
          <w:szCs w:val="20"/>
          <w:color w:val="auto"/>
        </w:rPr>
      </w:pPr>
      <w:r>
        <w:rPr>
          <w:rFonts w:ascii="Arial" w:cs="Arial" w:eastAsia="Arial" w:hAnsi="Arial"/>
          <w:sz w:val="18"/>
          <w:szCs w:val="18"/>
          <w:color w:val="auto"/>
        </w:rPr>
        <w:t>through restructuring, and competing vigorously by using our differentiated products and services to reduce our customers’ total cost of operation and improve their paper quality.</w:t>
      </w:r>
    </w:p>
    <w:p>
      <w:pPr>
        <w:spacing w:after="0" w:line="143" w:lineRule="exact"/>
        <w:rPr>
          <w:sz w:val="20"/>
          <w:szCs w:val="20"/>
          <w:color w:val="auto"/>
        </w:rPr>
      </w:pPr>
    </w:p>
    <w:p>
      <w:pPr>
        <w:ind w:right="80" w:firstLine="360"/>
        <w:spacing w:after="0" w:line="236" w:lineRule="auto"/>
        <w:rPr>
          <w:sz w:val="20"/>
          <w:szCs w:val="20"/>
          <w:color w:val="auto"/>
        </w:rPr>
      </w:pPr>
      <w:r>
        <w:rPr>
          <w:rFonts w:ascii="Arial" w:cs="Arial" w:eastAsia="Arial" w:hAnsi="Arial"/>
          <w:sz w:val="18"/>
          <w:szCs w:val="18"/>
          <w:color w:val="auto"/>
        </w:rPr>
        <w:t>We believe that AEC provides the greatest growth potential, both near and long term, for our Company. Our strategy is to grow organically by focusing our proprietary technology on high-value aerospace and defense applications that cannot be served effectively by conventional composites. We are also pursuing opportunities outside of aerospace, such as applications for the automotive industry. AEC (including Albany Safran Composites, LLC (“ASC”), in which our customer SAFRAN Group owns a 10 percent noncontrolling interest) supplies a number of customers in the aerospace industry. AEC’s largest aerospace customer is the SAFRAN Group. Through ASC, AEC develops and sells composite aerospace components to SAFRAN, with the most significant program at present being the production of fan blades and other components for the LEAP engine. AEC (through ASC and otherwise) is also developing other new and potentially significant composite products for aerospace (engine and airframe) applications.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20" w:type="dxa"/>
            <w:vAlign w:val="bottom"/>
            <w:tcBorders>
              <w:top w:val="single" w:sz="8" w:color="auto"/>
            </w:tcBorders>
          </w:tcPr>
          <w:p>
            <w:pPr>
              <w:spacing w:after="0"/>
              <w:rPr>
                <w:sz w:val="16"/>
                <w:szCs w:val="16"/>
                <w:color w:val="auto"/>
              </w:rPr>
            </w:pPr>
          </w:p>
        </w:tc>
        <w:tc>
          <w:tcPr>
            <w:tcW w:w="5020" w:type="dxa"/>
            <w:vAlign w:val="bottom"/>
            <w:tcBorders>
              <w:top w:val="single" w:sz="8" w:color="auto"/>
            </w:tcBorders>
            <w:gridSpan w:val="2"/>
          </w:tcPr>
          <w:p>
            <w:pPr>
              <w:jc w:val="right"/>
              <w:ind w:right="1150"/>
              <w:spacing w:after="0" w:line="194" w:lineRule="exact"/>
              <w:rPr>
                <w:sz w:val="20"/>
                <w:szCs w:val="20"/>
                <w:color w:val="auto"/>
              </w:rPr>
            </w:pPr>
            <w:r>
              <w:rPr>
                <w:rFonts w:ascii="Arial" w:cs="Arial" w:eastAsia="Arial" w:hAnsi="Arial"/>
                <w:sz w:val="18"/>
                <w:szCs w:val="18"/>
                <w:b w:val="1"/>
                <w:bCs w:val="1"/>
                <w:color w:val="auto"/>
              </w:rPr>
              <w:t>Three months ended</w:t>
            </w:r>
          </w:p>
        </w:tc>
        <w:tc>
          <w:tcPr>
            <w:tcW w:w="1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4820" w:type="dxa"/>
            <w:vAlign w:val="bottom"/>
          </w:tcPr>
          <w:p>
            <w:pPr>
              <w:spacing w:after="0"/>
              <w:rPr>
                <w:sz w:val="17"/>
                <w:szCs w:val="17"/>
                <w:color w:val="auto"/>
              </w:rPr>
            </w:pPr>
          </w:p>
        </w:tc>
        <w:tc>
          <w:tcPr>
            <w:tcW w:w="34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March 31,</w:t>
            </w:r>
          </w:p>
        </w:tc>
        <w:tc>
          <w:tcPr>
            <w:tcW w:w="1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4820" w:type="dxa"/>
            <w:vAlign w:val="bottom"/>
          </w:tcPr>
          <w:p>
            <w:pPr>
              <w:spacing w:after="0"/>
              <w:rPr>
                <w:sz w:val="20"/>
                <w:szCs w:val="20"/>
                <w:color w:val="auto"/>
              </w:rPr>
            </w:pPr>
            <w:r>
              <w:rPr>
                <w:rFonts w:ascii="Arial" w:cs="Arial" w:eastAsia="Arial" w:hAnsi="Arial"/>
                <w:sz w:val="18"/>
                <w:szCs w:val="18"/>
                <w:b w:val="1"/>
                <w:bCs w:val="1"/>
                <w:color w:val="auto"/>
              </w:rPr>
              <w:t>(in thousands, except percentages)</w:t>
            </w:r>
          </w:p>
        </w:tc>
        <w:tc>
          <w:tcPr>
            <w:tcW w:w="3480" w:type="dxa"/>
            <w:vAlign w:val="bottom"/>
          </w:tcPr>
          <w:p>
            <w:pPr>
              <w:jc w:val="right"/>
              <w:ind w:right="1210"/>
              <w:spacing w:after="0"/>
              <w:rPr>
                <w:sz w:val="20"/>
                <w:szCs w:val="20"/>
                <w:color w:val="auto"/>
              </w:rPr>
            </w:pPr>
            <w:r>
              <w:rPr>
                <w:rFonts w:ascii="Arial" w:cs="Arial" w:eastAsia="Arial" w:hAnsi="Arial"/>
                <w:sz w:val="18"/>
                <w:szCs w:val="18"/>
                <w:b w:val="1"/>
                <w:bCs w:val="1"/>
                <w:color w:val="auto"/>
              </w:rPr>
              <w:t>2015</w:t>
            </w:r>
          </w:p>
        </w:tc>
        <w:tc>
          <w:tcPr>
            <w:tcW w:w="1540" w:type="dxa"/>
            <w:vAlign w:val="bottom"/>
          </w:tcPr>
          <w:p>
            <w:pPr>
              <w:jc w:val="right"/>
              <w:ind w:right="870"/>
              <w:spacing w:after="0"/>
              <w:rPr>
                <w:sz w:val="20"/>
                <w:szCs w:val="20"/>
                <w:color w:val="auto"/>
              </w:rPr>
            </w:pPr>
            <w:r>
              <w:rPr>
                <w:rFonts w:ascii="Arial" w:cs="Arial" w:eastAsia="Arial" w:hAnsi="Arial"/>
                <w:sz w:val="18"/>
                <w:szCs w:val="18"/>
                <w:b w:val="1"/>
                <w:bCs w:val="1"/>
                <w:color w:val="auto"/>
              </w:rPr>
              <w:t>2014</w:t>
            </w:r>
          </w:p>
        </w:tc>
        <w:tc>
          <w:tcPr>
            <w:tcW w:w="1600" w:type="dxa"/>
            <w:vAlign w:val="bottom"/>
            <w:gridSpan w:val="2"/>
          </w:tcPr>
          <w:p>
            <w:pPr>
              <w:jc w:val="right"/>
              <w:ind w:right="520"/>
              <w:spacing w:after="0"/>
              <w:rPr>
                <w:sz w:val="20"/>
                <w:szCs w:val="20"/>
                <w:color w:val="auto"/>
              </w:rPr>
            </w:pPr>
            <w:r>
              <w:rPr>
                <w:rFonts w:ascii="Arial" w:cs="Arial" w:eastAsia="Arial" w:hAnsi="Arial"/>
                <w:sz w:val="18"/>
                <w:szCs w:val="18"/>
                <w:color w:val="auto"/>
              </w:rPr>
              <w:t>% Change</w:t>
            </w:r>
          </w:p>
        </w:tc>
      </w:tr>
      <w:tr>
        <w:trPr>
          <w:trHeight w:val="173"/>
        </w:trPr>
        <w:tc>
          <w:tcPr>
            <w:tcW w:w="482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Machine Clothing</w:t>
            </w:r>
          </w:p>
        </w:tc>
        <w:tc>
          <w:tcPr>
            <w:tcW w:w="3480" w:type="dxa"/>
            <w:vAlign w:val="bottom"/>
            <w:tcBorders>
              <w:top w:val="single" w:sz="8" w:color="auto"/>
            </w:tcBorders>
          </w:tcPr>
          <w:p>
            <w:pPr>
              <w:jc w:val="right"/>
              <w:ind w:right="430"/>
              <w:spacing w:after="0" w:line="173" w:lineRule="exact"/>
              <w:rPr>
                <w:sz w:val="20"/>
                <w:szCs w:val="20"/>
                <w:color w:val="auto"/>
              </w:rPr>
            </w:pPr>
            <w:r>
              <w:rPr>
                <w:rFonts w:ascii="Arial" w:cs="Arial" w:eastAsia="Arial" w:hAnsi="Arial"/>
                <w:sz w:val="18"/>
                <w:szCs w:val="18"/>
                <w:b w:val="1"/>
                <w:bCs w:val="1"/>
                <w:color w:val="auto"/>
              </w:rPr>
              <w:t>$158,494</w:t>
            </w:r>
          </w:p>
        </w:tc>
        <w:tc>
          <w:tcPr>
            <w:tcW w:w="1540" w:type="dxa"/>
            <w:vAlign w:val="bottom"/>
            <w:tcBorders>
              <w:top w:val="single" w:sz="8" w:color="auto"/>
            </w:tcBorders>
          </w:tcPr>
          <w:p>
            <w:pPr>
              <w:jc w:val="right"/>
              <w:ind w:right="150"/>
              <w:spacing w:after="0" w:line="173" w:lineRule="exact"/>
              <w:rPr>
                <w:sz w:val="20"/>
                <w:szCs w:val="20"/>
                <w:color w:val="auto"/>
              </w:rPr>
            </w:pPr>
            <w:r>
              <w:rPr>
                <w:rFonts w:ascii="Arial" w:cs="Arial" w:eastAsia="Arial" w:hAnsi="Arial"/>
                <w:sz w:val="18"/>
                <w:szCs w:val="18"/>
                <w:color w:val="auto"/>
              </w:rPr>
              <w:t>$164,088</w:t>
            </w:r>
          </w:p>
        </w:tc>
        <w:tc>
          <w:tcPr>
            <w:tcW w:w="15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5"/>
                <w:szCs w:val="15"/>
                <w:color w:val="auto"/>
              </w:rPr>
            </w:pPr>
          </w:p>
        </w:tc>
      </w:tr>
      <w:tr>
        <w:trPr>
          <w:trHeight w:val="225"/>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34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22,830</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16,219</w:t>
            </w: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40.8%</w:t>
            </w:r>
          </w:p>
        </w:tc>
      </w:tr>
      <w:tr>
        <w:trPr>
          <w:trHeight w:val="196"/>
        </w:trPr>
        <w:tc>
          <w:tcPr>
            <w:tcW w:w="4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4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$181,324</w:t>
            </w:r>
          </w:p>
        </w:tc>
        <w:tc>
          <w:tcPr>
            <w:tcW w:w="15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$180,307</w:t>
            </w:r>
          </w:p>
        </w:tc>
        <w:tc>
          <w:tcPr>
            <w:tcW w:w="160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0.6%</w:t>
            </w:r>
          </w:p>
        </w:tc>
      </w:tr>
    </w:tbl>
    <w:p>
      <w:pPr>
        <w:spacing w:after="0" w:line="3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sales were affected by the following:</w:t>
      </w:r>
    </w:p>
    <w:p>
      <w:pPr>
        <w:spacing w:after="0" w:line="360" w:lineRule="exact"/>
        <w:rPr>
          <w:sz w:val="20"/>
          <w:szCs w:val="20"/>
          <w:color w:val="auto"/>
        </w:rPr>
      </w:pPr>
    </w:p>
    <w:p>
      <w:pPr>
        <w:ind w:left="720" w:right="680" w:hanging="361"/>
        <w:spacing w:after="0" w:line="246"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net sales by $11.7 million during the first quarter of 2015 as compared to 2014.</w:t>
      </w:r>
    </w:p>
    <w:p>
      <w:pPr>
        <w:spacing w:after="0" w:line="142" w:lineRule="exact"/>
        <w:rPr>
          <w:rFonts w:ascii="Arial" w:cs="Arial" w:eastAsia="Arial" w:hAnsi="Arial"/>
          <w:sz w:val="18"/>
          <w:szCs w:val="18"/>
          <w:color w:val="auto"/>
        </w:rPr>
      </w:pPr>
    </w:p>
    <w:p>
      <w:pPr>
        <w:ind w:left="720" w:hanging="361"/>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MC sales were strong in every region, particularly in Europe and Asia.</w:t>
      </w:r>
    </w:p>
    <w:p>
      <w:pPr>
        <w:spacing w:after="0" w:line="171" w:lineRule="exact"/>
        <w:rPr>
          <w:rFonts w:ascii="Arial" w:cs="Arial" w:eastAsia="Arial" w:hAnsi="Arial"/>
          <w:sz w:val="18"/>
          <w:szCs w:val="18"/>
          <w:color w:val="auto"/>
        </w:rPr>
      </w:pPr>
    </w:p>
    <w:p>
      <w:pPr>
        <w:ind w:left="720" w:right="180" w:hanging="361"/>
        <w:spacing w:after="0" w:line="246" w:lineRule="auto"/>
        <w:tabs>
          <w:tab w:leader="none" w:pos="720" w:val="left"/>
        </w:tabs>
        <w:numPr>
          <w:ilvl w:val="0"/>
          <w:numId w:val="8"/>
        </w:numPr>
        <w:rPr>
          <w:rFonts w:ascii="Arial" w:cs="Arial" w:eastAsia="Arial" w:hAnsi="Arial"/>
          <w:sz w:val="18"/>
          <w:szCs w:val="18"/>
          <w:color w:val="auto"/>
          <w:strike w:val="1"/>
        </w:rPr>
      </w:pPr>
      <w:r>
        <w:rPr>
          <w:rFonts w:ascii="Arial" w:cs="Arial" w:eastAsia="Arial" w:hAnsi="Arial"/>
          <w:sz w:val="18"/>
          <w:szCs w:val="18"/>
          <w:color w:val="auto"/>
        </w:rPr>
        <w:t>AEC sales increased due to growth in the LEAP programs as compared to 2014 when sales were negatively affected by a change in invoicing terms, resulting in a build-up of inventory and an associated temporary lag in sales.</w:t>
      </w:r>
    </w:p>
    <w:p>
      <w:pPr>
        <w:spacing w:after="0" w:line="142" w:lineRule="exact"/>
        <w:rPr>
          <w:rFonts w:ascii="Arial" w:cs="Arial" w:eastAsia="Arial" w:hAnsi="Arial"/>
          <w:sz w:val="18"/>
          <w:szCs w:val="18"/>
          <w:color w:val="auto"/>
          <w:strike w:val="1"/>
        </w:rPr>
      </w:pPr>
    </w:p>
    <w:p>
      <w:pPr>
        <w:ind w:left="720" w:hanging="361"/>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71" w:lineRule="exact"/>
        <w:rPr>
          <w:rFonts w:ascii="Arial" w:cs="Arial" w:eastAsia="Arial" w:hAnsi="Arial"/>
          <w:sz w:val="18"/>
          <w:szCs w:val="18"/>
          <w:color w:val="auto"/>
        </w:rPr>
      </w:pPr>
    </w:p>
    <w:p>
      <w:pPr>
        <w:ind w:left="1440" w:hanging="352"/>
        <w:spacing w:after="0"/>
        <w:tabs>
          <w:tab w:leader="none" w:pos="1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increased 7.0% compared to the same period in 2014</w:t>
      </w:r>
    </w:p>
    <w:p>
      <w:pPr>
        <w:spacing w:after="0" w:line="171" w:lineRule="exact"/>
        <w:rPr>
          <w:rFonts w:ascii="Arial" w:cs="Arial" w:eastAsia="Arial" w:hAnsi="Arial"/>
          <w:sz w:val="18"/>
          <w:szCs w:val="18"/>
          <w:color w:val="auto"/>
        </w:rPr>
      </w:pPr>
    </w:p>
    <w:p>
      <w:pPr>
        <w:ind w:left="1440" w:hanging="352"/>
        <w:spacing w:after="0"/>
        <w:tabs>
          <w:tab w:leader="none" w:pos="1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 MC increased 3.5%</w:t>
      </w:r>
    </w:p>
    <w:p>
      <w:pPr>
        <w:spacing w:after="0" w:line="171" w:lineRule="exact"/>
        <w:rPr>
          <w:rFonts w:ascii="Arial" w:cs="Arial" w:eastAsia="Arial" w:hAnsi="Arial"/>
          <w:sz w:val="18"/>
          <w:szCs w:val="18"/>
          <w:color w:val="auto"/>
        </w:rPr>
      </w:pPr>
    </w:p>
    <w:p>
      <w:pPr>
        <w:ind w:left="1440" w:hanging="352"/>
        <w:spacing w:after="0"/>
        <w:tabs>
          <w:tab w:leader="none" w:pos="1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 AEC increased 42.8%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Gross Profit</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60" w:type="dxa"/>
            <w:vAlign w:val="bottom"/>
            <w:tcBorders>
              <w:top w:val="single" w:sz="8" w:color="auto"/>
            </w:tcBorders>
          </w:tcPr>
          <w:p>
            <w:pPr>
              <w:spacing w:after="0"/>
              <w:rPr>
                <w:sz w:val="16"/>
                <w:szCs w:val="16"/>
                <w:color w:val="auto"/>
              </w:rPr>
            </w:pPr>
          </w:p>
        </w:tc>
        <w:tc>
          <w:tcPr>
            <w:tcW w:w="3820" w:type="dxa"/>
            <w:vAlign w:val="bottom"/>
            <w:tcBorders>
              <w:top w:val="single" w:sz="8" w:color="auto"/>
            </w:tcBorders>
            <w:gridSpan w:val="2"/>
          </w:tcPr>
          <w:p>
            <w:pPr>
              <w:jc w:val="right"/>
              <w:ind w:right="730"/>
              <w:spacing w:after="0" w:line="194" w:lineRule="exact"/>
              <w:rPr>
                <w:sz w:val="20"/>
                <w:szCs w:val="20"/>
                <w:color w:val="auto"/>
              </w:rPr>
            </w:pPr>
            <w:r>
              <w:rPr>
                <w:rFonts w:ascii="Arial" w:cs="Arial" w:eastAsia="Arial" w:hAnsi="Arial"/>
                <w:sz w:val="18"/>
                <w:szCs w:val="18"/>
                <w:b w:val="1"/>
                <w:bCs w:val="1"/>
                <w:color w:val="auto"/>
              </w:rPr>
              <w:t>Three months ended</w:t>
            </w:r>
          </w:p>
        </w:tc>
      </w:tr>
      <w:tr>
        <w:trPr>
          <w:trHeight w:val="203"/>
        </w:trPr>
        <w:tc>
          <w:tcPr>
            <w:tcW w:w="4160" w:type="dxa"/>
            <w:vAlign w:val="bottom"/>
          </w:tcPr>
          <w:p>
            <w:pPr>
              <w:spacing w:after="0"/>
              <w:rPr>
                <w:sz w:val="17"/>
                <w:szCs w:val="17"/>
                <w:color w:val="auto"/>
              </w:rPr>
            </w:pPr>
          </w:p>
        </w:tc>
        <w:tc>
          <w:tcPr>
            <w:tcW w:w="26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March 31,</w:t>
            </w:r>
          </w:p>
        </w:tc>
        <w:tc>
          <w:tcPr>
            <w:tcW w:w="1140" w:type="dxa"/>
            <w:vAlign w:val="bottom"/>
          </w:tcPr>
          <w:p>
            <w:pPr>
              <w:spacing w:after="0"/>
              <w:rPr>
                <w:sz w:val="17"/>
                <w:szCs w:val="17"/>
                <w:color w:val="auto"/>
              </w:rPr>
            </w:pPr>
          </w:p>
        </w:tc>
      </w:tr>
      <w:tr>
        <w:trPr>
          <w:trHeight w:val="225"/>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6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2015</w:t>
            </w: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r>
      <w:tr>
        <w:trPr>
          <w:trHeight w:val="173"/>
        </w:trPr>
        <w:tc>
          <w:tcPr>
            <w:tcW w:w="416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680" w:type="dxa"/>
            <w:vAlign w:val="bottom"/>
          </w:tcPr>
          <w:p>
            <w:pPr>
              <w:jc w:val="right"/>
              <w:ind w:right="410"/>
              <w:spacing w:after="0" w:line="173" w:lineRule="exact"/>
              <w:rPr>
                <w:sz w:val="20"/>
                <w:szCs w:val="20"/>
                <w:color w:val="auto"/>
              </w:rPr>
            </w:pPr>
            <w:r>
              <w:rPr>
                <w:rFonts w:ascii="Arial" w:cs="Arial" w:eastAsia="Arial" w:hAnsi="Arial"/>
                <w:sz w:val="18"/>
                <w:szCs w:val="18"/>
                <w:b w:val="1"/>
                <w:bCs w:val="1"/>
                <w:color w:val="auto"/>
              </w:rPr>
              <w:t>$75,260</w:t>
            </w:r>
          </w:p>
        </w:tc>
        <w:tc>
          <w:tcPr>
            <w:tcW w:w="1140" w:type="dxa"/>
            <w:vAlign w:val="bottom"/>
          </w:tcPr>
          <w:p>
            <w:pPr>
              <w:jc w:val="right"/>
              <w:spacing w:after="0" w:line="173" w:lineRule="exact"/>
              <w:rPr>
                <w:sz w:val="20"/>
                <w:szCs w:val="20"/>
                <w:color w:val="auto"/>
              </w:rPr>
            </w:pPr>
            <w:r>
              <w:rPr>
                <w:rFonts w:ascii="Arial" w:cs="Arial" w:eastAsia="Arial" w:hAnsi="Arial"/>
                <w:sz w:val="18"/>
                <w:szCs w:val="18"/>
                <w:color w:val="auto"/>
              </w:rPr>
              <w:t>$73,870</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68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1,815</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1,293</w:t>
            </w:r>
          </w:p>
        </w:tc>
      </w:tr>
      <w:tr>
        <w:trPr>
          <w:trHeight w:val="225"/>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(391)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r>
      <w:tr>
        <w:trPr>
          <w:trHeight w:val="196"/>
        </w:trPr>
        <w:tc>
          <w:tcPr>
            <w:tcW w:w="4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68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$76,684</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$74,809</w:t>
            </w:r>
          </w:p>
        </w:tc>
      </w:tr>
      <w:tr>
        <w:trPr>
          <w:trHeight w:val="196"/>
        </w:trPr>
        <w:tc>
          <w:tcPr>
            <w:tcW w:w="4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268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42.3%</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41.5%</w:t>
            </w:r>
          </w:p>
        </w:tc>
      </w:tr>
    </w:tbl>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gross profit, compared to the same period in 2014, was principally due to the net effect of the following:</w:t>
      </w:r>
    </w:p>
    <w:p>
      <w:pPr>
        <w:spacing w:after="0" w:line="360" w:lineRule="exact"/>
        <w:rPr>
          <w:sz w:val="20"/>
          <w:szCs w:val="20"/>
          <w:color w:val="auto"/>
        </w:rPr>
      </w:pPr>
    </w:p>
    <w:p>
      <w:pPr>
        <w:ind w:left="720" w:hanging="361"/>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MC gross profit increased principally due to higher sales volume, favorable product mix, and the impact of cost-reduction activities.</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9"/>
        </w:numPr>
        <w:rPr>
          <w:rFonts w:ascii="Arial" w:cs="Arial" w:eastAsia="Arial" w:hAnsi="Arial"/>
          <w:sz w:val="18"/>
          <w:szCs w:val="18"/>
          <w:color w:val="auto"/>
          <w:strike w:val="1"/>
        </w:rPr>
      </w:pPr>
      <w:r>
        <w:rPr>
          <w:rFonts w:ascii="Arial" w:cs="Arial" w:eastAsia="Arial" w:hAnsi="Arial"/>
          <w:sz w:val="18"/>
          <w:szCs w:val="18"/>
          <w:color w:val="auto"/>
        </w:rPr>
        <w:t>AEC gross profit increased due to higher sales.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STG&amp;R by business segment: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60" w:type="dxa"/>
            <w:vAlign w:val="bottom"/>
            <w:tcBorders>
              <w:top w:val="single" w:sz="8" w:color="auto"/>
            </w:tcBorders>
          </w:tcPr>
          <w:p>
            <w:pPr>
              <w:spacing w:after="0"/>
              <w:rPr>
                <w:sz w:val="16"/>
                <w:szCs w:val="16"/>
                <w:color w:val="auto"/>
              </w:rPr>
            </w:pPr>
          </w:p>
        </w:tc>
        <w:tc>
          <w:tcPr>
            <w:tcW w:w="3820" w:type="dxa"/>
            <w:vAlign w:val="bottom"/>
            <w:tcBorders>
              <w:top w:val="single" w:sz="8" w:color="auto"/>
            </w:tcBorders>
            <w:gridSpan w:val="2"/>
          </w:tcPr>
          <w:p>
            <w:pPr>
              <w:jc w:val="right"/>
              <w:ind w:right="730"/>
              <w:spacing w:after="0" w:line="194"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6"/>
                <w:szCs w:val="16"/>
                <w:color w:val="auto"/>
              </w:rPr>
            </w:pPr>
          </w:p>
        </w:tc>
      </w:tr>
      <w:tr>
        <w:trPr>
          <w:trHeight w:val="203"/>
        </w:trPr>
        <w:tc>
          <w:tcPr>
            <w:tcW w:w="4160" w:type="dxa"/>
            <w:vAlign w:val="bottom"/>
          </w:tcPr>
          <w:p>
            <w:pPr>
              <w:spacing w:after="0"/>
              <w:rPr>
                <w:sz w:val="17"/>
                <w:szCs w:val="17"/>
                <w:color w:val="auto"/>
              </w:rPr>
            </w:pPr>
          </w:p>
        </w:tc>
        <w:tc>
          <w:tcPr>
            <w:tcW w:w="26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March 31,</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6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2015</w:t>
            </w: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r>
      <w:tr>
        <w:trPr>
          <w:trHeight w:val="173"/>
        </w:trPr>
        <w:tc>
          <w:tcPr>
            <w:tcW w:w="416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680" w:type="dxa"/>
            <w:vAlign w:val="bottom"/>
          </w:tcPr>
          <w:p>
            <w:pPr>
              <w:jc w:val="right"/>
              <w:ind w:right="350"/>
              <w:spacing w:after="0" w:line="173" w:lineRule="exact"/>
              <w:rPr>
                <w:sz w:val="20"/>
                <w:szCs w:val="20"/>
                <w:color w:val="auto"/>
              </w:rPr>
            </w:pPr>
            <w:r>
              <w:rPr>
                <w:rFonts w:ascii="Arial" w:cs="Arial" w:eastAsia="Arial" w:hAnsi="Arial"/>
                <w:sz w:val="18"/>
                <w:szCs w:val="18"/>
                <w:b w:val="1"/>
                <w:bCs w:val="1"/>
                <w:color w:val="auto"/>
              </w:rPr>
              <w:t>$30,570</w:t>
            </w:r>
          </w:p>
        </w:tc>
        <w:tc>
          <w:tcPr>
            <w:tcW w:w="1140" w:type="dxa"/>
            <w:vAlign w:val="bottom"/>
          </w:tcPr>
          <w:p>
            <w:pPr>
              <w:jc w:val="right"/>
              <w:spacing w:after="0" w:line="173" w:lineRule="exact"/>
              <w:rPr>
                <w:sz w:val="20"/>
                <w:szCs w:val="20"/>
                <w:color w:val="auto"/>
              </w:rPr>
            </w:pPr>
            <w:r>
              <w:rPr>
                <w:rFonts w:ascii="Arial" w:cs="Arial" w:eastAsia="Arial" w:hAnsi="Arial"/>
                <w:sz w:val="18"/>
                <w:szCs w:val="18"/>
                <w:color w:val="auto"/>
              </w:rPr>
              <w:t>$36,865</w:t>
            </w:r>
          </w:p>
        </w:tc>
        <w:tc>
          <w:tcPr>
            <w:tcW w:w="20" w:type="dxa"/>
            <w:vAlign w:val="bottom"/>
          </w:tcPr>
          <w:p>
            <w:pPr>
              <w:spacing w:after="0"/>
              <w:rPr>
                <w:sz w:val="15"/>
                <w:szCs w:val="15"/>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68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5,626</w:t>
            </w: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4,449</w:t>
            </w:r>
          </w:p>
        </w:tc>
      </w:tr>
      <w:tr>
        <w:trPr>
          <w:trHeight w:val="225"/>
        </w:trPr>
        <w:tc>
          <w:tcPr>
            <w:tcW w:w="4160" w:type="dxa"/>
            <w:vAlign w:val="bottom"/>
          </w:tcPr>
          <w:p>
            <w:pPr>
              <w:spacing w:after="0"/>
              <w:rPr>
                <w:sz w:val="20"/>
                <w:szCs w:val="20"/>
                <w:color w:val="auto"/>
              </w:rPr>
            </w:pPr>
            <w:r>
              <w:rPr>
                <w:rFonts w:ascii="Arial" w:cs="Arial" w:eastAsia="Arial" w:hAnsi="Arial"/>
                <w:sz w:val="18"/>
                <w:szCs w:val="18"/>
                <w:color w:val="auto"/>
              </w:rPr>
              <w:t>Corporate expenses</w:t>
            </w:r>
          </w:p>
        </w:tc>
        <w:tc>
          <w:tcPr>
            <w:tcW w:w="2680" w:type="dxa"/>
            <w:vAlign w:val="bottom"/>
          </w:tcPr>
          <w:p>
            <w:pPr>
              <w:jc w:val="right"/>
              <w:ind w:right="350"/>
              <w:spacing w:after="0"/>
              <w:rPr>
                <w:sz w:val="20"/>
                <w:szCs w:val="20"/>
                <w:color w:val="auto"/>
              </w:rPr>
            </w:pPr>
            <w:r>
              <w:rPr>
                <w:rFonts w:ascii="Arial" w:cs="Arial" w:eastAsia="Arial" w:hAnsi="Arial"/>
                <w:sz w:val="18"/>
                <w:szCs w:val="18"/>
                <w:b w:val="1"/>
                <w:bCs w:val="1"/>
                <w:color w:val="auto"/>
              </w:rPr>
              <w:t>11,338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11,712</w:t>
            </w:r>
          </w:p>
        </w:tc>
      </w:tr>
      <w:tr>
        <w:trPr>
          <w:trHeight w:val="196"/>
        </w:trPr>
        <w:tc>
          <w:tcPr>
            <w:tcW w:w="4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68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$47,534</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$53,026</w:t>
            </w:r>
          </w:p>
        </w:tc>
        <w:tc>
          <w:tcPr>
            <w:tcW w:w="20" w:type="dxa"/>
            <w:vAlign w:val="bottom"/>
          </w:tcPr>
          <w:p>
            <w:pPr>
              <w:spacing w:after="0"/>
              <w:rPr>
                <w:sz w:val="17"/>
                <w:szCs w:val="17"/>
                <w:color w:val="auto"/>
              </w:rPr>
            </w:pPr>
          </w:p>
        </w:tc>
      </w:tr>
      <w:tr>
        <w:trPr>
          <w:trHeight w:val="196"/>
        </w:trPr>
        <w:tc>
          <w:tcPr>
            <w:tcW w:w="4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26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26.2%</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29.4%</w:t>
            </w:r>
          </w:p>
        </w:tc>
        <w:tc>
          <w:tcPr>
            <w:tcW w:w="20" w:type="dxa"/>
            <w:vAlign w:val="bottom"/>
            <w:tcBorders>
              <w:bottom w:val="single" w:sz="8" w:color="auto"/>
            </w:tcBorders>
          </w:tcPr>
          <w:p>
            <w:pPr>
              <w:spacing w:after="0"/>
              <w:rPr>
                <w:sz w:val="17"/>
                <w:szCs w:val="17"/>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STG&amp;R expenses decreased $5.5 million, compared to the same period in 2014, principally due to the net effect of the following:</w:t>
      </w:r>
    </w:p>
    <w:p>
      <w:pPr>
        <w:spacing w:after="0" w:line="360" w:lineRule="exact"/>
        <w:rPr>
          <w:sz w:val="20"/>
          <w:szCs w:val="20"/>
          <w:color w:val="auto"/>
        </w:rPr>
      </w:pPr>
    </w:p>
    <w:p>
      <w:pPr>
        <w:ind w:left="720" w:hanging="361"/>
        <w:spacing w:after="0" w:line="246"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gains of $2.9 million during the first quarter of 2015 and losses of $0.2 million in the comparable quarter of 2014.</w:t>
      </w:r>
    </w:p>
    <w:p>
      <w:pPr>
        <w:spacing w:after="0" w:line="142" w:lineRule="exact"/>
        <w:rPr>
          <w:rFonts w:ascii="Arial" w:cs="Arial" w:eastAsia="Arial" w:hAnsi="Arial"/>
          <w:sz w:val="18"/>
          <w:szCs w:val="18"/>
          <w:color w:val="auto"/>
        </w:rPr>
      </w:pPr>
    </w:p>
    <w:p>
      <w:pPr>
        <w:ind w:left="720" w:hanging="361"/>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translation decreased 2015 STG&amp;R expenses by $3.9 million.</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AEC STG&amp;R increased $1.2 million, principally due to research activity.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expenses associated with internally funded research and development by business segment: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60"/>
          </w:cols>
          <w:pgMar w:left="240" w:top="873" w:right="3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3"/>
        </w:trPr>
        <w:tc>
          <w:tcPr>
            <w:tcW w:w="3520" w:type="dxa"/>
            <w:vAlign w:val="bottom"/>
            <w:tcBorders>
              <w:top w:val="single" w:sz="8" w:color="auto"/>
            </w:tcBorders>
          </w:tcPr>
          <w:p>
            <w:pPr>
              <w:spacing w:after="0"/>
              <w:rPr>
                <w:sz w:val="16"/>
                <w:szCs w:val="16"/>
                <w:color w:val="auto"/>
              </w:rPr>
            </w:pPr>
          </w:p>
        </w:tc>
        <w:tc>
          <w:tcPr>
            <w:tcW w:w="3340" w:type="dxa"/>
            <w:vAlign w:val="bottom"/>
            <w:tcBorders>
              <w:top w:val="single" w:sz="8" w:color="auto"/>
            </w:tcBorders>
            <w:gridSpan w:val="2"/>
          </w:tcPr>
          <w:p>
            <w:pPr>
              <w:ind w:left="980"/>
              <w:spacing w:after="0" w:line="194" w:lineRule="exact"/>
              <w:rPr>
                <w:sz w:val="20"/>
                <w:szCs w:val="20"/>
                <w:color w:val="auto"/>
              </w:rPr>
            </w:pPr>
            <w:r>
              <w:rPr>
                <w:rFonts w:ascii="Arial" w:cs="Arial" w:eastAsia="Arial" w:hAnsi="Arial"/>
                <w:sz w:val="18"/>
                <w:szCs w:val="18"/>
                <w:b w:val="1"/>
                <w:bCs w:val="1"/>
                <w:color w:val="auto"/>
              </w:rPr>
              <w:t>Three months ended</w:t>
            </w:r>
          </w:p>
        </w:tc>
        <w:tc>
          <w:tcPr>
            <w:tcW w:w="40" w:type="dxa"/>
            <w:vAlign w:val="bottom"/>
            <w:gridSpan w:val="2"/>
          </w:tcPr>
          <w:p>
            <w:pPr>
              <w:spacing w:after="0"/>
              <w:rPr>
                <w:sz w:val="16"/>
                <w:szCs w:val="16"/>
                <w:color w:val="auto"/>
              </w:rPr>
            </w:pPr>
          </w:p>
        </w:tc>
      </w:tr>
      <w:tr>
        <w:trPr>
          <w:trHeight w:val="203"/>
        </w:trPr>
        <w:tc>
          <w:tcPr>
            <w:tcW w:w="3520" w:type="dxa"/>
            <w:vAlign w:val="bottom"/>
          </w:tcPr>
          <w:p>
            <w:pPr>
              <w:spacing w:after="0"/>
              <w:rPr>
                <w:sz w:val="17"/>
                <w:szCs w:val="17"/>
                <w:color w:val="auto"/>
              </w:rPr>
            </w:pPr>
          </w:p>
        </w:tc>
        <w:tc>
          <w:tcPr>
            <w:tcW w:w="2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March 31,</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36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2015</w:t>
            </w: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3"/>
        </w:trPr>
        <w:tc>
          <w:tcPr>
            <w:tcW w:w="352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360" w:type="dxa"/>
            <w:vAlign w:val="bottom"/>
          </w:tcPr>
          <w:p>
            <w:pPr>
              <w:jc w:val="right"/>
              <w:ind w:right="290"/>
              <w:spacing w:after="0" w:line="173" w:lineRule="exact"/>
              <w:rPr>
                <w:sz w:val="20"/>
                <w:szCs w:val="20"/>
                <w:color w:val="auto"/>
              </w:rPr>
            </w:pPr>
            <w:r>
              <w:rPr>
                <w:rFonts w:ascii="Arial" w:cs="Arial" w:eastAsia="Arial" w:hAnsi="Arial"/>
                <w:sz w:val="18"/>
                <w:szCs w:val="18"/>
                <w:b w:val="1"/>
                <w:bCs w:val="1"/>
                <w:color w:val="auto"/>
              </w:rPr>
              <w:t>$4,796</w:t>
            </w:r>
          </w:p>
        </w:tc>
        <w:tc>
          <w:tcPr>
            <w:tcW w:w="980" w:type="dxa"/>
            <w:vAlign w:val="bottom"/>
          </w:tcPr>
          <w:p>
            <w:pPr>
              <w:jc w:val="right"/>
              <w:spacing w:after="0" w:line="173" w:lineRule="exact"/>
              <w:rPr>
                <w:sz w:val="20"/>
                <w:szCs w:val="20"/>
                <w:color w:val="auto"/>
              </w:rPr>
            </w:pPr>
            <w:r>
              <w:rPr>
                <w:rFonts w:ascii="Arial" w:cs="Arial" w:eastAsia="Arial" w:hAnsi="Arial"/>
                <w:sz w:val="18"/>
                <w:szCs w:val="18"/>
                <w:color w:val="auto"/>
              </w:rPr>
              <w:t>$4,838</w:t>
            </w:r>
          </w:p>
        </w:tc>
        <w:tc>
          <w:tcPr>
            <w:tcW w:w="40" w:type="dxa"/>
            <w:vAlign w:val="bottom"/>
            <w:gridSpan w:val="2"/>
          </w:tcPr>
          <w:p>
            <w:pPr>
              <w:spacing w:after="0"/>
              <w:rPr>
                <w:sz w:val="15"/>
                <w:szCs w:val="15"/>
                <w:color w:val="auto"/>
              </w:rPr>
            </w:pP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36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2,873</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2,318</w:t>
            </w:r>
          </w:p>
        </w:tc>
        <w:tc>
          <w:tcPr>
            <w:tcW w:w="20" w:type="dxa"/>
            <w:vAlign w:val="bottom"/>
          </w:tcPr>
          <w:p>
            <w:pPr>
              <w:spacing w:after="0"/>
              <w:rPr>
                <w:sz w:val="17"/>
                <w:szCs w:val="17"/>
                <w:color w:val="auto"/>
              </w:rPr>
            </w:pPr>
          </w:p>
        </w:tc>
      </w:tr>
      <w:tr>
        <w:trPr>
          <w:trHeight w:val="225"/>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294</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9"/>
                <w:szCs w:val="19"/>
                <w:color w:val="auto"/>
              </w:rPr>
            </w:pPr>
          </w:p>
        </w:tc>
      </w:tr>
      <w:tr>
        <w:trPr>
          <w:trHeight w:val="196"/>
        </w:trPr>
        <w:tc>
          <w:tcPr>
            <w:tcW w:w="3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3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$7,963</w:t>
            </w:r>
          </w:p>
        </w:tc>
        <w:tc>
          <w:tcPr>
            <w:tcW w:w="100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$7,348</w:t>
            </w:r>
          </w:p>
        </w:tc>
        <w:tc>
          <w:tcPr>
            <w:tcW w:w="20" w:type="dxa"/>
            <w:vAlign w:val="bottom"/>
            <w:tcBorders>
              <w:bottom w:val="single" w:sz="8" w:color="auto"/>
            </w:tcBorders>
          </w:tcPr>
          <w:p>
            <w:pPr>
              <w:spacing w:after="0"/>
              <w:rPr>
                <w:sz w:val="17"/>
                <w:szCs w:val="17"/>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180" w:lineRule="exact"/>
        <w:rPr>
          <w:sz w:val="20"/>
          <w:szCs w:val="20"/>
          <w:color w:val="auto"/>
        </w:rPr>
      </w:pPr>
    </w:p>
    <w:p>
      <w:pPr>
        <w:ind w:right="220" w:firstLine="360"/>
        <w:spacing w:after="0" w:line="246" w:lineRule="auto"/>
        <w:rPr>
          <w:sz w:val="20"/>
          <w:szCs w:val="20"/>
          <w:color w:val="auto"/>
        </w:rPr>
      </w:pPr>
      <w:r>
        <w:rPr>
          <w:rFonts w:ascii="Arial" w:cs="Arial" w:eastAsia="Arial" w:hAnsi="Arial"/>
          <w:sz w:val="18"/>
          <w:szCs w:val="18"/>
          <w:color w:val="auto"/>
        </w:rPr>
        <w:t>In addition to the items discussed above affecting gross profit and STG&amp;R, operating income was affected by restructuring costs of $9.0 million in the first quarter of 2015 and $1.2 million in the first quarter of 2014.</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restructuring expense by business segment: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20" w:type="dxa"/>
            <w:vAlign w:val="bottom"/>
            <w:tcBorders>
              <w:top w:val="single" w:sz="8" w:color="auto"/>
            </w:tcBorders>
          </w:tcPr>
          <w:p>
            <w:pPr>
              <w:spacing w:after="0"/>
              <w:rPr>
                <w:sz w:val="16"/>
                <w:szCs w:val="16"/>
                <w:color w:val="auto"/>
              </w:rPr>
            </w:pPr>
          </w:p>
        </w:tc>
        <w:tc>
          <w:tcPr>
            <w:tcW w:w="3340" w:type="dxa"/>
            <w:vAlign w:val="bottom"/>
            <w:tcBorders>
              <w:top w:val="single" w:sz="8" w:color="auto"/>
            </w:tcBorders>
            <w:gridSpan w:val="2"/>
          </w:tcPr>
          <w:p>
            <w:pPr>
              <w:ind w:left="980"/>
              <w:spacing w:after="0" w:line="194" w:lineRule="exact"/>
              <w:rPr>
                <w:sz w:val="20"/>
                <w:szCs w:val="20"/>
                <w:color w:val="auto"/>
              </w:rPr>
            </w:pPr>
            <w:r>
              <w:rPr>
                <w:rFonts w:ascii="Arial" w:cs="Arial" w:eastAsia="Arial" w:hAnsi="Arial"/>
                <w:sz w:val="18"/>
                <w:szCs w:val="18"/>
                <w:b w:val="1"/>
                <w:bCs w:val="1"/>
                <w:color w:val="auto"/>
              </w:rPr>
              <w:t>Three months ended</w:t>
            </w:r>
          </w:p>
        </w:tc>
        <w:tc>
          <w:tcPr>
            <w:tcW w:w="40" w:type="dxa"/>
            <w:vAlign w:val="bottom"/>
            <w:gridSpan w:val="2"/>
          </w:tcPr>
          <w:p>
            <w:pPr>
              <w:spacing w:after="0"/>
              <w:rPr>
                <w:sz w:val="16"/>
                <w:szCs w:val="16"/>
                <w:color w:val="auto"/>
              </w:rPr>
            </w:pPr>
          </w:p>
        </w:tc>
      </w:tr>
      <w:tr>
        <w:trPr>
          <w:trHeight w:val="203"/>
        </w:trPr>
        <w:tc>
          <w:tcPr>
            <w:tcW w:w="3520" w:type="dxa"/>
            <w:vAlign w:val="bottom"/>
          </w:tcPr>
          <w:p>
            <w:pPr>
              <w:spacing w:after="0"/>
              <w:rPr>
                <w:sz w:val="17"/>
                <w:szCs w:val="17"/>
                <w:color w:val="auto"/>
              </w:rPr>
            </w:pPr>
          </w:p>
        </w:tc>
        <w:tc>
          <w:tcPr>
            <w:tcW w:w="2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March 31,</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36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2015</w:t>
            </w: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3"/>
        </w:trPr>
        <w:tc>
          <w:tcPr>
            <w:tcW w:w="352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360" w:type="dxa"/>
            <w:vAlign w:val="bottom"/>
          </w:tcPr>
          <w:p>
            <w:pPr>
              <w:jc w:val="right"/>
              <w:ind w:right="290"/>
              <w:spacing w:after="0" w:line="173" w:lineRule="exact"/>
              <w:rPr>
                <w:sz w:val="20"/>
                <w:szCs w:val="20"/>
                <w:color w:val="auto"/>
              </w:rPr>
            </w:pPr>
            <w:r>
              <w:rPr>
                <w:rFonts w:ascii="Arial" w:cs="Arial" w:eastAsia="Arial" w:hAnsi="Arial"/>
                <w:sz w:val="18"/>
                <w:szCs w:val="18"/>
                <w:b w:val="1"/>
                <w:bCs w:val="1"/>
                <w:color w:val="auto"/>
              </w:rPr>
              <w:t>$9,001</w:t>
            </w:r>
          </w:p>
        </w:tc>
        <w:tc>
          <w:tcPr>
            <w:tcW w:w="980" w:type="dxa"/>
            <w:vAlign w:val="bottom"/>
          </w:tcPr>
          <w:p>
            <w:pPr>
              <w:jc w:val="right"/>
              <w:spacing w:after="0" w:line="173" w:lineRule="exact"/>
              <w:rPr>
                <w:sz w:val="20"/>
                <w:szCs w:val="20"/>
                <w:color w:val="auto"/>
              </w:rPr>
            </w:pPr>
            <w:r>
              <w:rPr>
                <w:rFonts w:ascii="Arial" w:cs="Arial" w:eastAsia="Arial" w:hAnsi="Arial"/>
                <w:sz w:val="18"/>
                <w:szCs w:val="18"/>
                <w:color w:val="auto"/>
              </w:rPr>
              <w:t>$862</w:t>
            </w:r>
          </w:p>
        </w:tc>
        <w:tc>
          <w:tcPr>
            <w:tcW w:w="40" w:type="dxa"/>
            <w:vAlign w:val="bottom"/>
            <w:gridSpan w:val="2"/>
          </w:tcPr>
          <w:p>
            <w:pPr>
              <w:spacing w:after="0"/>
              <w:rPr>
                <w:sz w:val="15"/>
                <w:szCs w:val="15"/>
                <w:color w:val="auto"/>
              </w:rPr>
            </w:pPr>
          </w:p>
        </w:tc>
      </w:tr>
      <w:tr>
        <w:trPr>
          <w:trHeight w:val="225"/>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2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9"/>
                <w:szCs w:val="19"/>
                <w:color w:val="auto"/>
              </w:rPr>
            </w:pPr>
          </w:p>
        </w:tc>
      </w:tr>
      <w:tr>
        <w:trPr>
          <w:trHeight w:val="196"/>
        </w:trPr>
        <w:tc>
          <w:tcPr>
            <w:tcW w:w="3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3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$9,001</w:t>
            </w:r>
          </w:p>
        </w:tc>
        <w:tc>
          <w:tcPr>
            <w:tcW w:w="100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$1,182</w:t>
            </w:r>
          </w:p>
        </w:tc>
        <w:tc>
          <w:tcPr>
            <w:tcW w:w="20" w:type="dxa"/>
            <w:vAlign w:val="bottom"/>
            <w:tcBorders>
              <w:bottom w:val="single" w:sz="8" w:color="auto"/>
            </w:tcBorders>
          </w:tcPr>
          <w:p>
            <w:pPr>
              <w:spacing w:after="0"/>
              <w:rPr>
                <w:sz w:val="17"/>
                <w:szCs w:val="17"/>
                <w:color w:val="auto"/>
              </w:rPr>
            </w:pPr>
          </w:p>
        </w:tc>
      </w:tr>
    </w:tbl>
    <w:p>
      <w:pPr>
        <w:spacing w:after="0" w:line="188" w:lineRule="exact"/>
        <w:rPr>
          <w:sz w:val="20"/>
          <w:szCs w:val="20"/>
          <w:color w:val="auto"/>
        </w:rPr>
      </w:pPr>
    </w:p>
    <w:p>
      <w:pPr>
        <w:ind w:right="80" w:firstLine="360"/>
        <w:spacing w:after="0" w:line="234" w:lineRule="auto"/>
        <w:rPr>
          <w:sz w:val="20"/>
          <w:szCs w:val="20"/>
          <w:color w:val="auto"/>
        </w:rPr>
      </w:pPr>
      <w:r>
        <w:rPr>
          <w:rFonts w:ascii="Arial" w:cs="Arial" w:eastAsia="Arial" w:hAnsi="Arial"/>
          <w:sz w:val="18"/>
          <w:szCs w:val="18"/>
          <w:color w:val="auto"/>
        </w:rPr>
        <w:t>During the first quarter of 2015, the Company announced a plan to discontinue manufacturing operations at its press fabric manufacturing facility in Göppingen, Germany. The restructuring program was driven by the Company’s need to balance manufacturing capacity with demand. In April 2015, we completed negotiations and reached agreement on the restructuring plan with the Works Council. Approximately</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50 employees will be terminated under this plan, and the restructuring expense recorded in the first quarter of 2015 reflects our estimate of the severance costs. Manufacturing operations will be discontinued in the second quarter of 2015. It is likely that we will record additional charges for asset impairments, but the amounts are presently not estimable. Whereas the affected employees are related to manufacturing operations, cost savings associated with this action will flow through Cost of goods sold. We expect the annual cost savings associated with this restructuring, expected to be realized by the first quarter of 2016, to be approximately $4 to $5 million.</w:t>
      </w:r>
    </w:p>
    <w:p>
      <w:pPr>
        <w:spacing w:after="0" w:line="149" w:lineRule="exact"/>
        <w:rPr>
          <w:sz w:val="20"/>
          <w:szCs w:val="20"/>
          <w:color w:val="auto"/>
        </w:rPr>
      </w:pPr>
    </w:p>
    <w:p>
      <w:pPr>
        <w:ind w:right="200" w:firstLine="360"/>
        <w:spacing w:after="0" w:line="246" w:lineRule="auto"/>
        <w:rPr>
          <w:sz w:val="20"/>
          <w:szCs w:val="20"/>
          <w:color w:val="auto"/>
        </w:rPr>
      </w:pPr>
      <w:r>
        <w:rPr>
          <w:rFonts w:ascii="Arial" w:cs="Arial" w:eastAsia="Arial" w:hAnsi="Arial"/>
          <w:sz w:val="18"/>
          <w:szCs w:val="18"/>
          <w:color w:val="auto"/>
        </w:rPr>
        <w:t>For more information on our restructuring charges, see Note 5 to the Consolidated Financial Statements in Item 1, which is incorporated herein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operating income by business segment:</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60" w:right="27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3"/>
        </w:trPr>
        <w:tc>
          <w:tcPr>
            <w:tcW w:w="4720" w:type="dxa"/>
            <w:vAlign w:val="bottom"/>
            <w:tcBorders>
              <w:top w:val="single" w:sz="8" w:color="auto"/>
            </w:tcBorders>
          </w:tcPr>
          <w:p>
            <w:pPr>
              <w:spacing w:after="0"/>
              <w:rPr>
                <w:sz w:val="16"/>
                <w:szCs w:val="16"/>
                <w:color w:val="auto"/>
              </w:rPr>
            </w:pPr>
          </w:p>
        </w:tc>
        <w:tc>
          <w:tcPr>
            <w:tcW w:w="3260" w:type="dxa"/>
            <w:vAlign w:val="bottom"/>
            <w:tcBorders>
              <w:top w:val="single" w:sz="8" w:color="auto"/>
            </w:tcBorders>
            <w:gridSpan w:val="2"/>
          </w:tcPr>
          <w:p>
            <w:pPr>
              <w:jc w:val="center"/>
              <w:ind w:right="70"/>
              <w:spacing w:after="0" w:line="194"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rPr>
                <w:sz w:val="17"/>
                <w:szCs w:val="17"/>
                <w:color w:val="auto"/>
              </w:rPr>
            </w:pPr>
          </w:p>
        </w:tc>
        <w:tc>
          <w:tcPr>
            <w:tcW w:w="2120" w:type="dxa"/>
            <w:vAlign w:val="bottom"/>
          </w:tcPr>
          <w:p>
            <w:pPr>
              <w:jc w:val="center"/>
              <w:ind w:left="850"/>
              <w:spacing w:after="0" w:line="202" w:lineRule="exact"/>
              <w:rPr>
                <w:sz w:val="20"/>
                <w:szCs w:val="20"/>
                <w:color w:val="auto"/>
              </w:rPr>
            </w:pPr>
            <w:r>
              <w:rPr>
                <w:rFonts w:ascii="Arial" w:cs="Arial" w:eastAsia="Arial" w:hAnsi="Arial"/>
                <w:sz w:val="18"/>
                <w:szCs w:val="18"/>
                <w:b w:val="1"/>
                <w:bCs w:val="1"/>
                <w:color w:val="auto"/>
                <w:w w:val="98"/>
              </w:rPr>
              <w:t>March 31,</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12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2015</w:t>
            </w: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120" w:type="dxa"/>
            <w:vAlign w:val="bottom"/>
          </w:tcPr>
          <w:p>
            <w:pPr>
              <w:jc w:val="right"/>
              <w:ind w:right="410"/>
              <w:spacing w:after="0" w:line="173" w:lineRule="exact"/>
              <w:rPr>
                <w:sz w:val="20"/>
                <w:szCs w:val="20"/>
                <w:color w:val="auto"/>
              </w:rPr>
            </w:pPr>
            <w:r>
              <w:rPr>
                <w:rFonts w:ascii="Arial" w:cs="Arial" w:eastAsia="Arial" w:hAnsi="Arial"/>
                <w:sz w:val="18"/>
                <w:szCs w:val="18"/>
                <w:b w:val="1"/>
                <w:bCs w:val="1"/>
                <w:color w:val="auto"/>
              </w:rPr>
              <w:t>$35,689</w:t>
            </w:r>
          </w:p>
        </w:tc>
        <w:tc>
          <w:tcPr>
            <w:tcW w:w="1140" w:type="dxa"/>
            <w:vAlign w:val="bottom"/>
          </w:tcPr>
          <w:p>
            <w:pPr>
              <w:jc w:val="right"/>
              <w:spacing w:after="0" w:line="173" w:lineRule="exact"/>
              <w:rPr>
                <w:sz w:val="20"/>
                <w:szCs w:val="20"/>
                <w:color w:val="auto"/>
              </w:rPr>
            </w:pPr>
            <w:r>
              <w:rPr>
                <w:rFonts w:ascii="Arial" w:cs="Arial" w:eastAsia="Arial" w:hAnsi="Arial"/>
                <w:sz w:val="18"/>
                <w:szCs w:val="18"/>
                <w:color w:val="auto"/>
              </w:rPr>
              <w:t>$36,142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12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(3,811)</w:t>
            </w: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25"/>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(11,729)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7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$20,149</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720" w:type="dxa"/>
            <w:vAlign w:val="bottom"/>
          </w:tcPr>
          <w:p>
            <w:pPr>
              <w:spacing w:after="0"/>
              <w:rPr>
                <w:sz w:val="20"/>
                <w:szCs w:val="20"/>
                <w:color w:val="auto"/>
              </w:rPr>
            </w:pPr>
            <w:r>
              <w:rPr>
                <w:rFonts w:ascii="Arial" w:cs="Arial" w:eastAsia="Arial" w:hAnsi="Arial"/>
                <w:sz w:val="18"/>
                <w:szCs w:val="18"/>
                <w:b w:val="1"/>
                <w:bCs w:val="1"/>
                <w:color w:val="auto"/>
              </w:rPr>
              <w:t>Other Earnings Items</w:t>
            </w:r>
          </w:p>
        </w:tc>
        <w:tc>
          <w:tcPr>
            <w:tcW w:w="2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2"/>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3260" w:type="dxa"/>
            <w:vAlign w:val="bottom"/>
            <w:gridSpan w:val="2"/>
          </w:tcPr>
          <w:p>
            <w:pPr>
              <w:jc w:val="center"/>
              <w:ind w:right="110"/>
              <w:spacing w:after="0" w:line="173"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rPr>
                <w:sz w:val="17"/>
                <w:szCs w:val="17"/>
                <w:color w:val="auto"/>
              </w:rPr>
            </w:pPr>
          </w:p>
        </w:tc>
        <w:tc>
          <w:tcPr>
            <w:tcW w:w="2120" w:type="dxa"/>
            <w:vAlign w:val="bottom"/>
          </w:tcPr>
          <w:p>
            <w:pPr>
              <w:jc w:val="center"/>
              <w:ind w:left="890"/>
              <w:spacing w:after="0" w:line="202" w:lineRule="exact"/>
              <w:rPr>
                <w:sz w:val="20"/>
                <w:szCs w:val="20"/>
                <w:color w:val="auto"/>
              </w:rPr>
            </w:pPr>
            <w:r>
              <w:rPr>
                <w:rFonts w:ascii="Arial" w:cs="Arial" w:eastAsia="Arial" w:hAnsi="Arial"/>
                <w:sz w:val="18"/>
                <w:szCs w:val="18"/>
                <w:b w:val="1"/>
                <w:bCs w:val="1"/>
                <w:color w:val="auto"/>
                <w:w w:val="98"/>
              </w:rPr>
              <w:t>March 31,</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12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2015</w:t>
            </w: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line="173" w:lineRule="exact"/>
              <w:rPr>
                <w:sz w:val="20"/>
                <w:szCs w:val="20"/>
                <w:color w:val="auto"/>
              </w:rPr>
            </w:pPr>
            <w:r>
              <w:rPr>
                <w:rFonts w:ascii="Arial" w:cs="Arial" w:eastAsia="Arial" w:hAnsi="Arial"/>
                <w:sz w:val="18"/>
                <w:szCs w:val="18"/>
                <w:color w:val="auto"/>
              </w:rPr>
              <w:t>Interest expense, net</w:t>
            </w:r>
          </w:p>
        </w:tc>
        <w:tc>
          <w:tcPr>
            <w:tcW w:w="2120" w:type="dxa"/>
            <w:vAlign w:val="bottom"/>
          </w:tcPr>
          <w:p>
            <w:pPr>
              <w:jc w:val="right"/>
              <w:ind w:right="410"/>
              <w:spacing w:after="0" w:line="173" w:lineRule="exact"/>
              <w:rPr>
                <w:sz w:val="20"/>
                <w:szCs w:val="20"/>
                <w:color w:val="auto"/>
              </w:rPr>
            </w:pPr>
            <w:r>
              <w:rPr>
                <w:rFonts w:ascii="Arial" w:cs="Arial" w:eastAsia="Arial" w:hAnsi="Arial"/>
                <w:sz w:val="18"/>
                <w:szCs w:val="18"/>
                <w:b w:val="1"/>
                <w:bCs w:val="1"/>
                <w:color w:val="auto"/>
              </w:rPr>
              <w:t>$2,676</w:t>
            </w:r>
          </w:p>
        </w:tc>
        <w:tc>
          <w:tcPr>
            <w:tcW w:w="1140" w:type="dxa"/>
            <w:vAlign w:val="bottom"/>
          </w:tcPr>
          <w:p>
            <w:pPr>
              <w:jc w:val="right"/>
              <w:spacing w:after="0" w:line="173" w:lineRule="exact"/>
              <w:rPr>
                <w:sz w:val="20"/>
                <w:szCs w:val="20"/>
                <w:color w:val="auto"/>
              </w:rPr>
            </w:pPr>
            <w:r>
              <w:rPr>
                <w:rFonts w:ascii="Arial" w:cs="Arial" w:eastAsia="Arial" w:hAnsi="Arial"/>
                <w:sz w:val="18"/>
                <w:szCs w:val="18"/>
                <w:color w:val="auto"/>
              </w:rPr>
              <w:t>$2,918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Other (income)/expenses, net</w:t>
            </w:r>
          </w:p>
        </w:tc>
        <w:tc>
          <w:tcPr>
            <w:tcW w:w="212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(3,285)</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21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8,519</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7,457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the noncontrolling interest</w:t>
            </w:r>
          </w:p>
        </w:tc>
        <w:tc>
          <w:tcPr>
            <w:tcW w:w="2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382" w:lineRule="exact"/>
        <w:rPr>
          <w:sz w:val="20"/>
          <w:szCs w:val="20"/>
          <w:color w:val="auto"/>
        </w:rPr>
      </w:pPr>
    </w:p>
    <w:p>
      <w:pPr>
        <w:ind w:right="40" w:firstLine="360"/>
        <w:spacing w:after="0" w:line="246" w:lineRule="auto"/>
        <w:rPr>
          <w:sz w:val="20"/>
          <w:szCs w:val="20"/>
          <w:color w:val="auto"/>
        </w:rPr>
      </w:pPr>
      <w:r>
        <w:rPr>
          <w:rFonts w:ascii="Arial" w:cs="Arial" w:eastAsia="Arial" w:hAnsi="Arial"/>
          <w:sz w:val="18"/>
          <w:szCs w:val="18"/>
          <w:color w:val="auto"/>
        </w:rPr>
        <w:t>First quarter Interest expense, net, decreased $0.2 million principally due to lower debt. For more information on borrowings and interest rates, see Note 13 to the Consolidated Financial Statements in Item 1, which is incorporated herein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(Income)/Expenses, net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(income)/expenses, net included the following:</w:t>
      </w:r>
    </w:p>
    <w:p>
      <w:pPr>
        <w:spacing w:after="0" w:line="158" w:lineRule="exact"/>
        <w:rPr>
          <w:sz w:val="20"/>
          <w:szCs w:val="20"/>
          <w:color w:val="auto"/>
        </w:rPr>
      </w:pPr>
    </w:p>
    <w:p>
      <w:pPr>
        <w:ind w:left="720" w:right="40" w:hanging="361"/>
        <w:spacing w:after="0" w:line="246"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revaluations of intercompany balances resulted in gains of $2.4 million during the first quarter of 2015 and gains of $0.5 million in the first quarter of 2014.</w:t>
      </w:r>
    </w:p>
    <w:p>
      <w:pPr>
        <w:spacing w:after="0" w:line="142" w:lineRule="exact"/>
        <w:rPr>
          <w:rFonts w:ascii="Arial" w:cs="Arial" w:eastAsia="Arial" w:hAnsi="Arial"/>
          <w:sz w:val="18"/>
          <w:szCs w:val="18"/>
          <w:color w:val="auto"/>
        </w:rPr>
      </w:pPr>
    </w:p>
    <w:p>
      <w:pPr>
        <w:ind w:left="720" w:hanging="361"/>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 of the Company’s total equity investment in an unaffiliated company resulted in a gain of $0.9 million.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382" w:lineRule="exact"/>
        <w:rPr>
          <w:sz w:val="20"/>
          <w:szCs w:val="20"/>
          <w:color w:val="auto"/>
        </w:rPr>
      </w:pPr>
    </w:p>
    <w:p>
      <w:pPr>
        <w:ind w:firstLine="360"/>
        <w:spacing w:after="0"/>
        <w:rPr>
          <w:sz w:val="20"/>
          <w:szCs w:val="20"/>
          <w:color w:val="auto"/>
        </w:rPr>
      </w:pPr>
      <w:r>
        <w:rPr>
          <w:rFonts w:ascii="Arial" w:cs="Arial" w:eastAsia="Arial" w:hAnsi="Arial"/>
          <w:sz w:val="18"/>
          <w:szCs w:val="18"/>
          <w:color w:val="auto"/>
        </w:rPr>
        <w:t>The Company has operations which constitute a taxable presence in 19 countries outside of the United States. All of these countries except one had income tax rates that were lower than the United States federal tax rate of 35% during the periods reported. The jurisdictional location of earnings is a significant component of our effective tax rate each year and therefore on our overall income tax expense.</w:t>
      </w:r>
    </w:p>
    <w:p>
      <w:pPr>
        <w:spacing w:after="0" w:line="149" w:lineRule="exact"/>
        <w:rPr>
          <w:sz w:val="20"/>
          <w:szCs w:val="20"/>
          <w:color w:val="auto"/>
        </w:rPr>
      </w:pPr>
    </w:p>
    <w:p>
      <w:pPr>
        <w:jc w:val="both"/>
        <w:ind w:right="40" w:firstLine="360"/>
        <w:spacing w:after="0" w:line="239" w:lineRule="auto"/>
        <w:rPr>
          <w:sz w:val="20"/>
          <w:szCs w:val="20"/>
          <w:color w:val="auto"/>
        </w:rPr>
      </w:pPr>
      <w:r>
        <w:rPr>
          <w:rFonts w:ascii="Arial" w:cs="Arial" w:eastAsia="Arial" w:hAnsi="Arial"/>
          <w:sz w:val="18"/>
          <w:szCs w:val="18"/>
          <w:color w:val="auto"/>
        </w:rPr>
        <w:t>The Company’s effective tax rates for the first quarter of 2015 and 2014 were 41.0% and 41.1%, respectively. The tax rate is affected by recurring items, such as the income tax rate in the U.S. and in non-U.S. jurisdictions and the mix of income earned in those jurisdictions. The tax rate is also affected by U.S. tax costs on foreign earnings that have been or will be repatriated to the U.S., and by discrete items that may occur in any given year but are not consistent from year to year.</w:t>
      </w:r>
    </w:p>
    <w:p>
      <w:pPr>
        <w:spacing w:after="0" w:line="148" w:lineRule="exact"/>
        <w:rPr>
          <w:sz w:val="20"/>
          <w:szCs w:val="20"/>
          <w:color w:val="auto"/>
        </w:rPr>
      </w:pPr>
    </w:p>
    <w:p>
      <w:pPr>
        <w:ind w:right="60" w:firstLine="360"/>
        <w:spacing w:after="0" w:line="246" w:lineRule="auto"/>
        <w:rPr>
          <w:sz w:val="20"/>
          <w:szCs w:val="20"/>
          <w:color w:val="auto"/>
        </w:rPr>
      </w:pPr>
      <w:r>
        <w:rPr>
          <w:rFonts w:ascii="Arial" w:cs="Arial" w:eastAsia="Arial" w:hAnsi="Arial"/>
          <w:sz w:val="18"/>
          <w:szCs w:val="18"/>
          <w:color w:val="auto"/>
        </w:rPr>
        <w:t>Significant items that impacted the tax rates in the first quarter of 2015 included the following (percentages reflect the effect of each item as a percentage of Income before income taxes):</w:t>
      </w:r>
    </w:p>
    <w:p>
      <w:pPr>
        <w:spacing w:after="0" w:line="26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40"/>
          </w:cols>
          <w:pgMar w:left="240" w:top="660" w:right="419" w:bottom="1440" w:gutter="0" w:footer="0" w:header="0"/>
        </w:sectPr>
      </w:pPr>
    </w:p>
    <w:bookmarkStart w:id="29" w:name="page30"/>
    <w:bookmarkEnd w:id="29"/>
    <w:p>
      <w:pPr>
        <w:ind w:left="720" w:hanging="361"/>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40.0%.</w:t>
      </w:r>
    </w:p>
    <w:p>
      <w:pPr>
        <w:spacing w:after="0" w:line="171" w:lineRule="exact"/>
        <w:rPr>
          <w:rFonts w:ascii="Arial" w:cs="Arial" w:eastAsia="Arial" w:hAnsi="Arial"/>
          <w:sz w:val="18"/>
          <w:szCs w:val="18"/>
          <w:color w:val="auto"/>
        </w:rPr>
      </w:pPr>
    </w:p>
    <w:p>
      <w:pPr>
        <w:ind w:left="720" w:right="140" w:hanging="361"/>
        <w:spacing w:after="0" w:line="246"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increase in the tax rate on continuing operations was due primarily to the impact of restructuring charges in Germany, where the Company is unable to record a tax benefit related to the expense.</w:t>
      </w:r>
    </w:p>
    <w:p>
      <w:pPr>
        <w:spacing w:after="0" w:line="142" w:lineRule="exact"/>
        <w:rPr>
          <w:rFonts w:ascii="Arial" w:cs="Arial" w:eastAsia="Arial" w:hAnsi="Arial"/>
          <w:sz w:val="18"/>
          <w:szCs w:val="18"/>
          <w:color w:val="auto"/>
        </w:rPr>
      </w:pPr>
    </w:p>
    <w:p>
      <w:pPr>
        <w:ind w:left="720" w:hanging="361"/>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discrete charges of $0.2 million (1.0%) were recognized.</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items that impacted the first quarter 2014 tax rate included the following:</w:t>
      </w:r>
    </w:p>
    <w:p>
      <w:pPr>
        <w:spacing w:after="0" w:line="158" w:lineRule="exact"/>
        <w:rPr>
          <w:sz w:val="20"/>
          <w:szCs w:val="20"/>
          <w:color w:val="auto"/>
        </w:rPr>
      </w:pPr>
    </w:p>
    <w:p>
      <w:pPr>
        <w:ind w:left="720" w:hanging="36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35.0%.</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discrete charge of $0.9 million (4.9%) related to provision for tax audits and contingencies.</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$0.2 million (1.2%) net tax expense related to other discrete items.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3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MC is our primary business segment and accounted for nearly 90% of our consolidated revenues during the first three months of 2015.</w:t>
      </w:r>
    </w:p>
    <w:p>
      <w:pPr>
        <w:spacing w:after="0"/>
        <w:rPr>
          <w:sz w:val="20"/>
          <w:szCs w:val="20"/>
          <w:color w:val="auto"/>
        </w:rPr>
      </w:pPr>
      <w:r>
        <w:rPr>
          <w:rFonts w:ascii="Arial" w:cs="Arial" w:eastAsia="Arial" w:hAnsi="Arial"/>
          <w:sz w:val="18"/>
          <w:szCs w:val="18"/>
          <w:color w:val="auto"/>
        </w:rPr>
        <w:t>Machine clothing products are purchased primarily by manufacturers of paper and paperboard.</w:t>
      </w:r>
    </w:p>
    <w:p>
      <w:pPr>
        <w:spacing w:after="0" w:line="158" w:lineRule="exact"/>
        <w:rPr>
          <w:sz w:val="20"/>
          <w:szCs w:val="20"/>
          <w:color w:val="auto"/>
        </w:rPr>
      </w:pPr>
    </w:p>
    <w:p>
      <w:pPr>
        <w:jc w:val="both"/>
        <w:ind w:right="300" w:firstLine="360"/>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approximately 2% over the next five years, driven primarily by secular demand increases in Asia and South America, with stabilization in the mature markets of Europe and North America.</w:t>
      </w:r>
    </w:p>
    <w:p>
      <w:pPr>
        <w:spacing w:after="0" w:line="149" w:lineRule="exact"/>
        <w:rPr>
          <w:sz w:val="20"/>
          <w:szCs w:val="20"/>
          <w:color w:val="auto"/>
        </w:rPr>
      </w:pPr>
    </w:p>
    <w:p>
      <w:pPr>
        <w:ind w:right="40" w:firstLine="360"/>
        <w:spacing w:after="0" w:line="237" w:lineRule="auto"/>
        <w:rPr>
          <w:sz w:val="20"/>
          <w:szCs w:val="20"/>
          <w:color w:val="auto"/>
        </w:rPr>
      </w:pPr>
      <w:r>
        <w:rPr>
          <w:rFonts w:ascii="Arial" w:cs="Arial" w:eastAsia="Arial" w:hAnsi="Arial"/>
          <w:sz w:val="18"/>
          <w:szCs w:val="18"/>
          <w:color w:val="auto"/>
        </w:rPr>
        <w:t>Shifting demand for paper, across different paper grades as well as across geographical regions, continues to drive the elimination of papermaking capacity in areas with significant established capacity, primarily in the mature markets of Europe and North America. At the same time, the newest, most efficient machines are being installed in areas of growing demand, including Asia and South America generally, as well as tissue and towel paper grades in all regions. Recent technological advances in paper machine clothing, while contributing to the papermaking efficiency of customers, have lengthened the useful life of many of our products and had an adverse impact on overall paper machine clothing demand.</w:t>
      </w:r>
    </w:p>
    <w:p>
      <w:pPr>
        <w:spacing w:after="0" w:line="151" w:lineRule="exact"/>
        <w:rPr>
          <w:sz w:val="20"/>
          <w:szCs w:val="20"/>
          <w:color w:val="auto"/>
        </w:rPr>
      </w:pPr>
    </w:p>
    <w:p>
      <w:pPr>
        <w:ind w:right="20" w:firstLine="360"/>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148" w:lineRule="exact"/>
        <w:rPr>
          <w:sz w:val="20"/>
          <w:szCs w:val="20"/>
          <w:color w:val="auto"/>
        </w:rPr>
      </w:pPr>
    </w:p>
    <w:p>
      <w:pPr>
        <w:ind w:firstLine="360"/>
        <w:spacing w:after="0" w:line="246" w:lineRule="auto"/>
        <w:rPr>
          <w:sz w:val="20"/>
          <w:szCs w:val="20"/>
          <w:color w:val="auto"/>
        </w:rPr>
      </w:pPr>
      <w:r>
        <w:rPr>
          <w:rFonts w:ascii="Arial" w:cs="Arial" w:eastAsia="Arial" w:hAnsi="Arial"/>
          <w:sz w:val="18"/>
          <w:szCs w:val="18"/>
          <w:color w:val="auto"/>
        </w:rPr>
        <w:t>We have incurred significant restructuring charges in recent periods as we reduced Machine Clothing manufacturing capacity in the United States, Germany, France, and Sweden.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79" w:right="2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r>
              <w:rPr>
                <w:rFonts w:ascii="Arial" w:cs="Arial" w:eastAsia="Arial" w:hAnsi="Arial"/>
                <w:sz w:val="18"/>
                <w:szCs w:val="18"/>
                <w:b w:val="1"/>
                <w:bCs w:val="1"/>
                <w:color w:val="auto"/>
              </w:rPr>
              <w:t>Review of Operations</w:t>
            </w:r>
          </w:p>
        </w:tc>
        <w:tc>
          <w:tcPr>
            <w:tcW w:w="37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31"/>
        </w:trPr>
        <w:tc>
          <w:tcPr>
            <w:tcW w:w="5740" w:type="dxa"/>
            <w:vAlign w:val="bottom"/>
          </w:tcPr>
          <w:p>
            <w:pPr>
              <w:spacing w:after="0"/>
              <w:rPr>
                <w:sz w:val="24"/>
                <w:szCs w:val="24"/>
                <w:color w:val="auto"/>
              </w:rPr>
            </w:pPr>
          </w:p>
        </w:tc>
        <w:tc>
          <w:tcPr>
            <w:tcW w:w="56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03"/>
        </w:trPr>
        <w:tc>
          <w:tcPr>
            <w:tcW w:w="5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980" w:type="dxa"/>
            <w:vAlign w:val="bottom"/>
          </w:tcPr>
          <w:p>
            <w:pPr>
              <w:jc w:val="right"/>
              <w:ind w:right="990"/>
              <w:spacing w:after="0" w:line="202" w:lineRule="exact"/>
              <w:rPr>
                <w:sz w:val="20"/>
                <w:szCs w:val="20"/>
                <w:color w:val="auto"/>
              </w:rPr>
            </w:pPr>
            <w:r>
              <w:rPr>
                <w:rFonts w:ascii="Arial" w:cs="Arial" w:eastAsia="Arial" w:hAnsi="Arial"/>
                <w:sz w:val="18"/>
                <w:szCs w:val="18"/>
                <w:b w:val="1"/>
                <w:bCs w:val="1"/>
                <w:color w:val="auto"/>
              </w:rPr>
              <w:t>March 31,</w:t>
            </w:r>
          </w:p>
        </w:tc>
      </w:tr>
      <w:tr>
        <w:trPr>
          <w:trHeight w:val="225"/>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3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r>
      <w:tr>
        <w:trPr>
          <w:trHeight w:val="173"/>
        </w:trPr>
        <w:tc>
          <w:tcPr>
            <w:tcW w:w="574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370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rPr>
              <w:t>$158,494</w:t>
            </w:r>
          </w:p>
        </w:tc>
        <w:tc>
          <w:tcPr>
            <w:tcW w:w="1980" w:type="dxa"/>
            <w:vAlign w:val="bottom"/>
          </w:tcPr>
          <w:p>
            <w:pPr>
              <w:jc w:val="right"/>
              <w:ind w:right="70"/>
              <w:spacing w:after="0" w:line="173" w:lineRule="exact"/>
              <w:rPr>
                <w:sz w:val="20"/>
                <w:szCs w:val="20"/>
                <w:color w:val="auto"/>
              </w:rPr>
            </w:pPr>
            <w:r>
              <w:rPr>
                <w:rFonts w:ascii="Arial" w:cs="Arial" w:eastAsia="Arial" w:hAnsi="Arial"/>
                <w:sz w:val="18"/>
                <w:szCs w:val="18"/>
                <w:color w:val="auto"/>
              </w:rPr>
              <w:t>$164,088</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370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75,260</w:t>
            </w:r>
          </w:p>
        </w:tc>
        <w:tc>
          <w:tcPr>
            <w:tcW w:w="1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73,870</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3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47.5%</w:t>
            </w: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45.0%</w:t>
            </w:r>
          </w:p>
        </w:tc>
      </w:tr>
      <w:tr>
        <w:trPr>
          <w:trHeight w:val="225"/>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3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35,689</w:t>
            </w:r>
          </w:p>
        </w:tc>
        <w:tc>
          <w:tcPr>
            <w:tcW w:w="1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36,142</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Net sales were affected by the following:</w:t>
      </w:r>
    </w:p>
    <w:p>
      <w:pPr>
        <w:spacing w:after="0" w:line="360" w:lineRule="exact"/>
        <w:rPr>
          <w:sz w:val="20"/>
          <w:szCs w:val="20"/>
          <w:color w:val="auto"/>
        </w:rPr>
      </w:pPr>
    </w:p>
    <w:p>
      <w:pPr>
        <w:ind w:left="720" w:hanging="36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were strong in every region, particularly in Europe and Asia.</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2015 sales by $11.3 million.</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sales increased 3.5% compared to the same period in 2014.</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82" w:lineRule="exact"/>
        <w:rPr>
          <w:sz w:val="20"/>
          <w:szCs w:val="20"/>
          <w:color w:val="auto"/>
        </w:rPr>
      </w:pPr>
    </w:p>
    <w:p>
      <w:pPr>
        <w:ind w:left="720" w:right="640" w:hanging="361"/>
        <w:spacing w:after="0" w:line="246"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increase in gross profit was principally due to higher sales volume, favorable product mix, and the impact of cost-reduction activities.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Despite the increase in gross profit, operating income decreased principally due to the net effect of the following:</w:t>
      </w:r>
    </w:p>
    <w:p>
      <w:pPr>
        <w:spacing w:after="0" w:line="360" w:lineRule="exact"/>
        <w:rPr>
          <w:sz w:val="20"/>
          <w:szCs w:val="20"/>
          <w:color w:val="auto"/>
        </w:rPr>
      </w:pPr>
    </w:p>
    <w:p>
      <w:pPr>
        <w:ind w:left="720" w:hanging="361"/>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Restructuring charges of $9.0 million in the first quarter of 2015, compared to $0.9 million in 2014.</w:t>
      </w:r>
    </w:p>
    <w:p>
      <w:pPr>
        <w:spacing w:after="0" w:line="171" w:lineRule="exact"/>
        <w:rPr>
          <w:rFonts w:ascii="Arial" w:cs="Arial" w:eastAsia="Arial" w:hAnsi="Arial"/>
          <w:sz w:val="18"/>
          <w:szCs w:val="18"/>
          <w:color w:val="auto"/>
        </w:rPr>
      </w:pPr>
    </w:p>
    <w:p>
      <w:pPr>
        <w:ind w:left="720" w:right="60" w:hanging="361"/>
        <w:spacing w:after="0" w:line="246"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first quarter gains of $2.9 million in 2015, compared to losses of $0.2 million in 2014.</w:t>
      </w:r>
    </w:p>
    <w:p>
      <w:pPr>
        <w:spacing w:after="0" w:line="142" w:lineRule="exact"/>
        <w:rPr>
          <w:rFonts w:ascii="Arial" w:cs="Arial" w:eastAsia="Arial" w:hAnsi="Arial"/>
          <w:sz w:val="18"/>
          <w:szCs w:val="18"/>
          <w:color w:val="auto"/>
        </w:rPr>
      </w:pPr>
    </w:p>
    <w:p>
      <w:pPr>
        <w:ind w:left="720" w:right="260" w:hanging="361"/>
        <w:spacing w:after="0" w:line="246"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STG&amp;R expenses principally resulting from the effect of changes in currency translation rates which lowered STG&amp;R by $3.3 million.</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58" w:lineRule="exact"/>
        <w:rPr>
          <w:sz w:val="20"/>
          <w:szCs w:val="20"/>
          <w:color w:val="auto"/>
        </w:rPr>
      </w:pPr>
    </w:p>
    <w:p>
      <w:pPr>
        <w:ind w:right="80" w:firstLine="360"/>
        <w:spacing w:after="0" w:line="239" w:lineRule="auto"/>
        <w:rPr>
          <w:sz w:val="20"/>
          <w:szCs w:val="20"/>
          <w:color w:val="auto"/>
        </w:rPr>
      </w:pPr>
      <w:r>
        <w:rPr>
          <w:rFonts w:ascii="Arial" w:cs="Arial" w:eastAsia="Arial" w:hAnsi="Arial"/>
          <w:sz w:val="18"/>
          <w:szCs w:val="18"/>
          <w:color w:val="auto"/>
        </w:rPr>
        <w:t>AEC, including ASC, provides highly engineered advanced composite structures based on proprietary technology to customers in the aerospace and defense industries. AEC’s largest program relates to CFM International’s LEAP engine, which is scheduled to enter into service in 2016. AEC, through ASC, is the exclusive supplier of advanced composite fan blades and cases for this program under a long-term supply contract. In 2014, approximately 20 percent of this segment’s sales were related to U.S. government contracts or programs.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56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r>
      <w:tr>
        <w:trPr>
          <w:trHeight w:val="203"/>
        </w:trPr>
        <w:tc>
          <w:tcPr>
            <w:tcW w:w="58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900" w:type="dxa"/>
            <w:vAlign w:val="bottom"/>
          </w:tcPr>
          <w:p>
            <w:pPr>
              <w:jc w:val="right"/>
              <w:ind w:right="890"/>
              <w:spacing w:after="0" w:line="202" w:lineRule="exact"/>
              <w:rPr>
                <w:sz w:val="20"/>
                <w:szCs w:val="20"/>
                <w:color w:val="auto"/>
              </w:rPr>
            </w:pPr>
            <w:r>
              <w:rPr>
                <w:rFonts w:ascii="Arial" w:cs="Arial" w:eastAsia="Arial" w:hAnsi="Arial"/>
                <w:sz w:val="18"/>
                <w:szCs w:val="18"/>
                <w:b w:val="1"/>
                <w:bCs w:val="1"/>
                <w:color w:val="auto"/>
              </w:rPr>
              <w:t>March 31,</w:t>
            </w:r>
          </w:p>
        </w:tc>
      </w:tr>
      <w:tr>
        <w:trPr>
          <w:trHeight w:val="225"/>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3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1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2014</w:t>
            </w:r>
          </w:p>
        </w:tc>
      </w:tr>
      <w:tr>
        <w:trPr>
          <w:trHeight w:val="173"/>
        </w:trPr>
        <w:tc>
          <w:tcPr>
            <w:tcW w:w="582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3700" w:type="dxa"/>
            <w:vAlign w:val="bottom"/>
          </w:tcPr>
          <w:p>
            <w:pPr>
              <w:jc w:val="right"/>
              <w:ind w:right="150"/>
              <w:spacing w:after="0" w:line="173" w:lineRule="exact"/>
              <w:rPr>
                <w:sz w:val="20"/>
                <w:szCs w:val="20"/>
                <w:color w:val="auto"/>
              </w:rPr>
            </w:pPr>
            <w:r>
              <w:rPr>
                <w:rFonts w:ascii="Arial" w:cs="Arial" w:eastAsia="Arial" w:hAnsi="Arial"/>
                <w:sz w:val="18"/>
                <w:szCs w:val="18"/>
                <w:b w:val="1"/>
                <w:bCs w:val="1"/>
                <w:color w:val="auto"/>
              </w:rPr>
              <w:t>$ 22,830</w:t>
            </w:r>
          </w:p>
        </w:tc>
        <w:tc>
          <w:tcPr>
            <w:tcW w:w="1900" w:type="dxa"/>
            <w:vAlign w:val="bottom"/>
          </w:tcPr>
          <w:p>
            <w:pPr>
              <w:jc w:val="right"/>
              <w:ind w:right="70"/>
              <w:spacing w:after="0" w:line="173" w:lineRule="exact"/>
              <w:rPr>
                <w:sz w:val="20"/>
                <w:szCs w:val="20"/>
                <w:color w:val="auto"/>
              </w:rPr>
            </w:pPr>
            <w:r>
              <w:rPr>
                <w:rFonts w:ascii="Arial" w:cs="Arial" w:eastAsia="Arial" w:hAnsi="Arial"/>
                <w:sz w:val="18"/>
                <w:szCs w:val="18"/>
                <w:color w:val="auto"/>
              </w:rPr>
              <w:t>$ 16,219</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370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1,815</w:t>
            </w:r>
          </w:p>
        </w:tc>
        <w:tc>
          <w:tcPr>
            <w:tcW w:w="19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1,293</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3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8.0%</w:t>
            </w: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25"/>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income/(loss)</w:t>
            </w:r>
          </w:p>
        </w:tc>
        <w:tc>
          <w:tcPr>
            <w:tcW w:w="3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(3,811)</w:t>
            </w: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(3,457)</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382" w:lineRule="exact"/>
        <w:rPr>
          <w:sz w:val="20"/>
          <w:szCs w:val="20"/>
          <w:color w:val="auto"/>
        </w:rPr>
      </w:pPr>
    </w:p>
    <w:p>
      <w:pPr>
        <w:ind w:left="720" w:hanging="361"/>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AEC sales increased $6.6 million compared to the first quarter of 2014 and were principally due to growth in the LEAP program.</w:t>
      </w:r>
    </w:p>
    <w:p>
      <w:pPr>
        <w:spacing w:after="0" w:line="171" w:lineRule="exact"/>
        <w:rPr>
          <w:rFonts w:ascii="Arial" w:cs="Arial" w:eastAsia="Arial" w:hAnsi="Arial"/>
          <w:sz w:val="18"/>
          <w:szCs w:val="18"/>
          <w:color w:val="auto"/>
        </w:rPr>
      </w:pPr>
    </w:p>
    <w:p>
      <w:pPr>
        <w:ind w:left="720" w:right="160" w:hanging="361"/>
        <w:spacing w:after="0" w:line="246"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Approximately half of AEC sales were related to LEAP production activities, which were $4.6 million ahead of a weak Q1 2014, when sales were affected by a temporary lag due to start-up and inventory effects.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gross profit is attributable to the sales increase noted above.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180" w:lineRule="exact"/>
        <w:rPr>
          <w:sz w:val="20"/>
          <w:szCs w:val="20"/>
          <w:color w:val="auto"/>
        </w:rPr>
      </w:pPr>
    </w:p>
    <w:p>
      <w:pPr>
        <w:ind w:right="160" w:firstLine="360"/>
        <w:spacing w:after="0"/>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cost, plus a defined profit margin. Revenue earned under these arrangements accounted for approximately 49 percent and 40 percent of total revenue for the first three months of 2015 and 2014, respectively.</w:t>
      </w:r>
    </w:p>
    <w:p>
      <w:pPr>
        <w:spacing w:after="0" w:line="351" w:lineRule="exact"/>
        <w:rPr>
          <w:sz w:val="20"/>
          <w:szCs w:val="20"/>
          <w:color w:val="auto"/>
        </w:rPr>
      </w:pPr>
    </w:p>
    <w:p>
      <w:pPr>
        <w:ind w:right="80" w:firstLine="360"/>
        <w:spacing w:after="0" w:line="238" w:lineRule="auto"/>
        <w:rPr>
          <w:sz w:val="20"/>
          <w:szCs w:val="20"/>
          <w:color w:val="auto"/>
        </w:rPr>
      </w:pPr>
      <w:r>
        <w:rPr>
          <w:rFonts w:ascii="Arial" w:cs="Arial" w:eastAsia="Arial" w:hAnsi="Arial"/>
          <w:sz w:val="18"/>
          <w:szCs w:val="18"/>
          <w:color w:val="auto"/>
        </w:rPr>
        <w:t>In addition, AEC has long-term fixed price contracts. In accounting for those contracts, we estimate the profit margin expected at the completion of the contract and recognize a pro-rata share of that profit during the course of the contract using a cost-to-cost or units of delivery approach. Changes in estimated contract profitability will affect revenue and gross profit when the change occurs, which could have a significant favorable or unfavorable effect on revenue and gross profit in any reporting period. Changes in contract estimates had minimal impact on gross profit in the first quarter of 2015, but reduced gross profit by $0.6 million in the same period of 2014.</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provides a summary of long-term fixed price contracts that were in process at the end of each period.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00" w:type="dxa"/>
            <w:vAlign w:val="bottom"/>
            <w:tcBorders>
              <w:top w:val="single" w:sz="8" w:color="auto"/>
            </w:tcBorders>
          </w:tcPr>
          <w:p>
            <w:pPr>
              <w:spacing w:after="0"/>
              <w:rPr>
                <w:sz w:val="16"/>
                <w:szCs w:val="16"/>
                <w:color w:val="auto"/>
              </w:rPr>
            </w:pPr>
          </w:p>
        </w:tc>
        <w:tc>
          <w:tcPr>
            <w:tcW w:w="3480" w:type="dxa"/>
            <w:vAlign w:val="bottom"/>
            <w:tcBorders>
              <w:top w:val="single" w:sz="8" w:color="auto"/>
            </w:tcBorders>
            <w:gridSpan w:val="2"/>
          </w:tcPr>
          <w:p>
            <w:pPr>
              <w:ind w:left="1060"/>
              <w:spacing w:after="0" w:line="194"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6"/>
                <w:szCs w:val="16"/>
                <w:color w:val="auto"/>
              </w:rPr>
            </w:pPr>
          </w:p>
        </w:tc>
      </w:tr>
      <w:tr>
        <w:trPr>
          <w:trHeight w:val="203"/>
        </w:trPr>
        <w:tc>
          <w:tcPr>
            <w:tcW w:w="4500" w:type="dxa"/>
            <w:vAlign w:val="bottom"/>
          </w:tcPr>
          <w:p>
            <w:pPr>
              <w:spacing w:after="0"/>
              <w:rPr>
                <w:sz w:val="17"/>
                <w:szCs w:val="17"/>
                <w:color w:val="auto"/>
              </w:rPr>
            </w:pPr>
          </w:p>
        </w:tc>
        <w:tc>
          <w:tcPr>
            <w:tcW w:w="24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March 31,</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48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2015</w:t>
            </w: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r>
      <w:tr>
        <w:trPr>
          <w:trHeight w:val="173"/>
        </w:trPr>
        <w:tc>
          <w:tcPr>
            <w:tcW w:w="4500" w:type="dxa"/>
            <w:vAlign w:val="bottom"/>
          </w:tcPr>
          <w:p>
            <w:pPr>
              <w:spacing w:after="0" w:line="173" w:lineRule="exact"/>
              <w:rPr>
                <w:sz w:val="20"/>
                <w:szCs w:val="20"/>
                <w:color w:val="auto"/>
              </w:rPr>
            </w:pPr>
            <w:r>
              <w:rPr>
                <w:rFonts w:ascii="Arial" w:cs="Arial" w:eastAsia="Arial" w:hAnsi="Arial"/>
                <w:sz w:val="18"/>
                <w:szCs w:val="18"/>
                <w:color w:val="auto"/>
              </w:rPr>
              <w:t>Revenue earned during period</w:t>
            </w:r>
          </w:p>
        </w:tc>
        <w:tc>
          <w:tcPr>
            <w:tcW w:w="248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$5,198</w:t>
            </w:r>
          </w:p>
        </w:tc>
        <w:tc>
          <w:tcPr>
            <w:tcW w:w="1000" w:type="dxa"/>
            <w:vAlign w:val="bottom"/>
          </w:tcPr>
          <w:p>
            <w:pPr>
              <w:jc w:val="right"/>
              <w:spacing w:after="0" w:line="173" w:lineRule="exact"/>
              <w:rPr>
                <w:sz w:val="20"/>
                <w:szCs w:val="20"/>
                <w:color w:val="auto"/>
              </w:rPr>
            </w:pPr>
            <w:r>
              <w:rPr>
                <w:rFonts w:ascii="Arial" w:cs="Arial" w:eastAsia="Arial" w:hAnsi="Arial"/>
                <w:sz w:val="18"/>
                <w:szCs w:val="18"/>
                <w:color w:val="auto"/>
              </w:rPr>
              <w:t>$2,661</w:t>
            </w:r>
          </w:p>
        </w:tc>
        <w:tc>
          <w:tcPr>
            <w:tcW w:w="20" w:type="dxa"/>
            <w:vAlign w:val="bottom"/>
          </w:tcPr>
          <w:p>
            <w:pPr>
              <w:spacing w:after="0"/>
              <w:rPr>
                <w:sz w:val="15"/>
                <w:szCs w:val="15"/>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Total value of contracts in process</w:t>
            </w:r>
          </w:p>
        </w:tc>
        <w:tc>
          <w:tcPr>
            <w:tcW w:w="24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34,892</w:t>
            </w: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26,465</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Revenue recognized to date</w:t>
            </w:r>
          </w:p>
        </w:tc>
        <w:tc>
          <w:tcPr>
            <w:tcW w:w="24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23,329</w:t>
            </w: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12,262</w:t>
            </w:r>
          </w:p>
        </w:tc>
      </w:tr>
      <w:tr>
        <w:trPr>
          <w:trHeight w:val="2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Revenue to be recognized in future periods</w:t>
            </w:r>
          </w:p>
        </w:tc>
        <w:tc>
          <w:tcPr>
            <w:tcW w:w="2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11,563</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14,203</w:t>
            </w:r>
          </w:p>
        </w:tc>
      </w:tr>
    </w:tbl>
    <w:p>
      <w:pPr>
        <w:spacing w:after="0" w:line="188" w:lineRule="exact"/>
        <w:rPr>
          <w:sz w:val="20"/>
          <w:szCs w:val="20"/>
          <w:color w:val="auto"/>
        </w:rPr>
      </w:pPr>
    </w:p>
    <w:p>
      <w:pPr>
        <w:ind w:right="260" w:firstLine="360"/>
        <w:spacing w:after="0" w:line="246" w:lineRule="auto"/>
        <w:rPr>
          <w:sz w:val="20"/>
          <w:szCs w:val="20"/>
          <w:color w:val="auto"/>
        </w:rPr>
      </w:pPr>
      <w:r>
        <w:rPr>
          <w:rFonts w:ascii="Arial" w:cs="Arial" w:eastAsia="Arial" w:hAnsi="Arial"/>
          <w:sz w:val="18"/>
          <w:szCs w:val="18"/>
          <w:color w:val="auto"/>
        </w:rPr>
        <w:t>One of the important projects for our operations in Boerne, Texas, which has been in development for several years, is the production of composite components for the BR 725, which is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869" w:right="239" w:bottom="1440" w:gutter="0" w:footer="0" w:header="0"/>
        </w:sectPr>
      </w:pPr>
    </w:p>
    <w:bookmarkStart w:id="32" w:name="page33"/>
    <w:bookmarkEnd w:id="32"/>
    <w:p>
      <w:pPr>
        <w:ind w:right="100"/>
        <w:spacing w:after="0" w:line="238" w:lineRule="auto"/>
        <w:rPr>
          <w:sz w:val="20"/>
          <w:szCs w:val="20"/>
          <w:color w:val="auto"/>
        </w:rPr>
      </w:pPr>
      <w:r>
        <w:rPr>
          <w:rFonts w:ascii="Arial" w:cs="Arial" w:eastAsia="Arial" w:hAnsi="Arial"/>
          <w:sz w:val="18"/>
          <w:szCs w:val="18"/>
          <w:color w:val="auto"/>
        </w:rPr>
        <w:t>the engine that powers the Gulfstream 650. We have now entered what is anticipated to be a very long production period. As of March 31, 2015, we have capitalized development costs of $9.6 million which will be allocated to future deliveries. We are currently delivering parts on time, and are meeting all customer requirements. The contract for the BR725 program, which was signed in 2007, sets very aggressive pricing levels. We will have to pay careful attention in the coming quarters to the projected life-of-program profitability as we gain more production experience.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20" w:type="dxa"/>
            <w:vAlign w:val="bottom"/>
            <w:gridSpan w:val="3"/>
          </w:tcPr>
          <w:p>
            <w:pPr>
              <w:spacing w:after="0"/>
              <w:rPr>
                <w:sz w:val="20"/>
                <w:szCs w:val="20"/>
                <w:color w:val="auto"/>
              </w:rPr>
            </w:pPr>
            <w:r>
              <w:rPr>
                <w:rFonts w:ascii="Arial" w:cs="Arial" w:eastAsia="Arial" w:hAnsi="Arial"/>
                <w:sz w:val="18"/>
                <w:szCs w:val="18"/>
                <w:b w:val="1"/>
                <w:bCs w:val="1"/>
                <w:color w:val="auto"/>
              </w:rPr>
              <w:t>Operating Income/(Loss)</w:t>
            </w:r>
          </w:p>
        </w:tc>
        <w:tc>
          <w:tcPr>
            <w:tcW w:w="2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60" w:type="dxa"/>
            <w:vAlign w:val="bottom"/>
          </w:tcPr>
          <w:p>
            <w:pPr>
              <w:ind w:left="160"/>
              <w:spacing w:after="0"/>
              <w:rPr>
                <w:sz w:val="20"/>
                <w:szCs w:val="20"/>
                <w:color w:val="auto"/>
              </w:rPr>
            </w:pPr>
            <w:r>
              <w:rPr>
                <w:rFonts w:ascii="Arial" w:cs="Arial" w:eastAsia="Arial" w:hAnsi="Arial"/>
                <w:sz w:val="18"/>
                <w:szCs w:val="18"/>
                <w:color w:val="auto"/>
              </w:rPr>
              <w:t>The operating loss increased in 2015 due to higher STG&amp;R expenses.</w:t>
            </w:r>
          </w:p>
        </w:tc>
        <w:tc>
          <w:tcPr>
            <w:tcW w:w="2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742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420" w:type="dxa"/>
            <w:vAlign w:val="bottom"/>
            <w:gridSpan w:val="3"/>
          </w:tcPr>
          <w:p>
            <w:pPr>
              <w:spacing w:after="0"/>
              <w:rPr>
                <w:sz w:val="20"/>
                <w:szCs w:val="20"/>
                <w:color w:val="auto"/>
              </w:rPr>
            </w:pPr>
            <w:r>
              <w:rPr>
                <w:rFonts w:ascii="Arial" w:cs="Arial" w:eastAsia="Arial" w:hAnsi="Arial"/>
                <w:sz w:val="18"/>
                <w:szCs w:val="18"/>
                <w:b w:val="1"/>
                <w:bCs w:val="1"/>
                <w:color w:val="auto"/>
              </w:rPr>
              <w:t>Cash Flow Summary</w:t>
            </w:r>
          </w:p>
        </w:tc>
        <w:tc>
          <w:tcPr>
            <w:tcW w:w="2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860" w:type="dxa"/>
            <w:vAlign w:val="bottom"/>
            <w:tcBorders>
              <w:bottom w:val="single" w:sz="8" w:color="auto"/>
            </w:tcBorders>
          </w:tcPr>
          <w:p>
            <w:pPr>
              <w:spacing w:after="0"/>
              <w:rPr>
                <w:sz w:val="12"/>
                <w:szCs w:val="12"/>
                <w:color w:val="auto"/>
              </w:rPr>
            </w:pPr>
          </w:p>
        </w:tc>
        <w:tc>
          <w:tcPr>
            <w:tcW w:w="4000" w:type="dxa"/>
            <w:vAlign w:val="bottom"/>
            <w:tcBorders>
              <w:bottom w:val="single" w:sz="8" w:color="auto"/>
            </w:tcBorders>
            <w:gridSpan w:val="2"/>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4000" w:type="dxa"/>
            <w:vAlign w:val="bottom"/>
            <w:gridSpan w:val="2"/>
          </w:tcPr>
          <w:p>
            <w:pPr>
              <w:jc w:val="right"/>
              <w:ind w:right="130"/>
              <w:spacing w:after="0" w:line="173" w:lineRule="exact"/>
              <w:rPr>
                <w:sz w:val="20"/>
                <w:szCs w:val="20"/>
                <w:color w:val="auto"/>
              </w:rPr>
            </w:pPr>
            <w:r>
              <w:rPr>
                <w:rFonts w:ascii="Arial" w:cs="Arial" w:eastAsia="Arial" w:hAnsi="Arial"/>
                <w:sz w:val="18"/>
                <w:szCs w:val="18"/>
                <w:b w:val="1"/>
                <w:bCs w:val="1"/>
                <w:color w:val="auto"/>
              </w:rPr>
              <w:t>Three months ended March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(in thousands)</w:t>
            </w:r>
          </w:p>
        </w:tc>
        <w:tc>
          <w:tcPr>
            <w:tcW w:w="28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2015</w:t>
            </w: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7420" w:type="dxa"/>
            <w:vAlign w:val="bottom"/>
            <w:gridSpan w:val="3"/>
          </w:tcPr>
          <w:p>
            <w:pPr>
              <w:spacing w:after="0" w:line="173" w:lineRule="exact"/>
              <w:rPr>
                <w:sz w:val="20"/>
                <w:szCs w:val="20"/>
                <w:color w:val="auto"/>
              </w:rPr>
            </w:pPr>
            <w:r>
              <w:rPr>
                <w:rFonts w:ascii="Arial" w:cs="Arial" w:eastAsia="Arial" w:hAnsi="Arial"/>
                <w:sz w:val="18"/>
                <w:szCs w:val="18"/>
                <w:color w:val="auto"/>
              </w:rPr>
              <w:t>Net income</w:t>
            </w:r>
          </w:p>
        </w:tc>
        <w:tc>
          <w:tcPr>
            <w:tcW w:w="2800" w:type="dxa"/>
            <w:vAlign w:val="bottom"/>
          </w:tcPr>
          <w:p>
            <w:pPr>
              <w:jc w:val="right"/>
              <w:ind w:right="230"/>
              <w:spacing w:after="0" w:line="173" w:lineRule="exact"/>
              <w:rPr>
                <w:sz w:val="20"/>
                <w:szCs w:val="20"/>
                <w:color w:val="auto"/>
              </w:rPr>
            </w:pPr>
            <w:r>
              <w:rPr>
                <w:rFonts w:ascii="Arial" w:cs="Arial" w:eastAsia="Arial" w:hAnsi="Arial"/>
                <w:sz w:val="18"/>
                <w:szCs w:val="18"/>
                <w:b w:val="1"/>
                <w:bCs w:val="1"/>
                <w:color w:val="auto"/>
              </w:rPr>
              <w:t>$12,239</w:t>
            </w:r>
          </w:p>
        </w:tc>
        <w:tc>
          <w:tcPr>
            <w:tcW w:w="1200" w:type="dxa"/>
            <w:vAlign w:val="bottom"/>
          </w:tcPr>
          <w:p>
            <w:pPr>
              <w:jc w:val="right"/>
              <w:spacing w:after="0" w:line="173" w:lineRule="exact"/>
              <w:rPr>
                <w:sz w:val="20"/>
                <w:szCs w:val="20"/>
                <w:color w:val="auto"/>
              </w:rPr>
            </w:pPr>
            <w:r>
              <w:rPr>
                <w:rFonts w:ascii="Arial" w:cs="Arial" w:eastAsia="Arial" w:hAnsi="Arial"/>
                <w:sz w:val="18"/>
                <w:szCs w:val="18"/>
                <w:color w:val="auto"/>
              </w:rPr>
              <w:t>$10,693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28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15,354</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15,908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Changes in working capital</w:t>
            </w:r>
          </w:p>
        </w:tc>
        <w:tc>
          <w:tcPr>
            <w:tcW w:w="28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(20,318)</w:t>
            </w: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(18,043)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Gain on disposition of assets</w:t>
            </w:r>
          </w:p>
        </w:tc>
        <w:tc>
          <w:tcPr>
            <w:tcW w:w="28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(1,056)</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Changes in long-term liabilities, deferred taxes and other credits</w:t>
            </w:r>
          </w:p>
        </w:tc>
        <w:tc>
          <w:tcPr>
            <w:tcW w:w="28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(277)</w:t>
            </w: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Other operating items</w:t>
            </w:r>
          </w:p>
        </w:tc>
        <w:tc>
          <w:tcPr>
            <w:tcW w:w="2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467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0" w:type="dxa"/>
            <w:vAlign w:val="bottom"/>
            <w:gridSpan w:val="2"/>
          </w:tcPr>
          <w:p>
            <w:pPr>
              <w:spacing w:after="0" w:line="173" w:lineRule="exact"/>
              <w:rPr>
                <w:sz w:val="20"/>
                <w:szCs w:val="20"/>
                <w:color w:val="auto"/>
              </w:rPr>
            </w:pPr>
            <w:r>
              <w:rPr>
                <w:rFonts w:ascii="Arial" w:cs="Arial" w:eastAsia="Arial" w:hAnsi="Arial"/>
                <w:sz w:val="18"/>
                <w:szCs w:val="18"/>
                <w:color w:val="auto"/>
              </w:rPr>
              <w:t>Net cash provided by operating activities</w:t>
            </w:r>
          </w:p>
        </w:tc>
        <w:tc>
          <w:tcPr>
            <w:tcW w:w="2800" w:type="dxa"/>
            <w:vAlign w:val="bottom"/>
          </w:tcPr>
          <w:p>
            <w:pPr>
              <w:jc w:val="right"/>
              <w:ind w:right="230"/>
              <w:spacing w:after="0" w:line="173" w:lineRule="exact"/>
              <w:rPr>
                <w:sz w:val="20"/>
                <w:szCs w:val="20"/>
                <w:color w:val="auto"/>
              </w:rPr>
            </w:pPr>
            <w:r>
              <w:rPr>
                <w:rFonts w:ascii="Arial" w:cs="Arial" w:eastAsia="Arial" w:hAnsi="Arial"/>
                <w:sz w:val="18"/>
                <w:szCs w:val="18"/>
                <w:b w:val="1"/>
                <w:bCs w:val="1"/>
                <w:color w:val="auto"/>
              </w:rPr>
              <w:t>6,409</w:t>
            </w:r>
          </w:p>
        </w:tc>
        <w:tc>
          <w:tcPr>
            <w:tcW w:w="1200" w:type="dxa"/>
            <w:vAlign w:val="bottom"/>
          </w:tcPr>
          <w:p>
            <w:pPr>
              <w:jc w:val="right"/>
              <w:spacing w:after="0" w:line="173" w:lineRule="exact"/>
              <w:rPr>
                <w:sz w:val="20"/>
                <w:szCs w:val="20"/>
                <w:color w:val="auto"/>
              </w:rPr>
            </w:pPr>
            <w:r>
              <w:rPr>
                <w:rFonts w:ascii="Arial" w:cs="Arial" w:eastAsia="Arial" w:hAnsi="Arial"/>
                <w:sz w:val="18"/>
                <w:szCs w:val="18"/>
                <w:color w:val="auto"/>
              </w:rPr>
              <w:t>8,848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20" w:type="dxa"/>
            <w:vAlign w:val="bottom"/>
            <w:gridSpan w:val="3"/>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28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(9,447)</w:t>
            </w: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(14,897)</w:t>
            </w:r>
          </w:p>
        </w:tc>
        <w:tc>
          <w:tcPr>
            <w:tcW w:w="0" w:type="dxa"/>
            <w:vAlign w:val="bottom"/>
          </w:tcPr>
          <w:p>
            <w:pPr>
              <w:spacing w:after="0"/>
              <w:rPr>
                <w:sz w:val="1"/>
                <w:szCs w:val="1"/>
                <w:color w:val="auto"/>
              </w:rPr>
            </w:pPr>
          </w:p>
        </w:tc>
      </w:tr>
      <w:tr>
        <w:trPr>
          <w:trHeight w:val="203"/>
        </w:trPr>
        <w:tc>
          <w:tcPr>
            <w:tcW w:w="7420" w:type="dxa"/>
            <w:vAlign w:val="bottom"/>
            <w:gridSpan w:val="3"/>
          </w:tcPr>
          <w:p>
            <w:pPr>
              <w:spacing w:after="0" w:line="202" w:lineRule="exact"/>
              <w:rPr>
                <w:sz w:val="20"/>
                <w:szCs w:val="20"/>
                <w:color w:val="auto"/>
              </w:rPr>
            </w:pPr>
            <w:r>
              <w:rPr>
                <w:rFonts w:ascii="Arial" w:cs="Arial" w:eastAsia="Arial" w:hAnsi="Arial"/>
                <w:sz w:val="18"/>
                <w:szCs w:val="18"/>
                <w:color w:val="auto"/>
              </w:rPr>
              <w:t>Net cash provided by/(used in) financing activities</w:t>
            </w:r>
          </w:p>
        </w:tc>
        <w:tc>
          <w:tcPr>
            <w:tcW w:w="28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5,679</w:t>
            </w: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(6,681)</w:t>
            </w:r>
          </w:p>
        </w:tc>
        <w:tc>
          <w:tcPr>
            <w:tcW w:w="0" w:type="dxa"/>
            <w:vAlign w:val="bottom"/>
          </w:tcPr>
          <w:p>
            <w:pPr>
              <w:spacing w:after="0"/>
              <w:rPr>
                <w:sz w:val="1"/>
                <w:szCs w:val="1"/>
                <w:color w:val="auto"/>
              </w:rPr>
            </w:pPr>
          </w:p>
        </w:tc>
      </w:tr>
      <w:tr>
        <w:trPr>
          <w:trHeight w:val="225"/>
        </w:trPr>
        <w:tc>
          <w:tcPr>
            <w:tcW w:w="7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Effect of exchange rate changes on cash flows</w:t>
            </w:r>
          </w:p>
        </w:tc>
        <w:tc>
          <w:tcPr>
            <w:tcW w:w="2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(11,605)</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173"/>
        </w:trPr>
        <w:tc>
          <w:tcPr>
            <w:tcW w:w="7420" w:type="dxa"/>
            <w:vAlign w:val="bottom"/>
            <w:gridSpan w:val="3"/>
          </w:tcPr>
          <w:p>
            <w:pPr>
              <w:spacing w:after="0" w:line="173" w:lineRule="exact"/>
              <w:rPr>
                <w:sz w:val="20"/>
                <w:szCs w:val="20"/>
                <w:color w:val="auto"/>
              </w:rPr>
            </w:pPr>
            <w:r>
              <w:rPr>
                <w:rFonts w:ascii="Arial" w:cs="Arial" w:eastAsia="Arial" w:hAnsi="Arial"/>
                <w:sz w:val="18"/>
                <w:szCs w:val="18"/>
                <w:color w:val="auto"/>
              </w:rPr>
              <w:t>Decrease in cash and cash equivalents</w:t>
            </w:r>
          </w:p>
        </w:tc>
        <w:tc>
          <w:tcPr>
            <w:tcW w:w="280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(8,964)</w:t>
            </w:r>
          </w:p>
        </w:tc>
        <w:tc>
          <w:tcPr>
            <w:tcW w:w="1220" w:type="dxa"/>
            <w:vAlign w:val="bottom"/>
            <w:gridSpan w:val="2"/>
          </w:tcPr>
          <w:p>
            <w:pPr>
              <w:jc w:val="right"/>
              <w:ind w:right="20"/>
              <w:spacing w:after="0" w:line="173" w:lineRule="exact"/>
              <w:rPr>
                <w:sz w:val="20"/>
                <w:szCs w:val="20"/>
                <w:color w:val="auto"/>
              </w:rPr>
            </w:pPr>
            <w:r>
              <w:rPr>
                <w:rFonts w:ascii="Arial" w:cs="Arial" w:eastAsia="Arial" w:hAnsi="Arial"/>
                <w:sz w:val="18"/>
                <w:szCs w:val="18"/>
                <w:color w:val="auto"/>
              </w:rPr>
              <w:t>(14,287)</w:t>
            </w:r>
          </w:p>
        </w:tc>
        <w:tc>
          <w:tcPr>
            <w:tcW w:w="0" w:type="dxa"/>
            <w:vAlign w:val="bottom"/>
          </w:tcPr>
          <w:p>
            <w:pPr>
              <w:spacing w:after="0"/>
              <w:rPr>
                <w:sz w:val="1"/>
                <w:szCs w:val="1"/>
                <w:color w:val="auto"/>
              </w:rPr>
            </w:pPr>
          </w:p>
        </w:tc>
      </w:tr>
      <w:tr>
        <w:trPr>
          <w:trHeight w:val="225"/>
        </w:trPr>
        <w:tc>
          <w:tcPr>
            <w:tcW w:w="7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Cash and cash equivalents at beginning of year</w:t>
            </w:r>
          </w:p>
        </w:tc>
        <w:tc>
          <w:tcPr>
            <w:tcW w:w="2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179,802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4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28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$170,838</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$208,379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80" w:lineRule="exact"/>
        <w:rPr>
          <w:sz w:val="20"/>
          <w:szCs w:val="20"/>
          <w:color w:val="auto"/>
        </w:rPr>
      </w:pPr>
    </w:p>
    <w:p>
      <w:pPr>
        <w:ind w:right="20" w:firstLine="360"/>
        <w:spacing w:after="0" w:line="237" w:lineRule="auto"/>
        <w:rPr>
          <w:sz w:val="20"/>
          <w:szCs w:val="20"/>
          <w:color w:val="auto"/>
        </w:rPr>
      </w:pPr>
      <w:r>
        <w:rPr>
          <w:rFonts w:ascii="Arial" w:cs="Arial" w:eastAsia="Arial" w:hAnsi="Arial"/>
          <w:sz w:val="18"/>
          <w:szCs w:val="18"/>
          <w:color w:val="auto"/>
        </w:rPr>
        <w:t>Cash provided by operating activities was $6.4 million for the first three months of 2015, compared to $8.8 million in the same period last year. First quarter changes in working capital resulted in a use of cash totaling $ 20.3 million in 2015 and $ 18.0 million in 2014. Compared to the first quarter of 2014, changes in Accounts receivable used $24.6 million of cash flow, while the cash flows from Inventories improved $6.0 million. Changes in Accrued liabilities resulted in a use of cash of $1.6 million in 2015 compared to $12.8 million in 2014. In the first quarter of each year, we make payments related to incentive compensation which generally cause cash flows related to accrued liabilities to be negative. In the first quarter of 2015, that negative amount was partially offset by new restructuring accruals. Cash paid for income taxes was $7.1 million and $6.7 million for the first three months of 2015 and 2014, respectively.</w:t>
      </w:r>
    </w:p>
    <w:p>
      <w:pPr>
        <w:spacing w:after="0" w:line="149" w:lineRule="exact"/>
        <w:rPr>
          <w:sz w:val="20"/>
          <w:szCs w:val="20"/>
          <w:color w:val="auto"/>
        </w:rPr>
      </w:pPr>
    </w:p>
    <w:p>
      <w:pPr>
        <w:ind w:right="40" w:firstLine="360"/>
        <w:spacing w:after="0"/>
        <w:rPr>
          <w:sz w:val="20"/>
          <w:szCs w:val="20"/>
          <w:color w:val="auto"/>
        </w:rPr>
      </w:pPr>
      <w:r>
        <w:rPr>
          <w:rFonts w:ascii="Arial" w:cs="Arial" w:eastAsia="Arial" w:hAnsi="Arial"/>
          <w:sz w:val="18"/>
          <w:szCs w:val="18"/>
          <w:color w:val="auto"/>
        </w:rPr>
        <w:t>At March 31, 2015, we had $171 million of cash and cash equivalents, of which $158 million was held by subsidiaries outside of the United States. As disclosed in Note 7 contained in Item 1, “Notes to Consolidated Financial Statements”, we determined that all but $59.4 million of this amount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33" w:name="page34"/>
    <w:bookmarkEnd w:id="33"/>
    <w:p>
      <w:pPr>
        <w:ind w:right="40"/>
        <w:spacing w:after="0" w:line="238" w:lineRule="auto"/>
        <w:rPr>
          <w:sz w:val="20"/>
          <w:szCs w:val="20"/>
          <w:color w:val="auto"/>
        </w:rPr>
      </w:pPr>
      <w:r>
        <w:rPr>
          <w:rFonts w:ascii="Arial" w:cs="Arial" w:eastAsia="Arial" w:hAnsi="Arial"/>
          <w:sz w:val="18"/>
          <w:szCs w:val="18"/>
          <w:color w:val="auto"/>
        </w:rPr>
        <w:t>(which represents the amount of prior year earnings to be repatriated to the United States at some point in the future) is intended to be utilized by these non-U.S. operations for an indefinite period of time. Our current plans do not anticipate that we will need funds generated from foreign operations to fund our domestic operations or satisfy debt obligations in the United States. In the event that such funds were to be needed to fund operations in the U.S., and if associated accruals for U.S. tax have not already been provided, we would be required to accrue and pay additional U.S. taxes to repatriate these funds.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0" w:lineRule="exact"/>
        <w:rPr>
          <w:sz w:val="20"/>
          <w:szCs w:val="20"/>
          <w:color w:val="auto"/>
        </w:rPr>
      </w:pPr>
    </w:p>
    <w:p>
      <w:pPr>
        <w:ind w:right="520" w:firstLine="360"/>
        <w:spacing w:after="0" w:line="246" w:lineRule="auto"/>
        <w:rPr>
          <w:sz w:val="20"/>
          <w:szCs w:val="20"/>
          <w:color w:val="auto"/>
        </w:rPr>
      </w:pPr>
      <w:r>
        <w:rPr>
          <w:rFonts w:ascii="Arial" w:cs="Arial" w:eastAsia="Arial" w:hAnsi="Arial"/>
          <w:sz w:val="18"/>
          <w:szCs w:val="18"/>
          <w:color w:val="auto"/>
        </w:rPr>
        <w:t>Capital spending for equipment and software was $12.2 million for the first three months of 2015, including $6.2 million for AEC. The Company expects full-year capital expenditure spending of $65 to $75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0" w:lineRule="exact"/>
        <w:rPr>
          <w:sz w:val="20"/>
          <w:szCs w:val="20"/>
          <w:color w:val="auto"/>
        </w:rPr>
      </w:pPr>
    </w:p>
    <w:p>
      <w:pPr>
        <w:ind w:firstLine="360"/>
        <w:spacing w:after="0" w:line="239"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80" w:lineRule="exact"/>
        <w:rPr>
          <w:sz w:val="20"/>
          <w:szCs w:val="20"/>
          <w:color w:val="auto"/>
        </w:rPr>
      </w:pPr>
    </w:p>
    <w:p>
      <w:pPr>
        <w:ind w:right="220" w:firstLine="360"/>
        <w:spacing w:after="0" w:line="238"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Substantially all of our cash balance at March 31, 2015 was held by non-U.S. subsidiaries. Based on cash on hand and credit facilities, we anticipate that the Company has sufficient capital resources to operate for the foreseeable future. We were in compliance with all debt covenants as of March 31, 2015.</w:t>
      </w:r>
    </w:p>
    <w:p>
      <w:pPr>
        <w:spacing w:after="0" w:line="149" w:lineRule="exact"/>
        <w:rPr>
          <w:sz w:val="20"/>
          <w:szCs w:val="20"/>
          <w:color w:val="auto"/>
        </w:rPr>
      </w:pPr>
    </w:p>
    <w:p>
      <w:pPr>
        <w:ind w:right="60" w:firstLine="360"/>
        <w:spacing w:after="0" w:line="239" w:lineRule="auto"/>
        <w:rPr>
          <w:sz w:val="20"/>
          <w:szCs w:val="20"/>
          <w:color w:val="auto"/>
        </w:rPr>
      </w:pPr>
      <w:r>
        <w:rPr>
          <w:rFonts w:ascii="Arial" w:cs="Arial" w:eastAsia="Arial" w:hAnsi="Arial"/>
          <w:sz w:val="18"/>
          <w:szCs w:val="18"/>
          <w:color w:val="auto"/>
        </w:rPr>
        <w:t>On March 26, 2013, we entered into a $330 million, unsecured Five-Year Revolving Credit Facility Agreement ("Credit Agreement"), under which $182 million of borrowings were outstanding as of March 31, 2015. The applicable interest rate for borrowings under the Credit Agreement is LIBOR plus a spread, based on our leverage ratio at the time of borrowing. At the time of the last borrowing on March 23, 2015, the spread was 1.375%. The spread is based on a pricing grid, which ranges from 1.25% to 1.875%, based on our leverage ratio.</w:t>
      </w:r>
    </w:p>
    <w:p>
      <w:pPr>
        <w:spacing w:after="0" w:line="148" w:lineRule="exact"/>
        <w:rPr>
          <w:sz w:val="20"/>
          <w:szCs w:val="20"/>
          <w:color w:val="auto"/>
        </w:rPr>
      </w:pPr>
    </w:p>
    <w:p>
      <w:pPr>
        <w:ind w:firstLine="360"/>
        <w:spacing w:after="0" w:line="237" w:lineRule="auto"/>
        <w:rPr>
          <w:sz w:val="20"/>
          <w:szCs w:val="20"/>
          <w:color w:val="auto"/>
        </w:rPr>
      </w:pPr>
      <w:r>
        <w:rPr>
          <w:rFonts w:ascii="Arial" w:cs="Arial" w:eastAsia="Arial" w:hAnsi="Arial"/>
          <w:sz w:val="18"/>
          <w:szCs w:val="18"/>
          <w:color w:val="auto"/>
        </w:rPr>
        <w:t>On July 16, 2010, we entered into interest rate hedging transactions that have the effect of fixing the LIBOR portion of the effective interest rate (before addition of the spread) on $105 million of the indebtedness drawn under the Credit Agreement at the rate of 2.04% until July 16, 2015. Under the terms of these transactions, we pay the fixed rate of 2.04% and the counterparties pay a floating rate based on the three-month LIBOR rate at each quarterly calculation date, which on January 16, 2015 was 0.26%. The net effect is to fix the effective interest rate on $105 million of indebtedness at 2.04%, plus the applicable spread, until these swap agreements expire. On March 31, 2015, the all-in rate on the $105 million of debt was 3.415%.</w:t>
      </w:r>
    </w:p>
    <w:p>
      <w:pPr>
        <w:spacing w:after="0" w:line="151" w:lineRule="exact"/>
        <w:rPr>
          <w:sz w:val="20"/>
          <w:szCs w:val="20"/>
          <w:color w:val="auto"/>
        </w:rPr>
      </w:pPr>
    </w:p>
    <w:p>
      <w:pPr>
        <w:jc w:val="both"/>
        <w:ind w:right="820" w:firstLine="360"/>
        <w:spacing w:after="0"/>
        <w:rPr>
          <w:sz w:val="20"/>
          <w:szCs w:val="20"/>
          <w:color w:val="auto"/>
        </w:rPr>
      </w:pPr>
      <w:r>
        <w:rPr>
          <w:rFonts w:ascii="Arial" w:cs="Arial" w:eastAsia="Arial" w:hAnsi="Arial"/>
          <w:sz w:val="18"/>
          <w:szCs w:val="18"/>
          <w:color w:val="auto"/>
        </w:rPr>
        <w:t>On May 20, 2013, we entered into interest rate hedging transactions for the period July 16, 2015 through March 16, 2018. These transactions have the effect of fixing the LIBOR portion of the effective interest rate (before addition of the spread) on $110 million of indebtedness drawn under the</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sectPr>
      </w:pPr>
    </w:p>
    <w:bookmarkStart w:id="34" w:name="page35"/>
    <w:bookmarkEnd w:id="34"/>
    <w:p>
      <w:pPr>
        <w:ind w:right="480"/>
        <w:spacing w:after="0" w:line="234" w:lineRule="auto"/>
        <w:rPr>
          <w:sz w:val="20"/>
          <w:szCs w:val="20"/>
          <w:color w:val="auto"/>
        </w:rPr>
      </w:pPr>
      <w:r>
        <w:rPr>
          <w:rFonts w:ascii="Arial" w:cs="Arial" w:eastAsia="Arial" w:hAnsi="Arial"/>
          <w:sz w:val="18"/>
          <w:szCs w:val="18"/>
          <w:color w:val="auto"/>
        </w:rPr>
        <w:t>Credit Agreement at the rate of 1.414% during this period. Under the terms of these transactions, we pay the fixed rate of 1.414% and the counterparties pay a floating rate based on the one-month LIBOR rate at each monthly calculation date, which on March 31, 2015 was</w:t>
      </w:r>
    </w:p>
    <w:p>
      <w:pPr>
        <w:spacing w:after="0" w:line="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0.17625%. The net effect is to fix the effective interest rate on $110 million of indebtedness at 1.414%, plus the applicable spread, during the swap period.</w:t>
      </w:r>
    </w:p>
    <w:p>
      <w:pPr>
        <w:spacing w:after="0" w:line="143" w:lineRule="exact"/>
        <w:rPr>
          <w:sz w:val="20"/>
          <w:szCs w:val="20"/>
          <w:color w:val="auto"/>
        </w:rPr>
      </w:pPr>
    </w:p>
    <w:p>
      <w:pPr>
        <w:jc w:val="both"/>
        <w:ind w:right="640" w:firstLine="360"/>
        <w:spacing w:after="0"/>
        <w:rPr>
          <w:sz w:val="20"/>
          <w:szCs w:val="20"/>
          <w:color w:val="auto"/>
        </w:rPr>
      </w:pPr>
      <w:r>
        <w:rPr>
          <w:rFonts w:ascii="Arial" w:cs="Arial" w:eastAsia="Arial" w:hAnsi="Arial"/>
          <w:sz w:val="18"/>
          <w:szCs w:val="18"/>
          <w:color w:val="auto"/>
        </w:rPr>
        <w:t>As of March 31, 2015, our leverage ratio was 1.28 to 1.00 and our interest coverage ratio was 13.94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149" w:lineRule="exact"/>
        <w:rPr>
          <w:sz w:val="20"/>
          <w:szCs w:val="20"/>
          <w:color w:val="auto"/>
        </w:rPr>
      </w:pPr>
    </w:p>
    <w:p>
      <w:pPr>
        <w:ind w:right="100" w:firstLine="360"/>
        <w:spacing w:after="0" w:line="246" w:lineRule="auto"/>
        <w:rPr>
          <w:sz w:val="20"/>
          <w:szCs w:val="20"/>
          <w:color w:val="auto"/>
        </w:rPr>
      </w:pPr>
      <w:r>
        <w:rPr>
          <w:rFonts w:ascii="Arial" w:cs="Arial" w:eastAsia="Arial" w:hAnsi="Arial"/>
          <w:sz w:val="18"/>
          <w:szCs w:val="18"/>
          <w:color w:val="auto"/>
        </w:rPr>
        <w:t>These interest rate swaps are accounted for as hedges of future cash flows. For more information on our interest rate swaps, see Note 13 to the Consolidated Financial Statements in Item 1, which is incorporated herein by reference.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March 31, 2015, we have no off-balance sheet arrangements required to be disclosed pursuant to Item 303(a)(4) of Regulation S-K.</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82" w:lineRule="exact"/>
        <w:rPr>
          <w:sz w:val="20"/>
          <w:szCs w:val="20"/>
          <w:color w:val="auto"/>
        </w:rPr>
      </w:pPr>
    </w:p>
    <w:p>
      <w:pPr>
        <w:ind w:right="40" w:firstLine="360"/>
        <w:spacing w:after="0" w:line="246" w:lineRule="auto"/>
        <w:rPr>
          <w:sz w:val="20"/>
          <w:szCs w:val="20"/>
          <w:color w:val="auto"/>
        </w:rPr>
      </w:pPr>
      <w:r>
        <w:rPr>
          <w:rFonts w:ascii="Arial" w:cs="Arial" w:eastAsia="Arial" w:hAnsi="Arial"/>
          <w:sz w:val="18"/>
          <w:szCs w:val="18"/>
          <w:color w:val="auto"/>
        </w:rPr>
        <w:t>The information set forth under Note 17 contained in Item 1, “Notes to Consolidated Financial Statements”, which is incorporated herein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382" w:lineRule="exact"/>
        <w:rPr>
          <w:sz w:val="20"/>
          <w:szCs w:val="20"/>
          <w:color w:val="auto"/>
        </w:rPr>
      </w:pPr>
    </w:p>
    <w:p>
      <w:pPr>
        <w:ind w:firstLine="360"/>
        <w:spacing w:after="0" w:line="236" w:lineRule="auto"/>
        <w:rPr>
          <w:sz w:val="20"/>
          <w:szCs w:val="20"/>
          <w:color w:val="auto"/>
        </w:rPr>
      </w:pPr>
      <w:r>
        <w:rPr>
          <w:rFonts w:ascii="Arial" w:cs="Arial" w:eastAsia="Arial" w:hAnsi="Arial"/>
          <w:sz w:val="18"/>
          <w:szCs w:val="18"/>
          <w:color w:val="auto"/>
        </w:rPr>
        <w:t>This Form 10-Q contains certain items, such as earnings before interest, taxes, depreciation and amortization (EBITDA), Adjusted EBITDA, sales excluding currency effects, income tax rate excluding adjustments, net debt, net income attributable to the Company, excluding adjustments (on an absolute and per-share basis), and certain income and expense items on a per- share basis that could be considered non-GAAP financial measures. Such items are provided because management believes that, when presented together with the GAAP items to which they relate, they provide additional useful information to investors regarding the Company’s operational performance. Presenting increases or decreases in sales, after currency effects are excluded, can give management and investors insight into underlying sales trends. An understanding of the impact in a particular period of specific restructuring costs, or other gains and losses, on operating income or EBITDA can give management and investors additional insight into period performance, especially when compared to periods in which such items had a greater or lesser effect, or no effect. All non-GAAP financial measures in this report relate to the Company’s continuing operations.</w:t>
      </w:r>
    </w:p>
    <w:p>
      <w:pPr>
        <w:spacing w:after="0" w:line="153" w:lineRule="exact"/>
        <w:rPr>
          <w:sz w:val="20"/>
          <w:szCs w:val="20"/>
          <w:color w:val="auto"/>
        </w:rPr>
      </w:pPr>
    </w:p>
    <w:p>
      <w:pPr>
        <w:ind w:right="120" w:firstLine="360"/>
        <w:spacing w:after="0" w:line="237" w:lineRule="auto"/>
        <w:rPr>
          <w:sz w:val="20"/>
          <w:szCs w:val="20"/>
          <w:color w:val="auto"/>
        </w:rPr>
      </w:pPr>
      <w:r>
        <w:rPr>
          <w:rFonts w:ascii="Arial" w:cs="Arial" w:eastAsia="Arial" w:hAnsi="Arial"/>
          <w:sz w:val="18"/>
          <w:szCs w:val="18"/>
          <w:color w:val="auto"/>
        </w:rPr>
        <w:t>The effect of changes in currency translation rates is calculated by converting amounts reported in local currencies into U.S. dollars at the exchange rate of a prior period. That amount is then compared to the U.S. dollar amount reported in the current period. The Company calculates Income tax adjustments by adding discrete tax items to the effect of a change in tax rate for the reporting period. The Company calculates its income tax rate, exclusive of income tax adjustments, by removing income tax adjustments from total income tax expense, then dividing that result by income before income taxes. The Company calculates EBITDA by removing the following from Net income: Interest expense net, Income tax expense, and Depreciation and amortization. Adjusted EBITDA is calculated</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35" w:name="page36"/>
    <w:bookmarkEnd w:id="35"/>
    <w:p>
      <w:pPr>
        <w:ind w:right="20"/>
        <w:spacing w:after="0" w:line="236" w:lineRule="auto"/>
        <w:rPr>
          <w:sz w:val="20"/>
          <w:szCs w:val="20"/>
          <w:color w:val="auto"/>
        </w:rPr>
      </w:pPr>
      <w:r>
        <w:rPr>
          <w:rFonts w:ascii="Arial" w:cs="Arial" w:eastAsia="Arial" w:hAnsi="Arial"/>
          <w:sz w:val="18"/>
          <w:szCs w:val="18"/>
          <w:color w:val="auto"/>
        </w:rPr>
        <w:t>by: adding to EBITDA costs associated with restructuring; adding (or subtracting) revaluation losses (or gains); subtracting (or adding) gains (or losses) from the sale of investments; and subtracting Income attributable to the noncontrolling interest in Albany Safran Composites, LLC (ASC). The Company believes that EBITDA and Adjusted EBITDA provide useful information to investors because they provide an indication of the strength and performance of the Company's ongoing business operations, including its ability to fund discretionary spending such as capital expenditures and strategic investments, as well as its ability to incur and service debt. While depreciation and amortization are operating costs under GAAP, they are non-cash expenses equal to current period allocation of costs associated with capital and other long-lived investments made in prior periods. While restructuring expenses, foreign currency revaluation losses or gains, and gains or losses from sales of investments have an impact on the Company's net income, removing them from EBITDA can provide, in the opinion of the Company, a better measure of operating performance. EBITDA is also a calculation commonly used by investors and analysts to evaluate and compare the periodic and future operating performance and value of companies. EBITDA, as defined by the Company, may not be similar to EBITDA measures of other companies. Such EBITDA measures may not be considered measurements under GAAP, and should be considered in addition to, but not as substitutes for, the information contained in the Company’s Consolidated Statements of Income.</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4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Three months ended March 31, 2015</w:t>
            </w:r>
          </w:p>
        </w:tc>
        <w:tc>
          <w:tcPr>
            <w:tcW w:w="21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Corporate</w:t>
            </w: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14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Machine</w:t>
            </w:r>
          </w:p>
        </w:tc>
        <w:tc>
          <w:tcPr>
            <w:tcW w:w="1240" w:type="dxa"/>
            <w:vAlign w:val="bottom"/>
          </w:tcPr>
          <w:p>
            <w:pPr>
              <w:spacing w:after="0"/>
              <w:rPr>
                <w:sz w:val="17"/>
                <w:szCs w:val="17"/>
                <w:color w:val="auto"/>
              </w:rPr>
            </w:pPr>
          </w:p>
        </w:tc>
        <w:tc>
          <w:tcPr>
            <w:tcW w:w="134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expenses</w:t>
            </w:r>
          </w:p>
        </w:tc>
        <w:tc>
          <w:tcPr>
            <w:tcW w:w="122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Clothing</w:t>
            </w: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AEC</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and other</w:t>
            </w: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Company</w:t>
            </w:r>
          </w:p>
        </w:tc>
        <w:tc>
          <w:tcPr>
            <w:tcW w:w="0" w:type="dxa"/>
            <w:vAlign w:val="bottom"/>
          </w:tcPr>
          <w:p>
            <w:pPr>
              <w:spacing w:after="0"/>
              <w:rPr>
                <w:sz w:val="1"/>
                <w:szCs w:val="1"/>
                <w:color w:val="auto"/>
              </w:rPr>
            </w:pPr>
          </w:p>
        </w:tc>
      </w:tr>
      <w:tr>
        <w:trPr>
          <w:trHeight w:val="173"/>
        </w:trPr>
        <w:tc>
          <w:tcPr>
            <w:tcW w:w="5480" w:type="dxa"/>
            <w:vAlign w:val="bottom"/>
            <w:gridSpan w:val="2"/>
          </w:tcPr>
          <w:p>
            <w:pPr>
              <w:spacing w:after="0" w:line="173" w:lineRule="exact"/>
              <w:rPr>
                <w:sz w:val="20"/>
                <w:szCs w:val="20"/>
                <w:color w:val="auto"/>
              </w:rPr>
            </w:pPr>
            <w:r>
              <w:rPr>
                <w:rFonts w:ascii="Arial" w:cs="Arial" w:eastAsia="Arial" w:hAnsi="Arial"/>
                <w:sz w:val="18"/>
                <w:szCs w:val="18"/>
                <w:color w:val="auto"/>
              </w:rPr>
              <w:t>Net income</w:t>
            </w:r>
          </w:p>
        </w:tc>
        <w:tc>
          <w:tcPr>
            <w:tcW w:w="214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$35,689</w:t>
            </w:r>
          </w:p>
        </w:tc>
        <w:tc>
          <w:tcPr>
            <w:tcW w:w="1240" w:type="dxa"/>
            <w:vAlign w:val="bottom"/>
          </w:tcPr>
          <w:p>
            <w:pPr>
              <w:jc w:val="right"/>
              <w:spacing w:after="0" w:line="173" w:lineRule="exact"/>
              <w:rPr>
                <w:sz w:val="20"/>
                <w:szCs w:val="20"/>
                <w:color w:val="auto"/>
              </w:rPr>
            </w:pPr>
            <w:r>
              <w:rPr>
                <w:rFonts w:ascii="Arial" w:cs="Arial" w:eastAsia="Arial" w:hAnsi="Arial"/>
                <w:sz w:val="18"/>
                <w:szCs w:val="18"/>
                <w:color w:val="auto"/>
              </w:rPr>
              <w:t>($3,811)</w:t>
            </w:r>
          </w:p>
        </w:tc>
        <w:tc>
          <w:tcPr>
            <w:tcW w:w="1340" w:type="dxa"/>
            <w:vAlign w:val="bottom"/>
          </w:tcPr>
          <w:p>
            <w:pPr>
              <w:jc w:val="right"/>
              <w:ind w:right="50"/>
              <w:spacing w:after="0" w:line="173" w:lineRule="exact"/>
              <w:rPr>
                <w:sz w:val="20"/>
                <w:szCs w:val="20"/>
                <w:color w:val="auto"/>
              </w:rPr>
            </w:pPr>
            <w:r>
              <w:rPr>
                <w:rFonts w:ascii="Arial" w:cs="Arial" w:eastAsia="Arial" w:hAnsi="Arial"/>
                <w:sz w:val="18"/>
                <w:szCs w:val="18"/>
                <w:color w:val="auto"/>
              </w:rPr>
              <w:t>($19,639)</w:t>
            </w:r>
          </w:p>
        </w:tc>
        <w:tc>
          <w:tcPr>
            <w:tcW w:w="122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$12,239</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21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2,676</w:t>
            </w: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2,676</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21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8,519</w:t>
            </w: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8,519</w:t>
            </w:r>
          </w:p>
        </w:tc>
        <w:tc>
          <w:tcPr>
            <w:tcW w:w="0" w:type="dxa"/>
            <w:vAlign w:val="bottom"/>
          </w:tcPr>
          <w:p>
            <w:pPr>
              <w:spacing w:after="0"/>
              <w:rPr>
                <w:sz w:val="1"/>
                <w:szCs w:val="1"/>
                <w:color w:val="auto"/>
              </w:rPr>
            </w:pPr>
          </w:p>
        </w:tc>
      </w:tr>
      <w:tr>
        <w:trPr>
          <w:trHeight w:val="225"/>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2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10,205</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2,995</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2,154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15,354</w:t>
            </w:r>
          </w:p>
        </w:tc>
        <w:tc>
          <w:tcPr>
            <w:tcW w:w="0" w:type="dxa"/>
            <w:vAlign w:val="bottom"/>
          </w:tcPr>
          <w:p>
            <w:pPr>
              <w:spacing w:after="0"/>
              <w:rPr>
                <w:sz w:val="1"/>
                <w:szCs w:val="1"/>
                <w:color w:val="auto"/>
              </w:rPr>
            </w:pPr>
          </w:p>
        </w:tc>
      </w:tr>
      <w:tr>
        <w:trPr>
          <w:trHeight w:val="173"/>
        </w:trPr>
        <w:tc>
          <w:tcPr>
            <w:tcW w:w="5480" w:type="dxa"/>
            <w:vAlign w:val="bottom"/>
            <w:gridSpan w:val="2"/>
          </w:tcPr>
          <w:p>
            <w:pPr>
              <w:spacing w:after="0" w:line="173" w:lineRule="exact"/>
              <w:rPr>
                <w:sz w:val="20"/>
                <w:szCs w:val="20"/>
                <w:color w:val="auto"/>
              </w:rPr>
            </w:pPr>
            <w:r>
              <w:rPr>
                <w:rFonts w:ascii="Arial" w:cs="Arial" w:eastAsia="Arial" w:hAnsi="Arial"/>
                <w:sz w:val="18"/>
                <w:szCs w:val="18"/>
                <w:color w:val="auto"/>
              </w:rPr>
              <w:t>EBITDA</w:t>
            </w:r>
          </w:p>
        </w:tc>
        <w:tc>
          <w:tcPr>
            <w:tcW w:w="214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45,894</w:t>
            </w:r>
          </w:p>
        </w:tc>
        <w:tc>
          <w:tcPr>
            <w:tcW w:w="1240" w:type="dxa"/>
            <w:vAlign w:val="bottom"/>
          </w:tcPr>
          <w:p>
            <w:pPr>
              <w:jc w:val="right"/>
              <w:spacing w:after="0" w:line="173" w:lineRule="exact"/>
              <w:rPr>
                <w:sz w:val="20"/>
                <w:szCs w:val="20"/>
                <w:color w:val="auto"/>
              </w:rPr>
            </w:pPr>
            <w:r>
              <w:rPr>
                <w:rFonts w:ascii="Arial" w:cs="Arial" w:eastAsia="Arial" w:hAnsi="Arial"/>
                <w:sz w:val="18"/>
                <w:szCs w:val="18"/>
                <w:color w:val="auto"/>
              </w:rPr>
              <w:t>(816)</w:t>
            </w:r>
          </w:p>
        </w:tc>
        <w:tc>
          <w:tcPr>
            <w:tcW w:w="1340" w:type="dxa"/>
            <w:vAlign w:val="bottom"/>
          </w:tcPr>
          <w:p>
            <w:pPr>
              <w:jc w:val="right"/>
              <w:ind w:right="50"/>
              <w:spacing w:after="0" w:line="173" w:lineRule="exact"/>
              <w:rPr>
                <w:sz w:val="20"/>
                <w:szCs w:val="20"/>
                <w:color w:val="auto"/>
              </w:rPr>
            </w:pPr>
            <w:r>
              <w:rPr>
                <w:rFonts w:ascii="Arial" w:cs="Arial" w:eastAsia="Arial" w:hAnsi="Arial"/>
                <w:sz w:val="18"/>
                <w:szCs w:val="18"/>
                <w:color w:val="auto"/>
              </w:rPr>
              <w:t>(6,290)</w:t>
            </w:r>
          </w:p>
        </w:tc>
        <w:tc>
          <w:tcPr>
            <w:tcW w:w="122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38,788</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and other, net</w:t>
            </w:r>
          </w:p>
        </w:tc>
        <w:tc>
          <w:tcPr>
            <w:tcW w:w="21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9,001</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9,001</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21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(2,923)</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(2,431)</w:t>
            </w: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(5,371)</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Gain on sale of investment</w:t>
            </w:r>
          </w:p>
        </w:tc>
        <w:tc>
          <w:tcPr>
            <w:tcW w:w="21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(872)</w:t>
            </w: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(872)</w:t>
            </w:r>
          </w:p>
        </w:tc>
        <w:tc>
          <w:tcPr>
            <w:tcW w:w="0" w:type="dxa"/>
            <w:vAlign w:val="bottom"/>
          </w:tcPr>
          <w:p>
            <w:pPr>
              <w:spacing w:after="0"/>
              <w:rPr>
                <w:sz w:val="1"/>
                <w:szCs w:val="1"/>
                <w:color w:val="auto"/>
              </w:rPr>
            </w:pPr>
          </w:p>
        </w:tc>
      </w:tr>
      <w:tr>
        <w:trPr>
          <w:trHeight w:val="225"/>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Pretax income attributable to noncontrolling interest in ASC</w:t>
            </w:r>
          </w:p>
        </w:tc>
        <w:tc>
          <w:tcPr>
            <w:tcW w:w="2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Adjusted EBITDA</w:t>
            </w:r>
          </w:p>
        </w:tc>
        <w:tc>
          <w:tcPr>
            <w:tcW w:w="21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$51,972</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($859)</w:t>
            </w:r>
          </w:p>
        </w:tc>
        <w:tc>
          <w:tcPr>
            <w:tcW w:w="13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($9,593)</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$41,520</w:t>
            </w:r>
          </w:p>
        </w:tc>
        <w:tc>
          <w:tcPr>
            <w:tcW w:w="0" w:type="dxa"/>
            <w:vAlign w:val="bottom"/>
          </w:tcPr>
          <w:p>
            <w:pPr>
              <w:spacing w:after="0"/>
              <w:rPr>
                <w:sz w:val="1"/>
                <w:szCs w:val="1"/>
                <w:color w:val="auto"/>
              </w:rPr>
            </w:pPr>
          </w:p>
        </w:tc>
      </w:tr>
      <w:tr>
        <w:trPr>
          <w:trHeight w:val="358"/>
        </w:trPr>
        <w:tc>
          <w:tcPr>
            <w:tcW w:w="20" w:type="dxa"/>
            <w:vAlign w:val="bottom"/>
            <w:vMerge w:val="restart"/>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Three months ended March 31, 2014</w:t>
            </w:r>
          </w:p>
        </w:tc>
        <w:tc>
          <w:tcPr>
            <w:tcW w:w="2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Corporate</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14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Machine</w:t>
            </w:r>
          </w:p>
        </w:tc>
        <w:tc>
          <w:tcPr>
            <w:tcW w:w="1240" w:type="dxa"/>
            <w:vAlign w:val="bottom"/>
          </w:tcPr>
          <w:p>
            <w:pPr>
              <w:spacing w:after="0"/>
              <w:rPr>
                <w:sz w:val="17"/>
                <w:szCs w:val="17"/>
                <w:color w:val="auto"/>
              </w:rPr>
            </w:pPr>
          </w:p>
        </w:tc>
        <w:tc>
          <w:tcPr>
            <w:tcW w:w="134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expenses</w:t>
            </w:r>
          </w:p>
        </w:tc>
        <w:tc>
          <w:tcPr>
            <w:tcW w:w="122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Clothing</w:t>
            </w: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AEC</w:t>
            </w: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and other</w:t>
            </w: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Company</w:t>
            </w:r>
          </w:p>
        </w:tc>
        <w:tc>
          <w:tcPr>
            <w:tcW w:w="0" w:type="dxa"/>
            <w:vAlign w:val="bottom"/>
          </w:tcPr>
          <w:p>
            <w:pPr>
              <w:spacing w:after="0"/>
              <w:rPr>
                <w:sz w:val="1"/>
                <w:szCs w:val="1"/>
                <w:color w:val="auto"/>
              </w:rPr>
            </w:pPr>
          </w:p>
        </w:tc>
      </w:tr>
      <w:tr>
        <w:trPr>
          <w:trHeight w:val="195"/>
        </w:trPr>
        <w:tc>
          <w:tcPr>
            <w:tcW w:w="5480" w:type="dxa"/>
            <w:vAlign w:val="bottom"/>
            <w:gridSpan w:val="2"/>
          </w:tcPr>
          <w:p>
            <w:pPr>
              <w:spacing w:after="0" w:line="195" w:lineRule="exact"/>
              <w:rPr>
                <w:sz w:val="20"/>
                <w:szCs w:val="20"/>
                <w:color w:val="auto"/>
              </w:rPr>
            </w:pPr>
            <w:r>
              <w:rPr>
                <w:rFonts w:ascii="Arial" w:cs="Arial" w:eastAsia="Arial" w:hAnsi="Arial"/>
                <w:sz w:val="18"/>
                <w:szCs w:val="18"/>
                <w:color w:val="auto"/>
              </w:rPr>
              <w:t>Net income</w:t>
            </w:r>
          </w:p>
        </w:tc>
        <w:tc>
          <w:tcPr>
            <w:tcW w:w="214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$36,142</w:t>
            </w:r>
          </w:p>
        </w:tc>
        <w:tc>
          <w:tcPr>
            <w:tcW w:w="1240" w:type="dxa"/>
            <w:vAlign w:val="bottom"/>
          </w:tcPr>
          <w:p>
            <w:pPr>
              <w:jc w:val="right"/>
              <w:ind w:right="70"/>
              <w:spacing w:after="0" w:line="195" w:lineRule="exact"/>
              <w:rPr>
                <w:sz w:val="20"/>
                <w:szCs w:val="20"/>
                <w:color w:val="auto"/>
              </w:rPr>
            </w:pPr>
            <w:r>
              <w:rPr>
                <w:rFonts w:ascii="Arial" w:cs="Arial" w:eastAsia="Arial" w:hAnsi="Arial"/>
                <w:sz w:val="18"/>
                <w:szCs w:val="18"/>
                <w:color w:val="auto"/>
              </w:rPr>
              <w:t>($3,475)</w:t>
            </w:r>
          </w:p>
        </w:tc>
        <w:tc>
          <w:tcPr>
            <w:tcW w:w="1340" w:type="dxa"/>
            <w:vAlign w:val="bottom"/>
          </w:tcPr>
          <w:p>
            <w:pPr>
              <w:jc w:val="right"/>
              <w:ind w:right="50"/>
              <w:spacing w:after="0" w:line="195" w:lineRule="exact"/>
              <w:rPr>
                <w:sz w:val="20"/>
                <w:szCs w:val="20"/>
                <w:color w:val="auto"/>
              </w:rPr>
            </w:pPr>
            <w:r>
              <w:rPr>
                <w:rFonts w:ascii="Arial" w:cs="Arial" w:eastAsia="Arial" w:hAnsi="Arial"/>
                <w:sz w:val="18"/>
                <w:szCs w:val="18"/>
                <w:color w:val="auto"/>
              </w:rPr>
              <w:t>($21,974)</w:t>
            </w:r>
          </w:p>
        </w:tc>
        <w:tc>
          <w:tcPr>
            <w:tcW w:w="1220" w:type="dxa"/>
            <w:vAlign w:val="bottom"/>
          </w:tcPr>
          <w:p>
            <w:pPr>
              <w:jc w:val="right"/>
              <w:spacing w:after="0" w:line="195" w:lineRule="exact"/>
              <w:rPr>
                <w:sz w:val="20"/>
                <w:szCs w:val="20"/>
                <w:color w:val="auto"/>
              </w:rPr>
            </w:pPr>
            <w:r>
              <w:rPr>
                <w:rFonts w:ascii="Arial" w:cs="Arial" w:eastAsia="Arial" w:hAnsi="Arial"/>
                <w:sz w:val="18"/>
                <w:szCs w:val="18"/>
                <w:color w:val="auto"/>
              </w:rPr>
              <w:t>$10,693</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21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2,918</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21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7,457</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7,457</w:t>
            </w:r>
          </w:p>
        </w:tc>
        <w:tc>
          <w:tcPr>
            <w:tcW w:w="0" w:type="dxa"/>
            <w:vAlign w:val="bottom"/>
          </w:tcPr>
          <w:p>
            <w:pPr>
              <w:spacing w:after="0"/>
              <w:rPr>
                <w:sz w:val="1"/>
                <w:szCs w:val="1"/>
                <w:color w:val="auto"/>
              </w:rPr>
            </w:pPr>
          </w:p>
        </w:tc>
      </w:tr>
      <w:tr>
        <w:trPr>
          <w:trHeight w:val="203"/>
        </w:trPr>
        <w:tc>
          <w:tcPr>
            <w:tcW w:w="548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21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11,455</w:t>
            </w:r>
          </w:p>
        </w:tc>
        <w:tc>
          <w:tcPr>
            <w:tcW w:w="12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2,322</w:t>
            </w:r>
          </w:p>
        </w:tc>
        <w:tc>
          <w:tcPr>
            <w:tcW w:w="13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2,131</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15,908</w:t>
            </w:r>
          </w:p>
        </w:tc>
        <w:tc>
          <w:tcPr>
            <w:tcW w:w="0" w:type="dxa"/>
            <w:vAlign w:val="bottom"/>
          </w:tcPr>
          <w:p>
            <w:pPr>
              <w:spacing w:after="0"/>
              <w:rPr>
                <w:sz w:val="1"/>
                <w:szCs w:val="1"/>
                <w:color w:val="auto"/>
              </w:rPr>
            </w:pPr>
          </w:p>
        </w:tc>
      </w:tr>
      <w:tr>
        <w:trPr>
          <w:trHeight w:val="195"/>
        </w:trPr>
        <w:tc>
          <w:tcPr>
            <w:tcW w:w="5480" w:type="dxa"/>
            <w:vAlign w:val="bottom"/>
            <w:gridSpan w:val="2"/>
          </w:tcPr>
          <w:p>
            <w:pPr>
              <w:spacing w:after="0" w:line="195" w:lineRule="exact"/>
              <w:rPr>
                <w:sz w:val="20"/>
                <w:szCs w:val="20"/>
                <w:color w:val="auto"/>
              </w:rPr>
            </w:pPr>
            <w:r>
              <w:rPr>
                <w:rFonts w:ascii="Arial" w:cs="Arial" w:eastAsia="Arial" w:hAnsi="Arial"/>
                <w:sz w:val="18"/>
                <w:szCs w:val="18"/>
                <w:color w:val="auto"/>
              </w:rPr>
              <w:t>EBITDA</w:t>
            </w:r>
          </w:p>
        </w:tc>
        <w:tc>
          <w:tcPr>
            <w:tcW w:w="214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47,597</w:t>
            </w:r>
          </w:p>
        </w:tc>
        <w:tc>
          <w:tcPr>
            <w:tcW w:w="124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(1,153)</w:t>
            </w:r>
          </w:p>
        </w:tc>
        <w:tc>
          <w:tcPr>
            <w:tcW w:w="1340" w:type="dxa"/>
            <w:vAlign w:val="bottom"/>
          </w:tcPr>
          <w:p>
            <w:pPr>
              <w:jc w:val="right"/>
              <w:ind w:right="50"/>
              <w:spacing w:after="0" w:line="195" w:lineRule="exact"/>
              <w:rPr>
                <w:sz w:val="20"/>
                <w:szCs w:val="20"/>
                <w:color w:val="auto"/>
              </w:rPr>
            </w:pPr>
            <w:r>
              <w:rPr>
                <w:rFonts w:ascii="Arial" w:cs="Arial" w:eastAsia="Arial" w:hAnsi="Arial"/>
                <w:sz w:val="18"/>
                <w:szCs w:val="18"/>
                <w:color w:val="auto"/>
              </w:rPr>
              <w:t>(9,468)</w:t>
            </w:r>
          </w:p>
        </w:tc>
        <w:tc>
          <w:tcPr>
            <w:tcW w:w="1220" w:type="dxa"/>
            <w:vAlign w:val="bottom"/>
          </w:tcPr>
          <w:p>
            <w:pPr>
              <w:jc w:val="right"/>
              <w:spacing w:after="0" w:line="195" w:lineRule="exact"/>
              <w:rPr>
                <w:sz w:val="20"/>
                <w:szCs w:val="20"/>
                <w:color w:val="auto"/>
              </w:rPr>
            </w:pPr>
            <w:r>
              <w:rPr>
                <w:rFonts w:ascii="Arial" w:cs="Arial" w:eastAsia="Arial" w:hAnsi="Arial"/>
                <w:sz w:val="18"/>
                <w:szCs w:val="18"/>
                <w:color w:val="auto"/>
              </w:rPr>
              <w:t>36,976</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and other, net</w:t>
            </w:r>
          </w:p>
        </w:tc>
        <w:tc>
          <w:tcPr>
            <w:tcW w:w="21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862</w:t>
            </w:r>
          </w:p>
        </w:tc>
        <w:tc>
          <w:tcPr>
            <w:tcW w:w="12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320</w:t>
            </w:r>
          </w:p>
        </w:tc>
        <w:tc>
          <w:tcPr>
            <w:tcW w:w="13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21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152</w:t>
            </w:r>
          </w:p>
        </w:tc>
        <w:tc>
          <w:tcPr>
            <w:tcW w:w="12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38</w:t>
            </w: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(505)</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3"/>
        </w:trPr>
        <w:tc>
          <w:tcPr>
            <w:tcW w:w="548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Pretax income attributable to noncontrolling interest in ASC</w:t>
            </w:r>
          </w:p>
        </w:tc>
        <w:tc>
          <w:tcPr>
            <w:tcW w:w="21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(59)</w:t>
            </w:r>
          </w:p>
        </w:tc>
        <w:tc>
          <w:tcPr>
            <w:tcW w:w="13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Adjusted EBITDA</w:t>
            </w:r>
          </w:p>
        </w:tc>
        <w:tc>
          <w:tcPr>
            <w:tcW w:w="21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$48,611</w:t>
            </w:r>
          </w:p>
        </w:tc>
        <w:tc>
          <w:tcPr>
            <w:tcW w:w="12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($854)</w:t>
            </w:r>
          </w:p>
        </w:tc>
        <w:tc>
          <w:tcPr>
            <w:tcW w:w="13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($9,973)</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$37,784</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340" w:firstLine="360"/>
        <w:spacing w:after="0" w:line="246"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the underlying quarterly</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36" w:name="page37"/>
    <w:bookmarkEnd w:id="36"/>
    <w:p>
      <w:pPr>
        <w:ind w:right="260"/>
        <w:spacing w:after="0" w:line="239" w:lineRule="auto"/>
        <w:rPr>
          <w:sz w:val="20"/>
          <w:szCs w:val="20"/>
          <w:color w:val="auto"/>
        </w:rPr>
      </w:pPr>
      <w:r>
        <w:rPr>
          <w:rFonts w:ascii="Arial" w:cs="Arial" w:eastAsia="Arial" w:hAnsi="Arial"/>
          <w:sz w:val="18"/>
          <w:szCs w:val="18"/>
          <w:color w:val="auto"/>
        </w:rPr>
        <w:t>earnings and are financial performance metrics commonly used by investors. The Company calculates the quarterly per-share amount for items included in continuing operations by using the estimated effective annual tax rate and the weighted average number of shares outstanding for each period. The year-to-date earnings per-share effects are determined by adding the amounts calculated at each reporting period.</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2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Three months ended March 31, 2015</w:t>
            </w:r>
          </w:p>
        </w:tc>
        <w:tc>
          <w:tcPr>
            <w:tcW w:w="2500" w:type="dxa"/>
            <w:vAlign w:val="bottom"/>
            <w:tcBorders>
              <w:top w:val="single" w:sz="8" w:color="auto"/>
            </w:tcBorders>
          </w:tcPr>
          <w:p>
            <w:pPr>
              <w:jc w:val="right"/>
              <w:ind w:right="590"/>
              <w:spacing w:after="0" w:line="194" w:lineRule="exact"/>
              <w:rPr>
                <w:sz w:val="20"/>
                <w:szCs w:val="20"/>
                <w:color w:val="auto"/>
              </w:rPr>
            </w:pPr>
            <w:r>
              <w:rPr>
                <w:rFonts w:ascii="Arial" w:cs="Arial" w:eastAsia="Arial" w:hAnsi="Arial"/>
                <w:sz w:val="18"/>
                <w:szCs w:val="18"/>
                <w:b w:val="1"/>
                <w:bCs w:val="1"/>
                <w:color w:val="auto"/>
              </w:rPr>
              <w:t>Pre tax</w:t>
            </w:r>
          </w:p>
        </w:tc>
        <w:tc>
          <w:tcPr>
            <w:tcW w:w="1440" w:type="dxa"/>
            <w:vAlign w:val="bottom"/>
            <w:tcBorders>
              <w:top w:val="single" w:sz="8" w:color="auto"/>
            </w:tcBorders>
          </w:tcPr>
          <w:p>
            <w:pPr>
              <w:jc w:val="right"/>
              <w:ind w:right="710"/>
              <w:spacing w:after="0" w:line="194" w:lineRule="exact"/>
              <w:rPr>
                <w:sz w:val="20"/>
                <w:szCs w:val="20"/>
                <w:color w:val="auto"/>
              </w:rPr>
            </w:pPr>
            <w:r>
              <w:rPr>
                <w:rFonts w:ascii="Arial" w:cs="Arial" w:eastAsia="Arial" w:hAnsi="Arial"/>
                <w:sz w:val="18"/>
                <w:szCs w:val="18"/>
                <w:b w:val="1"/>
                <w:bCs w:val="1"/>
                <w:color w:val="auto"/>
              </w:rPr>
              <w:t>Tax</w:t>
            </w:r>
          </w:p>
        </w:tc>
        <w:tc>
          <w:tcPr>
            <w:tcW w:w="1440" w:type="dxa"/>
            <w:vAlign w:val="bottom"/>
            <w:tcBorders>
              <w:top w:val="single" w:sz="8" w:color="auto"/>
            </w:tcBorders>
          </w:tcPr>
          <w:p>
            <w:pPr>
              <w:jc w:val="right"/>
              <w:ind w:right="430"/>
              <w:spacing w:after="0" w:line="194" w:lineRule="exact"/>
              <w:rPr>
                <w:sz w:val="20"/>
                <w:szCs w:val="20"/>
                <w:color w:val="auto"/>
              </w:rPr>
            </w:pPr>
            <w:r>
              <w:rPr>
                <w:rFonts w:ascii="Arial" w:cs="Arial" w:eastAsia="Arial" w:hAnsi="Arial"/>
                <w:sz w:val="18"/>
                <w:szCs w:val="18"/>
                <w:b w:val="1"/>
                <w:bCs w:val="1"/>
                <w:color w:val="auto"/>
              </w:rPr>
              <w:t>After tax</w:t>
            </w:r>
          </w:p>
        </w:tc>
        <w:tc>
          <w:tcPr>
            <w:tcW w:w="1320" w:type="dxa"/>
            <w:vAlign w:val="bottom"/>
            <w:tcBorders>
              <w:top w:val="single" w:sz="8" w:color="auto"/>
            </w:tcBorders>
          </w:tcPr>
          <w:p>
            <w:pPr>
              <w:jc w:val="right"/>
              <w:ind w:right="230"/>
              <w:spacing w:after="0" w:line="194" w:lineRule="exact"/>
              <w:rPr>
                <w:sz w:val="20"/>
                <w:szCs w:val="20"/>
                <w:color w:val="auto"/>
              </w:rPr>
            </w:pPr>
            <w:r>
              <w:rPr>
                <w:rFonts w:ascii="Arial" w:cs="Arial" w:eastAsia="Arial" w:hAnsi="Arial"/>
                <w:sz w:val="18"/>
                <w:szCs w:val="18"/>
                <w:b w:val="1"/>
                <w:bCs w:val="1"/>
                <w:color w:val="auto"/>
              </w:rPr>
              <w:t>Per Share</w:t>
            </w:r>
          </w:p>
        </w:tc>
        <w:tc>
          <w:tcPr>
            <w:tcW w:w="20" w:type="dxa"/>
            <w:vAlign w:val="bottom"/>
          </w:tcPr>
          <w:p>
            <w:pPr>
              <w:spacing w:after="0"/>
              <w:rPr>
                <w:sz w:val="16"/>
                <w:szCs w:val="16"/>
                <w:color w:val="auto"/>
              </w:rPr>
            </w:pPr>
          </w:p>
        </w:tc>
      </w:tr>
      <w:tr>
        <w:trPr>
          <w:trHeight w:val="225"/>
        </w:trPr>
        <w:tc>
          <w:tcPr>
            <w:tcW w:w="4720" w:type="dxa"/>
            <w:vAlign w:val="bottom"/>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500" w:type="dxa"/>
            <w:vAlign w:val="bottom"/>
          </w:tcPr>
          <w:p>
            <w:pPr>
              <w:jc w:val="right"/>
              <w:ind w:right="510"/>
              <w:spacing w:after="0"/>
              <w:rPr>
                <w:sz w:val="20"/>
                <w:szCs w:val="20"/>
                <w:color w:val="auto"/>
              </w:rPr>
            </w:pPr>
            <w:r>
              <w:rPr>
                <w:rFonts w:ascii="Arial" w:cs="Arial" w:eastAsia="Arial" w:hAnsi="Arial"/>
                <w:sz w:val="18"/>
                <w:szCs w:val="18"/>
                <w:b w:val="1"/>
                <w:bCs w:val="1"/>
                <w:color w:val="auto"/>
              </w:rPr>
              <w:t>Amounts</w:t>
            </w:r>
          </w:p>
        </w:tc>
        <w:tc>
          <w:tcPr>
            <w:tcW w:w="1440" w:type="dxa"/>
            <w:vAlign w:val="bottom"/>
          </w:tcPr>
          <w:p>
            <w:pPr>
              <w:jc w:val="right"/>
              <w:ind w:right="610"/>
              <w:spacing w:after="0"/>
              <w:rPr>
                <w:sz w:val="20"/>
                <w:szCs w:val="20"/>
                <w:color w:val="auto"/>
              </w:rPr>
            </w:pPr>
            <w:r>
              <w:rPr>
                <w:rFonts w:ascii="Arial" w:cs="Arial" w:eastAsia="Arial" w:hAnsi="Arial"/>
                <w:sz w:val="18"/>
                <w:szCs w:val="18"/>
                <w:b w:val="1"/>
                <w:bCs w:val="1"/>
                <w:color w:val="auto"/>
              </w:rPr>
              <w:t>Effect</w:t>
            </w: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Effect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Effect</w:t>
            </w:r>
          </w:p>
        </w:tc>
      </w:tr>
      <w:tr>
        <w:trPr>
          <w:trHeight w:val="195"/>
        </w:trPr>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Restructuring and other, net</w:t>
            </w:r>
          </w:p>
        </w:tc>
        <w:tc>
          <w:tcPr>
            <w:tcW w:w="250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$9,001</w:t>
            </w:r>
          </w:p>
        </w:tc>
        <w:tc>
          <w:tcPr>
            <w:tcW w:w="144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rPr>
              <w:t>$3,420</w:t>
            </w:r>
          </w:p>
        </w:tc>
        <w:tc>
          <w:tcPr>
            <w:tcW w:w="144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$5,581</w:t>
            </w: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$0.18</w:t>
            </w:r>
          </w:p>
        </w:tc>
        <w:tc>
          <w:tcPr>
            <w:tcW w:w="20" w:type="dxa"/>
            <w:vAlign w:val="bottom"/>
          </w:tcPr>
          <w:p>
            <w:pPr>
              <w:spacing w:after="0"/>
              <w:rPr>
                <w:sz w:val="16"/>
                <w:szCs w:val="16"/>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5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5,371</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2,041</w:t>
            </w:r>
          </w:p>
        </w:tc>
        <w:tc>
          <w:tcPr>
            <w:tcW w:w="14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3,330</w:t>
            </w: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0.10</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Gain on sale of investment</w:t>
            </w:r>
          </w:p>
        </w:tc>
        <w:tc>
          <w:tcPr>
            <w:tcW w:w="25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872</w:t>
            </w:r>
          </w:p>
        </w:tc>
        <w:tc>
          <w:tcPr>
            <w:tcW w:w="1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331</w:t>
            </w:r>
          </w:p>
        </w:tc>
        <w:tc>
          <w:tcPr>
            <w:tcW w:w="14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541</w:t>
            </w: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0.02</w:t>
            </w:r>
          </w:p>
        </w:tc>
      </w:tr>
      <w:tr>
        <w:trPr>
          <w:trHeight w:val="203"/>
        </w:trPr>
        <w:tc>
          <w:tcPr>
            <w:tcW w:w="47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Net discrete income tax charge</w:t>
            </w:r>
          </w:p>
        </w:tc>
        <w:tc>
          <w:tcPr>
            <w:tcW w:w="25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219</w:t>
            </w:r>
          </w:p>
        </w:tc>
        <w:tc>
          <w:tcPr>
            <w:tcW w:w="144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219</w:t>
            </w:r>
          </w:p>
        </w:tc>
        <w:tc>
          <w:tcPr>
            <w:tcW w:w="134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0.01</w:t>
            </w:r>
          </w:p>
        </w:tc>
      </w:tr>
    </w:tbl>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Three months ended March 31, 2014</w:t>
            </w:r>
          </w:p>
        </w:tc>
        <w:tc>
          <w:tcPr>
            <w:tcW w:w="1840" w:type="dxa"/>
            <w:vAlign w:val="bottom"/>
            <w:tcBorders>
              <w:top w:val="single" w:sz="8" w:color="auto"/>
            </w:tcBorders>
          </w:tcPr>
          <w:p>
            <w:pPr>
              <w:jc w:val="right"/>
              <w:ind w:right="590"/>
              <w:spacing w:after="0" w:line="194" w:lineRule="exact"/>
              <w:rPr>
                <w:sz w:val="20"/>
                <w:szCs w:val="20"/>
                <w:color w:val="auto"/>
              </w:rPr>
            </w:pPr>
            <w:r>
              <w:rPr>
                <w:rFonts w:ascii="Arial" w:cs="Arial" w:eastAsia="Arial" w:hAnsi="Arial"/>
                <w:sz w:val="18"/>
                <w:szCs w:val="18"/>
                <w:b w:val="1"/>
                <w:bCs w:val="1"/>
                <w:color w:val="auto"/>
              </w:rPr>
              <w:t>Pre tax</w:t>
            </w:r>
          </w:p>
        </w:tc>
        <w:tc>
          <w:tcPr>
            <w:tcW w:w="1400" w:type="dxa"/>
            <w:vAlign w:val="bottom"/>
            <w:tcBorders>
              <w:top w:val="single" w:sz="8" w:color="auto"/>
            </w:tcBorders>
          </w:tcPr>
          <w:p>
            <w:pPr>
              <w:jc w:val="right"/>
              <w:ind w:right="670"/>
              <w:spacing w:after="0" w:line="194" w:lineRule="exact"/>
              <w:rPr>
                <w:sz w:val="20"/>
                <w:szCs w:val="20"/>
                <w:color w:val="auto"/>
              </w:rPr>
            </w:pPr>
            <w:r>
              <w:rPr>
                <w:rFonts w:ascii="Arial" w:cs="Arial" w:eastAsia="Arial" w:hAnsi="Arial"/>
                <w:sz w:val="18"/>
                <w:szCs w:val="18"/>
                <w:b w:val="1"/>
                <w:bCs w:val="1"/>
                <w:color w:val="auto"/>
              </w:rPr>
              <w:t>Tax</w:t>
            </w:r>
          </w:p>
        </w:tc>
        <w:tc>
          <w:tcPr>
            <w:tcW w:w="1520" w:type="dxa"/>
            <w:vAlign w:val="bottom"/>
            <w:tcBorders>
              <w:top w:val="single" w:sz="8" w:color="auto"/>
            </w:tcBorders>
          </w:tcPr>
          <w:p>
            <w:pPr>
              <w:jc w:val="right"/>
              <w:ind w:right="530"/>
              <w:spacing w:after="0" w:line="194" w:lineRule="exact"/>
              <w:rPr>
                <w:sz w:val="20"/>
                <w:szCs w:val="20"/>
                <w:color w:val="auto"/>
              </w:rPr>
            </w:pPr>
            <w:r>
              <w:rPr>
                <w:rFonts w:ascii="Arial" w:cs="Arial" w:eastAsia="Arial" w:hAnsi="Arial"/>
                <w:sz w:val="18"/>
                <w:szCs w:val="18"/>
                <w:b w:val="1"/>
                <w:bCs w:val="1"/>
                <w:color w:val="auto"/>
              </w:rPr>
              <w:t>After tax</w:t>
            </w:r>
          </w:p>
        </w:tc>
        <w:tc>
          <w:tcPr>
            <w:tcW w:w="1160" w:type="dxa"/>
            <w:vAlign w:val="bottom"/>
            <w:tcBorders>
              <w:top w:val="single" w:sz="8" w:color="auto"/>
            </w:tcBorders>
          </w:tcPr>
          <w:p>
            <w:pPr>
              <w:jc w:val="center"/>
              <w:ind w:right="230"/>
              <w:spacing w:after="0" w:line="194" w:lineRule="exact"/>
              <w:rPr>
                <w:sz w:val="20"/>
                <w:szCs w:val="20"/>
                <w:color w:val="auto"/>
              </w:rPr>
            </w:pPr>
            <w:r>
              <w:rPr>
                <w:rFonts w:ascii="Arial" w:cs="Arial" w:eastAsia="Arial" w:hAnsi="Arial"/>
                <w:sz w:val="18"/>
                <w:szCs w:val="18"/>
                <w:b w:val="1"/>
                <w:bCs w:val="1"/>
                <w:color w:val="auto"/>
                <w:w w:val="99"/>
              </w:rPr>
              <w:t>Per Share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500" w:type="dxa"/>
            <w:vAlign w:val="bottom"/>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1840" w:type="dxa"/>
            <w:vAlign w:val="bottom"/>
          </w:tcPr>
          <w:p>
            <w:pPr>
              <w:jc w:val="right"/>
              <w:ind w:right="510"/>
              <w:spacing w:after="0"/>
              <w:rPr>
                <w:sz w:val="20"/>
                <w:szCs w:val="20"/>
                <w:color w:val="auto"/>
              </w:rPr>
            </w:pPr>
            <w:r>
              <w:rPr>
                <w:rFonts w:ascii="Arial" w:cs="Arial" w:eastAsia="Arial" w:hAnsi="Arial"/>
                <w:sz w:val="18"/>
                <w:szCs w:val="18"/>
                <w:b w:val="1"/>
                <w:bCs w:val="1"/>
                <w:color w:val="auto"/>
              </w:rPr>
              <w:t>Amounts</w:t>
            </w: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Effect</w:t>
            </w:r>
          </w:p>
        </w:tc>
        <w:tc>
          <w:tcPr>
            <w:tcW w:w="1520" w:type="dxa"/>
            <w:vAlign w:val="bottom"/>
          </w:tcPr>
          <w:p>
            <w:pPr>
              <w:jc w:val="right"/>
              <w:ind w:right="650"/>
              <w:spacing w:after="0"/>
              <w:rPr>
                <w:sz w:val="20"/>
                <w:szCs w:val="20"/>
                <w:color w:val="auto"/>
              </w:rPr>
            </w:pPr>
            <w:r>
              <w:rPr>
                <w:rFonts w:ascii="Arial" w:cs="Arial" w:eastAsia="Arial" w:hAnsi="Arial"/>
                <w:sz w:val="18"/>
                <w:szCs w:val="18"/>
                <w:b w:val="1"/>
                <w:bCs w:val="1"/>
                <w:color w:val="auto"/>
              </w:rPr>
              <w:t>Effect</w:t>
            </w: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Effect</w:t>
            </w:r>
          </w:p>
        </w:tc>
        <w:tc>
          <w:tcPr>
            <w:tcW w:w="0" w:type="dxa"/>
            <w:vAlign w:val="bottom"/>
          </w:tcPr>
          <w:p>
            <w:pPr>
              <w:spacing w:after="0"/>
              <w:rPr>
                <w:sz w:val="1"/>
                <w:szCs w:val="1"/>
                <w:color w:val="auto"/>
              </w:rPr>
            </w:pPr>
          </w:p>
        </w:tc>
      </w:tr>
      <w:tr>
        <w:trPr>
          <w:trHeight w:val="195"/>
        </w:trPr>
        <w:tc>
          <w:tcPr>
            <w:tcW w:w="5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Restructuring and other, net</w:t>
            </w:r>
          </w:p>
        </w:tc>
        <w:tc>
          <w:tcPr>
            <w:tcW w:w="184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$1,182</w:t>
            </w:r>
          </w:p>
        </w:tc>
        <w:tc>
          <w:tcPr>
            <w:tcW w:w="140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$414</w:t>
            </w:r>
          </w:p>
        </w:tc>
        <w:tc>
          <w:tcPr>
            <w:tcW w:w="152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$768</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1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315</w:t>
            </w:r>
          </w:p>
        </w:tc>
        <w:tc>
          <w:tcPr>
            <w:tcW w:w="14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110</w:t>
            </w:r>
          </w:p>
        </w:tc>
        <w:tc>
          <w:tcPr>
            <w:tcW w:w="15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205</w:t>
            </w: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3"/>
        </w:trPr>
        <w:tc>
          <w:tcPr>
            <w:tcW w:w="5500" w:type="dxa"/>
            <w:vAlign w:val="bottom"/>
          </w:tcPr>
          <w:p>
            <w:pPr>
              <w:spacing w:after="0" w:line="203" w:lineRule="exact"/>
              <w:rPr>
                <w:sz w:val="20"/>
                <w:szCs w:val="20"/>
                <w:color w:val="auto"/>
              </w:rPr>
            </w:pPr>
            <w:r>
              <w:rPr>
                <w:rFonts w:ascii="Arial" w:cs="Arial" w:eastAsia="Arial" w:hAnsi="Arial"/>
                <w:sz w:val="18"/>
                <w:szCs w:val="18"/>
                <w:color w:val="auto"/>
              </w:rPr>
              <w:t>Net discrete income tax charge</w:t>
            </w:r>
          </w:p>
        </w:tc>
        <w:tc>
          <w:tcPr>
            <w:tcW w:w="18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70"/>
              <w:spacing w:after="0" w:line="203" w:lineRule="exact"/>
              <w:rPr>
                <w:sz w:val="20"/>
                <w:szCs w:val="20"/>
                <w:color w:val="auto"/>
              </w:rPr>
            </w:pPr>
            <w:r>
              <w:rPr>
                <w:rFonts w:ascii="Arial" w:cs="Arial" w:eastAsia="Arial" w:hAnsi="Arial"/>
                <w:sz w:val="18"/>
                <w:szCs w:val="18"/>
                <w:color w:val="auto"/>
              </w:rPr>
              <w:t>1,104</w:t>
            </w:r>
          </w:p>
        </w:tc>
        <w:tc>
          <w:tcPr>
            <w:tcW w:w="1520" w:type="dxa"/>
            <w:vAlign w:val="bottom"/>
          </w:tcPr>
          <w:p>
            <w:pPr>
              <w:jc w:val="right"/>
              <w:ind w:right="230"/>
              <w:spacing w:after="0" w:line="203" w:lineRule="exact"/>
              <w:rPr>
                <w:sz w:val="20"/>
                <w:szCs w:val="20"/>
                <w:color w:val="auto"/>
              </w:rPr>
            </w:pPr>
            <w:r>
              <w:rPr>
                <w:rFonts w:ascii="Arial" w:cs="Arial" w:eastAsia="Arial" w:hAnsi="Arial"/>
                <w:sz w:val="18"/>
                <w:szCs w:val="18"/>
                <w:color w:val="auto"/>
              </w:rPr>
              <w:t>1,104</w:t>
            </w:r>
          </w:p>
        </w:tc>
        <w:tc>
          <w:tcPr>
            <w:tcW w:w="11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372"/>
        </w:trPr>
        <w:tc>
          <w:tcPr>
            <w:tcW w:w="10260" w:type="dxa"/>
            <w:vAlign w:val="bottom"/>
            <w:tcBorders>
              <w:top w:val="single" w:sz="8" w:color="auto"/>
            </w:tcBorders>
            <w:gridSpan w:val="4"/>
          </w:tcPr>
          <w:p>
            <w:pPr>
              <w:ind w:left="360"/>
              <w:spacing w:after="0"/>
              <w:rPr>
                <w:sz w:val="20"/>
                <w:szCs w:val="20"/>
                <w:color w:val="auto"/>
              </w:rPr>
            </w:pPr>
            <w:r>
              <w:rPr>
                <w:rFonts w:ascii="Arial" w:cs="Arial" w:eastAsia="Arial" w:hAnsi="Arial"/>
                <w:sz w:val="18"/>
                <w:szCs w:val="18"/>
                <w:color w:val="auto"/>
              </w:rPr>
              <w:t>The following table contains the calculation of net income per share attributable to the Company, excluding adjustments:</w:t>
            </w:r>
          </w:p>
        </w:tc>
        <w:tc>
          <w:tcPr>
            <w:tcW w:w="1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50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2"/>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80" w:type="dxa"/>
            <w:vAlign w:val="bottom"/>
            <w:gridSpan w:val="2"/>
          </w:tcPr>
          <w:p>
            <w:pPr>
              <w:jc w:val="right"/>
              <w:ind w:right="610"/>
              <w:spacing w:after="0" w:line="173"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March 31,</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 share amounts (Basic)</w:t>
            </w:r>
          </w:p>
        </w:tc>
        <w:tc>
          <w:tcPr>
            <w:tcW w:w="1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2015</w:t>
            </w: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500" w:type="dxa"/>
            <w:vAlign w:val="bottom"/>
          </w:tcPr>
          <w:p>
            <w:pPr>
              <w:spacing w:after="0" w:line="195" w:lineRule="exact"/>
              <w:rPr>
                <w:sz w:val="20"/>
                <w:szCs w:val="20"/>
                <w:color w:val="auto"/>
              </w:rPr>
            </w:pPr>
            <w:r>
              <w:rPr>
                <w:rFonts w:ascii="Arial" w:cs="Arial" w:eastAsia="Arial" w:hAnsi="Arial"/>
                <w:sz w:val="18"/>
                <w:szCs w:val="18"/>
                <w:color w:val="auto"/>
              </w:rPr>
              <w:t>Net income attributable to the Company</w:t>
            </w:r>
          </w:p>
        </w:tc>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jc w:val="right"/>
              <w:ind w:right="270"/>
              <w:spacing w:after="0" w:line="195" w:lineRule="exact"/>
              <w:rPr>
                <w:sz w:val="20"/>
                <w:szCs w:val="20"/>
                <w:color w:val="auto"/>
              </w:rPr>
            </w:pPr>
            <w:r>
              <w:rPr>
                <w:rFonts w:ascii="Arial" w:cs="Arial" w:eastAsia="Arial" w:hAnsi="Arial"/>
                <w:sz w:val="18"/>
                <w:szCs w:val="18"/>
                <w:b w:val="1"/>
                <w:bCs w:val="1"/>
                <w:color w:val="auto"/>
              </w:rPr>
              <w:t>$0.38</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$0.33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1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0.18</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line="181" w:lineRule="exact"/>
              <w:rPr>
                <w:sz w:val="20"/>
                <w:szCs w:val="20"/>
                <w:color w:val="auto"/>
              </w:rPr>
            </w:pPr>
            <w:r>
              <w:rPr>
                <w:rFonts w:ascii="Arial" w:cs="Arial" w:eastAsia="Arial" w:hAnsi="Arial"/>
                <w:sz w:val="18"/>
                <w:szCs w:val="18"/>
                <w:color w:val="auto"/>
              </w:rPr>
              <w:t>Restructuring and other, net</w:t>
            </w:r>
          </w:p>
        </w:tc>
        <w:tc>
          <w:tcPr>
            <w:tcW w:w="1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160" w:type="dxa"/>
            <w:vAlign w:val="bottom"/>
          </w:tcPr>
          <w:p>
            <w:pPr>
              <w:jc w:val="right"/>
              <w:spacing w:after="0" w:line="181" w:lineRule="exact"/>
              <w:rPr>
                <w:sz w:val="20"/>
                <w:szCs w:val="20"/>
                <w:color w:val="auto"/>
              </w:rPr>
            </w:pPr>
            <w:r>
              <w:rPr>
                <w:rFonts w:ascii="Arial" w:cs="Arial" w:eastAsia="Arial" w:hAnsi="Arial"/>
                <w:sz w:val="18"/>
                <w:szCs w:val="18"/>
                <w:color w:val="auto"/>
              </w:rPr>
              <w:t>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Discrete tax charges/(benefits)</w:t>
            </w:r>
          </w:p>
        </w:tc>
        <w:tc>
          <w:tcPr>
            <w:tcW w:w="1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0.01</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(0.10)</w:t>
            </w: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5"/>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Gain on sale of investment</w:t>
            </w:r>
          </w:p>
        </w:tc>
        <w:tc>
          <w:tcPr>
            <w:tcW w:w="1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(0.02)</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 attributable to the Company, excluding adjustments</w:t>
            </w:r>
          </w:p>
        </w:tc>
        <w:tc>
          <w:tcPr>
            <w:tcW w:w="18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$0.45</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380" w:type="dxa"/>
            <w:vAlign w:val="bottom"/>
          </w:tcPr>
          <w:p>
            <w:pPr>
              <w:jc w:val="right"/>
              <w:ind w:right="570"/>
              <w:spacing w:after="0" w:line="173" w:lineRule="exact"/>
              <w:rPr>
                <w:sz w:val="20"/>
                <w:szCs w:val="20"/>
                <w:color w:val="auto"/>
              </w:rPr>
            </w:pPr>
            <w:r>
              <w:rPr>
                <w:rFonts w:ascii="Arial" w:cs="Arial" w:eastAsia="Arial" w:hAnsi="Arial"/>
                <w:sz w:val="18"/>
                <w:szCs w:val="18"/>
                <w:b w:val="1"/>
                <w:bCs w:val="1"/>
                <w:color w:val="auto"/>
              </w:rPr>
              <w:t>March 31,</w:t>
            </w:r>
          </w:p>
        </w:tc>
        <w:tc>
          <w:tcPr>
            <w:tcW w:w="1820" w:type="dxa"/>
            <w:vAlign w:val="bottom"/>
          </w:tcPr>
          <w:p>
            <w:pPr>
              <w:jc w:val="right"/>
              <w:ind w:right="410"/>
              <w:spacing w:after="0" w:line="173" w:lineRule="exact"/>
              <w:rPr>
                <w:sz w:val="20"/>
                <w:szCs w:val="20"/>
                <w:color w:val="auto"/>
              </w:rPr>
            </w:pPr>
            <w:r>
              <w:rPr>
                <w:rFonts w:ascii="Arial" w:cs="Arial" w:eastAsia="Arial" w:hAnsi="Arial"/>
                <w:sz w:val="18"/>
                <w:szCs w:val="18"/>
                <w:b w:val="1"/>
                <w:bCs w:val="1"/>
                <w:color w:val="auto"/>
              </w:rPr>
              <w:t>December 31,</w:t>
            </w:r>
          </w:p>
        </w:tc>
        <w:tc>
          <w:tcPr>
            <w:tcW w:w="1820" w:type="dxa"/>
            <w:vAlign w:val="bottom"/>
          </w:tcPr>
          <w:p>
            <w:pPr>
              <w:jc w:val="right"/>
              <w:ind w:right="390"/>
              <w:spacing w:after="0" w:line="173" w:lineRule="exact"/>
              <w:rPr>
                <w:sz w:val="20"/>
                <w:szCs w:val="20"/>
                <w:color w:val="auto"/>
              </w:rPr>
            </w:pPr>
            <w:r>
              <w:rPr>
                <w:rFonts w:ascii="Arial" w:cs="Arial" w:eastAsia="Arial" w:hAnsi="Arial"/>
                <w:sz w:val="18"/>
                <w:szCs w:val="18"/>
                <w:b w:val="1"/>
                <w:bCs w:val="1"/>
                <w:color w:val="auto"/>
              </w:rPr>
              <w:t>December 31,</w:t>
            </w:r>
          </w:p>
        </w:tc>
        <w:tc>
          <w:tcPr>
            <w:tcW w:w="1660" w:type="dxa"/>
            <w:vAlign w:val="bottom"/>
          </w:tcPr>
          <w:p>
            <w:pPr>
              <w:jc w:val="right"/>
              <w:ind w:right="230"/>
              <w:spacing w:after="0" w:line="173" w:lineRule="exact"/>
              <w:rPr>
                <w:sz w:val="20"/>
                <w:szCs w:val="20"/>
                <w:color w:val="auto"/>
              </w:rPr>
            </w:pPr>
            <w:r>
              <w:rPr>
                <w:rFonts w:ascii="Arial" w:cs="Arial" w:eastAsia="Arial" w:hAnsi="Arial"/>
                <w:sz w:val="18"/>
                <w:szCs w:val="18"/>
                <w:b w:val="1"/>
                <w:bCs w:val="1"/>
                <w:color w:val="auto"/>
              </w:rPr>
              <w:t>December 31,</w:t>
            </w: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740" w:type="dxa"/>
            <w:vAlign w:val="bottom"/>
            <w:gridSpan w:val="2"/>
            <w:vMerge w:val="continue"/>
          </w:tcPr>
          <w:p>
            <w:pPr>
              <w:spacing w:after="0"/>
              <w:rPr>
                <w:sz w:val="11"/>
                <w:szCs w:val="11"/>
                <w:color w:val="auto"/>
              </w:rPr>
            </w:pPr>
          </w:p>
        </w:tc>
        <w:tc>
          <w:tcPr>
            <w:tcW w:w="2380" w:type="dxa"/>
            <w:vAlign w:val="bottom"/>
            <w:vMerge w:val="restart"/>
          </w:tcPr>
          <w:p>
            <w:pPr>
              <w:jc w:val="right"/>
              <w:ind w:right="790"/>
              <w:spacing w:after="0"/>
              <w:rPr>
                <w:sz w:val="20"/>
                <w:szCs w:val="20"/>
                <w:color w:val="auto"/>
              </w:rPr>
            </w:pPr>
            <w:r>
              <w:rPr>
                <w:rFonts w:ascii="Arial" w:cs="Arial" w:eastAsia="Arial" w:hAnsi="Arial"/>
                <w:sz w:val="18"/>
                <w:szCs w:val="18"/>
                <w:b w:val="1"/>
                <w:bCs w:val="1"/>
                <w:color w:val="auto"/>
              </w:rPr>
              <w:t>2015</w:t>
            </w:r>
          </w:p>
        </w:tc>
        <w:tc>
          <w:tcPr>
            <w:tcW w:w="1820" w:type="dxa"/>
            <w:vAlign w:val="bottom"/>
            <w:vMerge w:val="restart"/>
          </w:tcPr>
          <w:p>
            <w:pPr>
              <w:jc w:val="right"/>
              <w:ind w:right="790"/>
              <w:spacing w:after="0"/>
              <w:rPr>
                <w:sz w:val="20"/>
                <w:szCs w:val="20"/>
                <w:color w:val="auto"/>
              </w:rPr>
            </w:pPr>
            <w:r>
              <w:rPr>
                <w:rFonts w:ascii="Arial" w:cs="Arial" w:eastAsia="Arial" w:hAnsi="Arial"/>
                <w:sz w:val="18"/>
                <w:szCs w:val="18"/>
                <w:b w:val="1"/>
                <w:bCs w:val="1"/>
                <w:color w:val="auto"/>
              </w:rPr>
              <w:t>2014</w:t>
            </w:r>
          </w:p>
        </w:tc>
        <w:tc>
          <w:tcPr>
            <w:tcW w:w="1820" w:type="dxa"/>
            <w:vAlign w:val="bottom"/>
            <w:vMerge w:val="restart"/>
          </w:tcPr>
          <w:p>
            <w:pPr>
              <w:jc w:val="right"/>
              <w:ind w:right="790"/>
              <w:spacing w:after="0"/>
              <w:rPr>
                <w:sz w:val="20"/>
                <w:szCs w:val="20"/>
                <w:color w:val="auto"/>
              </w:rPr>
            </w:pPr>
            <w:r>
              <w:rPr>
                <w:rFonts w:ascii="Arial" w:cs="Arial" w:eastAsia="Arial" w:hAnsi="Arial"/>
                <w:sz w:val="18"/>
                <w:szCs w:val="18"/>
                <w:b w:val="1"/>
                <w:bCs w:val="1"/>
                <w:color w:val="auto"/>
              </w:rPr>
              <w:t>2013</w:t>
            </w:r>
          </w:p>
        </w:tc>
        <w:tc>
          <w:tcPr>
            <w:tcW w:w="166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vMerge w:val="continue"/>
          </w:tcPr>
          <w:p>
            <w:pPr>
              <w:spacing w:after="0"/>
              <w:rPr>
                <w:sz w:val="8"/>
                <w:szCs w:val="8"/>
                <w:color w:val="auto"/>
              </w:rPr>
            </w:pPr>
          </w:p>
        </w:tc>
        <w:tc>
          <w:tcPr>
            <w:tcW w:w="1820" w:type="dxa"/>
            <w:vAlign w:val="bottom"/>
            <w:tcBorders>
              <w:bottom w:val="single" w:sz="8" w:color="auto"/>
            </w:tcBorders>
            <w:vMerge w:val="continue"/>
          </w:tcPr>
          <w:p>
            <w:pPr>
              <w:spacing w:after="0"/>
              <w:rPr>
                <w:sz w:val="8"/>
                <w:szCs w:val="8"/>
                <w:color w:val="auto"/>
              </w:rPr>
            </w:pPr>
          </w:p>
        </w:tc>
        <w:tc>
          <w:tcPr>
            <w:tcW w:w="1820" w:type="dxa"/>
            <w:vAlign w:val="bottom"/>
            <w:tcBorders>
              <w:bottom w:val="single" w:sz="8" w:color="auto"/>
            </w:tcBorders>
            <w:vMerge w:val="continue"/>
          </w:tcPr>
          <w:p>
            <w:pPr>
              <w:spacing w:after="0"/>
              <w:rPr>
                <w:sz w:val="8"/>
                <w:szCs w:val="8"/>
                <w:color w:val="auto"/>
              </w:rPr>
            </w:pPr>
          </w:p>
        </w:tc>
        <w:tc>
          <w:tcPr>
            <w:tcW w:w="1660" w:type="dxa"/>
            <w:vAlign w:val="bottom"/>
            <w:tcBorders>
              <w:bottom w:val="single" w:sz="8" w:color="auto"/>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tcPr>
          <w:p>
            <w:pPr>
              <w:spacing w:after="0" w:line="195" w:lineRule="exact"/>
              <w:rPr>
                <w:sz w:val="20"/>
                <w:szCs w:val="20"/>
                <w:color w:val="auto"/>
              </w:rPr>
            </w:pPr>
            <w:r>
              <w:rPr>
                <w:rFonts w:ascii="Arial" w:cs="Arial" w:eastAsia="Arial" w:hAnsi="Arial"/>
                <w:sz w:val="18"/>
                <w:szCs w:val="18"/>
                <w:color w:val="auto"/>
              </w:rPr>
              <w:t>Notes and loans payable</w:t>
            </w:r>
          </w:p>
        </w:tc>
        <w:tc>
          <w:tcPr>
            <w:tcW w:w="2380" w:type="dxa"/>
            <w:vAlign w:val="bottom"/>
          </w:tcPr>
          <w:p>
            <w:pPr>
              <w:jc w:val="right"/>
              <w:ind w:right="70"/>
              <w:spacing w:after="0" w:line="195" w:lineRule="exact"/>
              <w:rPr>
                <w:sz w:val="20"/>
                <w:szCs w:val="20"/>
                <w:color w:val="auto"/>
              </w:rPr>
            </w:pPr>
            <w:r>
              <w:rPr>
                <w:rFonts w:ascii="Arial" w:cs="Arial" w:eastAsia="Arial" w:hAnsi="Arial"/>
                <w:sz w:val="18"/>
                <w:szCs w:val="18"/>
                <w:color w:val="auto"/>
              </w:rPr>
              <w:t>$496</w:t>
            </w:r>
          </w:p>
        </w:tc>
        <w:tc>
          <w:tcPr>
            <w:tcW w:w="18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$661</w:t>
            </w:r>
          </w:p>
        </w:tc>
        <w:tc>
          <w:tcPr>
            <w:tcW w:w="18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$625</w:t>
            </w:r>
          </w:p>
        </w:tc>
        <w:tc>
          <w:tcPr>
            <w:tcW w:w="1660" w:type="dxa"/>
            <w:vAlign w:val="bottom"/>
          </w:tcPr>
          <w:p>
            <w:pPr>
              <w:jc w:val="right"/>
              <w:spacing w:after="0" w:line="195" w:lineRule="exact"/>
              <w:rPr>
                <w:sz w:val="20"/>
                <w:szCs w:val="20"/>
                <w:color w:val="auto"/>
              </w:rPr>
            </w:pPr>
            <w:r>
              <w:rPr>
                <w:rFonts w:ascii="Arial" w:cs="Arial" w:eastAsia="Arial" w:hAnsi="Arial"/>
                <w:sz w:val="18"/>
                <w:szCs w:val="18"/>
                <w:color w:val="auto"/>
              </w:rPr>
              <w:t>$586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Current maturities of long-term debt</w:t>
            </w:r>
          </w:p>
        </w:tc>
        <w:tc>
          <w:tcPr>
            <w:tcW w:w="23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50,015</w:t>
            </w:r>
          </w:p>
        </w:tc>
        <w:tc>
          <w:tcPr>
            <w:tcW w:w="18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50,015</w:t>
            </w:r>
          </w:p>
        </w:tc>
        <w:tc>
          <w:tcPr>
            <w:tcW w:w="18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3,764</w:t>
            </w:r>
          </w:p>
        </w:tc>
        <w:tc>
          <w:tcPr>
            <w:tcW w:w="17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83,276</w:t>
            </w:r>
          </w:p>
        </w:tc>
        <w:tc>
          <w:tcPr>
            <w:tcW w:w="0" w:type="dxa"/>
            <w:vAlign w:val="bottom"/>
          </w:tcPr>
          <w:p>
            <w:pPr>
              <w:spacing w:after="0"/>
              <w:rPr>
                <w:sz w:val="1"/>
                <w:szCs w:val="1"/>
                <w:color w:val="auto"/>
              </w:rPr>
            </w:pPr>
          </w:p>
        </w:tc>
      </w:tr>
      <w:tr>
        <w:trPr>
          <w:trHeight w:val="203"/>
        </w:trPr>
        <w:tc>
          <w:tcPr>
            <w:tcW w:w="374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Long-term debt</w:t>
            </w:r>
          </w:p>
        </w:tc>
        <w:tc>
          <w:tcPr>
            <w:tcW w:w="23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232,092</w:t>
            </w:r>
          </w:p>
        </w:tc>
        <w:tc>
          <w:tcPr>
            <w:tcW w:w="18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222,096</w:t>
            </w:r>
          </w:p>
        </w:tc>
        <w:tc>
          <w:tcPr>
            <w:tcW w:w="18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300,111</w:t>
            </w:r>
          </w:p>
        </w:tc>
        <w:tc>
          <w:tcPr>
            <w:tcW w:w="168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235,877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Total debt</w:t>
            </w:r>
          </w:p>
        </w:tc>
        <w:tc>
          <w:tcPr>
            <w:tcW w:w="23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282,603</w:t>
            </w:r>
          </w:p>
        </w:tc>
        <w:tc>
          <w:tcPr>
            <w:tcW w:w="18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272,772</w:t>
            </w:r>
          </w:p>
        </w:tc>
        <w:tc>
          <w:tcPr>
            <w:tcW w:w="18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304,500</w:t>
            </w:r>
          </w:p>
        </w:tc>
        <w:tc>
          <w:tcPr>
            <w:tcW w:w="16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319,739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Cash</w:t>
            </w:r>
          </w:p>
        </w:tc>
        <w:tc>
          <w:tcPr>
            <w:tcW w:w="23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170,838</w:t>
            </w:r>
          </w:p>
        </w:tc>
        <w:tc>
          <w:tcPr>
            <w:tcW w:w="18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179,802</w:t>
            </w:r>
          </w:p>
        </w:tc>
        <w:tc>
          <w:tcPr>
            <w:tcW w:w="18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222,666</w:t>
            </w:r>
          </w:p>
        </w:tc>
        <w:tc>
          <w:tcPr>
            <w:tcW w:w="16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190,718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Net debt</w:t>
            </w:r>
          </w:p>
        </w:tc>
        <w:tc>
          <w:tcPr>
            <w:tcW w:w="23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$111,765</w:t>
            </w:r>
          </w:p>
        </w:tc>
        <w:tc>
          <w:tcPr>
            <w:tcW w:w="18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$92,970</w:t>
            </w:r>
          </w:p>
        </w:tc>
        <w:tc>
          <w:tcPr>
            <w:tcW w:w="18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$81,834</w:t>
            </w:r>
          </w:p>
        </w:tc>
        <w:tc>
          <w:tcPr>
            <w:tcW w:w="16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$129,021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0" w:lineRule="exact"/>
        <w:rPr>
          <w:sz w:val="20"/>
          <w:szCs w:val="20"/>
          <w:color w:val="auto"/>
        </w:rPr>
      </w:pPr>
    </w:p>
    <w:p>
      <w:pPr>
        <w:ind w:right="200" w:firstLine="360"/>
        <w:spacing w:after="0" w:line="246"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82"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158" w:lineRule="exact"/>
        <w:rPr>
          <w:sz w:val="20"/>
          <w:szCs w:val="20"/>
          <w:color w:val="auto"/>
        </w:rPr>
      </w:pPr>
    </w:p>
    <w:p>
      <w:pPr>
        <w:ind w:right="120" w:firstLine="360"/>
        <w:spacing w:after="0" w:line="236" w:lineRule="auto"/>
        <w:rPr>
          <w:sz w:val="20"/>
          <w:szCs w:val="20"/>
          <w:color w:val="auto"/>
        </w:rPr>
      </w:pPr>
      <w:r>
        <w:rPr>
          <w:rFonts w:ascii="Arial" w:cs="Arial" w:eastAsia="Arial" w:hAnsi="Arial"/>
          <w:sz w:val="18"/>
          <w:szCs w:val="18"/>
          <w:color w:val="auto"/>
        </w:rPr>
        <w:t>The principal executive officers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158" w:lineRule="exact"/>
        <w:rPr>
          <w:sz w:val="20"/>
          <w:szCs w:val="20"/>
          <w:color w:val="auto"/>
        </w:rPr>
      </w:pPr>
    </w:p>
    <w:p>
      <w:pPr>
        <w:ind w:right="460" w:firstLine="360"/>
        <w:spacing w:after="0" w:line="246"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last fiscal quarter that have materially affected, or are reasonably likely to materially affect, the Company’s internal control over financial reporting.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set forth above under Note 15 in Item 1, “Notes to Consolidated Financial Statements” is incorporated herein by reference.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0" w:lineRule="exact"/>
        <w:rPr>
          <w:sz w:val="20"/>
          <w:szCs w:val="20"/>
          <w:color w:val="auto"/>
        </w:rPr>
      </w:pPr>
    </w:p>
    <w:p>
      <w:pPr>
        <w:ind w:right="460" w:firstLine="360"/>
        <w:spacing w:after="0" w:line="246" w:lineRule="auto"/>
        <w:rPr>
          <w:sz w:val="20"/>
          <w:szCs w:val="20"/>
          <w:color w:val="auto"/>
        </w:rPr>
      </w:pPr>
      <w:r>
        <w:rPr>
          <w:rFonts w:ascii="Arial" w:cs="Arial" w:eastAsia="Arial" w:hAnsi="Arial"/>
          <w:sz w:val="18"/>
          <w:szCs w:val="18"/>
          <w:color w:val="auto"/>
        </w:rPr>
        <w:t>There have been no material changes in risks since December 31, 2014. For discussion of risk factors, refer to Item 1A of our Annual Report on Form 10-K for the year ended December 31, 2014.</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0" w:lineRule="exact"/>
        <w:rPr>
          <w:sz w:val="20"/>
          <w:szCs w:val="20"/>
          <w:color w:val="auto"/>
        </w:rPr>
      </w:pPr>
    </w:p>
    <w:p>
      <w:pPr>
        <w:ind w:right="120" w:firstLine="360"/>
        <w:spacing w:after="0" w:line="246" w:lineRule="auto"/>
        <w:rPr>
          <w:sz w:val="20"/>
          <w:szCs w:val="20"/>
          <w:color w:val="auto"/>
        </w:rPr>
      </w:pPr>
      <w:r>
        <w:rPr>
          <w:rFonts w:ascii="Arial" w:cs="Arial" w:eastAsia="Arial" w:hAnsi="Arial"/>
          <w:sz w:val="18"/>
          <w:szCs w:val="18"/>
          <w:color w:val="auto"/>
        </w:rPr>
        <w:t>We made no share purchases during the first quarter of 2015. We remain authorized by the Board of Directors to purchase up to 2 million shares of our Class A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2"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1000" w:type="dxa"/>
            <w:vAlign w:val="bottom"/>
          </w:tcPr>
          <w:p>
            <w:pPr>
              <w:spacing w:after="0"/>
              <w:rPr>
                <w:sz w:val="20"/>
                <w:szCs w:val="20"/>
                <w:color w:val="auto"/>
              </w:rPr>
            </w:pPr>
            <w:r>
              <w:rPr>
                <w:rFonts w:ascii="Arial" w:cs="Arial" w:eastAsia="Arial" w:hAnsi="Arial"/>
                <w:sz w:val="18"/>
                <w:szCs w:val="18"/>
                <w:color w:val="auto"/>
              </w:rPr>
              <w:t>Exhibit No.</w:t>
            </w:r>
          </w:p>
        </w:tc>
        <w:tc>
          <w:tcPr>
            <w:tcW w:w="10300" w:type="dxa"/>
            <w:vAlign w:val="bottom"/>
          </w:tcPr>
          <w:p>
            <w:pPr>
              <w:ind w:left="120"/>
              <w:spacing w:after="0"/>
              <w:rPr>
                <w:sz w:val="20"/>
                <w:szCs w:val="20"/>
                <w:color w:val="auto"/>
              </w:rPr>
            </w:pPr>
            <w:r>
              <w:rPr>
                <w:rFonts w:ascii="Arial" w:cs="Arial" w:eastAsia="Arial" w:hAnsi="Arial"/>
                <w:sz w:val="18"/>
                <w:szCs w:val="18"/>
                <w:color w:val="auto"/>
              </w:rPr>
              <w:t>Description</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10300" w:type="dxa"/>
            <w:vAlign w:val="bottom"/>
          </w:tcPr>
          <w:p>
            <w:pPr>
              <w:ind w:left="120"/>
              <w:spacing w:after="0"/>
              <w:rPr>
                <w:sz w:val="20"/>
                <w:szCs w:val="20"/>
                <w:color w:val="auto"/>
              </w:rPr>
            </w:pPr>
            <w:r>
              <w:rPr>
                <w:rFonts w:ascii="Arial" w:cs="Arial" w:eastAsia="Arial" w:hAnsi="Arial"/>
                <w:sz w:val="18"/>
                <w:szCs w:val="18"/>
                <w:color w:val="auto"/>
              </w:rPr>
              <w:t>Certification of the Chief Executive Officer pursuant to Rule 13a-14(a)/15d-14(a) of the Exchange Act.</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0300" w:type="dxa"/>
            <w:vAlign w:val="bottom"/>
          </w:tcPr>
          <w:p>
            <w:pPr>
              <w:ind w:left="120"/>
              <w:spacing w:after="0"/>
              <w:rPr>
                <w:sz w:val="20"/>
                <w:szCs w:val="20"/>
                <w:color w:val="auto"/>
              </w:rPr>
            </w:pPr>
            <w:r>
              <w:rPr>
                <w:rFonts w:ascii="Arial" w:cs="Arial" w:eastAsia="Arial" w:hAnsi="Arial"/>
                <w:sz w:val="18"/>
                <w:szCs w:val="18"/>
                <w:color w:val="auto"/>
              </w:rPr>
              <w:t>Certification of the Chief Financial Officer pursuant to Rule 13a-14(a)/15d-14(a) of the Exchange Act.</w:t>
            </w: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10300" w:type="dxa"/>
            <w:vAlign w:val="bottom"/>
          </w:tcPr>
          <w:p>
            <w:pPr>
              <w:ind w:left="120"/>
              <w:spacing w:after="0"/>
              <w:rPr>
                <w:sz w:val="20"/>
                <w:szCs w:val="20"/>
                <w:color w:val="auto"/>
              </w:rPr>
            </w:pPr>
            <w:r>
              <w:rPr>
                <w:rFonts w:ascii="Arial" w:cs="Arial" w:eastAsia="Arial" w:hAnsi="Arial"/>
                <w:sz w:val="18"/>
                <w:szCs w:val="18"/>
                <w:color w:val="auto"/>
                <w:w w:val="99"/>
              </w:rPr>
              <w:t>Certification pursuant to Section 906 of the Sarbanes-Oxley Act of 2002 (Subsections (a) and (b) of Section 1350, Chapter 63 of</w:t>
            </w:r>
          </w:p>
        </w:tc>
      </w:tr>
      <w:tr>
        <w:trPr>
          <w:trHeight w:val="217"/>
        </w:trPr>
        <w:tc>
          <w:tcPr>
            <w:tcW w:w="1000" w:type="dxa"/>
            <w:vAlign w:val="bottom"/>
          </w:tcPr>
          <w:p>
            <w:pPr>
              <w:spacing w:after="0"/>
              <w:rPr>
                <w:sz w:val="18"/>
                <w:szCs w:val="18"/>
                <w:color w:val="auto"/>
              </w:rPr>
            </w:pPr>
          </w:p>
        </w:tc>
        <w:tc>
          <w:tcPr>
            <w:tcW w:w="10300" w:type="dxa"/>
            <w:vAlign w:val="bottom"/>
          </w:tcPr>
          <w:p>
            <w:pPr>
              <w:ind w:left="120"/>
              <w:spacing w:after="0"/>
              <w:rPr>
                <w:sz w:val="20"/>
                <w:szCs w:val="20"/>
                <w:color w:val="auto"/>
              </w:rPr>
            </w:pPr>
            <w:r>
              <w:rPr>
                <w:rFonts w:ascii="Arial" w:cs="Arial" w:eastAsia="Arial" w:hAnsi="Arial"/>
                <w:sz w:val="18"/>
                <w:szCs w:val="18"/>
                <w:color w:val="auto"/>
              </w:rPr>
              <w:t>Title 18, United States Code).</w:t>
            </w:r>
          </w:p>
        </w:tc>
      </w:tr>
      <w:tr>
        <w:trPr>
          <w:trHeight w:val="419"/>
        </w:trPr>
        <w:tc>
          <w:tcPr>
            <w:tcW w:w="1000" w:type="dxa"/>
            <w:vAlign w:val="bottom"/>
          </w:tcPr>
          <w:p>
            <w:pPr>
              <w:spacing w:after="0"/>
              <w:rPr>
                <w:sz w:val="20"/>
                <w:szCs w:val="20"/>
                <w:color w:val="auto"/>
              </w:rPr>
            </w:pPr>
            <w:r>
              <w:rPr>
                <w:rFonts w:ascii="Arial" w:cs="Arial" w:eastAsia="Arial" w:hAnsi="Arial"/>
                <w:sz w:val="18"/>
                <w:szCs w:val="18"/>
                <w:color w:val="auto"/>
              </w:rPr>
              <w:t>99.1</w:t>
            </w:r>
          </w:p>
        </w:tc>
        <w:tc>
          <w:tcPr>
            <w:tcW w:w="10300" w:type="dxa"/>
            <w:vAlign w:val="bottom"/>
          </w:tcPr>
          <w:p>
            <w:pPr>
              <w:ind w:left="120"/>
              <w:spacing w:after="0"/>
              <w:rPr>
                <w:sz w:val="20"/>
                <w:szCs w:val="20"/>
                <w:color w:val="auto"/>
              </w:rPr>
            </w:pPr>
            <w:r>
              <w:rPr>
                <w:rFonts w:ascii="Arial" w:cs="Arial" w:eastAsia="Arial" w:hAnsi="Arial"/>
                <w:sz w:val="18"/>
                <w:szCs w:val="18"/>
                <w:color w:val="auto"/>
              </w:rPr>
              <w:t>Quantitative and qualitative disclosures about market risks as reported at March 31, 2015.</w:t>
            </w:r>
          </w:p>
        </w:tc>
      </w:tr>
    </w:tbl>
    <w:p>
      <w:pPr>
        <w:spacing w:after="0" w:line="188" w:lineRule="exact"/>
        <w:rPr>
          <w:sz w:val="20"/>
          <w:szCs w:val="20"/>
          <w:color w:val="auto"/>
        </w:rPr>
      </w:pPr>
    </w:p>
    <w:p>
      <w:pPr>
        <w:ind w:left="1200" w:right="160" w:hanging="1124"/>
        <w:spacing w:after="0" w:line="246"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March 31, 2015, formatted in eXtensible Business Reporting Language (XBRL), filed herewith:</w:t>
      </w:r>
    </w:p>
    <w:p>
      <w:pPr>
        <w:spacing w:after="0" w:line="223" w:lineRule="exact"/>
        <w:rPr>
          <w:rFonts w:ascii="Arial" w:cs="Arial" w:eastAsia="Arial" w:hAnsi="Arial"/>
          <w:sz w:val="18"/>
          <w:szCs w:val="18"/>
          <w:color w:val="auto"/>
        </w:rPr>
      </w:pPr>
    </w:p>
    <w:p>
      <w:pPr>
        <w:ind w:left="2340" w:hanging="1143"/>
        <w:spacing w:after="0"/>
        <w:tabs>
          <w:tab w:leader="none" w:pos="23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Consolidated Statements of Income for the three months ended March 31, 2015 and 2014.</w:t>
      </w:r>
    </w:p>
    <w:p>
      <w:pPr>
        <w:spacing w:after="0" w:line="198" w:lineRule="exact"/>
        <w:rPr>
          <w:rFonts w:ascii="Arial" w:cs="Arial" w:eastAsia="Arial" w:hAnsi="Arial"/>
          <w:sz w:val="18"/>
          <w:szCs w:val="18"/>
          <w:color w:val="auto"/>
        </w:rPr>
      </w:pPr>
    </w:p>
    <w:p>
      <w:pPr>
        <w:ind w:left="2340" w:hanging="1143"/>
        <w:spacing w:after="0"/>
        <w:tabs>
          <w:tab w:leader="none" w:pos="23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Consolidated Statements of Comprehensive Income/(Loss) for the three months ended March 31, 2015 and 2014.</w:t>
      </w:r>
    </w:p>
    <w:p>
      <w:pPr>
        <w:spacing w:after="0" w:line="209" w:lineRule="exact"/>
        <w:rPr>
          <w:rFonts w:ascii="Arial" w:cs="Arial" w:eastAsia="Arial" w:hAnsi="Arial"/>
          <w:sz w:val="17"/>
          <w:szCs w:val="17"/>
          <w:color w:val="auto"/>
        </w:rPr>
      </w:pPr>
    </w:p>
    <w:p>
      <w:pPr>
        <w:ind w:left="2340" w:hanging="1143"/>
        <w:spacing w:after="0"/>
        <w:tabs>
          <w:tab w:leader="none" w:pos="23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Consolidated Balance Sheets at March 31, 2015 and December 31, 2014.</w:t>
      </w:r>
    </w:p>
    <w:p>
      <w:pPr>
        <w:spacing w:after="0" w:line="198" w:lineRule="exact"/>
        <w:rPr>
          <w:rFonts w:ascii="Arial" w:cs="Arial" w:eastAsia="Arial" w:hAnsi="Arial"/>
          <w:sz w:val="18"/>
          <w:szCs w:val="18"/>
          <w:color w:val="auto"/>
        </w:rPr>
      </w:pPr>
    </w:p>
    <w:p>
      <w:pPr>
        <w:ind w:left="2340" w:hanging="1143"/>
        <w:spacing w:after="0"/>
        <w:tabs>
          <w:tab w:leader="none" w:pos="23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Consolidated Statements of Cash Flows for the three months ended March 31, 2015 and 2014.</w:t>
      </w:r>
    </w:p>
    <w:p>
      <w:pPr>
        <w:spacing w:after="0" w:line="198" w:lineRule="exact"/>
        <w:rPr>
          <w:rFonts w:ascii="Arial" w:cs="Arial" w:eastAsia="Arial" w:hAnsi="Arial"/>
          <w:sz w:val="18"/>
          <w:szCs w:val="18"/>
          <w:color w:val="auto"/>
        </w:rPr>
      </w:pPr>
    </w:p>
    <w:p>
      <w:pPr>
        <w:ind w:left="2340" w:hanging="1143"/>
        <w:spacing w:after="0"/>
        <w:tabs>
          <w:tab w:leader="none" w:pos="23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98" w:lineRule="exact"/>
        <w:rPr>
          <w:rFonts w:ascii="Arial" w:cs="Arial" w:eastAsia="Arial" w:hAnsi="Arial"/>
          <w:sz w:val="18"/>
          <w:szCs w:val="18"/>
          <w:color w:val="auto"/>
        </w:rPr>
      </w:pPr>
    </w:p>
    <w:p>
      <w:pPr>
        <w:ind w:left="2340" w:right="280"/>
        <w:spacing w:after="0"/>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39" w:name="page40"/>
    <w:bookmarkEnd w:id="39"/>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36" w:lineRule="exact"/>
        <w:rPr>
          <w:sz w:val="20"/>
          <w:szCs w:val="20"/>
          <w:color w:val="auto"/>
        </w:rPr>
      </w:pPr>
    </w:p>
    <w:p>
      <w:pPr>
        <w:ind w:firstLine="36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ALBANY INTERNATIONAL CORP.</w:t>
      </w:r>
    </w:p>
    <w:p>
      <w:pPr>
        <w:ind w:left="6800"/>
        <w:spacing w:after="0"/>
        <w:rPr>
          <w:sz w:val="20"/>
          <w:szCs w:val="20"/>
          <w:color w:val="auto"/>
        </w:rPr>
      </w:pPr>
      <w:r>
        <w:rPr>
          <w:rFonts w:ascii="Arial" w:cs="Arial" w:eastAsia="Arial" w:hAnsi="Arial"/>
          <w:sz w:val="18"/>
          <w:szCs w:val="18"/>
          <w:color w:val="auto"/>
        </w:rPr>
        <w:t>(Registrant)</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May 5, 2015</w:t>
      </w:r>
    </w:p>
    <w:p>
      <w:pPr>
        <w:spacing w:after="0" w:line="198" w:lineRule="exact"/>
        <w:rPr>
          <w:sz w:val="20"/>
          <w:szCs w:val="20"/>
          <w:color w:val="auto"/>
        </w:rPr>
      </w:pPr>
    </w:p>
    <w:p>
      <w:pPr>
        <w:ind w:left="6060"/>
        <w:spacing w:after="0"/>
        <w:tabs>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John B. Cozzolino</w:t>
      </w:r>
    </w:p>
    <w:p>
      <w:pPr>
        <w:spacing w:after="0" w:line="194"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John B. Cozzolino</w:t>
      </w:r>
    </w:p>
    <w:p>
      <w:pPr>
        <w:ind w:left="6640"/>
        <w:spacing w:after="0" w:line="234"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Financial Officer)</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40"/>
          </w:cols>
          <w:pgMar w:left="240" w:top="657" w:right="41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EXHIBIT (31.1)</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Joseph G. Morone, certify that:</w:t>
      </w:r>
    </w:p>
    <w:p>
      <w:pPr>
        <w:spacing w:after="0" w:line="158"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57" w:lineRule="exact"/>
        <w:rPr>
          <w:rFonts w:ascii="Arial" w:cs="Arial" w:eastAsia="Arial" w:hAnsi="Arial"/>
          <w:sz w:val="18"/>
          <w:szCs w:val="18"/>
          <w:color w:val="auto"/>
        </w:rPr>
      </w:pPr>
    </w:p>
    <w:p>
      <w:pPr>
        <w:ind w:left="980" w:right="30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left="980" w:right="10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8"/>
          <w:szCs w:val="18"/>
          <w:color w:val="auto"/>
        </w:rPr>
      </w:pPr>
    </w:p>
    <w:p>
      <w:pPr>
        <w:jc w:val="both"/>
        <w:ind w:left="980" w:right="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Arial" w:cs="Arial" w:eastAsia="Arial" w:hAnsi="Arial"/>
          <w:sz w:val="18"/>
          <w:szCs w:val="18"/>
          <w:color w:val="auto"/>
        </w:rPr>
      </w:pPr>
    </w:p>
    <w:p>
      <w:pPr>
        <w:ind w:left="1300" w:right="18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ind w:left="1300" w:right="16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jc w:val="both"/>
        <w:ind w:left="1300" w:right="1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8"/>
          <w:szCs w:val="18"/>
          <w:color w:val="auto"/>
        </w:rPr>
      </w:pPr>
    </w:p>
    <w:p>
      <w:pPr>
        <w:ind w:left="1300" w:right="24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8"/>
          <w:szCs w:val="18"/>
          <w:color w:val="auto"/>
        </w:rPr>
      </w:pPr>
    </w:p>
    <w:p>
      <w:pPr>
        <w:ind w:left="980" w:right="14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8"/>
          <w:szCs w:val="18"/>
          <w:color w:val="auto"/>
        </w:rPr>
      </w:pPr>
    </w:p>
    <w:p>
      <w:pPr>
        <w:ind w:left="1300" w:right="1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8"/>
          <w:szCs w:val="18"/>
          <w:color w:val="auto"/>
        </w:rPr>
      </w:pPr>
    </w:p>
    <w:p>
      <w:pPr>
        <w:ind w:left="1300" w:right="20" w:hanging="320"/>
        <w:spacing w:after="0" w:line="246"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May 5, 2015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ind w:left="7080"/>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spacing w:after="0"/>
              <w:rPr>
                <w:sz w:val="20"/>
                <w:szCs w:val="20"/>
                <w:color w:val="auto"/>
              </w:rPr>
            </w:pPr>
            <w:r>
              <w:rPr>
                <w:rFonts w:ascii="Arial" w:cs="Arial" w:eastAsia="Arial" w:hAnsi="Arial"/>
                <w:sz w:val="18"/>
                <w:szCs w:val="18"/>
                <w:color w:val="auto"/>
              </w:rPr>
              <w:t>/s/ Joseph G. Morone</w:t>
            </w:r>
          </w:p>
        </w:tc>
      </w:tr>
      <w:tr>
        <w:trPr>
          <w:trHeight w:val="209"/>
        </w:trPr>
        <w:tc>
          <w:tcPr>
            <w:tcW w:w="7660" w:type="dxa"/>
            <w:vAlign w:val="bottom"/>
          </w:tcPr>
          <w:p>
            <w:pPr>
              <w:spacing w:after="0"/>
              <w:rPr>
                <w:sz w:val="18"/>
                <w:szCs w:val="18"/>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Joseph G. Morone</w:t>
            </w:r>
          </w:p>
        </w:tc>
        <w:tc>
          <w:tcPr>
            <w:tcW w:w="2040" w:type="dxa"/>
            <w:vAlign w:val="bottom"/>
          </w:tcPr>
          <w:p>
            <w:pPr>
              <w:spacing w:after="0"/>
              <w:rPr>
                <w:sz w:val="18"/>
                <w:szCs w:val="18"/>
                <w:color w:val="auto"/>
              </w:rPr>
            </w:pPr>
          </w:p>
        </w:tc>
      </w:tr>
      <w:tr>
        <w:trPr>
          <w:trHeight w:val="203"/>
        </w:trPr>
        <w:tc>
          <w:tcPr>
            <w:tcW w:w="766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President and Chief Executive Officer</w:t>
            </w:r>
          </w:p>
        </w:tc>
      </w:tr>
      <w:tr>
        <w:trPr>
          <w:trHeight w:val="217"/>
        </w:trPr>
        <w:tc>
          <w:tcPr>
            <w:tcW w:w="76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446"/>
        </w:trPr>
        <w:tc>
          <w:tcPr>
            <w:tcW w:w="7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68"/>
        </w:trPr>
        <w:tc>
          <w:tcPr>
            <w:tcW w:w="7660" w:type="dxa"/>
            <w:vAlign w:val="bottom"/>
            <w:shd w:val="clear" w:color="auto" w:fill="000000"/>
          </w:tcPr>
          <w:p>
            <w:pPr>
              <w:spacing w:after="0"/>
              <w:rPr>
                <w:sz w:val="5"/>
                <w:szCs w:val="5"/>
                <w:color w:val="auto"/>
              </w:rPr>
            </w:pPr>
          </w:p>
        </w:tc>
        <w:tc>
          <w:tcPr>
            <w:tcW w:w="1720" w:type="dxa"/>
            <w:vAlign w:val="bottom"/>
            <w:shd w:val="clear" w:color="auto" w:fill="000000"/>
          </w:tcPr>
          <w:p>
            <w:pPr>
              <w:spacing w:after="0"/>
              <w:rPr>
                <w:sz w:val="5"/>
                <w:szCs w:val="5"/>
                <w:color w:val="auto"/>
              </w:rPr>
            </w:pPr>
          </w:p>
        </w:tc>
        <w:tc>
          <w:tcPr>
            <w:tcW w:w="20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18"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EXHIBIT (31.2)</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John B. Cozzolino, certify that:</w:t>
      </w:r>
    </w:p>
    <w:p>
      <w:pPr>
        <w:spacing w:after="0" w:line="158"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57" w:lineRule="exact"/>
        <w:rPr>
          <w:rFonts w:ascii="Arial" w:cs="Arial" w:eastAsia="Arial" w:hAnsi="Arial"/>
          <w:sz w:val="18"/>
          <w:szCs w:val="18"/>
          <w:color w:val="auto"/>
        </w:rPr>
      </w:pPr>
    </w:p>
    <w:p>
      <w:pPr>
        <w:ind w:left="980" w:right="30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left="980" w:right="10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8"/>
          <w:szCs w:val="18"/>
          <w:color w:val="auto"/>
        </w:rPr>
      </w:pPr>
    </w:p>
    <w:p>
      <w:pPr>
        <w:jc w:val="both"/>
        <w:ind w:left="980" w:right="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Arial" w:cs="Arial" w:eastAsia="Arial" w:hAnsi="Arial"/>
          <w:sz w:val="18"/>
          <w:szCs w:val="18"/>
          <w:color w:val="auto"/>
        </w:rPr>
      </w:pPr>
    </w:p>
    <w:p>
      <w:pPr>
        <w:ind w:left="1300" w:right="180" w:hanging="320"/>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8"/>
          <w:szCs w:val="18"/>
          <w:color w:val="auto"/>
        </w:rPr>
      </w:pPr>
    </w:p>
    <w:p>
      <w:pPr>
        <w:ind w:left="1300" w:right="160" w:hanging="320"/>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8"/>
          <w:szCs w:val="18"/>
          <w:color w:val="auto"/>
        </w:rPr>
      </w:pPr>
    </w:p>
    <w:p>
      <w:pPr>
        <w:jc w:val="both"/>
        <w:ind w:left="1300" w:right="100" w:hanging="320"/>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8"/>
          <w:szCs w:val="18"/>
          <w:color w:val="auto"/>
        </w:rPr>
      </w:pPr>
    </w:p>
    <w:p>
      <w:pPr>
        <w:ind w:left="1300" w:right="240" w:hanging="320"/>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8"/>
          <w:szCs w:val="18"/>
          <w:color w:val="auto"/>
        </w:rPr>
      </w:pPr>
    </w:p>
    <w:p>
      <w:pPr>
        <w:ind w:left="980" w:right="14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8"/>
          <w:szCs w:val="18"/>
          <w:color w:val="auto"/>
        </w:rPr>
      </w:pPr>
    </w:p>
    <w:p>
      <w:pPr>
        <w:jc w:val="both"/>
        <w:ind w:left="1300" w:right="160" w:hanging="320"/>
        <w:spacing w:after="0"/>
        <w:tabs>
          <w:tab w:leader="none" w:pos="1246"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8"/>
          <w:szCs w:val="18"/>
          <w:color w:val="auto"/>
        </w:rPr>
      </w:pPr>
    </w:p>
    <w:p>
      <w:pPr>
        <w:ind w:left="1300" w:right="20" w:hanging="320"/>
        <w:spacing w:after="0" w:line="246"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May 5, 2015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Pr>
          <w:p>
            <w:pPr>
              <w:ind w:left="6640"/>
              <w:spacing w:after="0"/>
              <w:rPr>
                <w:sz w:val="20"/>
                <w:szCs w:val="20"/>
                <w:color w:val="auto"/>
              </w:rPr>
            </w:pPr>
            <w:r>
              <w:rPr>
                <w:rFonts w:ascii="Arial" w:cs="Arial" w:eastAsia="Arial" w:hAnsi="Arial"/>
                <w:sz w:val="18"/>
                <w:szCs w:val="18"/>
                <w:color w:val="auto"/>
              </w:rPr>
              <w:t>By</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/s/ John B. Cozzolino</w:t>
            </w:r>
          </w:p>
        </w:tc>
        <w:tc>
          <w:tcPr>
            <w:tcW w:w="2520" w:type="dxa"/>
            <w:vAlign w:val="bottom"/>
          </w:tcPr>
          <w:p>
            <w:pPr>
              <w:spacing w:after="0"/>
              <w:rPr>
                <w:sz w:val="18"/>
                <w:szCs w:val="18"/>
                <w:color w:val="auto"/>
              </w:rPr>
            </w:pPr>
          </w:p>
        </w:tc>
      </w:tr>
      <w:tr>
        <w:trPr>
          <w:trHeight w:val="209"/>
        </w:trPr>
        <w:tc>
          <w:tcPr>
            <w:tcW w:w="720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John B. Cozzolino</w:t>
            </w:r>
          </w:p>
        </w:tc>
      </w:tr>
      <w:tr>
        <w:trPr>
          <w:trHeight w:val="203"/>
        </w:trPr>
        <w:tc>
          <w:tcPr>
            <w:tcW w:w="7200" w:type="dxa"/>
            <w:vAlign w:val="bottom"/>
          </w:tcPr>
          <w:p>
            <w:pPr>
              <w:spacing w:after="0"/>
              <w:rPr>
                <w:sz w:val="17"/>
                <w:szCs w:val="17"/>
                <w:color w:val="auto"/>
              </w:rPr>
            </w:pPr>
          </w:p>
        </w:tc>
        <w:tc>
          <w:tcPr>
            <w:tcW w:w="4220" w:type="dxa"/>
            <w:vAlign w:val="bottom"/>
            <w:gridSpan w:val="2"/>
          </w:tcPr>
          <w:p>
            <w:pPr>
              <w:spacing w:after="0" w:line="202" w:lineRule="exact"/>
              <w:rPr>
                <w:sz w:val="20"/>
                <w:szCs w:val="20"/>
                <w:color w:val="auto"/>
              </w:rPr>
            </w:pPr>
            <w:r>
              <w:rPr>
                <w:rFonts w:ascii="Arial" w:cs="Arial" w:eastAsia="Arial" w:hAnsi="Arial"/>
                <w:sz w:val="18"/>
                <w:szCs w:val="18"/>
                <w:color w:val="auto"/>
              </w:rPr>
              <w:t>Chief Financial Officer and Treasurer</w:t>
            </w:r>
          </w:p>
        </w:tc>
      </w:tr>
      <w:tr>
        <w:trPr>
          <w:trHeight w:val="217"/>
        </w:trPr>
        <w:tc>
          <w:tcPr>
            <w:tcW w:w="720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648"/>
        </w:trPr>
        <w:tc>
          <w:tcPr>
            <w:tcW w:w="7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68"/>
        </w:trPr>
        <w:tc>
          <w:tcPr>
            <w:tcW w:w="7200" w:type="dxa"/>
            <w:vAlign w:val="bottom"/>
            <w:shd w:val="clear" w:color="auto" w:fill="000000"/>
          </w:tcPr>
          <w:p>
            <w:pPr>
              <w:spacing w:after="0"/>
              <w:rPr>
                <w:sz w:val="5"/>
                <w:szCs w:val="5"/>
                <w:color w:val="auto"/>
              </w:rPr>
            </w:pPr>
          </w:p>
        </w:tc>
        <w:tc>
          <w:tcPr>
            <w:tcW w:w="1700" w:type="dxa"/>
            <w:vAlign w:val="bottom"/>
            <w:shd w:val="clear" w:color="auto" w:fill="000000"/>
          </w:tcPr>
          <w:p>
            <w:pPr>
              <w:spacing w:after="0"/>
              <w:rPr>
                <w:sz w:val="5"/>
                <w:szCs w:val="5"/>
                <w:color w:val="auto"/>
              </w:rPr>
            </w:pPr>
          </w:p>
        </w:tc>
        <w:tc>
          <w:tcPr>
            <w:tcW w:w="25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18" w:right="239" w:bottom="1440" w:gutter="0" w:footer="0" w:header="0"/>
        </w:sectPr>
      </w:pPr>
    </w:p>
    <w:bookmarkStart w:id="42" w:name="page43"/>
    <w:bookmarkEnd w:id="42"/>
    <w:p>
      <w:pPr>
        <w:jc w:val="center"/>
        <w:ind w:right="-139"/>
        <w:spacing w:after="0"/>
        <w:rPr>
          <w:sz w:val="20"/>
          <w:szCs w:val="20"/>
          <w:color w:val="auto"/>
        </w:rPr>
      </w:pPr>
      <w:r>
        <w:rPr>
          <w:rFonts w:ascii="Arial" w:cs="Arial" w:eastAsia="Arial" w:hAnsi="Arial"/>
          <w:sz w:val="18"/>
          <w:szCs w:val="18"/>
          <w:b w:val="1"/>
          <w:bCs w:val="1"/>
          <w:color w:val="auto"/>
        </w:rPr>
        <w:t>EXHIBIT (32.1)</w:t>
      </w:r>
    </w:p>
    <w:p>
      <w:pPr>
        <w:spacing w:after="0" w:line="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PURSUANT TO</w:t>
      </w:r>
    </w:p>
    <w:p>
      <w:pPr>
        <w:jc w:val="center"/>
        <w:ind w:right="-139"/>
        <w:spacing w:after="0" w:line="234" w:lineRule="auto"/>
        <w:rPr>
          <w:sz w:val="20"/>
          <w:szCs w:val="20"/>
          <w:color w:val="auto"/>
        </w:rPr>
      </w:pPr>
      <w:r>
        <w:rPr>
          <w:rFonts w:ascii="Arial" w:cs="Arial" w:eastAsia="Arial" w:hAnsi="Arial"/>
          <w:sz w:val="18"/>
          <w:szCs w:val="18"/>
          <w:b w:val="1"/>
          <w:bCs w:val="1"/>
          <w:color w:val="auto"/>
        </w:rPr>
        <w:t>18 U.S.C. SECTION 1350,</w:t>
      </w:r>
    </w:p>
    <w:p>
      <w:pPr>
        <w:jc w:val="center"/>
        <w:ind w:right="-13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ind w:firstLine="360"/>
        <w:spacing w:after="0" w:line="239"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March 31, 2015, as filed with the Securities and Exchange Commission on the date hereof (the Report), Joseph G. Morone, President and Chief Executive Officer, and John B. Cozzolino, Chief Financial Officer and Treasurer of the Company, certify, pursuant to 18 U.S.C. § 1350, as adopted pursuant to § 906 of the Sarbanes-Oxley Act of 2002, that:</w:t>
      </w:r>
    </w:p>
    <w:p>
      <w:pPr>
        <w:spacing w:after="0" w:line="148"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57" w:lineRule="exact"/>
        <w:rPr>
          <w:rFonts w:ascii="Arial" w:cs="Arial" w:eastAsia="Arial" w:hAnsi="Arial"/>
          <w:sz w:val="18"/>
          <w:szCs w:val="18"/>
          <w:color w:val="auto"/>
        </w:rPr>
      </w:pPr>
    </w:p>
    <w:p>
      <w:pPr>
        <w:ind w:left="360" w:right="340" w:hanging="352"/>
        <w:spacing w:after="0" w:line="246"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Dated: May 5, 2015</w:t>
      </w:r>
    </w:p>
    <w:p>
      <w:pPr>
        <w:spacing w:after="0" w:line="153"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Joseph G. Morone</w:t>
      </w:r>
    </w:p>
    <w:p>
      <w:pPr>
        <w:ind w:left="5200"/>
        <w:spacing w:after="0" w:line="234" w:lineRule="auto"/>
        <w:rPr>
          <w:sz w:val="20"/>
          <w:szCs w:val="20"/>
          <w:color w:val="auto"/>
        </w:rPr>
      </w:pPr>
      <w:r>
        <w:rPr>
          <w:rFonts w:ascii="Arial" w:cs="Arial" w:eastAsia="Arial" w:hAnsi="Arial"/>
          <w:sz w:val="18"/>
          <w:szCs w:val="18"/>
          <w:color w:val="auto"/>
        </w:rPr>
        <w:t>Joseph G. Morone</w:t>
      </w:r>
    </w:p>
    <w:p>
      <w:pPr>
        <w:ind w:left="520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99"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John B. Cozzolino</w:t>
      </w:r>
    </w:p>
    <w:p>
      <w:pPr>
        <w:ind w:left="5200"/>
        <w:spacing w:after="0" w:line="234" w:lineRule="auto"/>
        <w:rPr>
          <w:sz w:val="20"/>
          <w:szCs w:val="20"/>
          <w:color w:val="auto"/>
        </w:rPr>
      </w:pPr>
      <w:r>
        <w:rPr>
          <w:rFonts w:ascii="Arial" w:cs="Arial" w:eastAsia="Arial" w:hAnsi="Arial"/>
          <w:sz w:val="18"/>
          <w:szCs w:val="18"/>
          <w:color w:val="auto"/>
        </w:rPr>
        <w:t>John B. Cozzolino</w:t>
      </w:r>
    </w:p>
    <w:p>
      <w:pPr>
        <w:ind w:left="520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EXHIBIT (99.1)</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RISK SENSITIVITY – AS OF March 31, 2015</w:t>
      </w:r>
    </w:p>
    <w:p>
      <w:pPr>
        <w:spacing w:after="0" w:line="320" w:lineRule="exact"/>
        <w:rPr>
          <w:sz w:val="20"/>
          <w:szCs w:val="20"/>
          <w:color w:val="auto"/>
        </w:rPr>
      </w:pPr>
    </w:p>
    <w:p>
      <w:pPr>
        <w:ind w:right="220" w:firstLine="360"/>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80" w:lineRule="exact"/>
        <w:rPr>
          <w:sz w:val="20"/>
          <w:szCs w:val="20"/>
          <w:color w:val="auto"/>
        </w:rPr>
      </w:pPr>
    </w:p>
    <w:p>
      <w:pPr>
        <w:ind w:firstLine="360"/>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$530.5 million. The potential loss in fair value resulting from a hypothetical 10% adverse change in quoted foreign currency exchange rates amounts to $53.0 million. Furthermore, related to foreign currency transactions, we have exposure to various nonfunctional currency balances totaling $132.2 million. This amount includes, on an absolute basis, exposures to assets and liabilities held in currencies other than our local entity’s functional currency. On a net basis, we had $77.3 million of foreign currency liabilities as of March 31, 2015. As currency rates change, these nonfunctional currency balances are revalued, and the corresponding adjustment is recorded in the income statement. A hypothetical change of 10% in currency rates could result in an adjustment to the income statement of approximately $7.7 million. Actual results may differ.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31, 2015,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109220</wp:posOffset>
            </wp:positionV>
            <wp:extent cx="50685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345"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(in thousands, except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11430</wp:posOffset>
            </wp:positionV>
            <wp:extent cx="50685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11"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Short-term debt</w:t>
      </w:r>
    </w:p>
    <w:p>
      <w:pPr>
        <w:spacing w:after="0" w:line="77" w:lineRule="exact"/>
        <w:rPr>
          <w:sz w:val="20"/>
          <w:szCs w:val="20"/>
          <w:color w:val="auto"/>
        </w:rPr>
      </w:pPr>
    </w:p>
    <w:tbl>
      <w:tblPr>
        <w:tblLayout w:type="fixed"/>
        <w:tblInd w:w="1720" w:type="dxa"/>
        <w:tblCellMar>
          <w:top w:w="0" w:type="dxa"/>
          <w:left w:w="0" w:type="dxa"/>
          <w:bottom w:w="0" w:type="dxa"/>
          <w:right w:w="0" w:type="dxa"/>
        </w:tblCellMar>
      </w:tblPr>
      <w:tr>
        <w:trPr>
          <w:trHeight w:val="217"/>
        </w:trPr>
        <w:tc>
          <w:tcPr>
            <w:tcW w:w="6600" w:type="dxa"/>
            <w:vAlign w:val="bottom"/>
          </w:tcPr>
          <w:p>
            <w:pPr>
              <w:spacing w:after="0"/>
              <w:rPr>
                <w:sz w:val="20"/>
                <w:szCs w:val="20"/>
                <w:color w:val="auto"/>
              </w:rPr>
            </w:pPr>
            <w:r>
              <w:rPr>
                <w:rFonts w:ascii="Arial" w:cs="Arial" w:eastAsia="Arial" w:hAnsi="Arial"/>
                <w:sz w:val="18"/>
                <w:szCs w:val="18"/>
                <w:color w:val="auto"/>
              </w:rPr>
              <w:t>Notes payable, end of period interest rate of 1.5%</w:t>
            </w:r>
          </w:p>
        </w:tc>
        <w:tc>
          <w:tcPr>
            <w:tcW w:w="1380" w:type="dxa"/>
            <w:vAlign w:val="bottom"/>
          </w:tcPr>
          <w:p>
            <w:pPr>
              <w:jc w:val="right"/>
              <w:spacing w:after="0"/>
              <w:rPr>
                <w:sz w:val="20"/>
                <w:szCs w:val="20"/>
                <w:color w:val="auto"/>
              </w:rPr>
            </w:pPr>
            <w:r>
              <w:rPr>
                <w:rFonts w:ascii="Arial" w:cs="Arial" w:eastAsia="Arial" w:hAnsi="Arial"/>
                <w:sz w:val="18"/>
                <w:szCs w:val="18"/>
                <w:color w:val="auto"/>
              </w:rPr>
              <w:t>$496</w:t>
            </w:r>
          </w:p>
        </w:tc>
      </w:tr>
      <w:tr>
        <w:trPr>
          <w:trHeight w:val="284"/>
        </w:trPr>
        <w:tc>
          <w:tcPr>
            <w:tcW w:w="660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1380" w:type="dxa"/>
            <w:vAlign w:val="bottom"/>
          </w:tcPr>
          <w:p>
            <w:pPr>
              <w:spacing w:after="0"/>
              <w:rPr>
                <w:sz w:val="24"/>
                <w:szCs w:val="24"/>
                <w:color w:val="auto"/>
              </w:rPr>
            </w:pPr>
          </w:p>
        </w:tc>
      </w:tr>
      <w:tr>
        <w:trPr>
          <w:trHeight w:val="269"/>
        </w:trPr>
        <w:tc>
          <w:tcPr>
            <w:tcW w:w="6600" w:type="dxa"/>
            <w:vAlign w:val="bottom"/>
          </w:tcPr>
          <w:p>
            <w:pPr>
              <w:spacing w:after="0"/>
              <w:rPr>
                <w:sz w:val="20"/>
                <w:szCs w:val="20"/>
                <w:color w:val="auto"/>
              </w:rPr>
            </w:pPr>
            <w:r>
              <w:rPr>
                <w:rFonts w:ascii="Arial" w:cs="Arial" w:eastAsia="Arial" w:hAnsi="Arial"/>
                <w:sz w:val="18"/>
                <w:szCs w:val="18"/>
                <w:color w:val="auto"/>
              </w:rPr>
              <w:t>Credit agreement with borrowings outstanding, net of fixed rate portion, at</w:t>
            </w:r>
          </w:p>
        </w:tc>
        <w:tc>
          <w:tcPr>
            <w:tcW w:w="1380" w:type="dxa"/>
            <w:vAlign w:val="bottom"/>
          </w:tcPr>
          <w:p>
            <w:pPr>
              <w:spacing w:after="0"/>
              <w:rPr>
                <w:sz w:val="23"/>
                <w:szCs w:val="23"/>
                <w:color w:val="auto"/>
              </w:rPr>
            </w:pPr>
          </w:p>
        </w:tc>
      </w:tr>
      <w:tr>
        <w:trPr>
          <w:trHeight w:val="217"/>
        </w:trPr>
        <w:tc>
          <w:tcPr>
            <w:tcW w:w="6600" w:type="dxa"/>
            <w:vAlign w:val="bottom"/>
          </w:tcPr>
          <w:p>
            <w:pPr>
              <w:spacing w:after="0"/>
              <w:rPr>
                <w:sz w:val="20"/>
                <w:szCs w:val="20"/>
                <w:color w:val="auto"/>
              </w:rPr>
            </w:pPr>
            <w:r>
              <w:rPr>
                <w:rFonts w:ascii="Arial" w:cs="Arial" w:eastAsia="Arial" w:hAnsi="Arial"/>
                <w:sz w:val="18"/>
                <w:szCs w:val="18"/>
                <w:color w:val="auto"/>
              </w:rPr>
              <w:t>an end of period interest rate of 1.56% in 2015, due in 2018</w:t>
            </w:r>
          </w:p>
        </w:tc>
        <w:tc>
          <w:tcPr>
            <w:tcW w:w="1380" w:type="dxa"/>
            <w:vAlign w:val="bottom"/>
          </w:tcPr>
          <w:p>
            <w:pPr>
              <w:jc w:val="right"/>
              <w:spacing w:after="0"/>
              <w:rPr>
                <w:sz w:val="20"/>
                <w:szCs w:val="20"/>
                <w:color w:val="auto"/>
              </w:rPr>
            </w:pPr>
            <w:r>
              <w:rPr>
                <w:rFonts w:ascii="Arial" w:cs="Arial" w:eastAsia="Arial" w:hAnsi="Arial"/>
                <w:sz w:val="18"/>
                <w:szCs w:val="18"/>
                <w:color w:val="auto"/>
              </w:rPr>
              <w:t>77,000</w:t>
            </w:r>
          </w:p>
        </w:tc>
      </w:tr>
      <w:tr>
        <w:trPr>
          <w:trHeight w:val="189"/>
        </w:trPr>
        <w:tc>
          <w:tcPr>
            <w:tcW w:w="66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399"/>
        </w:trPr>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$77,496</w:t>
            </w:r>
          </w:p>
        </w:tc>
      </w:tr>
    </w:tbl>
    <w:p>
      <w:pPr>
        <w:spacing w:after="0" w:line="377" w:lineRule="exact"/>
        <w:rPr>
          <w:sz w:val="20"/>
          <w:szCs w:val="20"/>
          <w:color w:val="auto"/>
        </w:rPr>
      </w:pPr>
    </w:p>
    <w:p>
      <w:pPr>
        <w:ind w:right="240" w:firstLine="360"/>
        <w:spacing w:after="0"/>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$ 0.8 million. To manage interest rate risk, we may periodically enter into interest rate swap agreements to effectively fix the interest rates on variable debt to a specific rate for a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4"/>
    </w:lvl>
  </w:abstractNum>
  <w:abstractNum w:abstractNumId="3">
    <w:nsid w:val="3352255A"/>
    <w:multiLevelType w:val="hybridMultilevel"/>
    <w:lvl w:ilvl="0">
      <w:lvlJc w:val="left"/>
      <w:lvlText w:val="%1"/>
      <w:numFmt w:val="decimal"/>
      <w:start w:val="1"/>
    </w:lvl>
    <w:lvl w:ilvl="1">
      <w:lvlJc w:val="left"/>
      <w:lvlText w:val="(%2)"/>
      <w:numFmt w:val="lowerLetter"/>
      <w:start w:val="1"/>
    </w:lvl>
  </w:abstractNum>
  <w:abstractNum w:abstractNumId="4">
    <w:nsid w:val="109CF92E"/>
    <w:multiLevelType w:val="hybridMultilevel"/>
    <w:lvl w:ilvl="0">
      <w:lvlJc w:val="left"/>
      <w:lvlText w:val="%1."/>
      <w:numFmt w:val="decimal"/>
      <w:start w:val="10"/>
    </w:lvl>
    <w:lvl w:ilvl="1">
      <w:lvlJc w:val="left"/>
      <w:lvlText w:val="%2"/>
      <w:numFmt w:val="lowerLetter"/>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lvl w:ilvl="1">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101"/>
    </w:lvl>
    <w:lvl w:ilvl="1">
      <w:lvlJc w:val="left"/>
      <w:lvlText w:val="(%2)"/>
      <w:numFmt w:val="lowerRoman"/>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2019-12-29T17:33:13Z</dcterms:created>
  <dcterms:modified xsi:type="dcterms:W3CDTF">2019-12-29T17:33:13Z</dcterms:modified>
</cp:coreProperties>
</file>