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40" w:right="2000" w:hanging="3832"/>
        <w:spacing w:after="0" w:line="503" w:lineRule="auto"/>
        <w:tabs>
          <w:tab w:leader="none" w:pos="26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600" w:right="2000" w:hanging="3592"/>
        <w:spacing w:after="0" w:line="503" w:lineRule="auto"/>
        <w:tabs>
          <w:tab w:leader="none" w:pos="15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jc w:val="center"/>
              <w:ind w:right="1340"/>
              <w:spacing w:after="0"/>
              <w:rPr>
                <w:sz w:val="20"/>
                <w:szCs w:val="20"/>
                <w:color w:val="auto"/>
              </w:rPr>
            </w:pPr>
            <w:r>
              <w:rPr>
                <w:rFonts w:ascii="Arial" w:cs="Arial" w:eastAsia="Arial" w:hAnsi="Arial"/>
                <w:sz w:val="18"/>
                <w:szCs w:val="18"/>
                <w:color w:val="auto"/>
                <w:w w:val="92"/>
              </w:rPr>
              <w:t>Delaware</w:t>
            </w:r>
          </w:p>
        </w:tc>
        <w:tc>
          <w:tcPr>
            <w:tcW w:w="4780" w:type="dxa"/>
            <w:vAlign w:val="bottom"/>
          </w:tcPr>
          <w:p>
            <w:pPr>
              <w:jc w:val="right"/>
              <w:ind w:right="185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6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6640" w:type="dxa"/>
            <w:vAlign w:val="bottom"/>
            <w:gridSpan w:val="2"/>
          </w:tcPr>
          <w:p>
            <w:pPr>
              <w:ind w:left="152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20"/>
                <w:szCs w:val="20"/>
                <w:color w:val="auto"/>
              </w:rPr>
            </w:pPr>
          </w:p>
        </w:tc>
      </w:tr>
      <w:tr>
        <w:trPr>
          <w:trHeight w:val="432"/>
        </w:trPr>
        <w:tc>
          <w:tcPr>
            <w:tcW w:w="6640" w:type="dxa"/>
            <w:vAlign w:val="bottom"/>
            <w:gridSpan w:val="2"/>
          </w:tcPr>
          <w:p>
            <w:pPr>
              <w:jc w:val="center"/>
              <w:ind w:right="1340"/>
              <w:spacing w:after="0"/>
              <w:rPr>
                <w:sz w:val="20"/>
                <w:szCs w:val="20"/>
                <w:color w:val="auto"/>
              </w:rPr>
            </w:pPr>
            <w:r>
              <w:rPr>
                <w:rFonts w:ascii="Arial" w:cs="Arial" w:eastAsia="Arial" w:hAnsi="Arial"/>
                <w:sz w:val="18"/>
                <w:szCs w:val="18"/>
                <w:color w:val="auto"/>
                <w:w w:val="92"/>
              </w:rPr>
              <w:t>216 Airport Drive, Rochester, New Hampshire</w:t>
            </w:r>
          </w:p>
        </w:tc>
        <w:tc>
          <w:tcPr>
            <w:tcW w:w="4780" w:type="dxa"/>
            <w:vAlign w:val="bottom"/>
          </w:tcPr>
          <w:p>
            <w:pPr>
              <w:jc w:val="right"/>
              <w:ind w:right="2070"/>
              <w:spacing w:after="0"/>
              <w:rPr>
                <w:sz w:val="20"/>
                <w:szCs w:val="20"/>
                <w:color w:val="auto"/>
              </w:rPr>
            </w:pPr>
            <w:r>
              <w:rPr>
                <w:rFonts w:ascii="Arial" w:cs="Arial" w:eastAsia="Arial" w:hAnsi="Arial"/>
                <w:sz w:val="18"/>
                <w:szCs w:val="18"/>
                <w:color w:val="auto"/>
              </w:rPr>
              <w:t>03867</w:t>
            </w:r>
          </w:p>
        </w:tc>
      </w:tr>
      <w:tr>
        <w:trPr>
          <w:trHeight w:val="224"/>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380" w:type="dxa"/>
            <w:vAlign w:val="bottom"/>
          </w:tcPr>
          <w:p>
            <w:pPr>
              <w:spacing w:after="0"/>
              <w:rPr>
                <w:sz w:val="19"/>
                <w:szCs w:val="19"/>
                <w:color w:val="auto"/>
              </w:rPr>
            </w:pPr>
          </w:p>
        </w:tc>
        <w:tc>
          <w:tcPr>
            <w:tcW w:w="478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1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20"/>
                <w:szCs w:val="20"/>
                <w:color w:val="auto"/>
              </w:rPr>
              <w:t>Large accelerated filer</w:t>
            </w:r>
          </w:p>
        </w:tc>
        <w:tc>
          <w:tcPr>
            <w:tcW w:w="2140" w:type="dxa"/>
            <w:vAlign w:val="bottom"/>
          </w:tcPr>
          <w:p>
            <w:pPr>
              <w:ind w:left="560"/>
              <w:spacing w:after="0"/>
              <w:rPr>
                <w:sz w:val="20"/>
                <w:szCs w:val="20"/>
                <w:color w:val="auto"/>
              </w:rPr>
            </w:pPr>
            <w:r>
              <w:rPr>
                <w:rFonts w:ascii="Arial" w:cs="Arial" w:eastAsia="Arial" w:hAnsi="Arial"/>
                <w:sz w:val="20"/>
                <w:szCs w:val="20"/>
                <w:color w:val="auto"/>
              </w:rPr>
              <w:t>[ √ ]</w:t>
            </w:r>
          </w:p>
        </w:tc>
        <w:tc>
          <w:tcPr>
            <w:tcW w:w="4220" w:type="dxa"/>
            <w:vAlign w:val="bottom"/>
          </w:tcPr>
          <w:p>
            <w:pPr>
              <w:ind w:left="1260"/>
              <w:spacing w:after="0"/>
              <w:rPr>
                <w:sz w:val="20"/>
                <w:szCs w:val="20"/>
                <w:color w:val="auto"/>
              </w:rPr>
            </w:pPr>
            <w:r>
              <w:rPr>
                <w:rFonts w:ascii="Arial" w:cs="Arial" w:eastAsia="Arial" w:hAnsi="Arial"/>
                <w:sz w:val="20"/>
                <w:szCs w:val="20"/>
                <w:color w:val="auto"/>
              </w:rPr>
              <w:t>Accelerated filer</w:t>
            </w:r>
          </w:p>
        </w:tc>
        <w:tc>
          <w:tcPr>
            <w:tcW w:w="620" w:type="dxa"/>
            <w:vAlign w:val="bottom"/>
          </w:tcPr>
          <w:p>
            <w:pPr>
              <w:jc w:val="right"/>
              <w:ind w:right="4"/>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2320" w:type="dxa"/>
            <w:vAlign w:val="bottom"/>
          </w:tcPr>
          <w:p>
            <w:pPr>
              <w:spacing w:after="0"/>
              <w:rPr>
                <w:sz w:val="20"/>
                <w:szCs w:val="20"/>
                <w:color w:val="auto"/>
              </w:rPr>
            </w:pPr>
            <w:r>
              <w:rPr>
                <w:rFonts w:ascii="Arial" w:cs="Arial" w:eastAsia="Arial" w:hAnsi="Arial"/>
                <w:sz w:val="20"/>
                <w:szCs w:val="20"/>
                <w:color w:val="auto"/>
              </w:rPr>
              <w:t>Non-accelerated filer</w:t>
            </w:r>
          </w:p>
        </w:tc>
        <w:tc>
          <w:tcPr>
            <w:tcW w:w="2140" w:type="dxa"/>
            <w:vAlign w:val="bottom"/>
          </w:tcPr>
          <w:p>
            <w:pPr>
              <w:ind w:left="560"/>
              <w:spacing w:after="0"/>
              <w:rPr>
                <w:sz w:val="20"/>
                <w:szCs w:val="20"/>
                <w:color w:val="auto"/>
              </w:rPr>
            </w:pPr>
            <w:r>
              <w:rPr>
                <w:rFonts w:ascii="Arial" w:cs="Arial" w:eastAsia="Arial" w:hAnsi="Arial"/>
                <w:sz w:val="20"/>
                <w:szCs w:val="20"/>
                <w:color w:val="auto"/>
              </w:rPr>
              <w:t>[  ]</w:t>
            </w:r>
          </w:p>
        </w:tc>
        <w:tc>
          <w:tcPr>
            <w:tcW w:w="4220" w:type="dxa"/>
            <w:vAlign w:val="bottom"/>
          </w:tcPr>
          <w:p>
            <w:pPr>
              <w:ind w:left="1260"/>
              <w:spacing w:after="0"/>
              <w:rPr>
                <w:sz w:val="20"/>
                <w:szCs w:val="20"/>
                <w:color w:val="auto"/>
              </w:rPr>
            </w:pPr>
            <w:r>
              <w:rPr>
                <w:rFonts w:ascii="Arial" w:cs="Arial" w:eastAsia="Arial" w:hAnsi="Arial"/>
                <w:sz w:val="20"/>
                <w:szCs w:val="20"/>
                <w:color w:val="auto"/>
              </w:rPr>
              <w:t>Smaller reporting company</w:t>
            </w:r>
          </w:p>
        </w:tc>
        <w:tc>
          <w:tcPr>
            <w:tcW w:w="620" w:type="dxa"/>
            <w:vAlign w:val="bottom"/>
          </w:tcPr>
          <w:p>
            <w:pPr>
              <w:jc w:val="right"/>
              <w:ind w:right="4"/>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85"/>
        </w:trPr>
        <w:tc>
          <w:tcPr>
            <w:tcW w:w="868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No [ √ ]</w:t>
            </w:r>
          </w:p>
        </w:tc>
      </w:tr>
    </w:tbl>
    <w:p>
      <w:pPr>
        <w:spacing w:after="0" w:line="94"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28.2 million shares of Class A Common Stock and 3.2 million shares of Class B Common Stock outstanding as of September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Page</w:t>
            </w:r>
          </w:p>
        </w:tc>
      </w:tr>
      <w:tr>
        <w:trPr>
          <w:trHeight w:val="203"/>
        </w:trPr>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86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22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w:t>
              </w:r>
            </w:hyperlink>
          </w:p>
        </w:tc>
        <w:tc>
          <w:tcPr>
            <w:tcW w:w="834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three and nine months ended September 30, 2012 and 2011</w:t>
              </w:r>
            </w:hyperlink>
          </w:p>
        </w:tc>
        <w:tc>
          <w:tcPr>
            <w:tcW w:w="268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80" w:type="dxa"/>
            <w:vAlign w:val="bottom"/>
            <w:gridSpan w:val="1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income/(loss) – three and nine months ended September 30, 2012 and 2011</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September 30, 2012 and December 31, 2011</w:t>
              </w:r>
            </w:hyperlink>
          </w:p>
        </w:tc>
        <w:tc>
          <w:tcPr>
            <w:tcW w:w="3460" w:type="dxa"/>
            <w:vAlign w:val="bottom"/>
            <w:tcBorders>
              <w:top w:val="single" w:sz="8" w:color="0000EE"/>
            </w:tcBorders>
            <w:gridSpan w:val="4"/>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80" w:type="dxa"/>
            <w:vAlign w:val="bottom"/>
            <w:gridSpan w:val="1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nine months ended September 30, 2012 and 2011</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4720" w:type="dxa"/>
            <w:vAlign w:val="bottom"/>
            <w:tcBorders>
              <w:top w:val="single" w:sz="8" w:color="0000EE"/>
            </w:tcBorders>
            <w:gridSpan w:val="6"/>
          </w:tcPr>
          <w:p>
            <w:pPr>
              <w:spacing w:after="0"/>
              <w:rPr>
                <w:sz w:val="15"/>
                <w:szCs w:val="15"/>
                <w:color w:val="auto"/>
              </w:rPr>
            </w:pPr>
          </w:p>
        </w:tc>
        <w:tc>
          <w:tcPr>
            <w:tcW w:w="23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40" w:type="dxa"/>
            <w:vAlign w:val="bottom"/>
          </w:tcPr>
          <w:p>
            <w:pPr>
              <w:spacing w:after="0"/>
              <w:rPr>
                <w:sz w:val="15"/>
                <w:szCs w:val="15"/>
                <w:color w:val="auto"/>
              </w:rPr>
            </w:pPr>
          </w:p>
        </w:tc>
        <w:tc>
          <w:tcPr>
            <w:tcW w:w="222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Forward-looking statements</w:t>
              </w:r>
            </w:hyperlink>
          </w:p>
        </w:tc>
        <w:tc>
          <w:tcPr>
            <w:tcW w:w="8400" w:type="dxa"/>
            <w:vAlign w:val="bottom"/>
            <w:gridSpan w:val="1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40" w:type="dxa"/>
            <w:vAlign w:val="bottom"/>
          </w:tcPr>
          <w:p>
            <w:pPr>
              <w:spacing w:after="0"/>
              <w:rPr>
                <w:sz w:val="15"/>
                <w:szCs w:val="15"/>
                <w:color w:val="auto"/>
              </w:rPr>
            </w:pPr>
          </w:p>
        </w:tc>
        <w:tc>
          <w:tcPr>
            <w:tcW w:w="768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Item 2. Management’s Discussion and Analysis of Financial Condition and Results of Operations</w:t>
              </w:r>
            </w:hyperlink>
          </w:p>
        </w:tc>
        <w:tc>
          <w:tcPr>
            <w:tcW w:w="2940" w:type="dxa"/>
            <w:vAlign w:val="bottom"/>
            <w:gridSpan w:val="4"/>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40" w:type="dxa"/>
            <w:vAlign w:val="bottom"/>
          </w:tcPr>
          <w:p>
            <w:pPr>
              <w:spacing w:after="0"/>
              <w:rPr>
                <w:sz w:val="15"/>
                <w:szCs w:val="15"/>
                <w:color w:val="auto"/>
              </w:rPr>
            </w:pPr>
          </w:p>
        </w:tc>
        <w:tc>
          <w:tcPr>
            <w:tcW w:w="10620" w:type="dxa"/>
            <w:vAlign w:val="bottom"/>
            <w:gridSpan w:val="18"/>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Item 3. Quantitative and Qualitative Disclosures about Market Risk</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240" w:type="dxa"/>
            <w:vAlign w:val="bottom"/>
          </w:tcPr>
          <w:p>
            <w:pPr>
              <w:spacing w:after="0"/>
              <w:rPr>
                <w:sz w:val="15"/>
                <w:szCs w:val="15"/>
                <w:color w:val="auto"/>
              </w:rPr>
            </w:pPr>
          </w:p>
        </w:tc>
        <w:tc>
          <w:tcPr>
            <w:tcW w:w="52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Item 4. Controls and Procedures</w:t>
              </w:r>
            </w:hyperlink>
          </w:p>
        </w:tc>
        <w:tc>
          <w:tcPr>
            <w:tcW w:w="5340" w:type="dxa"/>
            <w:vAlign w:val="bottom"/>
            <w:gridSpan w:val="7"/>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2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10860" w:type="dxa"/>
            <w:vAlign w:val="bottom"/>
            <w:gridSpan w:val="19"/>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062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 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83"/>
        </w:trPr>
        <w:tc>
          <w:tcPr>
            <w:tcW w:w="24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8540" w:type="dxa"/>
            <w:vAlign w:val="bottom"/>
            <w:gridSpan w:val="1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240" w:type="dxa"/>
            <w:vAlign w:val="bottom"/>
          </w:tcPr>
          <w:p>
            <w:pPr>
              <w:spacing w:after="0"/>
              <w:rPr>
                <w:sz w:val="15"/>
                <w:szCs w:val="15"/>
                <w:color w:val="auto"/>
              </w:rPr>
            </w:pPr>
          </w:p>
        </w:tc>
        <w:tc>
          <w:tcPr>
            <w:tcW w:w="54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Item 2. Unregistered Sales of Equity Securities and Use of Proceeds</w:t>
              </w:r>
            </w:hyperlink>
          </w:p>
        </w:tc>
        <w:tc>
          <w:tcPr>
            <w:tcW w:w="5160" w:type="dxa"/>
            <w:vAlign w:val="bottom"/>
            <w:gridSpan w:val="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240" w:type="dxa"/>
            <w:vAlign w:val="bottom"/>
          </w:tcPr>
          <w:p>
            <w:pPr>
              <w:spacing w:after="0"/>
              <w:rPr>
                <w:sz w:val="15"/>
                <w:szCs w:val="15"/>
                <w:color w:val="auto"/>
              </w:rPr>
            </w:pPr>
          </w:p>
        </w:tc>
        <w:tc>
          <w:tcPr>
            <w:tcW w:w="31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Item 3. Defaults upon Senior Securities</w:t>
              </w:r>
            </w:hyperlink>
          </w:p>
        </w:tc>
        <w:tc>
          <w:tcPr>
            <w:tcW w:w="7500" w:type="dxa"/>
            <w:vAlign w:val="bottom"/>
            <w:gridSpan w:val="9"/>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240" w:type="dxa"/>
            <w:vAlign w:val="bottom"/>
          </w:tcPr>
          <w:p>
            <w:pPr>
              <w:spacing w:after="0"/>
              <w:rPr>
                <w:sz w:val="15"/>
                <w:szCs w:val="15"/>
                <w:color w:val="auto"/>
              </w:rPr>
            </w:pPr>
          </w:p>
        </w:tc>
        <w:tc>
          <w:tcPr>
            <w:tcW w:w="10620" w:type="dxa"/>
            <w:vAlign w:val="bottom"/>
            <w:gridSpan w:val="18"/>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Item 4. Mine Safety Disclosures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24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4"/>
          </w:tcPr>
          <w:p>
            <w:pPr>
              <w:spacing w:after="0"/>
              <w:rPr>
                <w:sz w:val="15"/>
                <w:szCs w:val="15"/>
                <w:color w:val="auto"/>
              </w:rPr>
            </w:pPr>
          </w:p>
        </w:tc>
        <w:tc>
          <w:tcPr>
            <w:tcW w:w="8040" w:type="dxa"/>
            <w:vAlign w:val="bottom"/>
            <w:gridSpan w:val="10"/>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240" w:type="dxa"/>
            <w:vAlign w:val="bottom"/>
          </w:tcPr>
          <w:p>
            <w:pPr>
              <w:spacing w:after="0"/>
              <w:rPr>
                <w:sz w:val="15"/>
                <w:szCs w:val="15"/>
                <w:color w:val="auto"/>
              </w:rPr>
            </w:pPr>
          </w:p>
        </w:tc>
        <w:tc>
          <w:tcPr>
            <w:tcW w:w="10620" w:type="dxa"/>
            <w:vAlign w:val="bottom"/>
            <w:gridSpan w:val="18"/>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676"/>
        </w:trPr>
        <w:tc>
          <w:tcPr>
            <w:tcW w:w="2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gridSpan w:val="5"/>
          </w:tcPr>
          <w:p>
            <w:pPr>
              <w:jc w:val="center"/>
              <w:ind w:right="80"/>
              <w:spacing w:after="0"/>
              <w:rPr>
                <w:sz w:val="20"/>
                <w:szCs w:val="20"/>
                <w:color w:val="auto"/>
              </w:rPr>
            </w:pPr>
            <w:r>
              <w:rPr>
                <w:rFonts w:ascii="Arial" w:cs="Arial" w:eastAsia="Arial" w:hAnsi="Arial"/>
                <w:sz w:val="16"/>
                <w:szCs w:val="16"/>
                <w:color w:val="auto"/>
              </w:rPr>
              <w:t>Three Months Ended</w:t>
            </w:r>
          </w:p>
        </w:tc>
        <w:tc>
          <w:tcPr>
            <w:tcW w:w="612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6"/>
                <w:szCs w:val="16"/>
                <w:color w:val="auto"/>
              </w:rPr>
              <w:t>Nine Months Ended</w:t>
            </w:r>
          </w:p>
        </w:tc>
      </w:tr>
      <w:tr>
        <w:trPr>
          <w:trHeight w:val="195"/>
        </w:trPr>
        <w:tc>
          <w:tcPr>
            <w:tcW w:w="1860" w:type="dxa"/>
            <w:vAlign w:val="bottom"/>
            <w:gridSpan w:val="3"/>
          </w:tcPr>
          <w:p>
            <w:pPr>
              <w:jc w:val="center"/>
              <w:ind w:left="679"/>
              <w:spacing w:after="0"/>
              <w:rPr>
                <w:sz w:val="20"/>
                <w:szCs w:val="20"/>
                <w:color w:val="auto"/>
              </w:rPr>
            </w:pPr>
            <w:r>
              <w:rPr>
                <w:rFonts w:ascii="Arial" w:cs="Arial" w:eastAsia="Arial" w:hAnsi="Arial"/>
                <w:sz w:val="16"/>
                <w:szCs w:val="16"/>
                <w:color w:val="auto"/>
              </w:rPr>
              <w:t>September 30,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840" w:type="dxa"/>
            <w:vAlign w:val="bottom"/>
            <w:gridSpan w:val="3"/>
          </w:tcPr>
          <w:p>
            <w:pPr>
              <w:jc w:val="center"/>
              <w:ind w:left="659"/>
              <w:spacing w:after="0"/>
              <w:rPr>
                <w:sz w:val="20"/>
                <w:szCs w:val="20"/>
                <w:color w:val="auto"/>
              </w:rPr>
            </w:pPr>
            <w:r>
              <w:rPr>
                <w:rFonts w:ascii="Arial" w:cs="Arial" w:eastAsia="Arial" w:hAnsi="Arial"/>
                <w:sz w:val="16"/>
                <w:szCs w:val="16"/>
                <w:color w:val="auto"/>
              </w:rPr>
              <w:t>September 30,</w:t>
            </w:r>
          </w:p>
        </w:tc>
        <w:tc>
          <w:tcPr>
            <w:tcW w:w="760" w:type="dxa"/>
            <w:vAlign w:val="bottom"/>
          </w:tcPr>
          <w:p>
            <w:pPr>
              <w:spacing w:after="0"/>
              <w:rPr>
                <w:sz w:val="16"/>
                <w:szCs w:val="16"/>
                <w:color w:val="auto"/>
              </w:rPr>
            </w:pPr>
          </w:p>
        </w:tc>
      </w:tr>
      <w:tr>
        <w:trPr>
          <w:trHeight w:val="371"/>
        </w:trPr>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2012</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5"/>
              </w:rPr>
              <w:t>2011</w:t>
            </w:r>
          </w:p>
        </w:tc>
        <w:tc>
          <w:tcPr>
            <w:tcW w:w="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2012</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2011</w:t>
            </w: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11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$194,589</w:t>
            </w:r>
          </w:p>
        </w:tc>
        <w:tc>
          <w:tcPr>
            <w:tcW w:w="34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$200,252</w:t>
            </w:r>
          </w:p>
        </w:tc>
        <w:tc>
          <w:tcPr>
            <w:tcW w:w="80" w:type="dxa"/>
            <w:vAlign w:val="bottom"/>
            <w:shd w:val="clear" w:color="auto" w:fill="C0C0C0"/>
          </w:tcPr>
          <w:p>
            <w:pPr>
              <w:spacing w:after="0"/>
              <w:rPr>
                <w:sz w:val="16"/>
                <w:szCs w:val="16"/>
                <w:color w:val="auto"/>
              </w:rPr>
            </w:pPr>
          </w:p>
        </w:tc>
        <w:tc>
          <w:tcPr>
            <w:tcW w:w="6120" w:type="dxa"/>
            <w:vAlign w:val="bottom"/>
            <w:shd w:val="clear" w:color="auto" w:fill="C0C0C0"/>
          </w:tcPr>
          <w:p>
            <w:pPr>
              <w:ind w:left="100"/>
              <w:spacing w:after="0"/>
              <w:rPr>
                <w:sz w:val="20"/>
                <w:szCs w:val="20"/>
                <w:color w:val="auto"/>
              </w:rPr>
            </w:pPr>
            <w:r>
              <w:rPr>
                <w:rFonts w:ascii="Arial" w:cs="Arial" w:eastAsia="Arial" w:hAnsi="Arial"/>
                <w:sz w:val="16"/>
                <w:szCs w:val="16"/>
                <w:color w:val="auto"/>
              </w:rPr>
              <w:t>Net sales</w:t>
            </w:r>
          </w:p>
        </w:tc>
        <w:tc>
          <w:tcPr>
            <w:tcW w:w="11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$566,606</w:t>
            </w:r>
          </w:p>
        </w:tc>
        <w:tc>
          <w:tcPr>
            <w:tcW w:w="34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$589,887</w:t>
            </w:r>
          </w:p>
        </w:tc>
      </w:tr>
      <w:tr>
        <w:trPr>
          <w:trHeight w:val="189"/>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114,938</w:t>
            </w: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122,190</w:t>
            </w:r>
          </w:p>
        </w:tc>
        <w:tc>
          <w:tcPr>
            <w:tcW w:w="80" w:type="dxa"/>
            <w:vAlign w:val="bottom"/>
          </w:tcPr>
          <w:p>
            <w:pPr>
              <w:spacing w:after="0"/>
              <w:rPr>
                <w:sz w:val="16"/>
                <w:szCs w:val="16"/>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Cost of goods sold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340,169</w:t>
            </w: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352,697</w:t>
            </w: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11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79,651</w:t>
            </w:r>
          </w:p>
        </w:tc>
        <w:tc>
          <w:tcPr>
            <w:tcW w:w="34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78,062</w:t>
            </w:r>
          </w:p>
        </w:tc>
        <w:tc>
          <w:tcPr>
            <w:tcW w:w="80" w:type="dxa"/>
            <w:vAlign w:val="bottom"/>
            <w:shd w:val="clear" w:color="auto" w:fill="C0C0C0"/>
          </w:tcPr>
          <w:p>
            <w:pPr>
              <w:spacing w:after="0"/>
              <w:rPr>
                <w:sz w:val="16"/>
                <w:szCs w:val="16"/>
                <w:color w:val="auto"/>
              </w:rPr>
            </w:pPr>
          </w:p>
        </w:tc>
        <w:tc>
          <w:tcPr>
            <w:tcW w:w="6120" w:type="dxa"/>
            <w:vAlign w:val="bottom"/>
            <w:shd w:val="clear" w:color="auto" w:fill="C0C0C0"/>
          </w:tcPr>
          <w:p>
            <w:pPr>
              <w:ind w:left="100"/>
              <w:spacing w:after="0"/>
              <w:rPr>
                <w:sz w:val="20"/>
                <w:szCs w:val="20"/>
                <w:color w:val="auto"/>
              </w:rPr>
            </w:pPr>
            <w:r>
              <w:rPr>
                <w:rFonts w:ascii="Arial" w:cs="Arial" w:eastAsia="Arial" w:hAnsi="Arial"/>
                <w:sz w:val="16"/>
                <w:szCs w:val="16"/>
                <w:color w:val="auto"/>
              </w:rPr>
              <w:t>Gross profit</w:t>
            </w:r>
          </w:p>
        </w:tc>
        <w:tc>
          <w:tcPr>
            <w:tcW w:w="11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226,437</w:t>
            </w:r>
          </w:p>
        </w:tc>
        <w:tc>
          <w:tcPr>
            <w:tcW w:w="34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237,190</w:t>
            </w:r>
          </w:p>
        </w:tc>
      </w:tr>
      <w:tr>
        <w:trPr>
          <w:trHeight w:val="189"/>
        </w:trPr>
        <w:tc>
          <w:tcPr>
            <w:tcW w:w="1140" w:type="dxa"/>
            <w:vAlign w:val="bottom"/>
          </w:tcPr>
          <w:p>
            <w:pPr>
              <w:jc w:val="right"/>
              <w:spacing w:after="0"/>
              <w:rPr>
                <w:sz w:val="20"/>
                <w:szCs w:val="20"/>
                <w:color w:val="auto"/>
              </w:rPr>
            </w:pPr>
            <w:r>
              <w:rPr>
                <w:rFonts w:ascii="Arial" w:cs="Arial" w:eastAsia="Arial" w:hAnsi="Arial"/>
                <w:sz w:val="16"/>
                <w:szCs w:val="16"/>
                <w:color w:val="auto"/>
              </w:rPr>
              <w:t>41,166</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35,947</w:t>
            </w:r>
          </w:p>
        </w:tc>
        <w:tc>
          <w:tcPr>
            <w:tcW w:w="80" w:type="dxa"/>
            <w:vAlign w:val="bottom"/>
          </w:tcPr>
          <w:p>
            <w:pPr>
              <w:spacing w:after="0"/>
              <w:rPr>
                <w:sz w:val="16"/>
                <w:szCs w:val="16"/>
                <w:color w:val="auto"/>
              </w:rPr>
            </w:pPr>
          </w:p>
        </w:tc>
        <w:tc>
          <w:tcPr>
            <w:tcW w:w="612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125,335</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127,317</w:t>
            </w: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12,634</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12,666</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Technical, product engineering, and research expenses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39,019</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41,105</w:t>
            </w:r>
          </w:p>
        </w:tc>
      </w:tr>
      <w:tr>
        <w:trPr>
          <w:trHeight w:val="189"/>
        </w:trPr>
        <w:tc>
          <w:tcPr>
            <w:tcW w:w="1140" w:type="dxa"/>
            <w:vAlign w:val="bottom"/>
          </w:tcPr>
          <w:p>
            <w:pPr>
              <w:jc w:val="right"/>
              <w:spacing w:after="0"/>
              <w:rPr>
                <w:sz w:val="20"/>
                <w:szCs w:val="20"/>
                <w:color w:val="auto"/>
              </w:rPr>
            </w:pPr>
            <w:r>
              <w:rPr>
                <w:rFonts w:ascii="Arial" w:cs="Arial" w:eastAsia="Arial" w:hAnsi="Arial"/>
                <w:sz w:val="16"/>
                <w:szCs w:val="16"/>
                <w:color w:val="auto"/>
              </w:rPr>
              <w:t>2,739</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2,691</w:t>
            </w:r>
          </w:p>
        </w:tc>
        <w:tc>
          <w:tcPr>
            <w:tcW w:w="80" w:type="dxa"/>
            <w:vAlign w:val="bottom"/>
          </w:tcPr>
          <w:p>
            <w:pPr>
              <w:spacing w:after="0"/>
              <w:rPr>
                <w:sz w:val="16"/>
                <w:szCs w:val="16"/>
                <w:color w:val="auto"/>
              </w:rPr>
            </w:pPr>
          </w:p>
        </w:tc>
        <w:tc>
          <w:tcPr>
            <w:tcW w:w="6120" w:type="dxa"/>
            <w:vAlign w:val="bottom"/>
          </w:tcPr>
          <w:p>
            <w:pPr>
              <w:ind w:left="220"/>
              <w:spacing w:after="0"/>
              <w:rPr>
                <w:sz w:val="20"/>
                <w:szCs w:val="20"/>
                <w:color w:val="auto"/>
              </w:rPr>
            </w:pPr>
            <w:r>
              <w:rPr>
                <w:rFonts w:ascii="Arial" w:cs="Arial" w:eastAsia="Arial" w:hAnsi="Arial"/>
                <w:sz w:val="16"/>
                <w:szCs w:val="16"/>
                <w:color w:val="auto"/>
              </w:rPr>
              <w:t>Restructuring and other, net</w:t>
            </w:r>
          </w:p>
        </w:tc>
        <w:tc>
          <w:tcPr>
            <w:tcW w:w="1120" w:type="dxa"/>
            <w:vAlign w:val="bottom"/>
          </w:tcPr>
          <w:p>
            <w:pPr>
              <w:jc w:val="right"/>
              <w:spacing w:after="0"/>
              <w:rPr>
                <w:sz w:val="20"/>
                <w:szCs w:val="20"/>
                <w:color w:val="auto"/>
              </w:rPr>
            </w:pPr>
            <w:r>
              <w:rPr>
                <w:rFonts w:ascii="Arial" w:cs="Arial" w:eastAsia="Arial" w:hAnsi="Arial"/>
                <w:sz w:val="16"/>
                <w:szCs w:val="16"/>
                <w:color w:val="auto"/>
              </w:rPr>
              <w:t>6,149</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4,456</w:t>
            </w:r>
          </w:p>
        </w:tc>
      </w:tr>
      <w:tr>
        <w:trPr>
          <w:trHeight w:val="189"/>
        </w:trPr>
        <w:tc>
          <w:tcPr>
            <w:tcW w:w="1480" w:type="dxa"/>
            <w:vAlign w:val="bottom"/>
            <w:gridSpan w:val="2"/>
            <w:shd w:val="clear" w:color="auto" w:fill="BFBFB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BFBFBF"/>
          </w:tcPr>
          <w:p>
            <w:pPr>
              <w:spacing w:after="0"/>
              <w:rPr>
                <w:sz w:val="16"/>
                <w:szCs w:val="16"/>
                <w:color w:val="auto"/>
              </w:rPr>
            </w:pPr>
          </w:p>
        </w:tc>
        <w:tc>
          <w:tcPr>
            <w:tcW w:w="84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w:t>
            </w: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Pension settlement expense</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119,735</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11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23,112</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26,758</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100"/>
              <w:spacing w:after="0"/>
              <w:rPr>
                <w:sz w:val="20"/>
                <w:szCs w:val="20"/>
                <w:color w:val="auto"/>
              </w:rPr>
            </w:pPr>
            <w:r>
              <w:rPr>
                <w:rFonts w:ascii="Arial" w:cs="Arial" w:eastAsia="Arial" w:hAnsi="Arial"/>
                <w:sz w:val="16"/>
                <w:szCs w:val="16"/>
                <w:color w:val="auto"/>
              </w:rPr>
              <w:t>Operating income/(loss)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(63,801)</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64,312</w:t>
            </w:r>
          </w:p>
        </w:tc>
      </w:tr>
      <w:tr>
        <w:trPr>
          <w:trHeight w:val="189"/>
        </w:trPr>
        <w:tc>
          <w:tcPr>
            <w:tcW w:w="1140" w:type="dxa"/>
            <w:vAlign w:val="bottom"/>
          </w:tcPr>
          <w:p>
            <w:pPr>
              <w:jc w:val="right"/>
              <w:spacing w:after="0"/>
              <w:rPr>
                <w:sz w:val="20"/>
                <w:szCs w:val="20"/>
                <w:color w:val="auto"/>
              </w:rPr>
            </w:pPr>
            <w:r>
              <w:rPr>
                <w:rFonts w:ascii="Arial" w:cs="Arial" w:eastAsia="Arial" w:hAnsi="Arial"/>
                <w:sz w:val="16"/>
                <w:szCs w:val="16"/>
                <w:color w:val="auto"/>
              </w:rPr>
              <w:t>3,997</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4,377</w:t>
            </w:r>
          </w:p>
        </w:tc>
        <w:tc>
          <w:tcPr>
            <w:tcW w:w="80" w:type="dxa"/>
            <w:vAlign w:val="bottom"/>
          </w:tcPr>
          <w:p>
            <w:pPr>
              <w:spacing w:after="0"/>
              <w:rPr>
                <w:sz w:val="16"/>
                <w:szCs w:val="16"/>
                <w:color w:val="auto"/>
              </w:rPr>
            </w:pPr>
          </w:p>
        </w:tc>
        <w:tc>
          <w:tcPr>
            <w:tcW w:w="612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120" w:type="dxa"/>
            <w:vAlign w:val="bottom"/>
          </w:tcPr>
          <w:p>
            <w:pPr>
              <w:jc w:val="right"/>
              <w:spacing w:after="0"/>
              <w:rPr>
                <w:sz w:val="20"/>
                <w:szCs w:val="20"/>
                <w:color w:val="auto"/>
              </w:rPr>
            </w:pPr>
            <w:r>
              <w:rPr>
                <w:rFonts w:ascii="Arial" w:cs="Arial" w:eastAsia="Arial" w:hAnsi="Arial"/>
                <w:sz w:val="16"/>
                <w:szCs w:val="16"/>
                <w:color w:val="auto"/>
              </w:rPr>
              <w:t>12,610</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13,939</w:t>
            </w: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3,069</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84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(9)</w:t>
            </w: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Other expense/(income), net</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5,062</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4,811</w:t>
            </w:r>
          </w:p>
        </w:tc>
      </w:tr>
      <w:tr>
        <w:trPr>
          <w:trHeight w:val="372"/>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16,046</w:t>
            </w: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22,390</w:t>
            </w:r>
          </w:p>
        </w:tc>
        <w:tc>
          <w:tcPr>
            <w:tcW w:w="8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Income/(loss) before income taxes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(81,473)</w:t>
            </w: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45,562</w:t>
            </w:r>
          </w:p>
        </w:tc>
      </w:tr>
      <w:tr>
        <w:trPr>
          <w:trHeight w:val="189"/>
        </w:trPr>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6,965</w:t>
            </w:r>
          </w:p>
        </w:tc>
        <w:tc>
          <w:tcPr>
            <w:tcW w:w="340" w:type="dxa"/>
            <w:vAlign w:val="bottom"/>
            <w:shd w:val="clear" w:color="auto" w:fill="BFBFBF"/>
          </w:tcPr>
          <w:p>
            <w:pPr>
              <w:spacing w:after="0"/>
              <w:rPr>
                <w:sz w:val="16"/>
                <w:szCs w:val="16"/>
                <w:color w:val="auto"/>
              </w:rPr>
            </w:pPr>
          </w:p>
        </w:tc>
        <w:tc>
          <w:tcPr>
            <w:tcW w:w="380" w:type="dxa"/>
            <w:vAlign w:val="bottom"/>
            <w:tcBorders>
              <w:bottom w:val="single" w:sz="8" w:color="auto"/>
            </w:tcBorders>
            <w:shd w:val="clear" w:color="auto" w:fill="BFBFBF"/>
          </w:tcPr>
          <w:p>
            <w:pPr>
              <w:spacing w:after="0"/>
              <w:rPr>
                <w:sz w:val="16"/>
                <w:szCs w:val="16"/>
                <w:color w:val="auto"/>
              </w:rPr>
            </w:pPr>
          </w:p>
        </w:tc>
        <w:tc>
          <w:tcPr>
            <w:tcW w:w="7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7,897</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Income tax expense/(benefit)</w:t>
            </w:r>
          </w:p>
        </w:tc>
        <w:tc>
          <w:tcPr>
            <w:tcW w:w="11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(32,650)</w:t>
            </w:r>
          </w:p>
        </w:tc>
        <w:tc>
          <w:tcPr>
            <w:tcW w:w="340" w:type="dxa"/>
            <w:vAlign w:val="bottom"/>
            <w:shd w:val="clear" w:color="auto" w:fill="BFBFBF"/>
          </w:tcPr>
          <w:p>
            <w:pPr>
              <w:spacing w:after="0"/>
              <w:rPr>
                <w:sz w:val="16"/>
                <w:szCs w:val="16"/>
                <w:color w:val="auto"/>
              </w:rPr>
            </w:pPr>
          </w:p>
        </w:tc>
        <w:tc>
          <w:tcPr>
            <w:tcW w:w="380" w:type="dxa"/>
            <w:vAlign w:val="bottom"/>
            <w:tcBorders>
              <w:bottom w:val="single" w:sz="8" w:color="auto"/>
            </w:tcBorders>
            <w:shd w:val="clear" w:color="auto" w:fill="BFBFBF"/>
          </w:tcPr>
          <w:p>
            <w:pPr>
              <w:spacing w:after="0"/>
              <w:rPr>
                <w:sz w:val="16"/>
                <w:szCs w:val="16"/>
                <w:color w:val="auto"/>
              </w:rPr>
            </w:pPr>
          </w:p>
        </w:tc>
        <w:tc>
          <w:tcPr>
            <w:tcW w:w="7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14,303</w:t>
            </w:r>
          </w:p>
        </w:tc>
      </w:tr>
      <w:tr>
        <w:trPr>
          <w:trHeight w:val="372"/>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9,081</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14,493</w:t>
            </w:r>
          </w:p>
        </w:tc>
        <w:tc>
          <w:tcPr>
            <w:tcW w:w="8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Income/(loss) from continuing operations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(48,823)</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31,259</w:t>
            </w: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1480" w:type="dxa"/>
            <w:vAlign w:val="bottom"/>
            <w:gridSpan w:val="2"/>
            <w:shd w:val="clear" w:color="auto" w:fill="BFBFB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3,316</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Income from operations of discontinued business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4,776</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16,307</w:t>
            </w:r>
          </w:p>
        </w:tc>
      </w:tr>
      <w:tr>
        <w:trPr>
          <w:trHeight w:val="189"/>
        </w:trPr>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(301)</w:t>
            </w:r>
          </w:p>
        </w:tc>
        <w:tc>
          <w:tcPr>
            <w:tcW w:w="3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120" w:type="dxa"/>
            <w:vAlign w:val="bottom"/>
          </w:tcPr>
          <w:p>
            <w:pPr>
              <w:ind w:left="220"/>
              <w:spacing w:after="0"/>
              <w:rPr>
                <w:sz w:val="20"/>
                <w:szCs w:val="20"/>
                <w:color w:val="auto"/>
              </w:rPr>
            </w:pPr>
            <w:r>
              <w:rPr>
                <w:rFonts w:ascii="Arial" w:cs="Arial" w:eastAsia="Arial" w:hAnsi="Arial"/>
                <w:sz w:val="16"/>
                <w:szCs w:val="16"/>
                <w:color w:val="auto"/>
              </w:rPr>
              <w:t>(Loss)/gain on sale of discontinued business</w:t>
            </w:r>
          </w:p>
        </w:tc>
        <w:tc>
          <w:tcPr>
            <w:tcW w:w="1120" w:type="dxa"/>
            <w:vAlign w:val="bottom"/>
          </w:tcPr>
          <w:p>
            <w:pPr>
              <w:jc w:val="right"/>
              <w:spacing w:after="0"/>
              <w:rPr>
                <w:sz w:val="20"/>
                <w:szCs w:val="20"/>
                <w:color w:val="auto"/>
              </w:rPr>
            </w:pPr>
            <w:r>
              <w:rPr>
                <w:rFonts w:ascii="Arial" w:cs="Arial" w:eastAsia="Arial" w:hAnsi="Arial"/>
                <w:sz w:val="16"/>
                <w:szCs w:val="16"/>
                <w:color w:val="auto"/>
              </w:rPr>
              <w:t>92,376</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1480" w:type="dxa"/>
            <w:vAlign w:val="bottom"/>
            <w:gridSpan w:val="2"/>
            <w:shd w:val="clear" w:color="auto" w:fill="BFBFBF"/>
          </w:tcPr>
          <w:p>
            <w:pPr>
              <w:jc w:val="right"/>
              <w:ind w:right="340"/>
              <w:spacing w:after="0"/>
              <w:rPr>
                <w:sz w:val="20"/>
                <w:szCs w:val="20"/>
                <w:color w:val="auto"/>
              </w:rPr>
            </w:pPr>
            <w:r>
              <w:rPr>
                <w:rFonts w:ascii="Arial" w:cs="Arial" w:eastAsia="Arial" w:hAnsi="Arial"/>
                <w:sz w:val="16"/>
                <w:szCs w:val="16"/>
                <w:color w:val="auto"/>
              </w:rPr>
              <w:t>(683)</w:t>
            </w: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1,135</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Income tax (benefit)/expense on discontinued operations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25,570</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5,397</w:t>
            </w:r>
          </w:p>
        </w:tc>
      </w:tr>
      <w:tr>
        <w:trPr>
          <w:trHeight w:val="183"/>
        </w:trPr>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382</w:t>
            </w:r>
          </w:p>
        </w:tc>
        <w:tc>
          <w:tcPr>
            <w:tcW w:w="340" w:type="dxa"/>
            <w:vAlign w:val="bottom"/>
            <w:tcBorders>
              <w:bottom w:val="single" w:sz="8" w:color="BFBFB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2,181</w:t>
            </w:r>
          </w:p>
        </w:tc>
        <w:tc>
          <w:tcPr>
            <w:tcW w:w="80" w:type="dxa"/>
            <w:vAlign w:val="bottom"/>
            <w:tcBorders>
              <w:bottom w:val="single" w:sz="8" w:color="BFBFBF"/>
            </w:tcBorders>
          </w:tcPr>
          <w:p>
            <w:pPr>
              <w:spacing w:after="0"/>
              <w:rPr>
                <w:sz w:val="15"/>
                <w:szCs w:val="15"/>
                <w:color w:val="auto"/>
              </w:rPr>
            </w:pPr>
          </w:p>
        </w:tc>
        <w:tc>
          <w:tcPr>
            <w:tcW w:w="6120" w:type="dxa"/>
            <w:vAlign w:val="bottom"/>
            <w:tcBorders>
              <w:bottom w:val="single" w:sz="8" w:color="BFBFBF"/>
            </w:tcBorders>
          </w:tcPr>
          <w:p>
            <w:pPr>
              <w:ind w:left="100"/>
              <w:spacing w:after="0" w:line="183" w:lineRule="exact"/>
              <w:rPr>
                <w:sz w:val="20"/>
                <w:szCs w:val="20"/>
                <w:color w:val="auto"/>
              </w:rPr>
            </w:pPr>
            <w:r>
              <w:rPr>
                <w:rFonts w:ascii="Arial" w:cs="Arial" w:eastAsia="Arial" w:hAnsi="Arial"/>
                <w:sz w:val="16"/>
                <w:szCs w:val="16"/>
                <w:color w:val="auto"/>
              </w:rPr>
              <w:t>Income from discontinued operations</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71,582</w:t>
            </w:r>
          </w:p>
        </w:tc>
        <w:tc>
          <w:tcPr>
            <w:tcW w:w="340" w:type="dxa"/>
            <w:vAlign w:val="bottom"/>
            <w:tcBorders>
              <w:bottom w:val="single" w:sz="8" w:color="BFBFB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10,910</w:t>
            </w:r>
          </w:p>
        </w:tc>
      </w:tr>
      <w:tr>
        <w:trPr>
          <w:trHeight w:val="203"/>
        </w:trPr>
        <w:tc>
          <w:tcPr>
            <w:tcW w:w="114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$9,463</w:t>
            </w:r>
          </w:p>
        </w:tc>
        <w:tc>
          <w:tcPr>
            <w:tcW w:w="340" w:type="dxa"/>
            <w:vAlign w:val="bottom"/>
            <w:tcBorders>
              <w:bottom w:val="single" w:sz="8" w:color="BFBFBF"/>
            </w:tcBorders>
            <w:shd w:val="clear" w:color="auto" w:fill="BFBFBF"/>
          </w:tcPr>
          <w:p>
            <w:pPr>
              <w:spacing w:after="0"/>
              <w:rPr>
                <w:sz w:val="17"/>
                <w:szCs w:val="17"/>
                <w:color w:val="auto"/>
              </w:rPr>
            </w:pPr>
          </w:p>
        </w:tc>
        <w:tc>
          <w:tcPr>
            <w:tcW w:w="380" w:type="dxa"/>
            <w:vAlign w:val="bottom"/>
            <w:tcBorders>
              <w:bottom w:val="single" w:sz="8" w:color="auto"/>
            </w:tcBorders>
            <w:shd w:val="clear" w:color="auto" w:fill="BFBFBF"/>
          </w:tcPr>
          <w:p>
            <w:pPr>
              <w:spacing w:after="0"/>
              <w:rPr>
                <w:sz w:val="17"/>
                <w:szCs w:val="17"/>
                <w:color w:val="auto"/>
              </w:rPr>
            </w:pPr>
          </w:p>
        </w:tc>
        <w:tc>
          <w:tcPr>
            <w:tcW w:w="76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$16,674</w:t>
            </w:r>
          </w:p>
        </w:tc>
        <w:tc>
          <w:tcPr>
            <w:tcW w:w="80" w:type="dxa"/>
            <w:vAlign w:val="bottom"/>
            <w:tcBorders>
              <w:bottom w:val="single" w:sz="8" w:color="BFBFBF"/>
            </w:tcBorders>
            <w:shd w:val="clear" w:color="auto" w:fill="BFBFBF"/>
          </w:tcPr>
          <w:p>
            <w:pPr>
              <w:spacing w:after="0"/>
              <w:rPr>
                <w:sz w:val="17"/>
                <w:szCs w:val="17"/>
                <w:color w:val="auto"/>
              </w:rPr>
            </w:pPr>
          </w:p>
        </w:tc>
        <w:tc>
          <w:tcPr>
            <w:tcW w:w="6120" w:type="dxa"/>
            <w:vAlign w:val="bottom"/>
            <w:tcBorders>
              <w:bottom w:val="single" w:sz="8" w:color="BFBFBF"/>
            </w:tcBorders>
            <w:shd w:val="clear" w:color="auto" w:fill="BFBFBF"/>
          </w:tcPr>
          <w:p>
            <w:pPr>
              <w:ind w:left="100"/>
              <w:spacing w:after="0" w:line="183" w:lineRule="exact"/>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$22,759</w:t>
            </w:r>
          </w:p>
        </w:tc>
        <w:tc>
          <w:tcPr>
            <w:tcW w:w="340" w:type="dxa"/>
            <w:vAlign w:val="bottom"/>
            <w:tcBorders>
              <w:bottom w:val="single" w:sz="8" w:color="BFBFBF"/>
            </w:tcBorders>
            <w:shd w:val="clear" w:color="auto" w:fill="BFBFBF"/>
          </w:tcPr>
          <w:p>
            <w:pPr>
              <w:spacing w:after="0"/>
              <w:rPr>
                <w:sz w:val="17"/>
                <w:szCs w:val="17"/>
                <w:color w:val="auto"/>
              </w:rPr>
            </w:pPr>
          </w:p>
        </w:tc>
        <w:tc>
          <w:tcPr>
            <w:tcW w:w="380" w:type="dxa"/>
            <w:vAlign w:val="bottom"/>
            <w:tcBorders>
              <w:bottom w:val="single" w:sz="8" w:color="auto"/>
            </w:tcBorders>
            <w:shd w:val="clear" w:color="auto" w:fill="BFBFBF"/>
          </w:tcPr>
          <w:p>
            <w:pPr>
              <w:spacing w:after="0"/>
              <w:rPr>
                <w:sz w:val="17"/>
                <w:szCs w:val="17"/>
                <w:color w:val="auto"/>
              </w:rPr>
            </w:pPr>
          </w:p>
        </w:tc>
        <w:tc>
          <w:tcPr>
            <w:tcW w:w="76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$42,169</w:t>
            </w:r>
          </w:p>
        </w:tc>
      </w:tr>
      <w:tr>
        <w:trPr>
          <w:trHeight w:val="365"/>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Earnings per share - Basic</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9"/>
        </w:trPr>
        <w:tc>
          <w:tcPr>
            <w:tcW w:w="1480" w:type="dxa"/>
            <w:vAlign w:val="bottom"/>
            <w:gridSpan w:val="2"/>
            <w:shd w:val="clear" w:color="auto" w:fill="BFBFBF"/>
          </w:tcPr>
          <w:p>
            <w:pPr>
              <w:jc w:val="right"/>
              <w:ind w:right="340"/>
              <w:spacing w:after="0"/>
              <w:rPr>
                <w:sz w:val="20"/>
                <w:szCs w:val="20"/>
                <w:color w:val="auto"/>
              </w:rPr>
            </w:pPr>
            <w:r>
              <w:rPr>
                <w:rFonts w:ascii="Arial" w:cs="Arial" w:eastAsia="Arial" w:hAnsi="Arial"/>
                <w:sz w:val="16"/>
                <w:szCs w:val="16"/>
                <w:color w:val="auto"/>
              </w:rPr>
              <w:t>$0.29</w:t>
            </w:r>
          </w:p>
        </w:tc>
        <w:tc>
          <w:tcPr>
            <w:tcW w:w="380" w:type="dxa"/>
            <w:vAlign w:val="bottom"/>
            <w:shd w:val="clear" w:color="auto" w:fill="BFBFBF"/>
          </w:tcPr>
          <w:p>
            <w:pPr>
              <w:spacing w:after="0"/>
              <w:rPr>
                <w:sz w:val="16"/>
                <w:szCs w:val="16"/>
                <w:color w:val="auto"/>
              </w:rPr>
            </w:pPr>
          </w:p>
        </w:tc>
        <w:tc>
          <w:tcPr>
            <w:tcW w:w="84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$0.46</w:t>
            </w:r>
          </w:p>
        </w:tc>
        <w:tc>
          <w:tcPr>
            <w:tcW w:w="6120" w:type="dxa"/>
            <w:vAlign w:val="bottom"/>
            <w:shd w:val="clear" w:color="auto" w:fill="BFBFBF"/>
          </w:tcPr>
          <w:p>
            <w:pPr>
              <w:ind w:left="100"/>
              <w:spacing w:after="0"/>
              <w:rPr>
                <w:sz w:val="20"/>
                <w:szCs w:val="20"/>
                <w:color w:val="auto"/>
              </w:rPr>
            </w:pPr>
            <w:r>
              <w:rPr>
                <w:rFonts w:ascii="Arial" w:cs="Arial" w:eastAsia="Arial" w:hAnsi="Arial"/>
                <w:sz w:val="16"/>
                <w:szCs w:val="16"/>
                <w:color w:val="auto"/>
              </w:rPr>
              <w:t>Income/(loss) from continuing operations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($1.56)</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$1.00</w:t>
            </w:r>
          </w:p>
        </w:tc>
      </w:tr>
      <w:tr>
        <w:trPr>
          <w:trHeight w:val="189"/>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80" w:type="dxa"/>
            <w:vAlign w:val="bottom"/>
            <w:tcBorders>
              <w:bottom w:val="single" w:sz="8" w:color="BFBFBF"/>
            </w:tcBorders>
          </w:tcPr>
          <w:p>
            <w:pPr>
              <w:spacing w:after="0"/>
              <w:rPr>
                <w:sz w:val="16"/>
                <w:szCs w:val="16"/>
                <w:color w:val="auto"/>
              </w:rPr>
            </w:pPr>
          </w:p>
        </w:tc>
        <w:tc>
          <w:tcPr>
            <w:tcW w:w="612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Discontinued operations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r>
      <w:tr>
        <w:trPr>
          <w:trHeight w:val="203"/>
        </w:trPr>
        <w:tc>
          <w:tcPr>
            <w:tcW w:w="1480" w:type="dxa"/>
            <w:vAlign w:val="bottom"/>
            <w:gridSpan w:val="2"/>
            <w:shd w:val="clear" w:color="auto" w:fill="BFBFBF"/>
          </w:tcPr>
          <w:p>
            <w:pPr>
              <w:jc w:val="right"/>
              <w:ind w:right="340"/>
              <w:spacing w:after="0" w:line="183" w:lineRule="exact"/>
              <w:rPr>
                <w:sz w:val="20"/>
                <w:szCs w:val="20"/>
                <w:color w:val="auto"/>
              </w:rPr>
            </w:pPr>
            <w:r>
              <w:rPr>
                <w:rFonts w:ascii="Arial" w:cs="Arial" w:eastAsia="Arial" w:hAnsi="Arial"/>
                <w:sz w:val="16"/>
                <w:szCs w:val="16"/>
                <w:color w:val="auto"/>
              </w:rPr>
              <w:t>$0.30</w:t>
            </w:r>
          </w:p>
        </w:tc>
        <w:tc>
          <w:tcPr>
            <w:tcW w:w="380" w:type="dxa"/>
            <w:vAlign w:val="bottom"/>
            <w:shd w:val="clear" w:color="auto" w:fill="BFBFBF"/>
          </w:tcPr>
          <w:p>
            <w:pPr>
              <w:spacing w:after="0"/>
              <w:rPr>
                <w:sz w:val="17"/>
                <w:szCs w:val="17"/>
                <w:color w:val="auto"/>
              </w:rPr>
            </w:pPr>
          </w:p>
        </w:tc>
        <w:tc>
          <w:tcPr>
            <w:tcW w:w="840" w:type="dxa"/>
            <w:vAlign w:val="bottom"/>
            <w:gridSpan w:val="2"/>
            <w:shd w:val="clear" w:color="auto" w:fill="BFBFBF"/>
          </w:tcPr>
          <w:p>
            <w:pPr>
              <w:jc w:val="right"/>
              <w:ind w:right="80"/>
              <w:spacing w:after="0" w:line="183" w:lineRule="exact"/>
              <w:rPr>
                <w:sz w:val="20"/>
                <w:szCs w:val="20"/>
                <w:color w:val="auto"/>
              </w:rPr>
            </w:pPr>
            <w:r>
              <w:rPr>
                <w:rFonts w:ascii="Arial" w:cs="Arial" w:eastAsia="Arial" w:hAnsi="Arial"/>
                <w:sz w:val="16"/>
                <w:szCs w:val="16"/>
                <w:color w:val="auto"/>
              </w:rPr>
              <w:t>$0.53</w:t>
            </w:r>
          </w:p>
        </w:tc>
        <w:tc>
          <w:tcPr>
            <w:tcW w:w="6120" w:type="dxa"/>
            <w:vAlign w:val="bottom"/>
            <w:shd w:val="clear" w:color="auto" w:fill="BFBFBF"/>
          </w:tcPr>
          <w:p>
            <w:pPr>
              <w:ind w:left="100"/>
              <w:spacing w:after="0" w:line="183" w:lineRule="exact"/>
              <w:rPr>
                <w:sz w:val="20"/>
                <w:szCs w:val="20"/>
                <w:color w:val="auto"/>
              </w:rPr>
            </w:pPr>
            <w:r>
              <w:rPr>
                <w:rFonts w:ascii="Arial" w:cs="Arial" w:eastAsia="Arial" w:hAnsi="Arial"/>
                <w:sz w:val="16"/>
                <w:szCs w:val="16"/>
                <w:color w:val="auto"/>
              </w:rPr>
              <w:t>Net income</w:t>
            </w:r>
          </w:p>
        </w:tc>
        <w:tc>
          <w:tcPr>
            <w:tcW w:w="1460" w:type="dxa"/>
            <w:vAlign w:val="bottom"/>
            <w:gridSpan w:val="2"/>
            <w:shd w:val="clear" w:color="auto" w:fill="BFBFBF"/>
          </w:tcPr>
          <w:p>
            <w:pPr>
              <w:jc w:val="right"/>
              <w:ind w:right="340"/>
              <w:spacing w:after="0" w:line="183" w:lineRule="exact"/>
              <w:rPr>
                <w:sz w:val="20"/>
                <w:szCs w:val="20"/>
                <w:color w:val="auto"/>
              </w:rPr>
            </w:pPr>
            <w:r>
              <w:rPr>
                <w:rFonts w:ascii="Arial" w:cs="Arial" w:eastAsia="Arial" w:hAnsi="Arial"/>
                <w:sz w:val="16"/>
                <w:szCs w:val="16"/>
                <w:color w:val="auto"/>
              </w:rPr>
              <w:t>$0.73</w:t>
            </w:r>
          </w:p>
        </w:tc>
        <w:tc>
          <w:tcPr>
            <w:tcW w:w="38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$1.35</w:t>
            </w:r>
          </w:p>
        </w:tc>
      </w:tr>
      <w:tr>
        <w:trPr>
          <w:trHeight w:val="365"/>
        </w:trPr>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BFBFB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BFBFBF"/>
            </w:tcBorders>
          </w:tcPr>
          <w:p>
            <w:pPr>
              <w:spacing w:after="0"/>
              <w:rPr>
                <w:sz w:val="24"/>
                <w:szCs w:val="24"/>
                <w:color w:val="auto"/>
              </w:rPr>
            </w:pPr>
          </w:p>
        </w:tc>
        <w:tc>
          <w:tcPr>
            <w:tcW w:w="6120" w:type="dxa"/>
            <w:vAlign w:val="bottom"/>
            <w:tcBorders>
              <w:top w:val="single" w:sz="8" w:color="BFBFBF"/>
            </w:tcBorders>
          </w:tcPr>
          <w:p>
            <w:pPr>
              <w:ind w:left="100"/>
              <w:spacing w:after="0"/>
              <w:rPr>
                <w:sz w:val="20"/>
                <w:szCs w:val="20"/>
                <w:color w:val="auto"/>
              </w:rPr>
            </w:pPr>
            <w:r>
              <w:rPr>
                <w:rFonts w:ascii="Arial" w:cs="Arial" w:eastAsia="Arial" w:hAnsi="Arial"/>
                <w:sz w:val="16"/>
                <w:szCs w:val="16"/>
                <w:color w:val="auto"/>
              </w:rPr>
              <w:t>Earnings per share - Diluted</w:t>
            </w: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BFBFB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189"/>
        </w:trPr>
        <w:tc>
          <w:tcPr>
            <w:tcW w:w="1480" w:type="dxa"/>
            <w:vAlign w:val="bottom"/>
            <w:gridSpan w:val="2"/>
            <w:shd w:val="clear" w:color="auto" w:fill="BFBFBF"/>
          </w:tcPr>
          <w:p>
            <w:pPr>
              <w:jc w:val="right"/>
              <w:ind w:right="340"/>
              <w:spacing w:after="0"/>
              <w:rPr>
                <w:sz w:val="20"/>
                <w:szCs w:val="20"/>
                <w:color w:val="auto"/>
              </w:rPr>
            </w:pPr>
            <w:r>
              <w:rPr>
                <w:rFonts w:ascii="Arial" w:cs="Arial" w:eastAsia="Arial" w:hAnsi="Arial"/>
                <w:sz w:val="16"/>
                <w:szCs w:val="16"/>
                <w:color w:val="auto"/>
              </w:rPr>
              <w:t>$0.29</w:t>
            </w:r>
          </w:p>
        </w:tc>
        <w:tc>
          <w:tcPr>
            <w:tcW w:w="380" w:type="dxa"/>
            <w:vAlign w:val="bottom"/>
            <w:shd w:val="clear" w:color="auto" w:fill="BFBFBF"/>
          </w:tcPr>
          <w:p>
            <w:pPr>
              <w:spacing w:after="0"/>
              <w:rPr>
                <w:sz w:val="16"/>
                <w:szCs w:val="16"/>
                <w:color w:val="auto"/>
              </w:rPr>
            </w:pPr>
          </w:p>
        </w:tc>
        <w:tc>
          <w:tcPr>
            <w:tcW w:w="84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$0.46</w:t>
            </w:r>
          </w:p>
        </w:tc>
        <w:tc>
          <w:tcPr>
            <w:tcW w:w="6120" w:type="dxa"/>
            <w:vAlign w:val="bottom"/>
            <w:shd w:val="clear" w:color="auto" w:fill="BFBFBF"/>
          </w:tcPr>
          <w:p>
            <w:pPr>
              <w:ind w:left="100"/>
              <w:spacing w:after="0"/>
              <w:rPr>
                <w:sz w:val="20"/>
                <w:szCs w:val="20"/>
                <w:color w:val="auto"/>
              </w:rPr>
            </w:pPr>
            <w:r>
              <w:rPr>
                <w:rFonts w:ascii="Arial" w:cs="Arial" w:eastAsia="Arial" w:hAnsi="Arial"/>
                <w:sz w:val="16"/>
                <w:szCs w:val="16"/>
                <w:color w:val="auto"/>
              </w:rPr>
              <w:t>Income/(loss) from continuing operations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($1.55)</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$0.99</w:t>
            </w:r>
          </w:p>
        </w:tc>
      </w:tr>
      <w:tr>
        <w:trPr>
          <w:trHeight w:val="189"/>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80" w:type="dxa"/>
            <w:vAlign w:val="bottom"/>
            <w:tcBorders>
              <w:bottom w:val="single" w:sz="8" w:color="BFBFBF"/>
            </w:tcBorders>
          </w:tcPr>
          <w:p>
            <w:pPr>
              <w:spacing w:after="0"/>
              <w:rPr>
                <w:sz w:val="16"/>
                <w:szCs w:val="16"/>
                <w:color w:val="auto"/>
              </w:rPr>
            </w:pPr>
          </w:p>
        </w:tc>
        <w:tc>
          <w:tcPr>
            <w:tcW w:w="612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Discontinued operations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r>
      <w:tr>
        <w:trPr>
          <w:trHeight w:val="203"/>
        </w:trPr>
        <w:tc>
          <w:tcPr>
            <w:tcW w:w="1480" w:type="dxa"/>
            <w:vAlign w:val="bottom"/>
            <w:gridSpan w:val="2"/>
            <w:shd w:val="clear" w:color="auto" w:fill="BFBFBF"/>
          </w:tcPr>
          <w:p>
            <w:pPr>
              <w:jc w:val="right"/>
              <w:ind w:right="340"/>
              <w:spacing w:after="0" w:line="183" w:lineRule="exact"/>
              <w:rPr>
                <w:sz w:val="20"/>
                <w:szCs w:val="20"/>
                <w:color w:val="auto"/>
              </w:rPr>
            </w:pPr>
            <w:r>
              <w:rPr>
                <w:rFonts w:ascii="Arial" w:cs="Arial" w:eastAsia="Arial" w:hAnsi="Arial"/>
                <w:sz w:val="16"/>
                <w:szCs w:val="16"/>
                <w:color w:val="auto"/>
              </w:rPr>
              <w:t>$0.30</w:t>
            </w:r>
          </w:p>
        </w:tc>
        <w:tc>
          <w:tcPr>
            <w:tcW w:w="380" w:type="dxa"/>
            <w:vAlign w:val="bottom"/>
            <w:shd w:val="clear" w:color="auto" w:fill="BFBFBF"/>
          </w:tcPr>
          <w:p>
            <w:pPr>
              <w:spacing w:after="0"/>
              <w:rPr>
                <w:sz w:val="17"/>
                <w:szCs w:val="17"/>
                <w:color w:val="auto"/>
              </w:rPr>
            </w:pPr>
          </w:p>
        </w:tc>
        <w:tc>
          <w:tcPr>
            <w:tcW w:w="840" w:type="dxa"/>
            <w:vAlign w:val="bottom"/>
            <w:gridSpan w:val="2"/>
            <w:shd w:val="clear" w:color="auto" w:fill="BFBFBF"/>
          </w:tcPr>
          <w:p>
            <w:pPr>
              <w:jc w:val="right"/>
              <w:ind w:right="80"/>
              <w:spacing w:after="0" w:line="183" w:lineRule="exact"/>
              <w:rPr>
                <w:sz w:val="20"/>
                <w:szCs w:val="20"/>
                <w:color w:val="auto"/>
              </w:rPr>
            </w:pPr>
            <w:r>
              <w:rPr>
                <w:rFonts w:ascii="Arial" w:cs="Arial" w:eastAsia="Arial" w:hAnsi="Arial"/>
                <w:sz w:val="16"/>
                <w:szCs w:val="16"/>
                <w:color w:val="auto"/>
              </w:rPr>
              <w:t>$0.53</w:t>
            </w:r>
          </w:p>
        </w:tc>
        <w:tc>
          <w:tcPr>
            <w:tcW w:w="6120" w:type="dxa"/>
            <w:vAlign w:val="bottom"/>
            <w:shd w:val="clear" w:color="auto" w:fill="BFBFBF"/>
          </w:tcPr>
          <w:p>
            <w:pPr>
              <w:ind w:left="100"/>
              <w:spacing w:after="0" w:line="183" w:lineRule="exact"/>
              <w:rPr>
                <w:sz w:val="20"/>
                <w:szCs w:val="20"/>
                <w:color w:val="auto"/>
              </w:rPr>
            </w:pPr>
            <w:r>
              <w:rPr>
                <w:rFonts w:ascii="Arial" w:cs="Arial" w:eastAsia="Arial" w:hAnsi="Arial"/>
                <w:sz w:val="16"/>
                <w:szCs w:val="16"/>
                <w:color w:val="auto"/>
              </w:rPr>
              <w:t>Net income</w:t>
            </w:r>
          </w:p>
        </w:tc>
        <w:tc>
          <w:tcPr>
            <w:tcW w:w="1460" w:type="dxa"/>
            <w:vAlign w:val="bottom"/>
            <w:gridSpan w:val="2"/>
            <w:shd w:val="clear" w:color="auto" w:fill="BFBFBF"/>
          </w:tcPr>
          <w:p>
            <w:pPr>
              <w:jc w:val="right"/>
              <w:ind w:right="340"/>
              <w:spacing w:after="0" w:line="183" w:lineRule="exact"/>
              <w:rPr>
                <w:sz w:val="20"/>
                <w:szCs w:val="20"/>
                <w:color w:val="auto"/>
              </w:rPr>
            </w:pPr>
            <w:r>
              <w:rPr>
                <w:rFonts w:ascii="Arial" w:cs="Arial" w:eastAsia="Arial" w:hAnsi="Arial"/>
                <w:sz w:val="16"/>
                <w:szCs w:val="16"/>
                <w:color w:val="auto"/>
              </w:rPr>
              <w:t>$0.72</w:t>
            </w:r>
          </w:p>
        </w:tc>
        <w:tc>
          <w:tcPr>
            <w:tcW w:w="38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$1.34</w:t>
            </w:r>
          </w:p>
        </w:tc>
      </w:tr>
      <w:tr>
        <w:trPr>
          <w:trHeight w:val="367"/>
        </w:trPr>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BFBFB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BFBFBF"/>
            </w:tcBorders>
          </w:tcPr>
          <w:p>
            <w:pPr>
              <w:spacing w:after="0"/>
              <w:rPr>
                <w:sz w:val="24"/>
                <w:szCs w:val="24"/>
                <w:color w:val="auto"/>
              </w:rPr>
            </w:pPr>
          </w:p>
        </w:tc>
        <w:tc>
          <w:tcPr>
            <w:tcW w:w="6120" w:type="dxa"/>
            <w:vAlign w:val="bottom"/>
            <w:tcBorders>
              <w:top w:val="single" w:sz="8" w:color="BFBFBF"/>
            </w:tcBorders>
          </w:tcPr>
          <w:p>
            <w:pPr>
              <w:ind w:left="100"/>
              <w:spacing w:after="0"/>
              <w:rPr>
                <w:sz w:val="20"/>
                <w:szCs w:val="20"/>
                <w:color w:val="auto"/>
              </w:rPr>
            </w:pPr>
            <w:r>
              <w:rPr>
                <w:rFonts w:ascii="Arial" w:cs="Arial" w:eastAsia="Arial" w:hAnsi="Arial"/>
                <w:sz w:val="16"/>
                <w:szCs w:val="16"/>
                <w:color w:val="auto"/>
              </w:rPr>
              <w:t>Shares used in computing earnings per share:</w:t>
            </w: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BFBFB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187"/>
        </w:trPr>
        <w:tc>
          <w:tcPr>
            <w:tcW w:w="1140" w:type="dxa"/>
            <w:vAlign w:val="bottom"/>
          </w:tcPr>
          <w:p>
            <w:pPr>
              <w:jc w:val="right"/>
              <w:spacing w:after="0"/>
              <w:rPr>
                <w:sz w:val="20"/>
                <w:szCs w:val="20"/>
                <w:color w:val="auto"/>
              </w:rPr>
            </w:pPr>
            <w:r>
              <w:rPr>
                <w:rFonts w:ascii="Arial" w:cs="Arial" w:eastAsia="Arial" w:hAnsi="Arial"/>
                <w:sz w:val="16"/>
                <w:szCs w:val="16"/>
                <w:color w:val="auto"/>
              </w:rPr>
              <w:t>31,363</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31,278</w:t>
            </w:r>
          </w:p>
        </w:tc>
        <w:tc>
          <w:tcPr>
            <w:tcW w:w="80" w:type="dxa"/>
            <w:vAlign w:val="bottom"/>
          </w:tcPr>
          <w:p>
            <w:pPr>
              <w:spacing w:after="0"/>
              <w:rPr>
                <w:sz w:val="16"/>
                <w:szCs w:val="16"/>
                <w:color w:val="auto"/>
              </w:rPr>
            </w:pPr>
          </w:p>
        </w:tc>
        <w:tc>
          <w:tcPr>
            <w:tcW w:w="6120" w:type="dxa"/>
            <w:vAlign w:val="bottom"/>
          </w:tcPr>
          <w:p>
            <w:pPr>
              <w:ind w:left="180"/>
              <w:spacing w:after="0"/>
              <w:rPr>
                <w:sz w:val="20"/>
                <w:szCs w:val="20"/>
                <w:color w:val="auto"/>
              </w:rPr>
            </w:pPr>
            <w:r>
              <w:rPr>
                <w:rFonts w:ascii="Arial" w:cs="Arial" w:eastAsia="Arial" w:hAnsi="Arial"/>
                <w:sz w:val="16"/>
                <w:szCs w:val="16"/>
                <w:color w:val="auto"/>
              </w:rPr>
              <w:t>Basic</w:t>
            </w:r>
          </w:p>
        </w:tc>
        <w:tc>
          <w:tcPr>
            <w:tcW w:w="1120" w:type="dxa"/>
            <w:vAlign w:val="bottom"/>
          </w:tcPr>
          <w:p>
            <w:pPr>
              <w:jc w:val="right"/>
              <w:spacing w:after="0"/>
              <w:rPr>
                <w:sz w:val="20"/>
                <w:szCs w:val="20"/>
                <w:color w:val="auto"/>
              </w:rPr>
            </w:pPr>
            <w:r>
              <w:rPr>
                <w:rFonts w:ascii="Arial" w:cs="Arial" w:eastAsia="Arial" w:hAnsi="Arial"/>
                <w:sz w:val="16"/>
                <w:szCs w:val="16"/>
                <w:color w:val="auto"/>
              </w:rPr>
              <w:t>31,340</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31,255</w:t>
            </w: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31,550</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31,462</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180"/>
              <w:spacing w:after="0"/>
              <w:rPr>
                <w:sz w:val="20"/>
                <w:szCs w:val="20"/>
                <w:color w:val="auto"/>
              </w:rPr>
            </w:pPr>
            <w:r>
              <w:rPr>
                <w:rFonts w:ascii="Arial" w:cs="Arial" w:eastAsia="Arial" w:hAnsi="Arial"/>
                <w:sz w:val="16"/>
                <w:szCs w:val="16"/>
                <w:color w:val="auto"/>
              </w:rPr>
              <w:t>Diluted</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31,550</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31,476</w:t>
            </w:r>
          </w:p>
        </w:tc>
      </w:tr>
      <w:tr>
        <w:trPr>
          <w:trHeight w:val="386"/>
        </w:trPr>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$0.14</w:t>
            </w:r>
          </w:p>
        </w:tc>
        <w:tc>
          <w:tcPr>
            <w:tcW w:w="3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$0.13</w:t>
            </w:r>
          </w:p>
        </w:tc>
        <w:tc>
          <w:tcPr>
            <w:tcW w:w="6120" w:type="dxa"/>
            <w:vAlign w:val="bottom"/>
          </w:tcPr>
          <w:p>
            <w:pPr>
              <w:ind w:left="100"/>
              <w:spacing w:after="0"/>
              <w:rPr>
                <w:sz w:val="20"/>
                <w:szCs w:val="20"/>
                <w:color w:val="auto"/>
              </w:rPr>
            </w:pPr>
            <w:r>
              <w:rPr>
                <w:rFonts w:ascii="Arial" w:cs="Arial" w:eastAsia="Arial" w:hAnsi="Arial"/>
                <w:sz w:val="16"/>
                <w:szCs w:val="16"/>
                <w:color w:val="auto"/>
              </w:rPr>
              <w:t>Dividends per share</w:t>
            </w: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$0.41</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$0.38</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ind w:left="3040"/>
        <w:spacing w:after="0" w:line="234" w:lineRule="auto"/>
        <w:rPr>
          <w:sz w:val="20"/>
          <w:szCs w:val="20"/>
          <w:color w:val="auto"/>
        </w:rPr>
      </w:pPr>
      <w:r>
        <w:rPr>
          <w:rFonts w:ascii="Arial" w:cs="Arial" w:eastAsia="Arial" w:hAnsi="Arial"/>
          <w:sz w:val="18"/>
          <w:szCs w:val="18"/>
          <w:color w:val="auto"/>
        </w:rPr>
        <w:t>CONSOLIDATED STATEMENTS OF COMPREHENSIVE INCOME</w:t>
      </w:r>
    </w:p>
    <w:p>
      <w:pPr>
        <w:ind w:left="4540"/>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gridSpan w:val="5"/>
          </w:tcPr>
          <w:p>
            <w:pPr>
              <w:jc w:val="center"/>
              <w:ind w:right="80"/>
              <w:spacing w:after="0"/>
              <w:rPr>
                <w:sz w:val="20"/>
                <w:szCs w:val="20"/>
                <w:color w:val="auto"/>
              </w:rPr>
            </w:pPr>
            <w:r>
              <w:rPr>
                <w:rFonts w:ascii="Arial" w:cs="Arial" w:eastAsia="Arial" w:hAnsi="Arial"/>
                <w:sz w:val="16"/>
                <w:szCs w:val="16"/>
                <w:color w:val="auto"/>
              </w:rPr>
              <w:t>Three Months Ended</w:t>
            </w:r>
          </w:p>
        </w:tc>
        <w:tc>
          <w:tcPr>
            <w:tcW w:w="612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89"/>
        </w:trPr>
        <w:tc>
          <w:tcPr>
            <w:tcW w:w="1860" w:type="dxa"/>
            <w:vAlign w:val="bottom"/>
            <w:gridSpan w:val="3"/>
          </w:tcPr>
          <w:p>
            <w:pPr>
              <w:jc w:val="center"/>
              <w:ind w:left="679"/>
              <w:spacing w:after="0"/>
              <w:rPr>
                <w:sz w:val="20"/>
                <w:szCs w:val="20"/>
                <w:color w:val="auto"/>
              </w:rPr>
            </w:pPr>
            <w:r>
              <w:rPr>
                <w:rFonts w:ascii="Arial" w:cs="Arial" w:eastAsia="Arial" w:hAnsi="Arial"/>
                <w:sz w:val="16"/>
                <w:szCs w:val="16"/>
                <w:color w:val="auto"/>
              </w:rPr>
              <w:t>September 30,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840" w:type="dxa"/>
            <w:vAlign w:val="bottom"/>
            <w:gridSpan w:val="3"/>
          </w:tcPr>
          <w:p>
            <w:pPr>
              <w:jc w:val="center"/>
              <w:ind w:left="659"/>
              <w:spacing w:after="0"/>
              <w:rPr>
                <w:sz w:val="20"/>
                <w:szCs w:val="20"/>
                <w:color w:val="auto"/>
              </w:rPr>
            </w:pPr>
            <w:r>
              <w:rPr>
                <w:rFonts w:ascii="Arial" w:cs="Arial" w:eastAsia="Arial" w:hAnsi="Arial"/>
                <w:sz w:val="16"/>
                <w:szCs w:val="16"/>
                <w:color w:val="auto"/>
              </w:rPr>
              <w:t>September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2012</w:t>
            </w: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5"/>
              </w:rPr>
              <w:t>2011</w:t>
            </w:r>
          </w:p>
        </w:tc>
        <w:tc>
          <w:tcPr>
            <w:tcW w:w="80" w:type="dxa"/>
            <w:vAlign w:val="bottom"/>
            <w:tcBorders>
              <w:bottom w:val="single" w:sz="8" w:color="BFBFBF"/>
            </w:tcBorders>
          </w:tcPr>
          <w:p>
            <w:pPr>
              <w:spacing w:after="0"/>
              <w:rPr>
                <w:sz w:val="16"/>
                <w:szCs w:val="16"/>
                <w:color w:val="auto"/>
              </w:rPr>
            </w:pPr>
          </w:p>
        </w:tc>
        <w:tc>
          <w:tcPr>
            <w:tcW w:w="6120" w:type="dxa"/>
            <w:vAlign w:val="bottom"/>
            <w:tcBorders>
              <w:bottom w:val="single" w:sz="8" w:color="BFBFBF"/>
            </w:tcBorders>
          </w:tcPr>
          <w:p>
            <w:pPr>
              <w:spacing w:after="0"/>
              <w:rPr>
                <w:sz w:val="16"/>
                <w:szCs w:val="16"/>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2012</w:t>
            </w: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$9,463</w:t>
            </w:r>
          </w:p>
        </w:tc>
        <w:tc>
          <w:tcPr>
            <w:tcW w:w="340" w:type="dxa"/>
            <w:vAlign w:val="bottom"/>
            <w:shd w:val="clear" w:color="auto" w:fill="BFBFBF"/>
          </w:tcPr>
          <w:p>
            <w:pPr>
              <w:spacing w:after="0"/>
              <w:rPr>
                <w:sz w:val="15"/>
                <w:szCs w:val="15"/>
                <w:color w:val="auto"/>
              </w:rPr>
            </w:pPr>
          </w:p>
        </w:tc>
        <w:tc>
          <w:tcPr>
            <w:tcW w:w="380" w:type="dxa"/>
            <w:vAlign w:val="bottom"/>
            <w:tcBorders>
              <w:bottom w:val="single" w:sz="8" w:color="auto"/>
            </w:tcBorders>
            <w:shd w:val="clear" w:color="auto" w:fill="BFBFBF"/>
          </w:tcPr>
          <w:p>
            <w:pPr>
              <w:spacing w:after="0"/>
              <w:rPr>
                <w:sz w:val="15"/>
                <w:szCs w:val="15"/>
                <w:color w:val="auto"/>
              </w:rPr>
            </w:pPr>
          </w:p>
        </w:tc>
        <w:tc>
          <w:tcPr>
            <w:tcW w:w="76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$16,674</w:t>
            </w:r>
          </w:p>
        </w:tc>
        <w:tc>
          <w:tcPr>
            <w:tcW w:w="80" w:type="dxa"/>
            <w:vAlign w:val="bottom"/>
            <w:shd w:val="clear" w:color="auto" w:fill="BFBFBF"/>
          </w:tcPr>
          <w:p>
            <w:pPr>
              <w:spacing w:after="0"/>
              <w:rPr>
                <w:sz w:val="15"/>
                <w:szCs w:val="15"/>
                <w:color w:val="auto"/>
              </w:rPr>
            </w:pPr>
          </w:p>
        </w:tc>
        <w:tc>
          <w:tcPr>
            <w:tcW w:w="6120" w:type="dxa"/>
            <w:vAlign w:val="bottom"/>
            <w:shd w:val="clear" w:color="auto" w:fill="BFBFBF"/>
          </w:tcPr>
          <w:p>
            <w:pPr>
              <w:ind w:left="100"/>
              <w:spacing w:after="0" w:line="183" w:lineRule="exact"/>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$22,759</w:t>
            </w:r>
          </w:p>
        </w:tc>
        <w:tc>
          <w:tcPr>
            <w:tcW w:w="340" w:type="dxa"/>
            <w:vAlign w:val="bottom"/>
            <w:shd w:val="clear" w:color="auto" w:fill="BFBFBF"/>
          </w:tcPr>
          <w:p>
            <w:pPr>
              <w:spacing w:after="0"/>
              <w:rPr>
                <w:sz w:val="15"/>
                <w:szCs w:val="15"/>
                <w:color w:val="auto"/>
              </w:rPr>
            </w:pPr>
          </w:p>
        </w:tc>
        <w:tc>
          <w:tcPr>
            <w:tcW w:w="380" w:type="dxa"/>
            <w:vAlign w:val="bottom"/>
            <w:tcBorders>
              <w:bottom w:val="single" w:sz="8" w:color="auto"/>
            </w:tcBorders>
            <w:shd w:val="clear" w:color="auto" w:fill="BFBFBF"/>
          </w:tcPr>
          <w:p>
            <w:pPr>
              <w:spacing w:after="0"/>
              <w:rPr>
                <w:sz w:val="15"/>
                <w:szCs w:val="15"/>
                <w:color w:val="auto"/>
              </w:rPr>
            </w:pPr>
          </w:p>
        </w:tc>
        <w:tc>
          <w:tcPr>
            <w:tcW w:w="76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$42,169</w:t>
            </w: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6"/>
                <w:szCs w:val="16"/>
                <w:color w:val="auto"/>
              </w:rPr>
              <w:t>Other comprehensive income/(loss), before tax:</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11,121</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84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(48,693)</w:t>
            </w:r>
          </w:p>
        </w:tc>
        <w:tc>
          <w:tcPr>
            <w:tcW w:w="6120" w:type="dxa"/>
            <w:vAlign w:val="bottom"/>
            <w:shd w:val="clear" w:color="auto" w:fill="BFBFBF"/>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3,899</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(8,950)</w:t>
            </w: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120" w:type="dxa"/>
            <w:vAlign w:val="bottom"/>
          </w:tcPr>
          <w:p>
            <w:pPr>
              <w:ind w:left="260"/>
              <w:spacing w:after="0"/>
              <w:rPr>
                <w:sz w:val="20"/>
                <w:szCs w:val="20"/>
                <w:color w:val="auto"/>
              </w:rPr>
            </w:pPr>
            <w:r>
              <w:rPr>
                <w:rFonts w:ascii="Arial" w:cs="Arial" w:eastAsia="Arial" w:hAnsi="Arial"/>
                <w:sz w:val="16"/>
                <w:szCs w:val="16"/>
                <w:color w:val="auto"/>
              </w:rPr>
              <w:t>Pension settlement</w:t>
            </w:r>
          </w:p>
        </w:tc>
        <w:tc>
          <w:tcPr>
            <w:tcW w:w="1120" w:type="dxa"/>
            <w:vAlign w:val="bottom"/>
          </w:tcPr>
          <w:p>
            <w:pPr>
              <w:jc w:val="right"/>
              <w:spacing w:after="0"/>
              <w:rPr>
                <w:sz w:val="20"/>
                <w:szCs w:val="20"/>
                <w:color w:val="auto"/>
              </w:rPr>
            </w:pPr>
            <w:r>
              <w:rPr>
                <w:rFonts w:ascii="Arial" w:cs="Arial" w:eastAsia="Arial" w:hAnsi="Arial"/>
                <w:sz w:val="16"/>
                <w:szCs w:val="16"/>
                <w:color w:val="auto"/>
              </w:rPr>
              <w:t>118,350</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480" w:type="dxa"/>
            <w:vAlign w:val="bottom"/>
            <w:gridSpan w:val="2"/>
            <w:shd w:val="clear" w:color="auto" w:fill="BFBFB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60"/>
              <w:spacing w:after="0"/>
              <w:rPr>
                <w:sz w:val="20"/>
                <w:szCs w:val="20"/>
                <w:color w:val="auto"/>
              </w:rPr>
            </w:pPr>
            <w:r>
              <w:rPr>
                <w:rFonts w:ascii="Arial" w:cs="Arial" w:eastAsia="Arial" w:hAnsi="Arial"/>
                <w:sz w:val="16"/>
                <w:szCs w:val="16"/>
                <w:color w:val="auto"/>
              </w:rPr>
              <w:t>Pension plan remeasurement</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(24,617)</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120" w:type="dxa"/>
            <w:vAlign w:val="bottom"/>
          </w:tcPr>
          <w:p>
            <w:pPr>
              <w:ind w:left="260"/>
              <w:spacing w:after="0"/>
              <w:rPr>
                <w:sz w:val="20"/>
                <w:szCs w:val="20"/>
                <w:color w:val="auto"/>
              </w:rPr>
            </w:pPr>
            <w:r>
              <w:rPr>
                <w:rFonts w:ascii="Arial" w:cs="Arial" w:eastAsia="Arial" w:hAnsi="Arial"/>
                <w:sz w:val="16"/>
                <w:szCs w:val="16"/>
                <w:color w:val="auto"/>
              </w:rPr>
              <w:t>Amortization of pension liability adjustment</w:t>
            </w: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22</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Transition obligation</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59</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(595)</w:t>
            </w:r>
          </w:p>
        </w:tc>
        <w:tc>
          <w:tcPr>
            <w:tcW w:w="3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(908)</w:t>
            </w:r>
          </w:p>
        </w:tc>
        <w:tc>
          <w:tcPr>
            <w:tcW w:w="6120" w:type="dxa"/>
            <w:vAlign w:val="bottom"/>
          </w:tcPr>
          <w:p>
            <w:pPr>
              <w:ind w:left="220"/>
              <w:spacing w:after="0"/>
              <w:rPr>
                <w:sz w:val="20"/>
                <w:szCs w:val="20"/>
                <w:color w:val="auto"/>
              </w:rPr>
            </w:pPr>
            <w:r>
              <w:rPr>
                <w:rFonts w:ascii="Arial" w:cs="Arial" w:eastAsia="Arial" w:hAnsi="Arial"/>
                <w:sz w:val="16"/>
                <w:szCs w:val="16"/>
                <w:color w:val="auto"/>
              </w:rPr>
              <w:t>Prior service cost/(credit)</w:t>
            </w:r>
          </w:p>
        </w:tc>
        <w:tc>
          <w:tcPr>
            <w:tcW w:w="1120" w:type="dxa"/>
            <w:vAlign w:val="bottom"/>
          </w:tcPr>
          <w:p>
            <w:pPr>
              <w:jc w:val="right"/>
              <w:spacing w:after="0"/>
              <w:rPr>
                <w:sz w:val="20"/>
                <w:szCs w:val="20"/>
                <w:color w:val="auto"/>
              </w:rPr>
            </w:pPr>
            <w:r>
              <w:rPr>
                <w:rFonts w:ascii="Arial" w:cs="Arial" w:eastAsia="Arial" w:hAnsi="Arial"/>
                <w:sz w:val="16"/>
                <w:szCs w:val="16"/>
                <w:color w:val="auto"/>
              </w:rPr>
              <w:t>(2,412)</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1,739</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2,175</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Net actuarial loss</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6,186</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6,525</w:t>
            </w:r>
          </w:p>
        </w:tc>
        <w:tc>
          <w:tcPr>
            <w:tcW w:w="0" w:type="dxa"/>
            <w:vAlign w:val="bottom"/>
          </w:tcPr>
          <w:p>
            <w:pPr>
              <w:spacing w:after="0"/>
              <w:rPr>
                <w:sz w:val="1"/>
                <w:szCs w:val="1"/>
                <w:color w:val="auto"/>
              </w:rPr>
            </w:pPr>
          </w:p>
        </w:tc>
      </w:tr>
      <w:tr>
        <w:trPr>
          <w:trHeight w:val="197"/>
        </w:trPr>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(235)</w:t>
            </w:r>
          </w:p>
        </w:tc>
        <w:tc>
          <w:tcPr>
            <w:tcW w:w="3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(2,517)</w:t>
            </w:r>
          </w:p>
        </w:tc>
        <w:tc>
          <w:tcPr>
            <w:tcW w:w="6120" w:type="dxa"/>
            <w:vAlign w:val="bottom"/>
          </w:tcPr>
          <w:p>
            <w:pPr>
              <w:ind w:left="260"/>
              <w:spacing w:after="0"/>
              <w:rPr>
                <w:sz w:val="20"/>
                <w:szCs w:val="20"/>
                <w:color w:val="auto"/>
              </w:rPr>
            </w:pPr>
            <w:r>
              <w:rPr>
                <w:rFonts w:ascii="Arial" w:cs="Arial" w:eastAsia="Arial" w:hAnsi="Arial"/>
                <w:sz w:val="16"/>
                <w:szCs w:val="16"/>
                <w:color w:val="auto"/>
              </w:rPr>
              <w:t>Derivative valuation adjustment</w:t>
            </w: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(899)</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20"/>
              <w:spacing w:after="0"/>
              <w:rPr>
                <w:sz w:val="20"/>
                <w:szCs w:val="20"/>
                <w:color w:val="auto"/>
              </w:rPr>
            </w:pPr>
            <w:r>
              <w:rPr>
                <w:rFonts w:ascii="Arial" w:cs="Arial" w:eastAsia="Arial" w:hAnsi="Arial"/>
                <w:sz w:val="16"/>
                <w:szCs w:val="16"/>
                <w:color w:val="auto"/>
              </w:rPr>
              <w:t>Income taxes related to items of other comprehensive (loss)/income:</w:t>
            </w:r>
          </w:p>
        </w:tc>
        <w:tc>
          <w:tcPr>
            <w:tcW w:w="112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120" w:type="dxa"/>
            <w:vAlign w:val="bottom"/>
          </w:tcPr>
          <w:p>
            <w:pPr>
              <w:ind w:left="260"/>
              <w:spacing w:after="0"/>
              <w:rPr>
                <w:sz w:val="20"/>
                <w:szCs w:val="20"/>
                <w:color w:val="auto"/>
              </w:rPr>
            </w:pPr>
            <w:r>
              <w:rPr>
                <w:rFonts w:ascii="Arial" w:cs="Arial" w:eastAsia="Arial" w:hAnsi="Arial"/>
                <w:sz w:val="16"/>
                <w:szCs w:val="16"/>
                <w:color w:val="auto"/>
              </w:rPr>
              <w:t>Pension settlement</w:t>
            </w:r>
          </w:p>
        </w:tc>
        <w:tc>
          <w:tcPr>
            <w:tcW w:w="1120" w:type="dxa"/>
            <w:vAlign w:val="bottom"/>
          </w:tcPr>
          <w:p>
            <w:pPr>
              <w:jc w:val="right"/>
              <w:spacing w:after="0"/>
              <w:rPr>
                <w:sz w:val="20"/>
                <w:szCs w:val="20"/>
                <w:color w:val="auto"/>
              </w:rPr>
            </w:pPr>
            <w:r>
              <w:rPr>
                <w:rFonts w:ascii="Arial" w:cs="Arial" w:eastAsia="Arial" w:hAnsi="Arial"/>
                <w:sz w:val="16"/>
                <w:szCs w:val="16"/>
                <w:color w:val="auto"/>
              </w:rPr>
              <w:t>(39,146)</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480" w:type="dxa"/>
            <w:vAlign w:val="bottom"/>
            <w:gridSpan w:val="2"/>
            <w:shd w:val="clear" w:color="auto" w:fill="BFBFB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BFBFBF"/>
          </w:tcPr>
          <w:p>
            <w:pPr>
              <w:spacing w:after="0"/>
              <w:rPr>
                <w:sz w:val="16"/>
                <w:szCs w:val="16"/>
                <w:color w:val="auto"/>
              </w:rPr>
            </w:pPr>
          </w:p>
        </w:tc>
        <w:tc>
          <w:tcPr>
            <w:tcW w:w="84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w:t>
            </w:r>
          </w:p>
        </w:tc>
        <w:tc>
          <w:tcPr>
            <w:tcW w:w="6120" w:type="dxa"/>
            <w:vAlign w:val="bottom"/>
            <w:shd w:val="clear" w:color="auto" w:fill="BFBFBF"/>
          </w:tcPr>
          <w:p>
            <w:pPr>
              <w:ind w:left="260"/>
              <w:spacing w:after="0"/>
              <w:rPr>
                <w:sz w:val="20"/>
                <w:szCs w:val="20"/>
                <w:color w:val="auto"/>
              </w:rPr>
            </w:pPr>
            <w:r>
              <w:rPr>
                <w:rFonts w:ascii="Arial" w:cs="Arial" w:eastAsia="Arial" w:hAnsi="Arial"/>
                <w:sz w:val="16"/>
                <w:szCs w:val="16"/>
                <w:color w:val="auto"/>
              </w:rPr>
              <w:t>Pension plan remeasurement</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7,270</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(361)</w:t>
            </w:r>
          </w:p>
        </w:tc>
        <w:tc>
          <w:tcPr>
            <w:tcW w:w="3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(400)</w:t>
            </w:r>
          </w:p>
        </w:tc>
        <w:tc>
          <w:tcPr>
            <w:tcW w:w="6120" w:type="dxa"/>
            <w:vAlign w:val="bottom"/>
          </w:tcPr>
          <w:p>
            <w:pPr>
              <w:ind w:left="260"/>
              <w:spacing w:after="0"/>
              <w:rPr>
                <w:sz w:val="20"/>
                <w:szCs w:val="20"/>
                <w:color w:val="auto"/>
              </w:rPr>
            </w:pPr>
            <w:r>
              <w:rPr>
                <w:rFonts w:ascii="Arial" w:cs="Arial" w:eastAsia="Arial" w:hAnsi="Arial"/>
                <w:sz w:val="16"/>
                <w:szCs w:val="16"/>
                <w:color w:val="auto"/>
              </w:rPr>
              <w:t>Amortization of pension liability adjustment</w:t>
            </w:r>
          </w:p>
        </w:tc>
        <w:tc>
          <w:tcPr>
            <w:tcW w:w="1120" w:type="dxa"/>
            <w:vAlign w:val="bottom"/>
          </w:tcPr>
          <w:p>
            <w:pPr>
              <w:jc w:val="right"/>
              <w:spacing w:after="0"/>
              <w:rPr>
                <w:sz w:val="20"/>
                <w:szCs w:val="20"/>
                <w:color w:val="auto"/>
              </w:rPr>
            </w:pPr>
            <w:r>
              <w:rPr>
                <w:rFonts w:ascii="Arial" w:cs="Arial" w:eastAsia="Arial" w:hAnsi="Arial"/>
                <w:sz w:val="16"/>
                <w:szCs w:val="16"/>
                <w:color w:val="auto"/>
              </w:rPr>
              <w:t>(1,188)</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92</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982</w:t>
            </w:r>
          </w:p>
        </w:tc>
        <w:tc>
          <w:tcPr>
            <w:tcW w:w="80" w:type="dxa"/>
            <w:vAlign w:val="bottom"/>
            <w:shd w:val="clear" w:color="auto" w:fill="BFBFBF"/>
          </w:tcPr>
          <w:p>
            <w:pPr>
              <w:spacing w:after="0"/>
              <w:rPr>
                <w:sz w:val="16"/>
                <w:szCs w:val="16"/>
                <w:color w:val="auto"/>
              </w:rPr>
            </w:pPr>
          </w:p>
        </w:tc>
        <w:tc>
          <w:tcPr>
            <w:tcW w:w="6120" w:type="dxa"/>
            <w:vAlign w:val="bottom"/>
            <w:shd w:val="clear" w:color="auto" w:fill="BFBFBF"/>
          </w:tcPr>
          <w:p>
            <w:pPr>
              <w:ind w:left="260"/>
              <w:spacing w:after="0"/>
              <w:rPr>
                <w:sz w:val="20"/>
                <w:szCs w:val="20"/>
                <w:color w:val="auto"/>
              </w:rPr>
            </w:pPr>
            <w:r>
              <w:rPr>
                <w:rFonts w:ascii="Arial" w:cs="Arial" w:eastAsia="Arial" w:hAnsi="Arial"/>
                <w:sz w:val="16"/>
                <w:szCs w:val="16"/>
                <w:color w:val="auto"/>
              </w:rPr>
              <w:t>Derivative valuation adjustment</w:t>
            </w:r>
          </w:p>
        </w:tc>
        <w:tc>
          <w:tcPr>
            <w:tcW w:w="11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351</w:t>
            </w:r>
          </w:p>
        </w:tc>
        <w:tc>
          <w:tcPr>
            <w:tcW w:w="340" w:type="dxa"/>
            <w:vAlign w:val="bottom"/>
            <w:shd w:val="clear" w:color="auto" w:fill="BFBFBF"/>
          </w:tcPr>
          <w:p>
            <w:pPr>
              <w:spacing w:after="0"/>
              <w:rPr>
                <w:sz w:val="16"/>
                <w:szCs w:val="16"/>
                <w:color w:val="auto"/>
              </w:rPr>
            </w:pPr>
          </w:p>
        </w:tc>
        <w:tc>
          <w:tcPr>
            <w:tcW w:w="380" w:type="dxa"/>
            <w:vAlign w:val="bottom"/>
            <w:shd w:val="clear" w:color="auto" w:fill="BFBFBF"/>
          </w:tcPr>
          <w:p>
            <w:pPr>
              <w:spacing w:after="0"/>
              <w:rPr>
                <w:sz w:val="16"/>
                <w:szCs w:val="16"/>
                <w:color w:val="auto"/>
              </w:rPr>
            </w:pP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6120" w:type="dxa"/>
            <w:vAlign w:val="bottom"/>
            <w:tcBorders>
              <w:bottom w:val="single" w:sz="8" w:color="BFBFB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BFBFB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11,783</w:t>
            </w:r>
          </w:p>
        </w:tc>
        <w:tc>
          <w:tcPr>
            <w:tcW w:w="340" w:type="dxa"/>
            <w:vAlign w:val="bottom"/>
            <w:shd w:val="clear" w:color="auto" w:fill="BFBFBF"/>
          </w:tcPr>
          <w:p>
            <w:pPr>
              <w:spacing w:after="0"/>
              <w:rPr>
                <w:sz w:val="15"/>
                <w:szCs w:val="15"/>
                <w:color w:val="auto"/>
              </w:rPr>
            </w:pPr>
          </w:p>
        </w:tc>
        <w:tc>
          <w:tcPr>
            <w:tcW w:w="380" w:type="dxa"/>
            <w:vAlign w:val="bottom"/>
            <w:shd w:val="clear" w:color="auto" w:fill="BFBFBF"/>
          </w:tcPr>
          <w:p>
            <w:pPr>
              <w:spacing w:after="0"/>
              <w:rPr>
                <w:sz w:val="15"/>
                <w:szCs w:val="15"/>
                <w:color w:val="auto"/>
              </w:rPr>
            </w:pPr>
          </w:p>
        </w:tc>
        <w:tc>
          <w:tcPr>
            <w:tcW w:w="840" w:type="dxa"/>
            <w:vAlign w:val="bottom"/>
            <w:gridSpan w:val="2"/>
            <w:shd w:val="clear" w:color="auto" w:fill="BFBFBF"/>
          </w:tcPr>
          <w:p>
            <w:pPr>
              <w:jc w:val="right"/>
              <w:ind w:right="80"/>
              <w:spacing w:after="0" w:line="183" w:lineRule="exact"/>
              <w:rPr>
                <w:sz w:val="20"/>
                <w:szCs w:val="20"/>
                <w:color w:val="auto"/>
              </w:rPr>
            </w:pPr>
            <w:r>
              <w:rPr>
                <w:rFonts w:ascii="Arial" w:cs="Arial" w:eastAsia="Arial" w:hAnsi="Arial"/>
                <w:sz w:val="16"/>
                <w:szCs w:val="16"/>
                <w:color w:val="auto"/>
              </w:rPr>
              <w:t>(49,339)</w:t>
            </w:r>
          </w:p>
        </w:tc>
        <w:tc>
          <w:tcPr>
            <w:tcW w:w="6120" w:type="dxa"/>
            <w:vAlign w:val="bottom"/>
            <w:shd w:val="clear" w:color="auto" w:fill="BFBFBF"/>
          </w:tcPr>
          <w:p>
            <w:pPr>
              <w:ind w:left="100"/>
              <w:spacing w:after="0" w:line="177" w:lineRule="exact"/>
              <w:rPr>
                <w:sz w:val="20"/>
                <w:szCs w:val="20"/>
                <w:color w:val="auto"/>
              </w:rPr>
            </w:pPr>
            <w:r>
              <w:rPr>
                <w:rFonts w:ascii="Arial" w:cs="Arial" w:eastAsia="Arial" w:hAnsi="Arial"/>
                <w:sz w:val="16"/>
                <w:szCs w:val="16"/>
                <w:color w:val="auto"/>
              </w:rPr>
              <w:t>Other comprehensive income, net of tax</w:t>
            </w:r>
          </w:p>
        </w:tc>
        <w:tc>
          <w:tcPr>
            <w:tcW w:w="112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67,853</w:t>
            </w:r>
          </w:p>
        </w:tc>
        <w:tc>
          <w:tcPr>
            <w:tcW w:w="340" w:type="dxa"/>
            <w:vAlign w:val="bottom"/>
            <w:shd w:val="clear" w:color="auto" w:fill="BFBFBF"/>
          </w:tcPr>
          <w:p>
            <w:pPr>
              <w:spacing w:after="0"/>
              <w:rPr>
                <w:sz w:val="15"/>
                <w:szCs w:val="15"/>
                <w:color w:val="auto"/>
              </w:rPr>
            </w:pPr>
          </w:p>
        </w:tc>
        <w:tc>
          <w:tcPr>
            <w:tcW w:w="380" w:type="dxa"/>
            <w:vAlign w:val="bottom"/>
            <w:shd w:val="clear" w:color="auto" w:fill="BFBFBF"/>
          </w:tcPr>
          <w:p>
            <w:pPr>
              <w:spacing w:after="0"/>
              <w:rPr>
                <w:sz w:val="15"/>
                <w:szCs w:val="15"/>
                <w:color w:val="auto"/>
              </w:rPr>
            </w:pPr>
          </w:p>
        </w:tc>
        <w:tc>
          <w:tcPr>
            <w:tcW w:w="76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183"/>
        </w:trPr>
        <w:tc>
          <w:tcPr>
            <w:tcW w:w="1140" w:type="dxa"/>
            <w:vAlign w:val="bottom"/>
            <w:tcBorders>
              <w:top w:val="single" w:sz="8" w:color="auto"/>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120" w:type="dxa"/>
            <w:vAlign w:val="bottom"/>
            <w:vMerge w:val="restart"/>
          </w:tcPr>
          <w:p>
            <w:pPr>
              <w:ind w:left="100"/>
              <w:spacing w:after="0"/>
              <w:rPr>
                <w:sz w:val="20"/>
                <w:szCs w:val="20"/>
                <w:color w:val="auto"/>
              </w:rPr>
            </w:pPr>
            <w:r>
              <w:rPr>
                <w:rFonts w:ascii="Arial" w:cs="Arial" w:eastAsia="Arial" w:hAnsi="Arial"/>
                <w:sz w:val="16"/>
                <w:szCs w:val="16"/>
                <w:color w:val="auto"/>
              </w:rPr>
              <w:t>Comprehensive income/(loss)</w:t>
            </w:r>
          </w:p>
        </w:tc>
        <w:tc>
          <w:tcPr>
            <w:tcW w:w="1120" w:type="dxa"/>
            <w:vAlign w:val="bottom"/>
            <w:tcBorders>
              <w:top w:val="single" w:sz="8" w:color="auto"/>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$21,246</w:t>
            </w: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($32,665)</w:t>
            </w:r>
          </w:p>
        </w:tc>
        <w:tc>
          <w:tcPr>
            <w:tcW w:w="80" w:type="dxa"/>
            <w:vAlign w:val="bottom"/>
          </w:tcPr>
          <w:p>
            <w:pPr>
              <w:spacing w:after="0"/>
              <w:rPr>
                <w:sz w:val="16"/>
                <w:szCs w:val="16"/>
                <w:color w:val="auto"/>
              </w:rPr>
            </w:pPr>
          </w:p>
        </w:tc>
        <w:tc>
          <w:tcPr>
            <w:tcW w:w="612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$90,612</w:t>
            </w: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$33,428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2120" w:type="dxa"/>
            <w:vAlign w:val="bottom"/>
            <w:gridSpan w:val="2"/>
          </w:tcPr>
          <w:p>
            <w:pPr>
              <w:jc w:val="right"/>
              <w:ind w:right="580"/>
              <w:spacing w:after="0"/>
              <w:rPr>
                <w:sz w:val="20"/>
                <w:szCs w:val="20"/>
                <w:color w:val="auto"/>
              </w:rPr>
            </w:pPr>
            <w:r>
              <w:rPr>
                <w:rFonts w:ascii="Arial" w:cs="Arial" w:eastAsia="Arial" w:hAnsi="Arial"/>
                <w:sz w:val="16"/>
                <w:szCs w:val="16"/>
                <w:color w:val="auto"/>
              </w:rPr>
              <w:t>September 30,</w:t>
            </w:r>
          </w:p>
        </w:tc>
        <w:tc>
          <w:tcPr>
            <w:tcW w:w="2020" w:type="dxa"/>
            <w:vAlign w:val="bottom"/>
          </w:tcPr>
          <w:p>
            <w:pPr>
              <w:jc w:val="right"/>
              <w:ind w:right="419"/>
              <w:spacing w:after="0"/>
              <w:rPr>
                <w:sz w:val="20"/>
                <w:szCs w:val="20"/>
                <w:color w:val="auto"/>
              </w:rPr>
            </w:pPr>
            <w:r>
              <w:rPr>
                <w:rFonts w:ascii="Arial" w:cs="Arial" w:eastAsia="Arial" w:hAnsi="Arial"/>
                <w:sz w:val="16"/>
                <w:szCs w:val="16"/>
                <w:color w:val="auto"/>
              </w:rPr>
              <w:t>December 31,</w:t>
            </w:r>
          </w:p>
        </w:tc>
      </w:tr>
      <w:tr>
        <w:trPr>
          <w:trHeight w:val="187"/>
        </w:trPr>
        <w:tc>
          <w:tcPr>
            <w:tcW w:w="7280" w:type="dxa"/>
            <w:vAlign w:val="bottom"/>
          </w:tcPr>
          <w:p>
            <w:pPr>
              <w:spacing w:after="0"/>
              <w:rPr>
                <w:sz w:val="16"/>
                <w:szCs w:val="16"/>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2011</w:t>
            </w:r>
          </w:p>
        </w:tc>
      </w:tr>
      <w:tr>
        <w:trPr>
          <w:trHeight w:val="183"/>
        </w:trPr>
        <w:tc>
          <w:tcPr>
            <w:tcW w:w="7280" w:type="dxa"/>
            <w:vAlign w:val="bottom"/>
          </w:tcPr>
          <w:p>
            <w:pPr>
              <w:spacing w:after="0" w:line="183" w:lineRule="exact"/>
              <w:rPr>
                <w:sz w:val="20"/>
                <w:szCs w:val="20"/>
                <w:color w:val="auto"/>
              </w:rPr>
            </w:pPr>
            <w:r>
              <w:rPr>
                <w:rFonts w:ascii="Arial" w:cs="Arial" w:eastAsia="Arial" w:hAnsi="Arial"/>
                <w:sz w:val="16"/>
                <w:szCs w:val="16"/>
                <w:color w:val="auto"/>
              </w:rPr>
              <w:t>ASSETS</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9"/>
        </w:trPr>
        <w:tc>
          <w:tcPr>
            <w:tcW w:w="7280" w:type="dxa"/>
            <w:vAlign w:val="bottom"/>
            <w:shd w:val="clear" w:color="auto" w:fill="C0C0C0"/>
          </w:tcPr>
          <w:p>
            <w:pPr>
              <w:ind w:left="100"/>
              <w:spacing w:after="0"/>
              <w:rPr>
                <w:sz w:val="20"/>
                <w:szCs w:val="20"/>
                <w:color w:val="auto"/>
              </w:rPr>
            </w:pPr>
            <w:r>
              <w:rPr>
                <w:rFonts w:ascii="Arial" w:cs="Arial" w:eastAsia="Arial" w:hAnsi="Arial"/>
                <w:sz w:val="16"/>
                <w:szCs w:val="16"/>
                <w:color w:val="auto"/>
              </w:rPr>
              <w:t>Cash and cash equivalents</w:t>
            </w:r>
          </w:p>
        </w:tc>
        <w:tc>
          <w:tcPr>
            <w:tcW w:w="20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$173,939</w:t>
            </w:r>
          </w:p>
        </w:tc>
        <w:tc>
          <w:tcPr>
            <w:tcW w:w="100" w:type="dxa"/>
            <w:vAlign w:val="bottom"/>
            <w:shd w:val="clear" w:color="auto" w:fill="C0C0C0"/>
          </w:tcPr>
          <w:p>
            <w:pPr>
              <w:spacing w:after="0"/>
              <w:rPr>
                <w:sz w:val="16"/>
                <w:szCs w:val="16"/>
                <w:color w:val="auto"/>
              </w:rPr>
            </w:pPr>
          </w:p>
        </w:tc>
        <w:tc>
          <w:tcPr>
            <w:tcW w:w="20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$118,909</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2020" w:type="dxa"/>
            <w:vAlign w:val="bottom"/>
          </w:tcPr>
          <w:p>
            <w:pPr>
              <w:jc w:val="right"/>
              <w:spacing w:after="0"/>
              <w:rPr>
                <w:sz w:val="20"/>
                <w:szCs w:val="20"/>
                <w:color w:val="auto"/>
              </w:rPr>
            </w:pPr>
            <w:r>
              <w:rPr>
                <w:rFonts w:ascii="Arial" w:cs="Arial" w:eastAsia="Arial" w:hAnsi="Arial"/>
                <w:sz w:val="16"/>
                <w:szCs w:val="16"/>
                <w:color w:val="auto"/>
              </w:rPr>
              <w:t>170,825</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147,511</w:t>
            </w:r>
          </w:p>
        </w:tc>
      </w:tr>
      <w:tr>
        <w:trPr>
          <w:trHeight w:val="189"/>
        </w:trPr>
        <w:tc>
          <w:tcPr>
            <w:tcW w:w="7280" w:type="dxa"/>
            <w:vAlign w:val="bottom"/>
            <w:shd w:val="clear" w:color="auto" w:fill="C0C0C0"/>
          </w:tcPr>
          <w:p>
            <w:pPr>
              <w:ind w:left="100"/>
              <w:spacing w:after="0"/>
              <w:rPr>
                <w:sz w:val="20"/>
                <w:szCs w:val="20"/>
                <w:color w:val="auto"/>
              </w:rPr>
            </w:pPr>
            <w:r>
              <w:rPr>
                <w:rFonts w:ascii="Arial" w:cs="Arial" w:eastAsia="Arial" w:hAnsi="Arial"/>
                <w:sz w:val="16"/>
                <w:szCs w:val="16"/>
                <w:color w:val="auto"/>
              </w:rPr>
              <w:t>Inventories</w:t>
            </w:r>
          </w:p>
        </w:tc>
        <w:tc>
          <w:tcPr>
            <w:tcW w:w="20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121,696</w:t>
            </w:r>
          </w:p>
        </w:tc>
        <w:tc>
          <w:tcPr>
            <w:tcW w:w="100" w:type="dxa"/>
            <w:vAlign w:val="bottom"/>
            <w:shd w:val="clear" w:color="auto" w:fill="C0C0C0"/>
          </w:tcPr>
          <w:p>
            <w:pPr>
              <w:spacing w:after="0"/>
              <w:rPr>
                <w:sz w:val="16"/>
                <w:szCs w:val="16"/>
                <w:color w:val="auto"/>
              </w:rPr>
            </w:pPr>
          </w:p>
        </w:tc>
        <w:tc>
          <w:tcPr>
            <w:tcW w:w="20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129,803</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Income taxes receivable and deferred</w:t>
            </w:r>
          </w:p>
        </w:tc>
        <w:tc>
          <w:tcPr>
            <w:tcW w:w="2020" w:type="dxa"/>
            <w:vAlign w:val="bottom"/>
          </w:tcPr>
          <w:p>
            <w:pPr>
              <w:jc w:val="right"/>
              <w:spacing w:after="0"/>
              <w:rPr>
                <w:sz w:val="20"/>
                <w:szCs w:val="20"/>
                <w:color w:val="auto"/>
              </w:rPr>
            </w:pPr>
            <w:r>
              <w:rPr>
                <w:rFonts w:ascii="Arial" w:cs="Arial" w:eastAsia="Arial" w:hAnsi="Arial"/>
                <w:sz w:val="16"/>
                <w:szCs w:val="16"/>
                <w:color w:val="auto"/>
              </w:rPr>
              <w:t>19,918</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30,010</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0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9,583</w:t>
            </w:r>
          </w:p>
        </w:tc>
        <w:tc>
          <w:tcPr>
            <w:tcW w:w="100" w:type="dxa"/>
            <w:vAlign w:val="bottom"/>
            <w:shd w:val="clear" w:color="auto" w:fill="C0C0C0"/>
          </w:tcPr>
          <w:p>
            <w:pPr>
              <w:spacing w:after="0"/>
              <w:rPr>
                <w:sz w:val="16"/>
                <w:szCs w:val="16"/>
                <w:color w:val="auto"/>
              </w:rPr>
            </w:pPr>
          </w:p>
        </w:tc>
        <w:tc>
          <w:tcPr>
            <w:tcW w:w="20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13,349</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Current assets of discontinued operations</w:t>
            </w:r>
          </w:p>
        </w:tc>
        <w:tc>
          <w:tcPr>
            <w:tcW w:w="2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67,351</w:t>
            </w:r>
          </w:p>
        </w:tc>
      </w:tr>
      <w:tr>
        <w:trPr>
          <w:trHeight w:val="183"/>
        </w:trPr>
        <w:tc>
          <w:tcPr>
            <w:tcW w:w="7280" w:type="dxa"/>
            <w:vAlign w:val="bottom"/>
            <w:tcBorders>
              <w:top w:val="single" w:sz="8" w:color="BFBFBF"/>
            </w:tcBorders>
            <w:shd w:val="clear" w:color="auto" w:fill="BFBFBF"/>
          </w:tcPr>
          <w:p>
            <w:pPr>
              <w:ind w:left="280"/>
              <w:spacing w:after="0" w:line="183" w:lineRule="exact"/>
              <w:rPr>
                <w:sz w:val="20"/>
                <w:szCs w:val="20"/>
                <w:color w:val="auto"/>
              </w:rPr>
            </w:pPr>
            <w:r>
              <w:rPr>
                <w:rFonts w:ascii="Arial" w:cs="Arial" w:eastAsia="Arial" w:hAnsi="Arial"/>
                <w:sz w:val="16"/>
                <w:szCs w:val="16"/>
                <w:color w:val="auto"/>
              </w:rPr>
              <w:t>Total current assets</w:t>
            </w:r>
          </w:p>
        </w:tc>
        <w:tc>
          <w:tcPr>
            <w:tcW w:w="2020" w:type="dxa"/>
            <w:vAlign w:val="bottom"/>
            <w:tcBorders>
              <w:top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495,961</w:t>
            </w:r>
          </w:p>
        </w:tc>
        <w:tc>
          <w:tcPr>
            <w:tcW w:w="100" w:type="dxa"/>
            <w:vAlign w:val="bottom"/>
            <w:tcBorders>
              <w:top w:val="single" w:sz="8" w:color="BFBFBF"/>
            </w:tcBorders>
            <w:shd w:val="clear" w:color="auto" w:fill="BFBFBF"/>
          </w:tcPr>
          <w:p>
            <w:pPr>
              <w:spacing w:after="0"/>
              <w:rPr>
                <w:sz w:val="15"/>
                <w:szCs w:val="15"/>
                <w:color w:val="auto"/>
              </w:rPr>
            </w:pPr>
          </w:p>
        </w:tc>
        <w:tc>
          <w:tcPr>
            <w:tcW w:w="2020" w:type="dxa"/>
            <w:vAlign w:val="bottom"/>
            <w:tcBorders>
              <w:top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506,933</w:t>
            </w:r>
          </w:p>
        </w:tc>
      </w:tr>
      <w:tr>
        <w:trPr>
          <w:trHeight w:val="378"/>
        </w:trPr>
        <w:tc>
          <w:tcPr>
            <w:tcW w:w="7280" w:type="dxa"/>
            <w:vAlign w:val="bottom"/>
          </w:tcPr>
          <w:p>
            <w:pPr>
              <w:ind w:left="100"/>
              <w:spacing w:after="0"/>
              <w:rPr>
                <w:sz w:val="20"/>
                <w:szCs w:val="20"/>
                <w:color w:val="auto"/>
              </w:rPr>
            </w:pPr>
            <w:r>
              <w:rPr>
                <w:rFonts w:ascii="Arial" w:cs="Arial" w:eastAsia="Arial" w:hAnsi="Arial"/>
                <w:sz w:val="16"/>
                <w:szCs w:val="16"/>
                <w:color w:val="auto"/>
              </w:rPr>
              <w:t>Property, plant and equipment, net</w:t>
            </w:r>
          </w:p>
        </w:tc>
        <w:tc>
          <w:tcPr>
            <w:tcW w:w="2020" w:type="dxa"/>
            <w:vAlign w:val="bottom"/>
          </w:tcPr>
          <w:p>
            <w:pPr>
              <w:jc w:val="right"/>
              <w:spacing w:after="0"/>
              <w:rPr>
                <w:sz w:val="20"/>
                <w:szCs w:val="20"/>
                <w:color w:val="auto"/>
              </w:rPr>
            </w:pPr>
            <w:r>
              <w:rPr>
                <w:rFonts w:ascii="Arial" w:cs="Arial" w:eastAsia="Arial" w:hAnsi="Arial"/>
                <w:sz w:val="16"/>
                <w:szCs w:val="16"/>
                <w:color w:val="auto"/>
              </w:rPr>
              <w:t>422,356</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438,953</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Intangibles</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1,079</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020" w:type="dxa"/>
            <w:vAlign w:val="bottom"/>
          </w:tcPr>
          <w:p>
            <w:pPr>
              <w:jc w:val="right"/>
              <w:spacing w:after="0"/>
              <w:rPr>
                <w:sz w:val="20"/>
                <w:szCs w:val="20"/>
                <w:color w:val="auto"/>
              </w:rPr>
            </w:pPr>
            <w:r>
              <w:rPr>
                <w:rFonts w:ascii="Arial" w:cs="Arial" w:eastAsia="Arial" w:hAnsi="Arial"/>
                <w:sz w:val="16"/>
                <w:szCs w:val="16"/>
                <w:color w:val="auto"/>
              </w:rPr>
              <w:t>75,066</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75,469</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Deferred taxes</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110,777</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134,644</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Other assets</w:t>
            </w:r>
          </w:p>
        </w:tc>
        <w:tc>
          <w:tcPr>
            <w:tcW w:w="2020" w:type="dxa"/>
            <w:vAlign w:val="bottom"/>
          </w:tcPr>
          <w:p>
            <w:pPr>
              <w:jc w:val="right"/>
              <w:spacing w:after="0"/>
              <w:rPr>
                <w:sz w:val="20"/>
                <w:szCs w:val="20"/>
                <w:color w:val="auto"/>
              </w:rPr>
            </w:pPr>
            <w:r>
              <w:rPr>
                <w:rFonts w:ascii="Arial" w:cs="Arial" w:eastAsia="Arial" w:hAnsi="Arial"/>
                <w:sz w:val="16"/>
                <w:szCs w:val="16"/>
                <w:color w:val="auto"/>
              </w:rPr>
              <w:t>25,633</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23,383</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Noncurrent assets of discontinued operations</w:t>
            </w:r>
          </w:p>
        </w:tc>
        <w:tc>
          <w:tcPr>
            <w:tcW w:w="2120" w:type="dxa"/>
            <w:vAlign w:val="bottom"/>
            <w:gridSpan w:val="2"/>
            <w:shd w:val="clear" w:color="auto" w:fill="BFBFBF"/>
          </w:tcPr>
          <w:p>
            <w:pPr>
              <w:jc w:val="right"/>
              <w:ind w:right="100"/>
              <w:spacing w:after="0"/>
              <w:rPr>
                <w:sz w:val="20"/>
                <w:szCs w:val="20"/>
                <w:color w:val="auto"/>
              </w:rPr>
            </w:pPr>
            <w:r>
              <w:rPr>
                <w:rFonts w:ascii="Arial" w:cs="Arial" w:eastAsia="Arial" w:hAnsi="Arial"/>
                <w:sz w:val="16"/>
                <w:szCs w:val="16"/>
                <w:color w:val="auto"/>
              </w:rPr>
              <w:t>-</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50,467</w:t>
            </w:r>
          </w:p>
        </w:tc>
      </w:tr>
      <w:tr>
        <w:trPr>
          <w:trHeight w:val="190"/>
        </w:trPr>
        <w:tc>
          <w:tcPr>
            <w:tcW w:w="7280" w:type="dxa"/>
            <w:vAlign w:val="bottom"/>
          </w:tcPr>
          <w:p>
            <w:pPr>
              <w:ind w:left="280"/>
              <w:spacing w:after="0" w:line="183" w:lineRule="exact"/>
              <w:rPr>
                <w:sz w:val="20"/>
                <w:szCs w:val="20"/>
                <w:color w:val="auto"/>
              </w:rPr>
            </w:pPr>
            <w:r>
              <w:rPr>
                <w:rFonts w:ascii="Arial" w:cs="Arial" w:eastAsia="Arial" w:hAnsi="Arial"/>
                <w:sz w:val="16"/>
                <w:szCs w:val="16"/>
                <w:color w:val="auto"/>
              </w:rPr>
              <w:t>Total assets</w:t>
            </w:r>
          </w:p>
        </w:tc>
        <w:tc>
          <w:tcPr>
            <w:tcW w:w="2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$1,130,697</w:t>
            </w:r>
          </w:p>
        </w:tc>
        <w:tc>
          <w:tcPr>
            <w:tcW w:w="100" w:type="dxa"/>
            <w:vAlign w:val="bottom"/>
          </w:tcPr>
          <w:p>
            <w:pPr>
              <w:spacing w:after="0"/>
              <w:rPr>
                <w:sz w:val="16"/>
                <w:szCs w:val="16"/>
                <w:color w:val="auto"/>
              </w:rPr>
            </w:pPr>
          </w:p>
        </w:tc>
        <w:tc>
          <w:tcPr>
            <w:tcW w:w="2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$1,230,928</w:t>
            </w:r>
          </w:p>
        </w:tc>
      </w:tr>
      <w:tr>
        <w:trPr>
          <w:trHeight w:val="378"/>
        </w:trPr>
        <w:tc>
          <w:tcPr>
            <w:tcW w:w="728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Notes and loans payable</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$424</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2020" w:type="dxa"/>
            <w:vAlign w:val="bottom"/>
          </w:tcPr>
          <w:p>
            <w:pPr>
              <w:jc w:val="right"/>
              <w:spacing w:after="0"/>
              <w:rPr>
                <w:sz w:val="20"/>
                <w:szCs w:val="20"/>
                <w:color w:val="auto"/>
              </w:rPr>
            </w:pPr>
            <w:r>
              <w:rPr>
                <w:rFonts w:ascii="Arial" w:cs="Arial" w:eastAsia="Arial" w:hAnsi="Arial"/>
                <w:sz w:val="16"/>
                <w:szCs w:val="16"/>
                <w:color w:val="auto"/>
              </w:rPr>
              <w:t>27,232</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32,708</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Accrued liabilities</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114,426</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105,104</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Current maturities of long-term debt</w:t>
            </w:r>
          </w:p>
        </w:tc>
        <w:tc>
          <w:tcPr>
            <w:tcW w:w="2020" w:type="dxa"/>
            <w:vAlign w:val="bottom"/>
          </w:tcPr>
          <w:p>
            <w:pPr>
              <w:jc w:val="right"/>
              <w:spacing w:after="0"/>
              <w:rPr>
                <w:sz w:val="20"/>
                <w:szCs w:val="20"/>
                <w:color w:val="auto"/>
              </w:rPr>
            </w:pPr>
            <w:r>
              <w:rPr>
                <w:rFonts w:ascii="Arial" w:cs="Arial" w:eastAsia="Arial" w:hAnsi="Arial"/>
                <w:sz w:val="16"/>
                <w:szCs w:val="16"/>
                <w:color w:val="auto"/>
              </w:rPr>
              <w:t>33,066</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1,263</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Income taxes payable and deferred</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3,973</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8,766</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Current liabilities of discontinued operations</w:t>
            </w:r>
          </w:p>
        </w:tc>
        <w:tc>
          <w:tcPr>
            <w:tcW w:w="2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22,446</w:t>
            </w:r>
          </w:p>
        </w:tc>
      </w:tr>
      <w:tr>
        <w:trPr>
          <w:trHeight w:val="183"/>
        </w:trPr>
        <w:tc>
          <w:tcPr>
            <w:tcW w:w="7280" w:type="dxa"/>
            <w:vAlign w:val="bottom"/>
            <w:tcBorders>
              <w:top w:val="single" w:sz="8" w:color="BFBFBF"/>
            </w:tcBorders>
            <w:shd w:val="clear" w:color="auto" w:fill="BFBFBF"/>
          </w:tcPr>
          <w:p>
            <w:pPr>
              <w:ind w:left="280"/>
              <w:spacing w:after="0" w:line="183" w:lineRule="exact"/>
              <w:rPr>
                <w:sz w:val="20"/>
                <w:szCs w:val="20"/>
                <w:color w:val="auto"/>
              </w:rPr>
            </w:pPr>
            <w:r>
              <w:rPr>
                <w:rFonts w:ascii="Arial" w:cs="Arial" w:eastAsia="Arial" w:hAnsi="Arial"/>
                <w:sz w:val="16"/>
                <w:szCs w:val="16"/>
                <w:color w:val="auto"/>
              </w:rPr>
              <w:t>Total current liabilities</w:t>
            </w:r>
          </w:p>
        </w:tc>
        <w:tc>
          <w:tcPr>
            <w:tcW w:w="2020" w:type="dxa"/>
            <w:vAlign w:val="bottom"/>
            <w:tcBorders>
              <w:top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178,973</w:t>
            </w:r>
          </w:p>
        </w:tc>
        <w:tc>
          <w:tcPr>
            <w:tcW w:w="100" w:type="dxa"/>
            <w:vAlign w:val="bottom"/>
            <w:tcBorders>
              <w:top w:val="single" w:sz="8" w:color="BFBFBF"/>
            </w:tcBorders>
            <w:shd w:val="clear" w:color="auto" w:fill="BFBFBF"/>
          </w:tcPr>
          <w:p>
            <w:pPr>
              <w:spacing w:after="0"/>
              <w:rPr>
                <w:sz w:val="15"/>
                <w:szCs w:val="15"/>
                <w:color w:val="auto"/>
              </w:rPr>
            </w:pPr>
          </w:p>
        </w:tc>
        <w:tc>
          <w:tcPr>
            <w:tcW w:w="2020" w:type="dxa"/>
            <w:vAlign w:val="bottom"/>
            <w:tcBorders>
              <w:top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170,711</w:t>
            </w:r>
          </w:p>
        </w:tc>
      </w:tr>
      <w:tr>
        <w:trPr>
          <w:trHeight w:val="378"/>
        </w:trPr>
        <w:tc>
          <w:tcPr>
            <w:tcW w:w="728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020" w:type="dxa"/>
            <w:vAlign w:val="bottom"/>
          </w:tcPr>
          <w:p>
            <w:pPr>
              <w:jc w:val="right"/>
              <w:spacing w:after="0"/>
              <w:rPr>
                <w:sz w:val="20"/>
                <w:szCs w:val="20"/>
                <w:color w:val="auto"/>
              </w:rPr>
            </w:pPr>
            <w:r>
              <w:rPr>
                <w:rFonts w:ascii="Arial" w:cs="Arial" w:eastAsia="Arial" w:hAnsi="Arial"/>
                <w:sz w:val="16"/>
                <w:szCs w:val="16"/>
                <w:color w:val="auto"/>
              </w:rPr>
              <w:t>289,129</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373,125</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Other noncurrent liabilities</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110,360</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185,596</w:t>
            </w: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Deferred taxes and other credits</w:t>
            </w:r>
          </w:p>
        </w:tc>
        <w:tc>
          <w:tcPr>
            <w:tcW w:w="2020" w:type="dxa"/>
            <w:vAlign w:val="bottom"/>
          </w:tcPr>
          <w:p>
            <w:pPr>
              <w:jc w:val="right"/>
              <w:spacing w:after="0"/>
              <w:rPr>
                <w:sz w:val="20"/>
                <w:szCs w:val="20"/>
                <w:color w:val="auto"/>
              </w:rPr>
            </w:pPr>
            <w:r>
              <w:rPr>
                <w:rFonts w:ascii="Arial" w:cs="Arial" w:eastAsia="Arial" w:hAnsi="Arial"/>
                <w:sz w:val="16"/>
                <w:szCs w:val="16"/>
                <w:color w:val="auto"/>
              </w:rPr>
              <w:t>56,060</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71,529</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Noncurrent liabilities of discontinued operations</w:t>
            </w:r>
          </w:p>
        </w:tc>
        <w:tc>
          <w:tcPr>
            <w:tcW w:w="2120" w:type="dxa"/>
            <w:vAlign w:val="bottom"/>
            <w:gridSpan w:val="2"/>
            <w:shd w:val="clear" w:color="auto" w:fill="BFBFBF"/>
          </w:tcPr>
          <w:p>
            <w:pPr>
              <w:jc w:val="right"/>
              <w:ind w:right="100"/>
              <w:spacing w:after="0"/>
              <w:rPr>
                <w:sz w:val="20"/>
                <w:szCs w:val="20"/>
                <w:color w:val="auto"/>
              </w:rPr>
            </w:pPr>
            <w:r>
              <w:rPr>
                <w:rFonts w:ascii="Arial" w:cs="Arial" w:eastAsia="Arial" w:hAnsi="Arial"/>
                <w:sz w:val="16"/>
                <w:szCs w:val="16"/>
                <w:color w:val="auto"/>
              </w:rPr>
              <w:t>-</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14,117</w:t>
            </w:r>
          </w:p>
        </w:tc>
      </w:tr>
      <w:tr>
        <w:trPr>
          <w:trHeight w:val="183"/>
        </w:trPr>
        <w:tc>
          <w:tcPr>
            <w:tcW w:w="7280" w:type="dxa"/>
            <w:vAlign w:val="bottom"/>
          </w:tcPr>
          <w:p>
            <w:pPr>
              <w:ind w:left="280"/>
              <w:spacing w:after="0" w:line="183" w:lineRule="exact"/>
              <w:rPr>
                <w:sz w:val="20"/>
                <w:szCs w:val="20"/>
                <w:color w:val="auto"/>
              </w:rPr>
            </w:pPr>
            <w:r>
              <w:rPr>
                <w:rFonts w:ascii="Arial" w:cs="Arial" w:eastAsia="Arial" w:hAnsi="Arial"/>
                <w:sz w:val="16"/>
                <w:szCs w:val="16"/>
                <w:color w:val="auto"/>
              </w:rPr>
              <w:t>Total liabilities</w:t>
            </w:r>
          </w:p>
        </w:tc>
        <w:tc>
          <w:tcPr>
            <w:tcW w:w="2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634,522</w:t>
            </w:r>
          </w:p>
        </w:tc>
        <w:tc>
          <w:tcPr>
            <w:tcW w:w="100" w:type="dxa"/>
            <w:vAlign w:val="bottom"/>
          </w:tcPr>
          <w:p>
            <w:pPr>
              <w:spacing w:after="0"/>
              <w:rPr>
                <w:sz w:val="15"/>
                <w:szCs w:val="15"/>
                <w:color w:val="auto"/>
              </w:rPr>
            </w:pPr>
          </w:p>
        </w:tc>
        <w:tc>
          <w:tcPr>
            <w:tcW w:w="2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815,078</w:t>
            </w:r>
          </w:p>
        </w:tc>
      </w:tr>
      <w:tr>
        <w:trPr>
          <w:trHeight w:val="374"/>
        </w:trPr>
        <w:tc>
          <w:tcPr>
            <w:tcW w:w="7280" w:type="dxa"/>
            <w:vAlign w:val="bottom"/>
          </w:tcPr>
          <w:p>
            <w:pPr>
              <w:spacing w:after="0"/>
              <w:rPr>
                <w:sz w:val="20"/>
                <w:szCs w:val="20"/>
                <w:color w:val="auto"/>
              </w:rPr>
            </w:pPr>
            <w:r>
              <w:rPr>
                <w:rFonts w:ascii="Arial" w:cs="Arial" w:eastAsia="Arial" w:hAnsi="Arial"/>
                <w:sz w:val="16"/>
                <w:szCs w:val="16"/>
                <w:color w:val="auto"/>
              </w:rPr>
              <w:t>SHAREHOLDERS' EQUITY</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7280" w:type="dxa"/>
            <w:vAlign w:val="bottom"/>
          </w:tcPr>
          <w:p>
            <w:pPr>
              <w:ind w:left="100"/>
              <w:spacing w:after="0"/>
              <w:rPr>
                <w:sz w:val="20"/>
                <w:szCs w:val="20"/>
                <w:color w:val="auto"/>
              </w:rPr>
            </w:pPr>
            <w:r>
              <w:rPr>
                <w:rFonts w:ascii="Arial" w:cs="Arial" w:eastAsia="Arial" w:hAnsi="Arial"/>
                <w:sz w:val="16"/>
                <w:szCs w:val="16"/>
                <w:color w:val="auto"/>
              </w:rPr>
              <w:t>Preferred stock, par value $5.00 per share;</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7"/>
        </w:trPr>
        <w:tc>
          <w:tcPr>
            <w:tcW w:w="7280" w:type="dxa"/>
            <w:vAlign w:val="bottom"/>
          </w:tcPr>
          <w:p>
            <w:pPr>
              <w:ind w:left="180"/>
              <w:spacing w:after="0"/>
              <w:rPr>
                <w:sz w:val="20"/>
                <w:szCs w:val="20"/>
                <w:color w:val="auto"/>
              </w:rPr>
            </w:pPr>
            <w:r>
              <w:rPr>
                <w:rFonts w:ascii="Arial" w:cs="Arial" w:eastAsia="Arial" w:hAnsi="Arial"/>
                <w:sz w:val="16"/>
                <w:szCs w:val="16"/>
                <w:color w:val="auto"/>
              </w:rPr>
              <w:t>authorized 2,000,000 shares; none issued</w:t>
            </w:r>
          </w:p>
        </w:tc>
        <w:tc>
          <w:tcPr>
            <w:tcW w:w="2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Class A Common Stock, par value $.001 per share;</w:t>
            </w:r>
          </w:p>
        </w:tc>
        <w:tc>
          <w:tcPr>
            <w:tcW w:w="20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spacing w:after="0"/>
              <w:rPr>
                <w:sz w:val="16"/>
                <w:szCs w:val="16"/>
                <w:color w:val="auto"/>
              </w:rPr>
            </w:pPr>
          </w:p>
        </w:tc>
      </w:tr>
      <w:tr>
        <w:trPr>
          <w:trHeight w:val="189"/>
        </w:trPr>
        <w:tc>
          <w:tcPr>
            <w:tcW w:w="7280" w:type="dxa"/>
            <w:vAlign w:val="bottom"/>
            <w:shd w:val="clear" w:color="auto" w:fill="BFBFBF"/>
          </w:tcPr>
          <w:p>
            <w:pPr>
              <w:ind w:left="180"/>
              <w:spacing w:after="0"/>
              <w:rPr>
                <w:sz w:val="20"/>
                <w:szCs w:val="20"/>
                <w:color w:val="auto"/>
              </w:rPr>
            </w:pPr>
            <w:r>
              <w:rPr>
                <w:rFonts w:ascii="Arial" w:cs="Arial" w:eastAsia="Arial" w:hAnsi="Arial"/>
                <w:sz w:val="16"/>
                <w:szCs w:val="16"/>
                <w:color w:val="auto"/>
              </w:rPr>
              <w:t>authorized 100,000,000 shares; issued</w:t>
            </w:r>
          </w:p>
        </w:tc>
        <w:tc>
          <w:tcPr>
            <w:tcW w:w="2020" w:type="dxa"/>
            <w:vAlign w:val="bottom"/>
            <w:shd w:val="clear" w:color="auto" w:fill="BFBFBF"/>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spacing w:after="0"/>
              <w:rPr>
                <w:sz w:val="16"/>
                <w:szCs w:val="16"/>
                <w:color w:val="auto"/>
              </w:rPr>
            </w:pPr>
          </w:p>
        </w:tc>
      </w:tr>
      <w:tr>
        <w:trPr>
          <w:trHeight w:val="189"/>
        </w:trPr>
        <w:tc>
          <w:tcPr>
            <w:tcW w:w="7280" w:type="dxa"/>
            <w:vAlign w:val="bottom"/>
            <w:shd w:val="clear" w:color="auto" w:fill="BFBFBF"/>
          </w:tcPr>
          <w:p>
            <w:pPr>
              <w:ind w:left="180"/>
              <w:spacing w:after="0"/>
              <w:rPr>
                <w:sz w:val="20"/>
                <w:szCs w:val="20"/>
                <w:color w:val="auto"/>
              </w:rPr>
            </w:pPr>
            <w:r>
              <w:rPr>
                <w:rFonts w:ascii="Arial" w:cs="Arial" w:eastAsia="Arial" w:hAnsi="Arial"/>
                <w:sz w:val="16"/>
                <w:szCs w:val="16"/>
                <w:color w:val="auto"/>
              </w:rPr>
              <w:t>36,629,604 in 2012 and 36,540,842 in 2011</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37</w:t>
            </w:r>
          </w:p>
        </w:tc>
      </w:tr>
      <w:tr>
        <w:trPr>
          <w:trHeight w:val="191"/>
        </w:trPr>
        <w:tc>
          <w:tcPr>
            <w:tcW w:w="7280" w:type="dxa"/>
            <w:vAlign w:val="bottom"/>
          </w:tcPr>
          <w:p>
            <w:pPr>
              <w:ind w:left="100"/>
              <w:spacing w:after="0"/>
              <w:rPr>
                <w:sz w:val="20"/>
                <w:szCs w:val="20"/>
                <w:color w:val="auto"/>
              </w:rPr>
            </w:pPr>
            <w:r>
              <w:rPr>
                <w:rFonts w:ascii="Arial" w:cs="Arial" w:eastAsia="Arial" w:hAnsi="Arial"/>
                <w:sz w:val="16"/>
                <w:szCs w:val="16"/>
                <w:color w:val="auto"/>
              </w:rPr>
              <w:t>Class B Common Stock, par value $.001 per share;</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9"/>
        </w:trPr>
        <w:tc>
          <w:tcPr>
            <w:tcW w:w="7280" w:type="dxa"/>
            <w:vAlign w:val="bottom"/>
          </w:tcPr>
          <w:p>
            <w:pPr>
              <w:ind w:left="180"/>
              <w:spacing w:after="0"/>
              <w:rPr>
                <w:sz w:val="20"/>
                <w:szCs w:val="20"/>
                <w:color w:val="auto"/>
              </w:rPr>
            </w:pPr>
            <w:r>
              <w:rPr>
                <w:rFonts w:ascii="Arial" w:cs="Arial" w:eastAsia="Arial" w:hAnsi="Arial"/>
                <w:sz w:val="16"/>
                <w:szCs w:val="16"/>
                <w:color w:val="auto"/>
              </w:rPr>
              <w:t>authorized 25,000,000 shares; issued and</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7"/>
        </w:trPr>
        <w:tc>
          <w:tcPr>
            <w:tcW w:w="7280" w:type="dxa"/>
            <w:vAlign w:val="bottom"/>
          </w:tcPr>
          <w:p>
            <w:pPr>
              <w:ind w:left="180"/>
              <w:spacing w:after="0"/>
              <w:rPr>
                <w:sz w:val="20"/>
                <w:szCs w:val="20"/>
                <w:color w:val="auto"/>
              </w:rPr>
            </w:pPr>
            <w:r>
              <w:rPr>
                <w:rFonts w:ascii="Arial" w:cs="Arial" w:eastAsia="Arial" w:hAnsi="Arial"/>
                <w:sz w:val="16"/>
                <w:szCs w:val="16"/>
                <w:color w:val="auto"/>
              </w:rPr>
              <w:t>outstanding 3,236,098 in 2012 and 2011</w:t>
            </w:r>
          </w:p>
        </w:tc>
        <w:tc>
          <w:tcPr>
            <w:tcW w:w="2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7280" w:type="dxa"/>
            <w:vAlign w:val="bottom"/>
            <w:shd w:val="clear" w:color="auto" w:fill="BFBFBF"/>
          </w:tcPr>
          <w:p>
            <w:pPr>
              <w:ind w:left="100"/>
              <w:spacing w:after="0"/>
              <w:rPr>
                <w:sz w:val="20"/>
                <w:szCs w:val="20"/>
                <w:color w:val="auto"/>
              </w:rPr>
            </w:pPr>
            <w:r>
              <w:rPr>
                <w:rFonts w:ascii="Arial" w:cs="Arial" w:eastAsia="Arial" w:hAnsi="Arial"/>
                <w:sz w:val="16"/>
                <w:szCs w:val="16"/>
                <w:color w:val="auto"/>
              </w:rPr>
              <w:t>Additional paid in capital</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393,801</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391,495</w:t>
            </w:r>
          </w:p>
        </w:tc>
      </w:tr>
      <w:tr>
        <w:trPr>
          <w:trHeight w:val="191"/>
        </w:trPr>
        <w:tc>
          <w:tcPr>
            <w:tcW w:w="7280" w:type="dxa"/>
            <w:vAlign w:val="bottom"/>
          </w:tcPr>
          <w:p>
            <w:pPr>
              <w:ind w:left="100"/>
              <w:spacing w:after="0"/>
              <w:rPr>
                <w:sz w:val="20"/>
                <w:szCs w:val="20"/>
                <w:color w:val="auto"/>
              </w:rPr>
            </w:pPr>
            <w:r>
              <w:rPr>
                <w:rFonts w:ascii="Arial" w:cs="Arial" w:eastAsia="Arial" w:hAnsi="Arial"/>
                <w:sz w:val="16"/>
                <w:szCs w:val="16"/>
                <w:color w:val="auto"/>
              </w:rPr>
              <w:t>Retained earnings</w:t>
            </w:r>
          </w:p>
        </w:tc>
        <w:tc>
          <w:tcPr>
            <w:tcW w:w="2020" w:type="dxa"/>
            <w:vAlign w:val="bottom"/>
          </w:tcPr>
          <w:p>
            <w:pPr>
              <w:jc w:val="right"/>
              <w:spacing w:after="0"/>
              <w:rPr>
                <w:sz w:val="20"/>
                <w:szCs w:val="20"/>
                <w:color w:val="auto"/>
              </w:rPr>
            </w:pPr>
            <w:r>
              <w:rPr>
                <w:rFonts w:ascii="Arial" w:cs="Arial" w:eastAsia="Arial" w:hAnsi="Arial"/>
                <w:sz w:val="16"/>
                <w:szCs w:val="16"/>
                <w:color w:val="auto"/>
              </w:rPr>
              <w:t>431,954</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422,044</w:t>
            </w:r>
          </w:p>
        </w:tc>
      </w:tr>
      <w:tr>
        <w:trPr>
          <w:trHeight w:val="187"/>
        </w:trPr>
        <w:tc>
          <w:tcPr>
            <w:tcW w:w="7280" w:type="dxa"/>
            <w:vAlign w:val="bottom"/>
          </w:tcPr>
          <w:p>
            <w:pPr>
              <w:ind w:left="100"/>
              <w:spacing w:after="0"/>
              <w:rPr>
                <w:sz w:val="20"/>
                <w:szCs w:val="20"/>
                <w:color w:val="auto"/>
              </w:rPr>
            </w:pPr>
            <w:r>
              <w:rPr>
                <w:rFonts w:ascii="Arial" w:cs="Arial" w:eastAsia="Arial" w:hAnsi="Arial"/>
                <w:sz w:val="16"/>
                <w:szCs w:val="16"/>
                <w:color w:val="auto"/>
              </w:rPr>
              <w:t>Accumulated items of other comprehensive income:</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9"/>
        </w:trPr>
        <w:tc>
          <w:tcPr>
            <w:tcW w:w="7280" w:type="dxa"/>
            <w:vAlign w:val="bottom"/>
            <w:shd w:val="clear" w:color="auto" w:fill="BFBFBF"/>
          </w:tcPr>
          <w:p>
            <w:pPr>
              <w:ind w:left="180"/>
              <w:spacing w:after="0"/>
              <w:rPr>
                <w:sz w:val="20"/>
                <w:szCs w:val="20"/>
                <w:color w:val="auto"/>
              </w:rPr>
            </w:pPr>
            <w:r>
              <w:rPr>
                <w:rFonts w:ascii="Arial" w:cs="Arial" w:eastAsia="Arial" w:hAnsi="Arial"/>
                <w:sz w:val="16"/>
                <w:szCs w:val="16"/>
                <w:color w:val="auto"/>
              </w:rPr>
              <w:t>Translation adjustments</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(16,944)</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(19,111)</w:t>
            </w:r>
          </w:p>
        </w:tc>
      </w:tr>
      <w:tr>
        <w:trPr>
          <w:trHeight w:val="189"/>
        </w:trPr>
        <w:tc>
          <w:tcPr>
            <w:tcW w:w="7280" w:type="dxa"/>
            <w:vAlign w:val="bottom"/>
          </w:tcPr>
          <w:p>
            <w:pPr>
              <w:ind w:left="180"/>
              <w:spacing w:after="0"/>
              <w:rPr>
                <w:sz w:val="20"/>
                <w:szCs w:val="20"/>
                <w:color w:val="auto"/>
              </w:rPr>
            </w:pPr>
            <w:r>
              <w:rPr>
                <w:rFonts w:ascii="Arial" w:cs="Arial" w:eastAsia="Arial" w:hAnsi="Arial"/>
                <w:sz w:val="16"/>
                <w:szCs w:val="16"/>
                <w:color w:val="auto"/>
              </w:rPr>
              <w:t>Pension and postretirement liability adjustments</w:t>
            </w:r>
          </w:p>
        </w:tc>
        <w:tc>
          <w:tcPr>
            <w:tcW w:w="2020" w:type="dxa"/>
            <w:vAlign w:val="bottom"/>
          </w:tcPr>
          <w:p>
            <w:pPr>
              <w:jc w:val="right"/>
              <w:spacing w:after="0"/>
              <w:rPr>
                <w:sz w:val="20"/>
                <w:szCs w:val="20"/>
                <w:color w:val="auto"/>
              </w:rPr>
            </w:pPr>
            <w:r>
              <w:rPr>
                <w:rFonts w:ascii="Arial" w:cs="Arial" w:eastAsia="Arial" w:hAnsi="Arial"/>
                <w:sz w:val="16"/>
                <w:szCs w:val="16"/>
                <w:color w:val="auto"/>
              </w:rPr>
              <w:t>(51,871)</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(118,104)</w:t>
            </w:r>
          </w:p>
        </w:tc>
      </w:tr>
      <w:tr>
        <w:trPr>
          <w:trHeight w:val="189"/>
        </w:trPr>
        <w:tc>
          <w:tcPr>
            <w:tcW w:w="7280" w:type="dxa"/>
            <w:vAlign w:val="bottom"/>
            <w:shd w:val="clear" w:color="auto" w:fill="BFBFBF"/>
          </w:tcPr>
          <w:p>
            <w:pPr>
              <w:ind w:left="180"/>
              <w:spacing w:after="0"/>
              <w:rPr>
                <w:sz w:val="20"/>
                <w:szCs w:val="20"/>
                <w:color w:val="auto"/>
              </w:rPr>
            </w:pPr>
            <w:r>
              <w:rPr>
                <w:rFonts w:ascii="Arial" w:cs="Arial" w:eastAsia="Arial" w:hAnsi="Arial"/>
                <w:sz w:val="16"/>
                <w:szCs w:val="16"/>
                <w:color w:val="auto"/>
              </w:rPr>
              <w:t>Derivative valuation adjustment</w:t>
            </w: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BFBFBF"/>
          </w:tcPr>
          <w:p>
            <w:pPr>
              <w:spacing w:after="0"/>
              <w:rPr>
                <w:sz w:val="16"/>
                <w:szCs w:val="16"/>
                <w:color w:val="auto"/>
              </w:rPr>
            </w:pPr>
          </w:p>
        </w:tc>
        <w:tc>
          <w:tcPr>
            <w:tcW w:w="20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(2,594)</w:t>
            </w:r>
          </w:p>
        </w:tc>
      </w:tr>
      <w:tr>
        <w:trPr>
          <w:trHeight w:val="191"/>
        </w:trPr>
        <w:tc>
          <w:tcPr>
            <w:tcW w:w="7280" w:type="dxa"/>
            <w:vAlign w:val="bottom"/>
          </w:tcPr>
          <w:p>
            <w:pPr>
              <w:ind w:left="100"/>
              <w:spacing w:after="0"/>
              <w:rPr>
                <w:sz w:val="20"/>
                <w:szCs w:val="20"/>
                <w:color w:val="auto"/>
              </w:rPr>
            </w:pPr>
            <w:r>
              <w:rPr>
                <w:rFonts w:ascii="Arial" w:cs="Arial" w:eastAsia="Arial" w:hAnsi="Arial"/>
                <w:sz w:val="16"/>
                <w:szCs w:val="16"/>
                <w:color w:val="auto"/>
              </w:rPr>
              <w:t>Treasury stock (Class A), at cost 8,467,873 shares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7"/>
        </w:trPr>
        <w:tc>
          <w:tcPr>
            <w:tcW w:w="7280" w:type="dxa"/>
            <w:vAlign w:val="bottom"/>
            <w:tcBorders>
              <w:bottom w:val="single" w:sz="8" w:color="BFBFBF"/>
            </w:tcBorders>
          </w:tcPr>
          <w:p>
            <w:pPr>
              <w:ind w:left="180"/>
              <w:spacing w:after="0"/>
              <w:rPr>
                <w:sz w:val="20"/>
                <w:szCs w:val="20"/>
                <w:color w:val="auto"/>
              </w:rPr>
            </w:pPr>
            <w:r>
              <w:rPr>
                <w:rFonts w:ascii="Arial" w:cs="Arial" w:eastAsia="Arial" w:hAnsi="Arial"/>
                <w:sz w:val="16"/>
                <w:szCs w:val="16"/>
                <w:color w:val="auto"/>
              </w:rPr>
              <w:t>in 2012, and 8,479,487 shares in 2011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(257,664)</w:t>
            </w:r>
          </w:p>
        </w:tc>
        <w:tc>
          <w:tcPr>
            <w:tcW w:w="100" w:type="dxa"/>
            <w:vAlign w:val="bottom"/>
            <w:tcBorders>
              <w:bottom w:val="single" w:sz="8" w:color="BFBFBF"/>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(257,920)</w:t>
            </w:r>
          </w:p>
        </w:tc>
      </w:tr>
      <w:tr>
        <w:trPr>
          <w:trHeight w:val="183"/>
        </w:trPr>
        <w:tc>
          <w:tcPr>
            <w:tcW w:w="7280" w:type="dxa"/>
            <w:vAlign w:val="bottom"/>
            <w:shd w:val="clear" w:color="auto" w:fill="BFBFBF"/>
          </w:tcPr>
          <w:p>
            <w:pPr>
              <w:ind w:left="280"/>
              <w:spacing w:after="0" w:line="183" w:lineRule="exact"/>
              <w:rPr>
                <w:sz w:val="20"/>
                <w:szCs w:val="20"/>
                <w:color w:val="auto"/>
              </w:rPr>
            </w:pPr>
            <w:r>
              <w:rPr>
                <w:rFonts w:ascii="Arial" w:cs="Arial" w:eastAsia="Arial" w:hAnsi="Arial"/>
                <w:sz w:val="16"/>
                <w:szCs w:val="16"/>
                <w:color w:val="auto"/>
              </w:rPr>
              <w:t>Total shareholders' equity</w:t>
            </w:r>
          </w:p>
        </w:tc>
        <w:tc>
          <w:tcPr>
            <w:tcW w:w="202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496,175</w:t>
            </w:r>
          </w:p>
        </w:tc>
        <w:tc>
          <w:tcPr>
            <w:tcW w:w="100" w:type="dxa"/>
            <w:vAlign w:val="bottom"/>
            <w:shd w:val="clear" w:color="auto" w:fill="BFBFBF"/>
          </w:tcPr>
          <w:p>
            <w:pPr>
              <w:spacing w:after="0"/>
              <w:rPr>
                <w:sz w:val="15"/>
                <w:szCs w:val="15"/>
                <w:color w:val="auto"/>
              </w:rPr>
            </w:pPr>
          </w:p>
        </w:tc>
        <w:tc>
          <w:tcPr>
            <w:tcW w:w="202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415,850</w:t>
            </w:r>
          </w:p>
        </w:tc>
      </w:tr>
      <w:tr>
        <w:trPr>
          <w:trHeight w:val="190"/>
        </w:trPr>
        <w:tc>
          <w:tcPr>
            <w:tcW w:w="7280" w:type="dxa"/>
            <w:vAlign w:val="bottom"/>
          </w:tcPr>
          <w:p>
            <w:pPr>
              <w:ind w:left="28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2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$1,130,697</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$1,230,928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5" w:name="page6"/>
    <w:bookmarkEnd w:id="5"/>
    <w:p>
      <w:pPr>
        <w:jc w:val="center"/>
        <w:ind w:left="2740"/>
        <w:spacing w:after="0"/>
        <w:rPr>
          <w:sz w:val="20"/>
          <w:szCs w:val="20"/>
          <w:color w:val="auto"/>
        </w:rPr>
      </w:pPr>
      <w:r>
        <w:rPr>
          <w:rFonts w:ascii="Arial" w:cs="Arial" w:eastAsia="Arial" w:hAnsi="Arial"/>
          <w:sz w:val="18"/>
          <w:szCs w:val="18"/>
          <w:color w:val="auto"/>
        </w:rPr>
        <w:t>ALBANY INTERNATIONAL CORP.</w:t>
      </w:r>
    </w:p>
    <w:p>
      <w:pPr>
        <w:jc w:val="center"/>
        <w:ind w:left="2740"/>
        <w:spacing w:after="0"/>
        <w:rPr>
          <w:sz w:val="20"/>
          <w:szCs w:val="20"/>
          <w:color w:val="auto"/>
        </w:rPr>
      </w:pPr>
      <w:r>
        <w:rPr>
          <w:rFonts w:ascii="Arial" w:cs="Arial" w:eastAsia="Arial" w:hAnsi="Arial"/>
          <w:sz w:val="17"/>
          <w:szCs w:val="17"/>
          <w:color w:val="auto"/>
        </w:rPr>
        <w:t>CONSOLIDATED STATEMENTS OF CASH FLOWS</w:t>
      </w:r>
    </w:p>
    <w:p>
      <w:pPr>
        <w:spacing w:after="0" w:line="3" w:lineRule="exact"/>
        <w:rPr>
          <w:sz w:val="20"/>
          <w:szCs w:val="20"/>
          <w:color w:val="auto"/>
        </w:rPr>
      </w:pPr>
    </w:p>
    <w:p>
      <w:pPr>
        <w:jc w:val="center"/>
        <w:ind w:left="2740"/>
        <w:spacing w:after="0"/>
        <w:rPr>
          <w:sz w:val="20"/>
          <w:szCs w:val="20"/>
          <w:color w:val="auto"/>
        </w:rPr>
      </w:pPr>
      <w:r>
        <w:rPr>
          <w:rFonts w:ascii="Arial" w:cs="Arial" w:eastAsia="Arial" w:hAnsi="Arial"/>
          <w:sz w:val="18"/>
          <w:szCs w:val="18"/>
          <w:color w:val="auto"/>
        </w:rPr>
        <w:t>(in thousands)</w:t>
      </w:r>
    </w:p>
    <w:p>
      <w:pPr>
        <w:jc w:val="center"/>
        <w:ind w:left="274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p>
      <w:pPr>
        <w:jc w:val="center"/>
        <w:ind w:right="6020"/>
        <w:spacing w:after="0"/>
        <w:rPr>
          <w:sz w:val="20"/>
          <w:szCs w:val="20"/>
          <w:color w:val="auto"/>
        </w:rPr>
      </w:pPr>
      <w:r>
        <w:rPr>
          <w:rFonts w:ascii="Arial" w:cs="Arial" w:eastAsia="Arial" w:hAnsi="Arial"/>
          <w:sz w:val="16"/>
          <w:szCs w:val="16"/>
          <w:color w:val="auto"/>
        </w:rPr>
        <w:t>Three Months Ended</w:t>
      </w:r>
    </w:p>
    <w:p>
      <w:pPr>
        <w:spacing w:after="0" w:line="5" w:lineRule="exact"/>
        <w:rPr>
          <w:sz w:val="20"/>
          <w:szCs w:val="20"/>
          <w:color w:val="auto"/>
        </w:rPr>
      </w:pPr>
    </w:p>
    <w:p>
      <w:pPr>
        <w:jc w:val="center"/>
        <w:ind w:right="6020"/>
        <w:spacing w:after="0"/>
        <w:rPr>
          <w:sz w:val="20"/>
          <w:szCs w:val="20"/>
          <w:color w:val="auto"/>
        </w:rPr>
      </w:pPr>
      <w:r>
        <w:rPr>
          <w:rFonts w:ascii="Arial" w:cs="Arial" w:eastAsia="Arial" w:hAnsi="Arial"/>
          <w:sz w:val="16"/>
          <w:szCs w:val="16"/>
          <w:color w:val="auto"/>
        </w:rPr>
        <w:t>September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Nine Months Ended</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September 30,</w:t>
      </w:r>
    </w:p>
    <w:p>
      <w:pPr>
        <w:spacing w:after="0" w:line="194" w:lineRule="exact"/>
        <w:rPr>
          <w:sz w:val="20"/>
          <w:szCs w:val="20"/>
          <w:color w:val="auto"/>
        </w:rPr>
      </w:pPr>
    </w:p>
    <w:p>
      <w:pPr>
        <w:sectPr>
          <w:pgSz w:w="11900" w:h="16838" w:orient="portrait"/>
          <w:cols w:equalWidth="0" w:num="2">
            <w:col w:w="8680" w:space="720"/>
            <w:col w:w="2020"/>
          </w:cols>
          <w:pgMar w:left="240" w:top="566" w:right="239" w:bottom="1440" w:gutter="0" w:footer="0" w:header="0"/>
        </w:sectPr>
      </w:pPr>
    </w:p>
    <w:tbl>
      <w:tblPr>
        <w:tblLayout w:type="fixed"/>
        <w:tblInd w:w="0" w:type="dxa"/>
        <w:tblCellMar>
          <w:top w:w="0" w:type="dxa"/>
          <w:left w:w="0" w:type="dxa"/>
          <w:bottom w:w="0" w:type="dxa"/>
          <w:right w:w="0" w:type="dxa"/>
        </w:tblCellMar>
      </w:tblPr>
      <w:tr>
        <w:trPr>
          <w:trHeight w:val="187"/>
        </w:trPr>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2012</w:t>
            </w:r>
          </w:p>
        </w:tc>
        <w:tc>
          <w:tcPr>
            <w:tcW w:w="340" w:type="dxa"/>
            <w:vAlign w:val="bottom"/>
          </w:tcPr>
          <w:p>
            <w:pPr>
              <w:spacing w:after="0"/>
              <w:rPr>
                <w:sz w:val="16"/>
                <w:szCs w:val="16"/>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2011</w:t>
            </w:r>
          </w:p>
        </w:tc>
      </w:tr>
      <w:tr>
        <w:trPr>
          <w:trHeight w:val="379"/>
        </w:trPr>
        <w:tc>
          <w:tcPr>
            <w:tcW w:w="1160" w:type="dxa"/>
            <w:vAlign w:val="bottom"/>
          </w:tcPr>
          <w:p>
            <w:pPr>
              <w:jc w:val="right"/>
              <w:spacing w:after="0"/>
              <w:rPr>
                <w:sz w:val="20"/>
                <w:szCs w:val="20"/>
                <w:color w:val="auto"/>
              </w:rPr>
            </w:pPr>
            <w:r>
              <w:rPr>
                <w:rFonts w:ascii="Arial" w:cs="Arial" w:eastAsia="Arial" w:hAnsi="Arial"/>
                <w:sz w:val="16"/>
                <w:szCs w:val="16"/>
                <w:color w:val="auto"/>
              </w:rPr>
              <w:t>$9,463</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$16,674</w:t>
            </w:r>
          </w:p>
        </w:tc>
      </w:tr>
      <w:tr>
        <w:trPr>
          <w:trHeight w:val="373"/>
        </w:trPr>
        <w:tc>
          <w:tcPr>
            <w:tcW w:w="1160" w:type="dxa"/>
            <w:vAlign w:val="bottom"/>
          </w:tcPr>
          <w:p>
            <w:pPr>
              <w:jc w:val="right"/>
              <w:spacing w:after="0"/>
              <w:rPr>
                <w:sz w:val="20"/>
                <w:szCs w:val="20"/>
                <w:color w:val="auto"/>
              </w:rPr>
            </w:pPr>
            <w:r>
              <w:rPr>
                <w:rFonts w:ascii="Arial" w:cs="Arial" w:eastAsia="Arial" w:hAnsi="Arial"/>
                <w:sz w:val="16"/>
                <w:szCs w:val="16"/>
                <w:color w:val="auto"/>
              </w:rPr>
              <w:t>13,953</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14,407</w:t>
            </w:r>
          </w:p>
        </w:tc>
      </w:tr>
      <w:tr>
        <w:trPr>
          <w:trHeight w:val="189"/>
        </w:trPr>
        <w:tc>
          <w:tcPr>
            <w:tcW w:w="1160" w:type="dxa"/>
            <w:vAlign w:val="bottom"/>
          </w:tcPr>
          <w:p>
            <w:pPr>
              <w:jc w:val="right"/>
              <w:spacing w:after="0"/>
              <w:rPr>
                <w:sz w:val="20"/>
                <w:szCs w:val="20"/>
                <w:color w:val="auto"/>
              </w:rPr>
            </w:pPr>
            <w:r>
              <w:rPr>
                <w:rFonts w:ascii="Arial" w:cs="Arial" w:eastAsia="Arial" w:hAnsi="Arial"/>
                <w:sz w:val="16"/>
                <w:szCs w:val="16"/>
                <w:color w:val="auto"/>
              </w:rPr>
              <w:t>1,593</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2,261</w:t>
            </w:r>
          </w:p>
        </w:tc>
      </w:tr>
      <w:tr>
        <w:trPr>
          <w:trHeight w:val="189"/>
        </w:trPr>
        <w:tc>
          <w:tcPr>
            <w:tcW w:w="1160" w:type="dxa"/>
            <w:vAlign w:val="bottom"/>
          </w:tcPr>
          <w:p>
            <w:pPr>
              <w:jc w:val="right"/>
              <w:spacing w:after="0"/>
              <w:rPr>
                <w:sz w:val="20"/>
                <w:szCs w:val="20"/>
                <w:color w:val="auto"/>
              </w:rPr>
            </w:pPr>
            <w:r>
              <w:rPr>
                <w:rFonts w:ascii="Arial" w:cs="Arial" w:eastAsia="Arial" w:hAnsi="Arial"/>
                <w:sz w:val="16"/>
                <w:szCs w:val="16"/>
                <w:color w:val="auto"/>
              </w:rPr>
              <w:t>210</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189"/>
        </w:trPr>
        <w:tc>
          <w:tcPr>
            <w:tcW w:w="1160" w:type="dxa"/>
            <w:vAlign w:val="bottom"/>
          </w:tcPr>
          <w:p>
            <w:pPr>
              <w:jc w:val="right"/>
              <w:spacing w:after="0"/>
              <w:rPr>
                <w:sz w:val="20"/>
                <w:szCs w:val="20"/>
                <w:color w:val="auto"/>
              </w:rPr>
            </w:pPr>
            <w:r>
              <w:rPr>
                <w:rFonts w:ascii="Arial" w:cs="Arial" w:eastAsia="Arial" w:hAnsi="Arial"/>
                <w:sz w:val="16"/>
                <w:szCs w:val="16"/>
                <w:color w:val="auto"/>
              </w:rPr>
              <w:t>1,478</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(11,021)</w:t>
            </w:r>
          </w:p>
        </w:tc>
      </w:tr>
      <w:tr>
        <w:trPr>
          <w:trHeight w:val="189"/>
        </w:trPr>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1160" w:type="dxa"/>
            <w:vAlign w:val="bottom"/>
          </w:tcPr>
          <w:p>
            <w:pPr>
              <w:jc w:val="right"/>
              <w:spacing w:after="0"/>
              <w:rPr>
                <w:sz w:val="20"/>
                <w:szCs w:val="20"/>
                <w:color w:val="auto"/>
              </w:rPr>
            </w:pPr>
            <w:r>
              <w:rPr>
                <w:rFonts w:ascii="Arial" w:cs="Arial" w:eastAsia="Arial" w:hAnsi="Arial"/>
                <w:sz w:val="16"/>
                <w:szCs w:val="16"/>
                <w:color w:val="auto"/>
              </w:rPr>
              <w:t>301</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bl>
    <w:p>
      <w:pPr>
        <w:ind w:left="2360" w:hanging="1492"/>
        <w:spacing w:after="0"/>
        <w:tabs>
          <w:tab w:leader="none" w:pos="2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(18)</w:t>
      </w:r>
    </w:p>
    <w:p>
      <w:pPr>
        <w:spacing w:after="0" w:line="5" w:lineRule="exact"/>
        <w:rPr>
          <w:sz w:val="20"/>
          <w:szCs w:val="20"/>
          <w:color w:val="auto"/>
        </w:rPr>
      </w:pPr>
    </w:p>
    <w:p>
      <w:pPr>
        <w:ind w:left="840"/>
        <w:spacing w:after="0"/>
        <w:tabs>
          <w:tab w:leader="none" w:pos="2320" w:val="left"/>
        </w:tabs>
        <w:rPr>
          <w:sz w:val="20"/>
          <w:szCs w:val="20"/>
          <w:color w:val="auto"/>
        </w:rPr>
      </w:pPr>
      <w:r>
        <w:rPr>
          <w:rFonts w:ascii="Arial" w:cs="Arial" w:eastAsia="Arial" w:hAnsi="Arial"/>
          <w:sz w:val="16"/>
          <w:szCs w:val="16"/>
          <w:color w:val="auto"/>
        </w:rPr>
        <w:t>392</w:t>
      </w:r>
      <w:r>
        <w:rPr>
          <w:sz w:val="20"/>
          <w:szCs w:val="20"/>
          <w:color w:val="auto"/>
        </w:rPr>
        <w:tab/>
      </w:r>
      <w:r>
        <w:rPr>
          <w:rFonts w:ascii="Arial" w:cs="Arial" w:eastAsia="Arial" w:hAnsi="Arial"/>
          <w:sz w:val="16"/>
          <w:szCs w:val="16"/>
          <w:color w:val="auto"/>
        </w:rPr>
        <w:t>679</w:t>
      </w:r>
    </w:p>
    <w:p>
      <w:pPr>
        <w:spacing w:after="0" w:line="200" w:lineRule="exact"/>
        <w:rPr>
          <w:sz w:val="20"/>
          <w:szCs w:val="20"/>
          <w:color w:val="auto"/>
        </w:rPr>
      </w:pPr>
    </w:p>
    <w:p>
      <w:pPr>
        <w:spacing w:after="0" w:line="372" w:lineRule="exact"/>
        <w:rPr>
          <w:sz w:val="20"/>
          <w:szCs w:val="20"/>
          <w:color w:val="auto"/>
        </w:rPr>
      </w:pPr>
    </w:p>
    <w:tbl>
      <w:tblPr>
        <w:tblLayout w:type="fixed"/>
        <w:tblInd w:w="640" w:type="dxa"/>
        <w:tblCellMar>
          <w:top w:w="0" w:type="dxa"/>
          <w:left w:w="0" w:type="dxa"/>
          <w:bottom w:w="0" w:type="dxa"/>
          <w:right w:w="0" w:type="dxa"/>
        </w:tblCellMar>
      </w:tblPr>
      <w:tr>
        <w:trPr>
          <w:trHeight w:val="189"/>
        </w:trPr>
        <w:tc>
          <w:tcPr>
            <w:tcW w:w="960" w:type="dxa"/>
            <w:vAlign w:val="bottom"/>
          </w:tcPr>
          <w:p>
            <w:pPr>
              <w:jc w:val="right"/>
              <w:ind w:right="399"/>
              <w:spacing w:after="0"/>
              <w:rPr>
                <w:sz w:val="20"/>
                <w:szCs w:val="20"/>
                <w:color w:val="auto"/>
              </w:rPr>
            </w:pPr>
            <w:r>
              <w:rPr>
                <w:rFonts w:ascii="Arial" w:cs="Arial" w:eastAsia="Arial" w:hAnsi="Arial"/>
                <w:sz w:val="16"/>
                <w:szCs w:val="16"/>
                <w:color w:val="auto"/>
              </w:rPr>
              <w:t>3,655</w:t>
            </w:r>
          </w:p>
        </w:tc>
        <w:tc>
          <w:tcPr>
            <w:tcW w:w="1060" w:type="dxa"/>
            <w:vAlign w:val="bottom"/>
          </w:tcPr>
          <w:p>
            <w:pPr>
              <w:jc w:val="right"/>
              <w:spacing w:after="0"/>
              <w:rPr>
                <w:sz w:val="20"/>
                <w:szCs w:val="20"/>
                <w:color w:val="auto"/>
              </w:rPr>
            </w:pPr>
            <w:r>
              <w:rPr>
                <w:rFonts w:ascii="Arial" w:cs="Arial" w:eastAsia="Arial" w:hAnsi="Arial"/>
                <w:sz w:val="16"/>
                <w:szCs w:val="16"/>
                <w:color w:val="auto"/>
              </w:rPr>
              <w:t>(17,091)</w:t>
            </w:r>
          </w:p>
        </w:tc>
      </w:tr>
      <w:tr>
        <w:trPr>
          <w:trHeight w:val="189"/>
        </w:trPr>
        <w:tc>
          <w:tcPr>
            <w:tcW w:w="960" w:type="dxa"/>
            <w:vAlign w:val="bottom"/>
          </w:tcPr>
          <w:p>
            <w:pPr>
              <w:jc w:val="right"/>
              <w:ind w:right="399"/>
              <w:spacing w:after="0"/>
              <w:rPr>
                <w:sz w:val="20"/>
                <w:szCs w:val="20"/>
                <w:color w:val="auto"/>
              </w:rPr>
            </w:pPr>
            <w:r>
              <w:rPr>
                <w:rFonts w:ascii="Arial" w:cs="Arial" w:eastAsia="Arial" w:hAnsi="Arial"/>
                <w:sz w:val="16"/>
                <w:szCs w:val="16"/>
                <w:color w:val="auto"/>
              </w:rPr>
              <w:t>8,505</w:t>
            </w:r>
          </w:p>
        </w:tc>
        <w:tc>
          <w:tcPr>
            <w:tcW w:w="1060" w:type="dxa"/>
            <w:vAlign w:val="bottom"/>
          </w:tcPr>
          <w:p>
            <w:pPr>
              <w:jc w:val="right"/>
              <w:spacing w:after="0"/>
              <w:rPr>
                <w:sz w:val="20"/>
                <w:szCs w:val="20"/>
                <w:color w:val="auto"/>
              </w:rPr>
            </w:pPr>
            <w:r>
              <w:rPr>
                <w:rFonts w:ascii="Arial" w:cs="Arial" w:eastAsia="Arial" w:hAnsi="Arial"/>
                <w:sz w:val="16"/>
                <w:szCs w:val="16"/>
                <w:color w:val="auto"/>
              </w:rPr>
              <w:t>4,062</w:t>
            </w:r>
          </w:p>
        </w:tc>
      </w:tr>
      <w:tr>
        <w:trPr>
          <w:trHeight w:val="189"/>
        </w:trPr>
        <w:tc>
          <w:tcPr>
            <w:tcW w:w="960" w:type="dxa"/>
            <w:vAlign w:val="bottom"/>
          </w:tcPr>
          <w:p>
            <w:pPr>
              <w:jc w:val="right"/>
              <w:ind w:right="399"/>
              <w:spacing w:after="0"/>
              <w:rPr>
                <w:sz w:val="20"/>
                <w:szCs w:val="20"/>
                <w:color w:val="auto"/>
              </w:rPr>
            </w:pPr>
            <w:r>
              <w:rPr>
                <w:rFonts w:ascii="Arial" w:cs="Arial" w:eastAsia="Arial" w:hAnsi="Arial"/>
                <w:sz w:val="16"/>
                <w:szCs w:val="16"/>
                <w:color w:val="auto"/>
              </w:rPr>
              <w:t>746</w:t>
            </w:r>
          </w:p>
        </w:tc>
        <w:tc>
          <w:tcPr>
            <w:tcW w:w="106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189"/>
        </w:trPr>
        <w:tc>
          <w:tcPr>
            <w:tcW w:w="960" w:type="dxa"/>
            <w:vAlign w:val="bottom"/>
          </w:tcPr>
          <w:p>
            <w:pPr>
              <w:jc w:val="right"/>
              <w:ind w:right="359"/>
              <w:spacing w:after="0"/>
              <w:rPr>
                <w:sz w:val="20"/>
                <w:szCs w:val="20"/>
                <w:color w:val="auto"/>
              </w:rPr>
            </w:pPr>
            <w:r>
              <w:rPr>
                <w:rFonts w:ascii="Arial" w:cs="Arial" w:eastAsia="Arial" w:hAnsi="Arial"/>
                <w:sz w:val="16"/>
                <w:szCs w:val="16"/>
                <w:color w:val="auto"/>
                <w:w w:val="98"/>
              </w:rPr>
              <w:t>(4,216)</w:t>
            </w:r>
          </w:p>
        </w:tc>
        <w:tc>
          <w:tcPr>
            <w:tcW w:w="1060" w:type="dxa"/>
            <w:vAlign w:val="bottom"/>
          </w:tcPr>
          <w:p>
            <w:pPr>
              <w:jc w:val="right"/>
              <w:spacing w:after="0"/>
              <w:rPr>
                <w:sz w:val="20"/>
                <w:szCs w:val="20"/>
                <w:color w:val="auto"/>
              </w:rPr>
            </w:pPr>
            <w:r>
              <w:rPr>
                <w:rFonts w:ascii="Arial" w:cs="Arial" w:eastAsia="Arial" w:hAnsi="Arial"/>
                <w:sz w:val="16"/>
                <w:szCs w:val="16"/>
                <w:color w:val="auto"/>
              </w:rPr>
              <w:t>(2,897)</w:t>
            </w:r>
          </w:p>
        </w:tc>
      </w:tr>
      <w:tr>
        <w:trPr>
          <w:trHeight w:val="189"/>
        </w:trPr>
        <w:tc>
          <w:tcPr>
            <w:tcW w:w="960" w:type="dxa"/>
            <w:vAlign w:val="bottom"/>
          </w:tcPr>
          <w:p>
            <w:pPr>
              <w:jc w:val="right"/>
              <w:ind w:right="399"/>
              <w:spacing w:after="0"/>
              <w:rPr>
                <w:sz w:val="20"/>
                <w:szCs w:val="20"/>
                <w:color w:val="auto"/>
              </w:rPr>
            </w:pPr>
            <w:r>
              <w:rPr>
                <w:rFonts w:ascii="Arial" w:cs="Arial" w:eastAsia="Arial" w:hAnsi="Arial"/>
                <w:sz w:val="16"/>
                <w:szCs w:val="16"/>
                <w:color w:val="auto"/>
              </w:rPr>
              <w:t>5,707</w:t>
            </w:r>
          </w:p>
        </w:tc>
        <w:tc>
          <w:tcPr>
            <w:tcW w:w="1060" w:type="dxa"/>
            <w:vAlign w:val="bottom"/>
          </w:tcPr>
          <w:p>
            <w:pPr>
              <w:jc w:val="right"/>
              <w:spacing w:after="0"/>
              <w:rPr>
                <w:sz w:val="20"/>
                <w:szCs w:val="20"/>
                <w:color w:val="auto"/>
              </w:rPr>
            </w:pPr>
            <w:r>
              <w:rPr>
                <w:rFonts w:ascii="Arial" w:cs="Arial" w:eastAsia="Arial" w:hAnsi="Arial"/>
                <w:sz w:val="16"/>
                <w:szCs w:val="16"/>
                <w:color w:val="auto"/>
              </w:rPr>
              <w:t>9,226</w:t>
            </w:r>
          </w:p>
        </w:tc>
      </w:tr>
      <w:tr>
        <w:trPr>
          <w:trHeight w:val="189"/>
        </w:trPr>
        <w:tc>
          <w:tcPr>
            <w:tcW w:w="960" w:type="dxa"/>
            <w:vAlign w:val="bottom"/>
          </w:tcPr>
          <w:p>
            <w:pPr>
              <w:jc w:val="right"/>
              <w:ind w:right="399"/>
              <w:spacing w:after="0"/>
              <w:rPr>
                <w:sz w:val="20"/>
                <w:szCs w:val="20"/>
                <w:color w:val="auto"/>
              </w:rPr>
            </w:pPr>
            <w:r>
              <w:rPr>
                <w:rFonts w:ascii="Arial" w:cs="Arial" w:eastAsia="Arial" w:hAnsi="Arial"/>
                <w:sz w:val="16"/>
                <w:szCs w:val="16"/>
                <w:color w:val="auto"/>
              </w:rPr>
              <w:t>1,768</w:t>
            </w:r>
          </w:p>
        </w:tc>
        <w:tc>
          <w:tcPr>
            <w:tcW w:w="1060" w:type="dxa"/>
            <w:vAlign w:val="bottom"/>
          </w:tcPr>
          <w:p>
            <w:pPr>
              <w:jc w:val="right"/>
              <w:spacing w:after="0"/>
              <w:rPr>
                <w:sz w:val="20"/>
                <w:szCs w:val="20"/>
                <w:color w:val="auto"/>
              </w:rPr>
            </w:pPr>
            <w:r>
              <w:rPr>
                <w:rFonts w:ascii="Arial" w:cs="Arial" w:eastAsia="Arial" w:hAnsi="Arial"/>
                <w:sz w:val="16"/>
                <w:szCs w:val="16"/>
                <w:color w:val="auto"/>
              </w:rPr>
              <w:t>5,738</w:t>
            </w:r>
          </w:p>
        </w:tc>
      </w:tr>
    </w:tbl>
    <w:p>
      <w:pPr>
        <w:ind w:left="2360" w:hanging="1582"/>
        <w:spacing w:after="0"/>
        <w:tabs>
          <w:tab w:leader="none" w:pos="2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(25)</w:t>
      </w:r>
    </w:p>
    <w:p>
      <w:pPr>
        <w:spacing w:after="0" w:line="18"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43,17022,504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1680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77"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16"/>
          <w:szCs w:val="16"/>
          <w:color w:val="auto"/>
        </w:rPr>
        <w:t>(11,047)</w:t>
      </w:r>
      <w:r>
        <w:rPr>
          <w:sz w:val="20"/>
          <w:szCs w:val="20"/>
          <w:color w:val="auto"/>
        </w:rPr>
        <w:tab/>
      </w:r>
      <w:r>
        <w:rPr>
          <w:rFonts w:ascii="Arial" w:cs="Arial" w:eastAsia="Arial" w:hAnsi="Arial"/>
          <w:sz w:val="16"/>
          <w:szCs w:val="16"/>
          <w:color w:val="auto"/>
        </w:rPr>
        <w:t>(4,261)</w:t>
      </w:r>
    </w:p>
    <w:p>
      <w:pPr>
        <w:spacing w:after="0" w:line="5" w:lineRule="exact"/>
        <w:rPr>
          <w:sz w:val="20"/>
          <w:szCs w:val="20"/>
          <w:color w:val="auto"/>
        </w:rPr>
      </w:pPr>
    </w:p>
    <w:p>
      <w:pPr>
        <w:ind w:left="2280" w:hanging="1502"/>
        <w:spacing w:after="0"/>
        <w:tabs>
          <w:tab w:leader="none" w:pos="2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(346)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150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(11,193)</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(4,607)</w:t>
            </w:r>
          </w:p>
        </w:tc>
      </w:tr>
      <w:tr>
        <w:trPr>
          <w:trHeight w:val="563"/>
        </w:trPr>
        <w:tc>
          <w:tcPr>
            <w:tcW w:w="1160" w:type="dxa"/>
            <w:vAlign w:val="bottom"/>
          </w:tcPr>
          <w:p>
            <w:pPr>
              <w:jc w:val="right"/>
              <w:spacing w:after="0"/>
              <w:rPr>
                <w:sz w:val="20"/>
                <w:szCs w:val="20"/>
                <w:color w:val="auto"/>
              </w:rPr>
            </w:pPr>
            <w:r>
              <w:rPr>
                <w:rFonts w:ascii="Arial" w:cs="Arial" w:eastAsia="Arial" w:hAnsi="Arial"/>
                <w:sz w:val="16"/>
                <w:szCs w:val="16"/>
                <w:color w:val="auto"/>
              </w:rPr>
              <w:t>7,000</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189"/>
        </w:trPr>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(29,131)</w:t>
            </w:r>
          </w:p>
        </w:tc>
        <w:tc>
          <w:tcPr>
            <w:tcW w:w="1160" w:type="dxa"/>
            <w:vAlign w:val="bottom"/>
          </w:tcPr>
          <w:p>
            <w:pPr>
              <w:jc w:val="right"/>
              <w:spacing w:after="0"/>
              <w:rPr>
                <w:sz w:val="20"/>
                <w:szCs w:val="20"/>
                <w:color w:val="auto"/>
              </w:rPr>
            </w:pPr>
            <w:r>
              <w:rPr>
                <w:rFonts w:ascii="Arial" w:cs="Arial" w:eastAsia="Arial" w:hAnsi="Arial"/>
                <w:sz w:val="16"/>
                <w:szCs w:val="16"/>
                <w:color w:val="auto"/>
              </w:rPr>
              <w:t>(29,090)</w:t>
            </w:r>
          </w:p>
        </w:tc>
      </w:tr>
      <w:tr>
        <w:trPr>
          <w:trHeight w:val="189"/>
        </w:trPr>
        <w:tc>
          <w:tcPr>
            <w:tcW w:w="1160" w:type="dxa"/>
            <w:vAlign w:val="bottom"/>
          </w:tcPr>
          <w:p>
            <w:pPr>
              <w:jc w:val="right"/>
              <w:spacing w:after="0"/>
              <w:rPr>
                <w:sz w:val="20"/>
                <w:szCs w:val="20"/>
                <w:color w:val="auto"/>
              </w:rPr>
            </w:pPr>
            <w:r>
              <w:rPr>
                <w:rFonts w:ascii="Arial" w:cs="Arial" w:eastAsia="Arial" w:hAnsi="Arial"/>
                <w:sz w:val="16"/>
                <w:szCs w:val="16"/>
                <w:color w:val="auto"/>
              </w:rPr>
              <w:t>811</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r>
    </w:tbl>
    <w:p>
      <w:pPr>
        <w:ind w:left="2440" w:hanging="1509"/>
        <w:spacing w:after="0"/>
        <w:tabs>
          <w:tab w:leader="none" w:pos="2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18</w:t>
      </w:r>
    </w:p>
    <w:p>
      <w:pPr>
        <w:spacing w:after="0" w:line="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(4,390)(4,066)</w:t>
      </w:r>
    </w:p>
    <w:p>
      <w:pPr>
        <w:spacing w:after="0" w:line="19"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6"/>
          <w:szCs w:val="16"/>
          <w:color w:val="auto"/>
        </w:rPr>
        <w:t>(25,684)</w:t>
      </w:r>
      <w:r>
        <w:rPr>
          <w:sz w:val="20"/>
          <w:szCs w:val="20"/>
          <w:color w:val="auto"/>
        </w:rPr>
        <w:tab/>
      </w:r>
      <w:r>
        <w:rPr>
          <w:rFonts w:ascii="Arial" w:cs="Arial" w:eastAsia="Arial" w:hAnsi="Arial"/>
          <w:sz w:val="16"/>
          <w:szCs w:val="16"/>
          <w:color w:val="auto"/>
        </w:rPr>
        <w:t>(32,283)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80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88" w:lineRule="exact"/>
        <w:rPr>
          <w:sz w:val="20"/>
          <w:szCs w:val="20"/>
          <w:color w:val="auto"/>
        </w:rPr>
      </w:pPr>
    </w:p>
    <w:p>
      <w:pPr>
        <w:ind w:left="700"/>
        <w:spacing w:after="0"/>
        <w:tabs>
          <w:tab w:leader="none" w:pos="2040" w:val="left"/>
        </w:tabs>
        <w:rPr>
          <w:sz w:val="20"/>
          <w:szCs w:val="20"/>
          <w:color w:val="auto"/>
        </w:rPr>
      </w:pPr>
      <w:r>
        <w:rPr>
          <w:rFonts w:ascii="Arial" w:cs="Arial" w:eastAsia="Arial" w:hAnsi="Arial"/>
          <w:sz w:val="16"/>
          <w:szCs w:val="16"/>
          <w:color w:val="auto"/>
        </w:rPr>
        <w:t>3,054</w:t>
      </w:r>
      <w:r>
        <w:rPr>
          <w:sz w:val="20"/>
          <w:szCs w:val="20"/>
          <w:color w:val="auto"/>
        </w:rPr>
        <w:tab/>
      </w:r>
      <w:r>
        <w:rPr>
          <w:rFonts w:ascii="Arial" w:cs="Arial" w:eastAsia="Arial" w:hAnsi="Arial"/>
          <w:sz w:val="16"/>
          <w:szCs w:val="16"/>
          <w:color w:val="auto"/>
        </w:rPr>
        <w:t>(12,892)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80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88" w:lineRule="exact"/>
        <w:rPr>
          <w:sz w:val="20"/>
          <w:szCs w:val="20"/>
          <w:color w:val="auto"/>
        </w:rPr>
      </w:pPr>
    </w:p>
    <w:p>
      <w:pPr>
        <w:ind w:left="700"/>
        <w:spacing w:after="0"/>
        <w:tabs>
          <w:tab w:leader="none" w:pos="2040" w:val="left"/>
        </w:tabs>
        <w:rPr>
          <w:sz w:val="20"/>
          <w:szCs w:val="20"/>
          <w:color w:val="auto"/>
        </w:rPr>
      </w:pPr>
      <w:r>
        <w:rPr>
          <w:rFonts w:ascii="Arial" w:cs="Arial" w:eastAsia="Arial" w:hAnsi="Arial"/>
          <w:sz w:val="16"/>
          <w:szCs w:val="16"/>
          <w:color w:val="auto"/>
        </w:rPr>
        <w:t>9,347</w:t>
      </w:r>
      <w:r>
        <w:rPr>
          <w:sz w:val="20"/>
          <w:szCs w:val="20"/>
          <w:color w:val="auto"/>
        </w:rPr>
        <w:tab/>
      </w:r>
      <w:r>
        <w:rPr>
          <w:rFonts w:ascii="Arial" w:cs="Arial" w:eastAsia="Arial" w:hAnsi="Arial"/>
          <w:sz w:val="16"/>
          <w:szCs w:val="16"/>
          <w:color w:val="auto"/>
        </w:rPr>
        <w:t>(27,278)</w:t>
      </w:r>
    </w:p>
    <w:p>
      <w:pPr>
        <w:spacing w:after="0" w:line="5" w:lineRule="exact"/>
        <w:rPr>
          <w:sz w:val="20"/>
          <w:szCs w:val="20"/>
          <w:color w:val="auto"/>
        </w:rPr>
      </w:pPr>
    </w:p>
    <w:p>
      <w:pPr>
        <w:ind w:left="2280" w:hanging="1177"/>
        <w:spacing w:after="0"/>
        <w:tabs>
          <w:tab w:leader="none" w:pos="2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(306)</w:t>
      </w:r>
    </w:p>
    <w:p>
      <w:pPr>
        <w:spacing w:after="0" w:line="5"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164,592151,694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80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480"/>
        <w:spacing w:after="0"/>
        <w:tabs>
          <w:tab w:leader="none" w:pos="1960" w:val="left"/>
        </w:tabs>
        <w:rPr>
          <w:sz w:val="20"/>
          <w:szCs w:val="20"/>
          <w:color w:val="auto"/>
        </w:rPr>
      </w:pPr>
      <w:r>
        <w:rPr>
          <w:rFonts w:ascii="Arial" w:cs="Arial" w:eastAsia="Arial" w:hAnsi="Arial"/>
          <w:sz w:val="16"/>
          <w:szCs w:val="16"/>
          <w:color w:val="auto"/>
        </w:rPr>
        <w:t>$173,939</w:t>
      </w:r>
      <w:r>
        <w:rPr>
          <w:sz w:val="20"/>
          <w:szCs w:val="20"/>
          <w:color w:val="auto"/>
        </w:rPr>
        <w:tab/>
      </w:r>
      <w:r>
        <w:rPr>
          <w:rFonts w:ascii="Arial" w:cs="Arial" w:eastAsia="Arial" w:hAnsi="Arial"/>
          <w:sz w:val="16"/>
          <w:szCs w:val="16"/>
          <w:color w:val="auto"/>
        </w:rPr>
        <w:t>$124,110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808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Depreciation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Noncash interest expense</w:t>
      </w:r>
    </w:p>
    <w:p>
      <w:pPr>
        <w:spacing w:after="0" w:line="5" w:lineRule="exact"/>
        <w:rPr>
          <w:sz w:val="20"/>
          <w:szCs w:val="20"/>
          <w:color w:val="auto"/>
        </w:rPr>
      </w:pPr>
    </w:p>
    <w:p>
      <w:pPr>
        <w:ind w:left="380" w:right="880"/>
        <w:spacing w:after="0" w:line="246" w:lineRule="auto"/>
        <w:rPr>
          <w:sz w:val="20"/>
          <w:szCs w:val="20"/>
          <w:color w:val="auto"/>
        </w:rPr>
      </w:pPr>
      <w:r>
        <w:rPr>
          <w:rFonts w:ascii="Arial" w:cs="Arial" w:eastAsia="Arial" w:hAnsi="Arial"/>
          <w:sz w:val="16"/>
          <w:szCs w:val="16"/>
          <w:color w:val="auto"/>
        </w:rPr>
        <w:t>Change in long-term liabilities, deferred taxes and other credits Provision for write-off of property, plant and equipment Write-off of pension liability adjustment due to settlement (Gain) on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-359410</wp:posOffset>
            </wp:positionV>
            <wp:extent cx="72466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-119380</wp:posOffset>
            </wp:positionV>
            <wp:extent cx="72466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Excess tax benefit of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Compensation and benefits paid or payable in Class A Common Stock</w:t>
      </w:r>
    </w:p>
    <w:p>
      <w:pPr>
        <w:spacing w:after="0" w:line="194"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Changes in operating assets and liabilities, net of business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0</wp:posOffset>
            </wp:positionV>
            <wp:extent cx="72466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Accounts receivable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Accrued liabilities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Other, net</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by/(used in) operating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Purchases of property, plant and equipment</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Proceeds from sale of assets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Net cash (used in)/provided by investing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Proceeds from borrowings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Principal 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Proceeds from options exercised</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 of options exercised</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Net cash (used in) financing activities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130810</wp:posOffset>
            </wp:positionV>
            <wp:extent cx="72466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Increase/(decrease) in cash and cash equivalents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cash balances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1905</wp:posOffset>
            </wp:positionV>
            <wp:extent cx="72466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Cash and cash equivalents at beginning of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2012</w:t>
            </w:r>
          </w:p>
        </w:tc>
        <w:tc>
          <w:tcPr>
            <w:tcW w:w="340" w:type="dxa"/>
            <w:vAlign w:val="bottom"/>
          </w:tcPr>
          <w:p>
            <w:pPr>
              <w:spacing w:after="0"/>
              <w:rPr>
                <w:sz w:val="16"/>
                <w:szCs w:val="16"/>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2011</w:t>
            </w:r>
          </w:p>
        </w:tc>
      </w:tr>
      <w:tr>
        <w:trPr>
          <w:trHeight w:val="379"/>
        </w:trPr>
        <w:tc>
          <w:tcPr>
            <w:tcW w:w="1120" w:type="dxa"/>
            <w:vAlign w:val="bottom"/>
          </w:tcPr>
          <w:p>
            <w:pPr>
              <w:jc w:val="right"/>
              <w:spacing w:after="0"/>
              <w:rPr>
                <w:sz w:val="20"/>
                <w:szCs w:val="20"/>
                <w:color w:val="auto"/>
              </w:rPr>
            </w:pPr>
            <w:r>
              <w:rPr>
                <w:rFonts w:ascii="Arial" w:cs="Arial" w:eastAsia="Arial" w:hAnsi="Arial"/>
                <w:sz w:val="16"/>
                <w:szCs w:val="16"/>
                <w:color w:val="auto"/>
              </w:rPr>
              <w:t>$22,759</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$42,169</w:t>
            </w:r>
          </w:p>
        </w:tc>
      </w:tr>
      <w:tr>
        <w:trPr>
          <w:trHeight w:val="373"/>
        </w:trPr>
        <w:tc>
          <w:tcPr>
            <w:tcW w:w="1120" w:type="dxa"/>
            <w:vAlign w:val="bottom"/>
          </w:tcPr>
          <w:p>
            <w:pPr>
              <w:jc w:val="right"/>
              <w:spacing w:after="0"/>
              <w:rPr>
                <w:sz w:val="20"/>
                <w:szCs w:val="20"/>
                <w:color w:val="auto"/>
              </w:rPr>
            </w:pPr>
            <w:r>
              <w:rPr>
                <w:rFonts w:ascii="Arial" w:cs="Arial" w:eastAsia="Arial" w:hAnsi="Arial"/>
                <w:sz w:val="16"/>
                <w:szCs w:val="16"/>
                <w:color w:val="auto"/>
              </w:rPr>
              <w:t>42,638</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42,933</w:t>
            </w:r>
          </w:p>
        </w:tc>
      </w:tr>
      <w:tr>
        <w:trPr>
          <w:trHeight w:val="189"/>
        </w:trPr>
        <w:tc>
          <w:tcPr>
            <w:tcW w:w="1120" w:type="dxa"/>
            <w:vAlign w:val="bottom"/>
          </w:tcPr>
          <w:p>
            <w:pPr>
              <w:jc w:val="right"/>
              <w:spacing w:after="0"/>
              <w:rPr>
                <w:sz w:val="20"/>
                <w:szCs w:val="20"/>
                <w:color w:val="auto"/>
              </w:rPr>
            </w:pPr>
            <w:r>
              <w:rPr>
                <w:rFonts w:ascii="Arial" w:cs="Arial" w:eastAsia="Arial" w:hAnsi="Arial"/>
                <w:sz w:val="16"/>
                <w:szCs w:val="16"/>
                <w:color w:val="auto"/>
              </w:rPr>
              <w:t>4,862</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6,750</w:t>
            </w:r>
          </w:p>
        </w:tc>
      </w:tr>
      <w:tr>
        <w:trPr>
          <w:trHeight w:val="189"/>
        </w:trPr>
        <w:tc>
          <w:tcPr>
            <w:tcW w:w="1120" w:type="dxa"/>
            <w:vAlign w:val="bottom"/>
          </w:tcPr>
          <w:p>
            <w:pPr>
              <w:jc w:val="right"/>
              <w:spacing w:after="0"/>
              <w:rPr>
                <w:sz w:val="20"/>
                <w:szCs w:val="20"/>
                <w:color w:val="auto"/>
              </w:rPr>
            </w:pPr>
            <w:r>
              <w:rPr>
                <w:rFonts w:ascii="Arial" w:cs="Arial" w:eastAsia="Arial" w:hAnsi="Arial"/>
                <w:sz w:val="16"/>
                <w:szCs w:val="16"/>
                <w:color w:val="auto"/>
              </w:rPr>
              <w:t>824</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189"/>
        </w:trPr>
        <w:tc>
          <w:tcPr>
            <w:tcW w:w="1120" w:type="dxa"/>
            <w:vAlign w:val="bottom"/>
          </w:tcPr>
          <w:p>
            <w:pPr>
              <w:jc w:val="right"/>
              <w:spacing w:after="0"/>
              <w:rPr>
                <w:sz w:val="20"/>
                <w:szCs w:val="20"/>
                <w:color w:val="auto"/>
              </w:rPr>
            </w:pPr>
            <w:r>
              <w:rPr>
                <w:rFonts w:ascii="Arial" w:cs="Arial" w:eastAsia="Arial" w:hAnsi="Arial"/>
                <w:sz w:val="16"/>
                <w:szCs w:val="16"/>
                <w:color w:val="auto"/>
              </w:rPr>
              <w:t>(116,374)</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(11,045)</w:t>
            </w:r>
          </w:p>
        </w:tc>
      </w:tr>
      <w:tr>
        <w:trPr>
          <w:trHeight w:val="189"/>
        </w:trPr>
        <w:tc>
          <w:tcPr>
            <w:tcW w:w="1120" w:type="dxa"/>
            <w:vAlign w:val="bottom"/>
          </w:tcPr>
          <w:p>
            <w:pPr>
              <w:jc w:val="right"/>
              <w:spacing w:after="0"/>
              <w:rPr>
                <w:sz w:val="20"/>
                <w:szCs w:val="20"/>
                <w:color w:val="auto"/>
              </w:rPr>
            </w:pPr>
            <w:r>
              <w:rPr>
                <w:rFonts w:ascii="Arial" w:cs="Arial" w:eastAsia="Arial" w:hAnsi="Arial"/>
                <w:sz w:val="16"/>
                <w:szCs w:val="16"/>
                <w:color w:val="auto"/>
              </w:rPr>
              <w:t>200</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189"/>
        </w:trPr>
        <w:tc>
          <w:tcPr>
            <w:tcW w:w="1120" w:type="dxa"/>
            <w:vAlign w:val="bottom"/>
          </w:tcPr>
          <w:p>
            <w:pPr>
              <w:jc w:val="right"/>
              <w:spacing w:after="0"/>
              <w:rPr>
                <w:sz w:val="20"/>
                <w:szCs w:val="20"/>
                <w:color w:val="auto"/>
              </w:rPr>
            </w:pPr>
            <w:r>
              <w:rPr>
                <w:rFonts w:ascii="Arial" w:cs="Arial" w:eastAsia="Arial" w:hAnsi="Arial"/>
                <w:sz w:val="16"/>
                <w:szCs w:val="16"/>
                <w:color w:val="auto"/>
              </w:rPr>
              <w:t>118,350</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1120" w:type="dxa"/>
            <w:vAlign w:val="bottom"/>
          </w:tcPr>
          <w:p>
            <w:pPr>
              <w:jc w:val="right"/>
              <w:spacing w:after="0"/>
              <w:rPr>
                <w:sz w:val="20"/>
                <w:szCs w:val="20"/>
                <w:color w:val="auto"/>
              </w:rPr>
            </w:pPr>
            <w:r>
              <w:rPr>
                <w:rFonts w:ascii="Arial" w:cs="Arial" w:eastAsia="Arial" w:hAnsi="Arial"/>
                <w:sz w:val="16"/>
                <w:szCs w:val="16"/>
                <w:color w:val="auto"/>
              </w:rPr>
              <w:t>(92,376)</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(1,022)</w:t>
            </w:r>
          </w:p>
        </w:tc>
      </w:tr>
    </w:tbl>
    <w:p>
      <w:pPr>
        <w:ind w:left="2320" w:hanging="1480"/>
        <w:spacing w:after="0"/>
        <w:tabs>
          <w:tab w:leader="none" w:pos="2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(53)</w:t>
      </w:r>
    </w:p>
    <w:p>
      <w:pPr>
        <w:spacing w:after="0" w:line="16" w:lineRule="exact"/>
        <w:rPr>
          <w:rFonts w:ascii="Arial" w:cs="Arial" w:eastAsia="Arial" w:hAnsi="Arial"/>
          <w:sz w:val="15"/>
          <w:szCs w:val="15"/>
          <w:color w:val="auto"/>
        </w:rPr>
      </w:pPr>
    </w:p>
    <w:p>
      <w:pPr>
        <w:ind w:left="680"/>
        <w:spacing w:after="0"/>
        <w:rPr>
          <w:rFonts w:ascii="Arial" w:cs="Arial" w:eastAsia="Arial" w:hAnsi="Arial"/>
          <w:sz w:val="15"/>
          <w:szCs w:val="15"/>
          <w:color w:val="auto"/>
        </w:rPr>
      </w:pPr>
      <w:r>
        <w:rPr>
          <w:rFonts w:ascii="Arial" w:cs="Arial" w:eastAsia="Arial" w:hAnsi="Arial"/>
          <w:sz w:val="16"/>
          <w:szCs w:val="16"/>
          <w:color w:val="auto"/>
        </w:rPr>
        <w:t>1,7951,969</w:t>
      </w:r>
    </w:p>
    <w:p>
      <w:pPr>
        <w:spacing w:after="0" w:line="200" w:lineRule="exact"/>
        <w:rPr>
          <w:sz w:val="20"/>
          <w:szCs w:val="20"/>
          <w:color w:val="auto"/>
        </w:rPr>
      </w:pPr>
    </w:p>
    <w:p>
      <w:pPr>
        <w:spacing w:after="0" w:line="372" w:lineRule="exact"/>
        <w:rPr>
          <w:sz w:val="20"/>
          <w:szCs w:val="20"/>
          <w:color w:val="auto"/>
        </w:rPr>
      </w:pPr>
    </w:p>
    <w:p>
      <w:pPr>
        <w:ind w:left="620"/>
        <w:spacing w:after="0"/>
        <w:tabs>
          <w:tab w:leader="none" w:pos="1980" w:val="left"/>
        </w:tabs>
        <w:rPr>
          <w:sz w:val="20"/>
          <w:szCs w:val="20"/>
          <w:color w:val="auto"/>
        </w:rPr>
      </w:pPr>
      <w:r>
        <w:rPr>
          <w:rFonts w:ascii="Arial" w:cs="Arial" w:eastAsia="Arial" w:hAnsi="Arial"/>
          <w:sz w:val="16"/>
          <w:szCs w:val="16"/>
          <w:color w:val="auto"/>
        </w:rPr>
        <w:t>(6,870)</w:t>
      </w:r>
      <w:r>
        <w:rPr>
          <w:sz w:val="20"/>
          <w:szCs w:val="20"/>
          <w:color w:val="auto"/>
        </w:rPr>
        <w:tab/>
      </w:r>
      <w:r>
        <w:rPr>
          <w:rFonts w:ascii="Arial" w:cs="Arial" w:eastAsia="Arial" w:hAnsi="Arial"/>
          <w:sz w:val="16"/>
          <w:szCs w:val="16"/>
          <w:color w:val="auto"/>
        </w:rPr>
        <w:t>(10,186)</w:t>
      </w:r>
    </w:p>
    <w:p>
      <w:pPr>
        <w:spacing w:after="0" w:line="5" w:lineRule="exact"/>
        <w:rPr>
          <w:sz w:val="20"/>
          <w:szCs w:val="20"/>
          <w:color w:val="auto"/>
        </w:rPr>
      </w:pPr>
    </w:p>
    <w:p>
      <w:pPr>
        <w:ind w:left="680"/>
        <w:spacing w:after="0"/>
        <w:tabs>
          <w:tab w:leader="none" w:pos="1980" w:val="left"/>
        </w:tabs>
        <w:rPr>
          <w:sz w:val="20"/>
          <w:szCs w:val="20"/>
          <w:color w:val="auto"/>
        </w:rPr>
      </w:pPr>
      <w:r>
        <w:rPr>
          <w:rFonts w:ascii="Arial" w:cs="Arial" w:eastAsia="Arial" w:hAnsi="Arial"/>
          <w:sz w:val="16"/>
          <w:szCs w:val="16"/>
          <w:color w:val="auto"/>
        </w:rPr>
        <w:t>8,376</w:t>
      </w:r>
      <w:r>
        <w:rPr>
          <w:sz w:val="20"/>
          <w:szCs w:val="20"/>
          <w:color w:val="auto"/>
        </w:rPr>
        <w:tab/>
      </w:r>
      <w:r>
        <w:rPr>
          <w:rFonts w:ascii="Arial" w:cs="Arial" w:eastAsia="Arial" w:hAnsi="Arial"/>
          <w:sz w:val="16"/>
          <w:szCs w:val="16"/>
          <w:color w:val="auto"/>
        </w:rPr>
        <w:t>(13,250)</w:t>
      </w:r>
    </w:p>
    <w:p>
      <w:pPr>
        <w:spacing w:after="0" w:line="5" w:lineRule="exact"/>
        <w:rPr>
          <w:sz w:val="20"/>
          <w:szCs w:val="20"/>
          <w:color w:val="auto"/>
        </w:rPr>
      </w:pPr>
    </w:p>
    <w:p>
      <w:pPr>
        <w:ind w:left="2080" w:hanging="1330"/>
        <w:spacing w:after="0"/>
        <w:tabs>
          <w:tab w:leader="none" w:pos="2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(2,192)</w:t>
      </w:r>
    </w:p>
    <w:p>
      <w:pPr>
        <w:spacing w:after="0" w:line="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(4,241)1,005</w:t>
      </w:r>
    </w:p>
    <w:p>
      <w:pPr>
        <w:spacing w:after="0" w:line="5" w:lineRule="exact"/>
        <w:rPr>
          <w:sz w:val="20"/>
          <w:szCs w:val="20"/>
          <w:color w:val="auto"/>
        </w:rPr>
      </w:pPr>
    </w:p>
    <w:p>
      <w:pPr>
        <w:ind w:left="580"/>
        <w:spacing w:after="0"/>
        <w:tabs>
          <w:tab w:leader="none" w:pos="2120" w:val="left"/>
        </w:tabs>
        <w:rPr>
          <w:sz w:val="20"/>
          <w:szCs w:val="20"/>
          <w:color w:val="auto"/>
        </w:rPr>
      </w:pPr>
      <w:r>
        <w:rPr>
          <w:rFonts w:ascii="Arial" w:cs="Arial" w:eastAsia="Arial" w:hAnsi="Arial"/>
          <w:sz w:val="16"/>
          <w:szCs w:val="16"/>
          <w:color w:val="auto"/>
        </w:rPr>
        <w:t>13,071</w:t>
      </w:r>
      <w:r>
        <w:rPr>
          <w:sz w:val="20"/>
          <w:szCs w:val="20"/>
          <w:color w:val="auto"/>
        </w:rPr>
        <w:tab/>
      </w:r>
      <w:r>
        <w:rPr>
          <w:rFonts w:ascii="Arial" w:cs="Arial" w:eastAsia="Arial" w:hAnsi="Arial"/>
          <w:sz w:val="16"/>
          <w:szCs w:val="16"/>
          <w:color w:val="auto"/>
        </w:rPr>
        <w:t>5,136</w:t>
      </w:r>
    </w:p>
    <w:p>
      <w:pPr>
        <w:spacing w:after="0" w:line="5" w:lineRule="exact"/>
        <w:rPr>
          <w:sz w:val="20"/>
          <w:szCs w:val="20"/>
          <w:color w:val="auto"/>
        </w:rPr>
      </w:pPr>
    </w:p>
    <w:p>
      <w:pPr>
        <w:ind w:left="2060" w:hanging="1310"/>
        <w:spacing w:after="0"/>
        <w:tabs>
          <w:tab w:leader="none" w:pos="2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10,597</w:t>
      </w:r>
    </w:p>
    <w:p>
      <w:pPr>
        <w:spacing w:after="0" w:line="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(2,242)822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520"/>
        <w:spacing w:after="0"/>
        <w:tabs>
          <w:tab w:leader="none" w:pos="2040" w:val="left"/>
        </w:tabs>
        <w:rPr>
          <w:sz w:val="20"/>
          <w:szCs w:val="20"/>
          <w:color w:val="auto"/>
        </w:rPr>
      </w:pPr>
      <w:r>
        <w:rPr>
          <w:rFonts w:ascii="Arial" w:cs="Arial" w:eastAsia="Arial" w:hAnsi="Arial"/>
          <w:sz w:val="16"/>
          <w:szCs w:val="16"/>
          <w:color w:val="auto"/>
        </w:rPr>
        <w:t>(10,278)</w:t>
      </w:r>
      <w:r>
        <w:rPr>
          <w:sz w:val="20"/>
          <w:szCs w:val="20"/>
          <w:color w:val="auto"/>
        </w:rPr>
        <w:tab/>
      </w:r>
      <w:r>
        <w:rPr>
          <w:rFonts w:ascii="Arial" w:cs="Arial" w:eastAsia="Arial" w:hAnsi="Arial"/>
          <w:sz w:val="16"/>
          <w:szCs w:val="16"/>
          <w:color w:val="auto"/>
        </w:rPr>
        <w:t>74,302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77" w:lineRule="exact"/>
        <w:rPr>
          <w:sz w:val="20"/>
          <w:szCs w:val="20"/>
          <w:color w:val="auto"/>
        </w:rPr>
      </w:pPr>
    </w:p>
    <w:p>
      <w:pPr>
        <w:ind w:left="520"/>
        <w:spacing w:after="0"/>
        <w:tabs>
          <w:tab w:leader="none" w:pos="1980" w:val="left"/>
        </w:tabs>
        <w:rPr>
          <w:sz w:val="20"/>
          <w:szCs w:val="20"/>
          <w:color w:val="auto"/>
        </w:rPr>
      </w:pPr>
      <w:r>
        <w:rPr>
          <w:rFonts w:ascii="Arial" w:cs="Arial" w:eastAsia="Arial" w:hAnsi="Arial"/>
          <w:sz w:val="16"/>
          <w:szCs w:val="16"/>
          <w:color w:val="auto"/>
        </w:rPr>
        <w:t>(25,237)</w:t>
      </w:r>
      <w:r>
        <w:rPr>
          <w:sz w:val="20"/>
          <w:szCs w:val="20"/>
          <w:color w:val="auto"/>
        </w:rPr>
        <w:tab/>
      </w:r>
      <w:r>
        <w:rPr>
          <w:rFonts w:ascii="Arial" w:cs="Arial" w:eastAsia="Arial" w:hAnsi="Arial"/>
          <w:sz w:val="16"/>
          <w:szCs w:val="16"/>
          <w:color w:val="auto"/>
        </w:rPr>
        <w:t>(18,155)</w:t>
      </w:r>
    </w:p>
    <w:p>
      <w:pPr>
        <w:spacing w:after="0" w:line="5" w:lineRule="exact"/>
        <w:rPr>
          <w:sz w:val="20"/>
          <w:szCs w:val="20"/>
          <w:color w:val="auto"/>
        </w:rPr>
      </w:pPr>
    </w:p>
    <w:p>
      <w:pPr>
        <w:ind w:left="2080" w:hanging="1330"/>
        <w:spacing w:after="0"/>
        <w:tabs>
          <w:tab w:leader="none" w:pos="2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(2,098)</w:t>
      </w:r>
    </w:p>
    <w:p>
      <w:pPr>
        <w:spacing w:after="0" w:line="5" w:lineRule="exact"/>
        <w:rPr>
          <w:rFonts w:ascii="Arial" w:cs="Arial" w:eastAsia="Arial" w:hAnsi="Arial"/>
          <w:sz w:val="16"/>
          <w:szCs w:val="16"/>
          <w:color w:val="auto"/>
        </w:rPr>
      </w:pPr>
    </w:p>
    <w:p>
      <w:pPr>
        <w:ind w:left="2140" w:hanging="1066"/>
        <w:spacing w:after="0"/>
        <w:tabs>
          <w:tab w:leader="none" w:pos="2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2,860</w:t>
      </w:r>
    </w:p>
    <w:p>
      <w:pPr>
        <w:spacing w:after="0" w:line="5" w:lineRule="exact"/>
        <w:rPr>
          <w:sz w:val="20"/>
          <w:szCs w:val="20"/>
          <w:color w:val="auto"/>
        </w:rPr>
      </w:pPr>
    </w:p>
    <w:p>
      <w:pPr>
        <w:ind w:left="500"/>
        <w:spacing w:after="0"/>
        <w:tabs>
          <w:tab w:leader="none" w:pos="2520" w:val="left"/>
        </w:tabs>
        <w:rPr>
          <w:sz w:val="20"/>
          <w:szCs w:val="20"/>
          <w:color w:val="auto"/>
        </w:rPr>
      </w:pPr>
      <w:r>
        <w:rPr>
          <w:rFonts w:ascii="Arial" w:cs="Arial" w:eastAsia="Arial" w:hAnsi="Arial"/>
          <w:sz w:val="16"/>
          <w:szCs w:val="16"/>
          <w:color w:val="auto"/>
        </w:rPr>
        <w:t>150,654</w:t>
      </w:r>
      <w:r>
        <w:rPr>
          <w:sz w:val="20"/>
          <w:szCs w:val="20"/>
          <w:color w:val="auto"/>
        </w:rPr>
        <w:tab/>
      </w:r>
      <w:r>
        <w:rPr>
          <w:rFonts w:ascii="Arial" w:cs="Arial" w:eastAsia="Arial" w:hAnsi="Arial"/>
          <w:sz w:val="16"/>
          <w:szCs w:val="16"/>
          <w:color w:val="auto"/>
        </w:rPr>
        <w:t>-</w:t>
      </w:r>
    </w:p>
    <w:p>
      <w:pPr>
        <w:spacing w:after="0" w:line="19"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16"/>
          <w:szCs w:val="16"/>
          <w:color w:val="auto"/>
        </w:rPr>
        <w:t>125,263</w:t>
      </w:r>
      <w:r>
        <w:rPr>
          <w:sz w:val="20"/>
          <w:szCs w:val="20"/>
          <w:color w:val="auto"/>
        </w:rPr>
        <w:tab/>
      </w:r>
      <w:r>
        <w:rPr>
          <w:rFonts w:ascii="Arial" w:cs="Arial" w:eastAsia="Arial" w:hAnsi="Arial"/>
          <w:sz w:val="16"/>
          <w:szCs w:val="16"/>
          <w:color w:val="auto"/>
        </w:rPr>
        <w:t>(17,393)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77"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1040" w:type="dxa"/>
            <w:vAlign w:val="bottom"/>
          </w:tcPr>
          <w:p>
            <w:pPr>
              <w:jc w:val="right"/>
              <w:ind w:right="399"/>
              <w:spacing w:after="0"/>
              <w:rPr>
                <w:sz w:val="20"/>
                <w:szCs w:val="20"/>
                <w:color w:val="auto"/>
              </w:rPr>
            </w:pPr>
            <w:r>
              <w:rPr>
                <w:rFonts w:ascii="Arial" w:cs="Arial" w:eastAsia="Arial" w:hAnsi="Arial"/>
                <w:sz w:val="16"/>
                <w:szCs w:val="16"/>
                <w:color w:val="auto"/>
              </w:rPr>
              <w:t>45,164</w:t>
            </w:r>
          </w:p>
        </w:tc>
        <w:tc>
          <w:tcPr>
            <w:tcW w:w="1040" w:type="dxa"/>
            <w:vAlign w:val="bottom"/>
          </w:tcPr>
          <w:p>
            <w:pPr>
              <w:jc w:val="right"/>
              <w:spacing w:after="0"/>
              <w:rPr>
                <w:sz w:val="20"/>
                <w:szCs w:val="20"/>
                <w:color w:val="auto"/>
              </w:rPr>
            </w:pPr>
            <w:r>
              <w:rPr>
                <w:rFonts w:ascii="Arial" w:cs="Arial" w:eastAsia="Arial" w:hAnsi="Arial"/>
                <w:sz w:val="16"/>
                <w:szCs w:val="16"/>
                <w:color w:val="auto"/>
              </w:rPr>
              <w:t>1,385</w:t>
            </w:r>
          </w:p>
        </w:tc>
      </w:tr>
      <w:tr>
        <w:trPr>
          <w:trHeight w:val="189"/>
        </w:trPr>
        <w:tc>
          <w:tcPr>
            <w:tcW w:w="1040" w:type="dxa"/>
            <w:vAlign w:val="bottom"/>
          </w:tcPr>
          <w:p>
            <w:pPr>
              <w:jc w:val="right"/>
              <w:ind w:right="359"/>
              <w:spacing w:after="0"/>
              <w:rPr>
                <w:sz w:val="20"/>
                <w:szCs w:val="20"/>
                <w:color w:val="auto"/>
              </w:rPr>
            </w:pPr>
            <w:r>
              <w:rPr>
                <w:rFonts w:ascii="Arial" w:cs="Arial" w:eastAsia="Arial" w:hAnsi="Arial"/>
                <w:sz w:val="16"/>
                <w:szCs w:val="16"/>
                <w:color w:val="auto"/>
                <w:w w:val="97"/>
              </w:rPr>
              <w:t>(98,354)</w:t>
            </w:r>
          </w:p>
        </w:tc>
        <w:tc>
          <w:tcPr>
            <w:tcW w:w="1040" w:type="dxa"/>
            <w:vAlign w:val="bottom"/>
          </w:tcPr>
          <w:p>
            <w:pPr>
              <w:jc w:val="right"/>
              <w:spacing w:after="0"/>
              <w:rPr>
                <w:sz w:val="20"/>
                <w:szCs w:val="20"/>
                <w:color w:val="auto"/>
              </w:rPr>
            </w:pPr>
            <w:r>
              <w:rPr>
                <w:rFonts w:ascii="Arial" w:cs="Arial" w:eastAsia="Arial" w:hAnsi="Arial"/>
                <w:sz w:val="16"/>
                <w:szCs w:val="16"/>
                <w:color w:val="auto"/>
              </w:rPr>
              <w:t>(37,087)</w:t>
            </w:r>
          </w:p>
        </w:tc>
      </w:tr>
      <w:tr>
        <w:trPr>
          <w:trHeight w:val="189"/>
        </w:trPr>
        <w:tc>
          <w:tcPr>
            <w:tcW w:w="1040" w:type="dxa"/>
            <w:vAlign w:val="bottom"/>
          </w:tcPr>
          <w:p>
            <w:pPr>
              <w:jc w:val="right"/>
              <w:ind w:right="399"/>
              <w:spacing w:after="0"/>
              <w:rPr>
                <w:sz w:val="20"/>
                <w:szCs w:val="20"/>
                <w:color w:val="auto"/>
              </w:rPr>
            </w:pPr>
            <w:r>
              <w:rPr>
                <w:rFonts w:ascii="Arial" w:cs="Arial" w:eastAsia="Arial" w:hAnsi="Arial"/>
                <w:sz w:val="16"/>
                <w:szCs w:val="16"/>
                <w:color w:val="auto"/>
              </w:rPr>
              <w:t>1,079</w:t>
            </w:r>
          </w:p>
        </w:tc>
        <w:tc>
          <w:tcPr>
            <w:tcW w:w="1040" w:type="dxa"/>
            <w:vAlign w:val="bottom"/>
          </w:tcPr>
          <w:p>
            <w:pPr>
              <w:jc w:val="right"/>
              <w:spacing w:after="0"/>
              <w:rPr>
                <w:sz w:val="20"/>
                <w:szCs w:val="20"/>
                <w:color w:val="auto"/>
              </w:rPr>
            </w:pPr>
            <w:r>
              <w:rPr>
                <w:rFonts w:ascii="Arial" w:cs="Arial" w:eastAsia="Arial" w:hAnsi="Arial"/>
                <w:sz w:val="16"/>
                <w:szCs w:val="16"/>
                <w:color w:val="auto"/>
              </w:rPr>
              <w:t>415</w:t>
            </w:r>
          </w:p>
        </w:tc>
      </w:tr>
    </w:tbl>
    <w:p>
      <w:pPr>
        <w:ind w:left="2380" w:hanging="1477"/>
        <w:spacing w:after="0"/>
        <w:tabs>
          <w:tab w:leader="none" w:pos="2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53</w:t>
      </w:r>
    </w:p>
    <w:p>
      <w:pPr>
        <w:spacing w:after="0" w:line="5"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(12,528)(11,560)</w:t>
      </w:r>
    </w:p>
    <w:p>
      <w:pPr>
        <w:spacing w:after="0" w:line="1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(64,602)(46,794)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680"/>
        <w:spacing w:after="0"/>
        <w:tabs>
          <w:tab w:leader="none" w:pos="2060" w:val="left"/>
        </w:tabs>
        <w:rPr>
          <w:sz w:val="20"/>
          <w:szCs w:val="20"/>
          <w:color w:val="auto"/>
        </w:rPr>
      </w:pPr>
      <w:r>
        <w:rPr>
          <w:rFonts w:ascii="Arial" w:cs="Arial" w:eastAsia="Arial" w:hAnsi="Arial"/>
          <w:sz w:val="16"/>
          <w:szCs w:val="16"/>
          <w:color w:val="auto"/>
        </w:rPr>
        <w:t>4,647</w:t>
      </w:r>
      <w:r>
        <w:rPr>
          <w:sz w:val="20"/>
          <w:szCs w:val="20"/>
          <w:color w:val="auto"/>
        </w:rPr>
        <w:tab/>
      </w:r>
      <w:r>
        <w:rPr>
          <w:rFonts w:ascii="Arial" w:cs="Arial" w:eastAsia="Arial" w:hAnsi="Arial"/>
          <w:sz w:val="16"/>
          <w:szCs w:val="16"/>
          <w:color w:val="auto"/>
        </w:rPr>
        <w:t>(2,648)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580"/>
        <w:spacing w:after="0"/>
        <w:tabs>
          <w:tab w:leader="none" w:pos="2120" w:val="left"/>
        </w:tabs>
        <w:rPr>
          <w:sz w:val="20"/>
          <w:szCs w:val="20"/>
          <w:color w:val="auto"/>
        </w:rPr>
      </w:pPr>
      <w:r>
        <w:rPr>
          <w:rFonts w:ascii="Arial" w:cs="Arial" w:eastAsia="Arial" w:hAnsi="Arial"/>
          <w:sz w:val="16"/>
          <w:szCs w:val="16"/>
          <w:color w:val="auto"/>
        </w:rPr>
        <w:t>55,030</w:t>
      </w:r>
      <w:r>
        <w:rPr>
          <w:sz w:val="20"/>
          <w:szCs w:val="20"/>
          <w:color w:val="auto"/>
        </w:rPr>
        <w:tab/>
      </w:r>
      <w:r>
        <w:rPr>
          <w:rFonts w:ascii="Arial" w:cs="Arial" w:eastAsia="Arial" w:hAnsi="Arial"/>
          <w:sz w:val="16"/>
          <w:szCs w:val="16"/>
          <w:color w:val="auto"/>
        </w:rPr>
        <w:t>7,467</w:t>
      </w:r>
    </w:p>
    <w:p>
      <w:pPr>
        <w:spacing w:after="0" w:line="5" w:lineRule="exact"/>
        <w:rPr>
          <w:sz w:val="20"/>
          <w:szCs w:val="20"/>
          <w:color w:val="auto"/>
        </w:rPr>
      </w:pPr>
    </w:p>
    <w:p>
      <w:pPr>
        <w:ind w:left="2080" w:hanging="1006"/>
        <w:spacing w:after="0"/>
        <w:tabs>
          <w:tab w:leader="none" w:pos="2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(1,282)</w:t>
      </w:r>
    </w:p>
    <w:p>
      <w:pPr>
        <w:spacing w:after="0" w:line="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118,909117,925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460"/>
        <w:spacing w:after="0"/>
        <w:tabs>
          <w:tab w:leader="none" w:pos="1900" w:val="left"/>
        </w:tabs>
        <w:rPr>
          <w:sz w:val="20"/>
          <w:szCs w:val="20"/>
          <w:color w:val="auto"/>
        </w:rPr>
      </w:pPr>
      <w:r>
        <w:rPr>
          <w:rFonts w:ascii="Arial" w:cs="Arial" w:eastAsia="Arial" w:hAnsi="Arial"/>
          <w:sz w:val="16"/>
          <w:szCs w:val="16"/>
          <w:color w:val="auto"/>
        </w:rPr>
        <w:t>$173,939</w:t>
      </w:r>
      <w:r>
        <w:rPr>
          <w:sz w:val="20"/>
          <w:szCs w:val="20"/>
          <w:color w:val="auto"/>
        </w:rPr>
        <w:tab/>
      </w:r>
      <w:r>
        <w:rPr>
          <w:rFonts w:ascii="Arial" w:cs="Arial" w:eastAsia="Arial" w:hAnsi="Arial"/>
          <w:sz w:val="16"/>
          <w:szCs w:val="16"/>
          <w:color w:val="auto"/>
        </w:rPr>
        <w:t>$124,110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2660" w:space="180"/>
            <w:col w:w="5760" w:space="220"/>
            <w:col w:w="2600"/>
          </w:cols>
          <w:pgMar w:left="240" w:top="566" w:right="239" w:bottom="144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type w:val="continuous"/>
        </w:sectPr>
      </w:pPr>
    </w:p>
    <w:bookmarkStart w:id="6" w:name="page7"/>
    <w:bookmarkEnd w:id="6"/>
    <w:p>
      <w:pPr>
        <w:jc w:val="center"/>
        <w:ind w:right="-79"/>
        <w:spacing w:after="0"/>
        <w:rPr>
          <w:sz w:val="20"/>
          <w:szCs w:val="20"/>
          <w:color w:val="auto"/>
        </w:rPr>
      </w:pPr>
      <w:r>
        <w:rPr>
          <w:rFonts w:ascii="Arial" w:cs="Arial" w:eastAsia="Arial" w:hAnsi="Arial"/>
          <w:sz w:val="18"/>
          <w:szCs w:val="18"/>
          <w:color w:val="auto"/>
        </w:rPr>
        <w:t>ALBANY INTERNATIONAL CORP.</w:t>
      </w:r>
    </w:p>
    <w:p>
      <w:pPr>
        <w:jc w:val="center"/>
        <w:ind w:right="-7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4" w:lineRule="exact"/>
        <w:rPr>
          <w:sz w:val="20"/>
          <w:szCs w:val="20"/>
          <w:color w:val="auto"/>
        </w:rPr>
      </w:pPr>
    </w:p>
    <w:p>
      <w:pPr>
        <w:jc w:val="both"/>
        <w:ind w:right="220"/>
        <w:spacing w:after="0" w:line="234" w:lineRule="auto"/>
        <w:rPr>
          <w:sz w:val="20"/>
          <w:szCs w:val="20"/>
          <w:color w:val="auto"/>
        </w:rPr>
      </w:pPr>
      <w:r>
        <w:rPr>
          <w:rFonts w:ascii="Arial" w:cs="Arial" w:eastAsia="Arial" w:hAnsi="Arial"/>
          <w:sz w:val="18"/>
          <w:szCs w:val="18"/>
          <w:color w:val="auto"/>
        </w:rPr>
        <w:t>In our opinion, the accompanying unaudited consolidated financial statements contain all adjustments, consisting of only normal, recurring adjustments, necessary for a fair presentation of results for such periods. The results for any interim period are not necessarily indicative of results for the full year. The preparation of financial statements for interim periods does not require all of the disclosures normally included in financial statements prepared in accordance with accounting principles generally accepted in the United States of America (U.S. GAAP).</w:t>
      </w:r>
    </w:p>
    <w:p>
      <w:pPr>
        <w:spacing w:after="0" w:line="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Accordingly, certain information and footnote disclosures normally included in financial statements prepared in accordance with accounting principles generally accepted in the United States of America have been omitted. The December 31, 2011 financial position data included herein was derived from the audited consolidated financial statements included in the 2011 Form 10-K but does not include all disclosures required by U.S. GAAP. These consolidated financial statements should be read in conjunction with our Annual Report on Form 10-K as filed with the SEC for the year ended December 31, 2011.</w:t>
      </w:r>
    </w:p>
    <w:p>
      <w:pPr>
        <w:spacing w:after="0" w:line="20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Effective with the first quarter of 2012, we merged our Paper Machine Clothing (PMC) and Engineered Fabrics (EF) business segments. The combined segment is called Machine Clothing (MC). The change was made to better align financial reporting with our organizational structure. In the fourth quarter of 2011, we announced the sale of our Albany Doors business (ADS) and, beginning with the fourth quarter of 2011, we presented the results of that business as a discontinued operation. Additionally, in the second quarter of 2012, the Company announced the</w:t>
      </w:r>
    </w:p>
    <w:p>
      <w:pPr>
        <w:spacing w:after="0" w:line="3"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sale of its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and, the Company is now presenting the results of that business as a discontinued operation. On July 20, 2012, the Company filed a Form 8-K and a Form 8-K/A with tables that illustrate the effects of these changes on previously-issued financial statements.</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66"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2. Discontinued Operations</w:t>
      </w:r>
    </w:p>
    <w:p>
      <w:pPr>
        <w:spacing w:after="0" w:line="19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are located in the United States, Australia, China, and Italy. In the second quarter of 2012, the purchaser completed certain legal registration activities in China, allowing the parties to complete the transfer of assets and liabilities of the ADS business in that country.</w:t>
      </w:r>
    </w:p>
    <w:p>
      <w:pPr>
        <w:spacing w:after="0" w:line="20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the first quarter of 2012 the Company recorded a pre-tax gain of $58.0 million, including $17.4 million which was payable by the purchaser as of March 31, 2012. In the second quarter of 2012, we recorded adjustments to the sale transaction which had the effect of reducing the gain by $0.3 million. The initial purchase price of $130 million included $13 million to be paid in July 2013. We recorded the value of that consideration on a present value basis and, as of September 30, 2012, we have a receivable of $12.6 million included in Accounts receivable. Additionally, in March 2012, we agreed with the purchaser on certain post-closing adjustments and in April 2012, we received a payment of $5.0 million to reflect that agreement.</w:t>
      </w:r>
    </w:p>
    <w:p>
      <w:pPr>
        <w:spacing w:after="0" w:line="192" w:lineRule="exact"/>
        <w:rPr>
          <w:sz w:val="20"/>
          <w:szCs w:val="20"/>
          <w:color w:val="auto"/>
        </w:rPr>
      </w:pPr>
    </w:p>
    <w:p>
      <w:pPr>
        <w:ind w:right="200"/>
        <w:spacing w:after="0" w:line="209" w:lineRule="auto"/>
        <w:rPr>
          <w:sz w:val="20"/>
          <w:szCs w:val="20"/>
          <w:color w:val="auto"/>
        </w:rPr>
      </w:pPr>
      <w:r>
        <w:rPr>
          <w:rFonts w:ascii="Arial" w:cs="Arial" w:eastAsia="Arial" w:hAnsi="Arial"/>
          <w:sz w:val="18"/>
          <w:szCs w:val="18"/>
          <w:color w:val="auto"/>
        </w:rPr>
        <w:t>In May 2012, we announced an agreement to sell our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for $38.0 million and that transaction closed on June 29, 2012. The Company recorded a pre-tax gain of $35.0 million as result of that sale. The purchase price included $4.0 million which is held in escrow and is included in Accounts receivable as of September 30, 2012.</w:t>
      </w:r>
    </w:p>
    <w:p>
      <w:pPr>
        <w:spacing w:after="0" w:line="19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third quarter of 2012, the Company recorded various adjustments that reduced the gains on disposition by $0.3 million, and also adjusted the tax expense allocated to discontinued operations by $0.7 million.</w:t>
      </w:r>
    </w:p>
    <w:p>
      <w:pPr>
        <w:spacing w:after="0" w:line="18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99"/>
              </w:rPr>
              <w:t>Three months</w:t>
            </w:r>
          </w:p>
        </w:tc>
        <w:tc>
          <w:tcPr>
            <w:tcW w:w="5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rPr>
              <w:t>Three months</w:t>
            </w:r>
          </w:p>
        </w:tc>
        <w:tc>
          <w:tcPr>
            <w:tcW w:w="21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8"/>
              </w:rPr>
              <w:t>Nine months</w:t>
            </w:r>
          </w:p>
        </w:tc>
        <w:tc>
          <w:tcPr>
            <w:tcW w:w="19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rPr>
              <w:t>Nine months</w:t>
            </w:r>
          </w:p>
        </w:tc>
      </w:tr>
      <w:tr>
        <w:trPr>
          <w:trHeight w:val="203"/>
        </w:trPr>
        <w:tc>
          <w:tcPr>
            <w:tcW w:w="2980" w:type="dxa"/>
            <w:vAlign w:val="bottom"/>
          </w:tcPr>
          <w:p>
            <w:pPr>
              <w:spacing w:after="0"/>
              <w:rPr>
                <w:sz w:val="17"/>
                <w:szCs w:val="17"/>
                <w:color w:val="auto"/>
              </w:rPr>
            </w:pPr>
          </w:p>
        </w:tc>
        <w:tc>
          <w:tcPr>
            <w:tcW w:w="172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9"/>
              </w:rPr>
              <w:t>ended</w:t>
            </w:r>
          </w:p>
        </w:tc>
        <w:tc>
          <w:tcPr>
            <w:tcW w:w="560" w:type="dxa"/>
            <w:vAlign w:val="bottom"/>
          </w:tcPr>
          <w:p>
            <w:pPr>
              <w:spacing w:after="0"/>
              <w:rPr>
                <w:sz w:val="17"/>
                <w:szCs w:val="17"/>
                <w:color w:val="auto"/>
              </w:rPr>
            </w:pPr>
          </w:p>
        </w:tc>
        <w:tc>
          <w:tcPr>
            <w:tcW w:w="2100" w:type="dxa"/>
            <w:vAlign w:val="bottom"/>
          </w:tcPr>
          <w:p>
            <w:pPr>
              <w:jc w:val="center"/>
              <w:ind w:right="170"/>
              <w:spacing w:after="0" w:line="202" w:lineRule="exact"/>
              <w:rPr>
                <w:sz w:val="20"/>
                <w:szCs w:val="20"/>
                <w:color w:val="auto"/>
              </w:rPr>
            </w:pPr>
            <w:r>
              <w:rPr>
                <w:rFonts w:ascii="Arial" w:cs="Arial" w:eastAsia="Arial" w:hAnsi="Arial"/>
                <w:sz w:val="18"/>
                <w:szCs w:val="18"/>
                <w:color w:val="auto"/>
              </w:rPr>
              <w:t>ended</w:t>
            </w:r>
          </w:p>
        </w:tc>
        <w:tc>
          <w:tcPr>
            <w:tcW w:w="21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ended</w:t>
            </w:r>
          </w:p>
        </w:tc>
        <w:tc>
          <w:tcPr>
            <w:tcW w:w="19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ended</w:t>
            </w:r>
          </w:p>
        </w:tc>
      </w:tr>
      <w:tr>
        <w:trPr>
          <w:trHeight w:val="203"/>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auto"/>
            </w:tcBorders>
            <w:gridSpan w:val="2"/>
          </w:tcPr>
          <w:p>
            <w:pPr>
              <w:jc w:val="center"/>
              <w:spacing w:after="0" w:line="203" w:lineRule="exact"/>
              <w:rPr>
                <w:sz w:val="20"/>
                <w:szCs w:val="20"/>
                <w:color w:val="auto"/>
              </w:rPr>
            </w:pPr>
            <w:r>
              <w:rPr>
                <w:rFonts w:ascii="Arial" w:cs="Arial" w:eastAsia="Arial" w:hAnsi="Arial"/>
                <w:sz w:val="18"/>
                <w:szCs w:val="18"/>
                <w:color w:val="auto"/>
                <w:w w:val="99"/>
              </w:rPr>
              <w:t>September 30, 2012</w:t>
            </w:r>
          </w:p>
        </w:tc>
        <w:tc>
          <w:tcPr>
            <w:tcW w:w="2100" w:type="dxa"/>
            <w:vAlign w:val="bottom"/>
            <w:tcBorders>
              <w:bottom w:val="single" w:sz="8" w:color="auto"/>
            </w:tcBorders>
          </w:tcPr>
          <w:p>
            <w:pPr>
              <w:jc w:val="center"/>
              <w:ind w:right="170"/>
              <w:spacing w:after="0" w:line="203" w:lineRule="exact"/>
              <w:rPr>
                <w:sz w:val="20"/>
                <w:szCs w:val="20"/>
                <w:color w:val="auto"/>
              </w:rPr>
            </w:pPr>
            <w:r>
              <w:rPr>
                <w:rFonts w:ascii="Arial" w:cs="Arial" w:eastAsia="Arial" w:hAnsi="Arial"/>
                <w:sz w:val="18"/>
                <w:szCs w:val="18"/>
                <w:color w:val="auto"/>
              </w:rPr>
              <w:t>September 30, 2011</w:t>
            </w:r>
          </w:p>
        </w:tc>
        <w:tc>
          <w:tcPr>
            <w:tcW w:w="212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rPr>
              <w:t>September 30, 2012</w:t>
            </w:r>
          </w:p>
        </w:tc>
        <w:tc>
          <w:tcPr>
            <w:tcW w:w="19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9"/>
              </w:rPr>
              <w:t>September 30, 2011</w:t>
            </w: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Net sales</w:t>
            </w:r>
          </w:p>
        </w:tc>
        <w:tc>
          <w:tcPr>
            <w:tcW w:w="17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$49,760</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$19,774</w:t>
            </w:r>
          </w:p>
        </w:tc>
        <w:tc>
          <w:tcPr>
            <w:tcW w:w="1940" w:type="dxa"/>
            <w:vAlign w:val="bottom"/>
          </w:tcPr>
          <w:p>
            <w:pPr>
              <w:jc w:val="right"/>
              <w:spacing w:after="0"/>
              <w:rPr>
                <w:sz w:val="20"/>
                <w:szCs w:val="20"/>
                <w:color w:val="auto"/>
              </w:rPr>
            </w:pPr>
            <w:r>
              <w:rPr>
                <w:rFonts w:ascii="Arial" w:cs="Arial" w:eastAsia="Arial" w:hAnsi="Arial"/>
                <w:sz w:val="18"/>
                <w:szCs w:val="18"/>
                <w:color w:val="auto"/>
              </w:rPr>
              <w:t>$155,990</w:t>
            </w:r>
          </w:p>
        </w:tc>
      </w:tr>
      <w:tr>
        <w:trPr>
          <w:trHeight w:val="391"/>
        </w:trPr>
        <w:tc>
          <w:tcPr>
            <w:tcW w:w="2980" w:type="dxa"/>
            <w:vAlign w:val="bottom"/>
          </w:tcPr>
          <w:p>
            <w:pPr>
              <w:spacing w:after="0"/>
              <w:rPr>
                <w:sz w:val="20"/>
                <w:szCs w:val="20"/>
                <w:color w:val="auto"/>
              </w:rPr>
            </w:pPr>
            <w:r>
              <w:rPr>
                <w:rFonts w:ascii="Arial" w:cs="Arial" w:eastAsia="Arial" w:hAnsi="Arial"/>
                <w:sz w:val="18"/>
                <w:szCs w:val="18"/>
                <w:color w:val="auto"/>
              </w:rPr>
              <w:t>Income from operations of</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color w:val="auto"/>
              </w:rPr>
              <w:t>discontinued business before tax</w:t>
            </w:r>
          </w:p>
        </w:tc>
        <w:tc>
          <w:tcPr>
            <w:tcW w:w="17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3,316</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4,776</w:t>
            </w:r>
          </w:p>
        </w:tc>
        <w:tc>
          <w:tcPr>
            <w:tcW w:w="1940" w:type="dxa"/>
            <w:vAlign w:val="bottom"/>
          </w:tcPr>
          <w:p>
            <w:pPr>
              <w:jc w:val="right"/>
              <w:spacing w:after="0"/>
              <w:rPr>
                <w:sz w:val="20"/>
                <w:szCs w:val="20"/>
                <w:color w:val="auto"/>
              </w:rPr>
            </w:pPr>
            <w:r>
              <w:rPr>
                <w:rFonts w:ascii="Arial" w:cs="Arial" w:eastAsia="Arial" w:hAnsi="Arial"/>
                <w:sz w:val="18"/>
                <w:szCs w:val="18"/>
                <w:color w:val="auto"/>
              </w:rPr>
              <w:t>16,307</w:t>
            </w:r>
          </w:p>
        </w:tc>
      </w:tr>
      <w:tr>
        <w:trPr>
          <w:trHeight w:val="391"/>
        </w:trPr>
        <w:tc>
          <w:tcPr>
            <w:tcW w:w="2980" w:type="dxa"/>
            <w:vAlign w:val="bottom"/>
          </w:tcPr>
          <w:p>
            <w:pPr>
              <w:spacing w:after="0"/>
              <w:rPr>
                <w:sz w:val="20"/>
                <w:szCs w:val="20"/>
                <w:color w:val="auto"/>
              </w:rPr>
            </w:pPr>
            <w:r>
              <w:rPr>
                <w:rFonts w:ascii="Arial" w:cs="Arial" w:eastAsia="Arial" w:hAnsi="Arial"/>
                <w:sz w:val="18"/>
                <w:szCs w:val="18"/>
                <w:color w:val="auto"/>
              </w:rPr>
              <w:t>(Loss)/gain on disposition of</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7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92,376</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(benefit)/expense</w:t>
            </w:r>
          </w:p>
        </w:tc>
        <w:tc>
          <w:tcPr>
            <w:tcW w:w="1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w:t>
            </w:r>
          </w:p>
        </w:tc>
        <w:tc>
          <w:tcPr>
            <w:tcW w:w="2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1,135</w:t>
            </w:r>
          </w:p>
        </w:tc>
        <w:tc>
          <w:tcPr>
            <w:tcW w:w="2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25,570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r>
    </w:tbl>
    <w:p>
      <w:pPr>
        <w:spacing w:after="0" w:line="21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table below summarizes major categories of assets and liabilities for the discontinued businesses that are included in the accompanying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center"/>
              <w:ind w:right="490"/>
              <w:spacing w:after="0" w:line="256" w:lineRule="exact"/>
              <w:rPr>
                <w:sz w:val="20"/>
                <w:szCs w:val="20"/>
                <w:color w:val="auto"/>
              </w:rPr>
            </w:pPr>
            <w:r>
              <w:rPr>
                <w:rFonts w:ascii="Arial" w:cs="Arial" w:eastAsia="Arial" w:hAnsi="Arial"/>
                <w:sz w:val="18"/>
                <w:szCs w:val="18"/>
                <w:color w:val="auto"/>
                <w:w w:val="96"/>
              </w:rPr>
              <w:t>Primaloft</w:t>
            </w:r>
            <w:r>
              <w:rPr>
                <w:rFonts w:ascii="Arial" w:cs="Arial" w:eastAsia="Arial" w:hAnsi="Arial"/>
                <w:sz w:val="29"/>
                <w:szCs w:val="29"/>
                <w:color w:val="auto"/>
                <w:w w:val="96"/>
                <w:vertAlign w:val="superscript"/>
              </w:rPr>
              <w:t>®</w:t>
            </w:r>
          </w:p>
        </w:tc>
        <w:tc>
          <w:tcPr>
            <w:tcW w:w="2160" w:type="dxa"/>
            <w:vAlign w:val="bottom"/>
            <w:tcBorders>
              <w:top w:val="single" w:sz="8" w:color="auto"/>
            </w:tcBorders>
            <w:gridSpan w:val="2"/>
          </w:tcPr>
          <w:p>
            <w:pPr>
              <w:jc w:val="center"/>
              <w:ind w:right="170"/>
              <w:spacing w:after="0"/>
              <w:rPr>
                <w:sz w:val="20"/>
                <w:szCs w:val="20"/>
                <w:color w:val="auto"/>
              </w:rPr>
            </w:pPr>
            <w:r>
              <w:rPr>
                <w:rFonts w:ascii="Arial" w:cs="Arial" w:eastAsia="Arial" w:hAnsi="Arial"/>
                <w:sz w:val="18"/>
                <w:szCs w:val="18"/>
                <w:color w:val="auto"/>
              </w:rPr>
              <w:t>Albany Door Systems</w:t>
            </w:r>
          </w:p>
        </w:tc>
        <w:tc>
          <w:tcPr>
            <w:tcW w:w="4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3"/>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400" w:type="dxa"/>
            <w:vAlign w:val="bottom"/>
            <w:gridSpan w:val="2"/>
          </w:tcPr>
          <w:p>
            <w:pPr>
              <w:jc w:val="center"/>
              <w:ind w:left="310"/>
              <w:spacing w:after="0" w:line="202" w:lineRule="exact"/>
              <w:rPr>
                <w:sz w:val="20"/>
                <w:szCs w:val="20"/>
                <w:color w:val="auto"/>
              </w:rPr>
            </w:pPr>
            <w:r>
              <w:rPr>
                <w:rFonts w:ascii="Arial" w:cs="Arial" w:eastAsia="Arial" w:hAnsi="Arial"/>
                <w:sz w:val="18"/>
                <w:szCs w:val="18"/>
                <w:color w:val="auto"/>
                <w:w w:val="99"/>
              </w:rPr>
              <w:t>December 31,</w:t>
            </w:r>
          </w:p>
        </w:tc>
        <w:tc>
          <w:tcPr>
            <w:tcW w:w="2160" w:type="dxa"/>
            <w:vAlign w:val="bottom"/>
            <w:gridSpan w:val="2"/>
          </w:tcPr>
          <w:p>
            <w:pPr>
              <w:jc w:val="center"/>
              <w:ind w:right="170"/>
              <w:spacing w:after="0" w:line="202" w:lineRule="exact"/>
              <w:rPr>
                <w:sz w:val="20"/>
                <w:szCs w:val="20"/>
                <w:color w:val="auto"/>
              </w:rPr>
            </w:pPr>
            <w:r>
              <w:rPr>
                <w:rFonts w:ascii="Arial" w:cs="Arial" w:eastAsia="Arial" w:hAnsi="Arial"/>
                <w:sz w:val="18"/>
                <w:szCs w:val="18"/>
                <w:color w:val="auto"/>
              </w:rPr>
              <w:t>December 31,</w:t>
            </w:r>
          </w:p>
        </w:tc>
        <w:tc>
          <w:tcPr>
            <w:tcW w:w="1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70"/>
              <w:spacing w:after="0" w:line="203" w:lineRule="exact"/>
              <w:rPr>
                <w:sz w:val="20"/>
                <w:szCs w:val="20"/>
                <w:color w:val="auto"/>
              </w:rPr>
            </w:pPr>
            <w:r>
              <w:rPr>
                <w:rFonts w:ascii="Arial" w:cs="Arial" w:eastAsia="Arial" w:hAnsi="Arial"/>
                <w:sz w:val="18"/>
                <w:szCs w:val="18"/>
                <w:color w:val="auto"/>
                <w:w w:val="99"/>
              </w:rPr>
              <w:t>2011</w:t>
            </w:r>
          </w:p>
        </w:tc>
        <w:tc>
          <w:tcPr>
            <w:tcW w:w="6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850"/>
              <w:spacing w:after="0" w:line="203" w:lineRule="exact"/>
              <w:rPr>
                <w:sz w:val="20"/>
                <w:szCs w:val="20"/>
                <w:color w:val="auto"/>
              </w:rPr>
            </w:pPr>
            <w:r>
              <w:rPr>
                <w:rFonts w:ascii="Arial" w:cs="Arial" w:eastAsia="Arial" w:hAnsi="Arial"/>
                <w:sz w:val="18"/>
                <w:szCs w:val="18"/>
                <w:color w:val="auto"/>
              </w:rPr>
              <w:t>2011</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Assets of Discontinued Operations:</w:t>
            </w: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200" w:type="dxa"/>
            <w:vAlign w:val="bottom"/>
          </w:tcPr>
          <w:p>
            <w:pPr>
              <w:spacing w:after="0"/>
              <w:rPr>
                <w:sz w:val="20"/>
                <w:szCs w:val="20"/>
                <w:color w:val="auto"/>
              </w:rPr>
            </w:pPr>
            <w:r>
              <w:rPr>
                <w:rFonts w:ascii="Arial" w:cs="Arial" w:eastAsia="Arial" w:hAnsi="Arial"/>
                <w:sz w:val="18"/>
                <w:szCs w:val="18"/>
                <w:color w:val="auto"/>
              </w:rPr>
              <w:t>Cash</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13,545</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960" w:type="dxa"/>
            <w:vAlign w:val="bottom"/>
          </w:tcPr>
          <w:p>
            <w:pPr>
              <w:spacing w:after="0"/>
              <w:rPr>
                <w:sz w:val="17"/>
                <w:szCs w:val="17"/>
                <w:color w:val="auto"/>
              </w:rPr>
            </w:pP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1,338</w:t>
            </w:r>
          </w:p>
        </w:tc>
        <w:tc>
          <w:tcPr>
            <w:tcW w:w="680" w:type="dxa"/>
            <w:vAlign w:val="bottom"/>
          </w:tcPr>
          <w:p>
            <w:pPr>
              <w:spacing w:after="0"/>
              <w:rPr>
                <w:sz w:val="17"/>
                <w:szCs w:val="17"/>
                <w:color w:val="auto"/>
              </w:rPr>
            </w:pP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35,120</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36,458</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7"/>
                <w:szCs w:val="17"/>
                <w:color w:val="auto"/>
              </w:rPr>
            </w:pP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3,846</w:t>
            </w:r>
          </w:p>
        </w:tc>
        <w:tc>
          <w:tcPr>
            <w:tcW w:w="680" w:type="dxa"/>
            <w:vAlign w:val="bottom"/>
          </w:tcPr>
          <w:p>
            <w:pPr>
              <w:spacing w:after="0"/>
              <w:rPr>
                <w:sz w:val="17"/>
                <w:szCs w:val="17"/>
                <w:color w:val="auto"/>
              </w:rPr>
            </w:pP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12,661</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7"/>
                <w:szCs w:val="17"/>
                <w:color w:val="auto"/>
              </w:rPr>
            </w:pP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w:t>
            </w:r>
          </w:p>
        </w:tc>
        <w:tc>
          <w:tcPr>
            <w:tcW w:w="680" w:type="dxa"/>
            <w:vAlign w:val="bottom"/>
          </w:tcPr>
          <w:p>
            <w:pPr>
              <w:spacing w:after="0"/>
              <w:rPr>
                <w:sz w:val="17"/>
                <w:szCs w:val="17"/>
                <w:color w:val="auto"/>
              </w:rPr>
            </w:pP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6,344</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Goodwill and intangibles</w:t>
            </w:r>
          </w:p>
        </w:tc>
        <w:tc>
          <w:tcPr>
            <w:tcW w:w="960" w:type="dxa"/>
            <w:vAlign w:val="bottom"/>
          </w:tcPr>
          <w:p>
            <w:pPr>
              <w:spacing w:after="0"/>
              <w:rPr>
                <w:sz w:val="17"/>
                <w:szCs w:val="17"/>
                <w:color w:val="auto"/>
              </w:rPr>
            </w:pP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39,227</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39,227</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Other current and noncurrent assets</w:t>
            </w:r>
          </w:p>
        </w:tc>
        <w:tc>
          <w:tcPr>
            <w:tcW w:w="9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60</w:t>
            </w:r>
          </w:p>
        </w:tc>
        <w:tc>
          <w:tcPr>
            <w:tcW w:w="6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5,114</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assets of discontinued operation</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5,807</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112,011</w:t>
            </w:r>
          </w:p>
        </w:tc>
        <w:tc>
          <w:tcPr>
            <w:tcW w:w="4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117,818</w:t>
            </w:r>
          </w:p>
        </w:tc>
        <w:tc>
          <w:tcPr>
            <w:tcW w:w="0" w:type="dxa"/>
            <w:vAlign w:val="bottom"/>
          </w:tcPr>
          <w:p>
            <w:pPr>
              <w:spacing w:after="0"/>
              <w:rPr>
                <w:sz w:val="1"/>
                <w:szCs w:val="1"/>
                <w:color w:val="auto"/>
              </w:rPr>
            </w:pPr>
          </w:p>
        </w:tc>
      </w:tr>
      <w:tr>
        <w:trPr>
          <w:trHeight w:val="412"/>
        </w:trPr>
        <w:tc>
          <w:tcPr>
            <w:tcW w:w="5200" w:type="dxa"/>
            <w:vAlign w:val="bottom"/>
          </w:tcPr>
          <w:p>
            <w:pPr>
              <w:spacing w:after="0"/>
              <w:rPr>
                <w:sz w:val="20"/>
                <w:szCs w:val="20"/>
                <w:color w:val="auto"/>
              </w:rPr>
            </w:pPr>
            <w:r>
              <w:rPr>
                <w:rFonts w:ascii="Arial" w:cs="Arial" w:eastAsia="Arial" w:hAnsi="Arial"/>
                <w:sz w:val="18"/>
                <w:szCs w:val="18"/>
                <w:color w:val="auto"/>
              </w:rPr>
              <w:t>Liabilities of Discontinued Operations:</w:t>
            </w: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00" w:type="dxa"/>
            <w:vAlign w:val="bottom"/>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8,300</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17"/>
                <w:szCs w:val="17"/>
                <w:color w:val="auto"/>
              </w:rPr>
            </w:pP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680" w:type="dxa"/>
            <w:vAlign w:val="bottom"/>
          </w:tcPr>
          <w:p>
            <w:pPr>
              <w:spacing w:after="0"/>
              <w:rPr>
                <w:sz w:val="17"/>
                <w:szCs w:val="17"/>
                <w:color w:val="auto"/>
              </w:rPr>
            </w:pP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10,883</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960" w:type="dxa"/>
            <w:vAlign w:val="bottom"/>
          </w:tcPr>
          <w:p>
            <w:pPr>
              <w:spacing w:after="0"/>
              <w:rPr>
                <w:sz w:val="17"/>
                <w:szCs w:val="17"/>
                <w:color w:val="auto"/>
              </w:rPr>
            </w:pP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1,763</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Liabilities for defined benefit pension plans</w:t>
            </w:r>
          </w:p>
        </w:tc>
        <w:tc>
          <w:tcPr>
            <w:tcW w:w="960" w:type="dxa"/>
            <w:vAlign w:val="bottom"/>
          </w:tcPr>
          <w:p>
            <w:pPr>
              <w:spacing w:after="0"/>
              <w:rPr>
                <w:sz w:val="17"/>
                <w:szCs w:val="17"/>
                <w:color w:val="auto"/>
              </w:rPr>
            </w:pP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9,513</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9,513</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Other noncurrent liabilities</w:t>
            </w:r>
          </w:p>
        </w:tc>
        <w:tc>
          <w:tcPr>
            <w:tcW w:w="9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52</w:t>
            </w:r>
          </w:p>
        </w:tc>
        <w:tc>
          <w:tcPr>
            <w:tcW w:w="6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4,552</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of discontinued operation</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1,552</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35,011</w:t>
            </w:r>
          </w:p>
        </w:tc>
        <w:tc>
          <w:tcPr>
            <w:tcW w:w="4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36,563</w:t>
            </w:r>
          </w:p>
        </w:tc>
        <w:tc>
          <w:tcPr>
            <w:tcW w:w="0" w:type="dxa"/>
            <w:vAlign w:val="bottom"/>
          </w:tcPr>
          <w:p>
            <w:pPr>
              <w:spacing w:after="0"/>
              <w:rPr>
                <w:sz w:val="1"/>
                <w:szCs w:val="1"/>
                <w:color w:val="auto"/>
              </w:rPr>
            </w:pPr>
          </w:p>
        </w:tc>
      </w:tr>
      <w:tr>
        <w:trPr>
          <w:trHeight w:val="318"/>
        </w:trPr>
        <w:tc>
          <w:tcPr>
            <w:tcW w:w="520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Reportable Segment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data by reportable segment, reconciled to consolidated totals included in the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Three Months Ended</w:t>
            </w:r>
          </w:p>
        </w:tc>
        <w:tc>
          <w:tcPr>
            <w:tcW w:w="210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203"/>
        </w:trPr>
        <w:tc>
          <w:tcPr>
            <w:tcW w:w="6080" w:type="dxa"/>
            <w:vAlign w:val="bottom"/>
          </w:tcPr>
          <w:p>
            <w:pPr>
              <w:spacing w:after="0"/>
              <w:rPr>
                <w:sz w:val="17"/>
                <w:szCs w:val="17"/>
                <w:color w:val="auto"/>
              </w:rPr>
            </w:pPr>
          </w:p>
        </w:tc>
        <w:tc>
          <w:tcPr>
            <w:tcW w:w="324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September 30,</w:t>
            </w:r>
          </w:p>
        </w:tc>
        <w:tc>
          <w:tcPr>
            <w:tcW w:w="21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September 30,</w:t>
            </w:r>
          </w:p>
        </w:tc>
      </w:tr>
      <w:tr>
        <w:trPr>
          <w:trHeight w:val="203"/>
        </w:trPr>
        <w:tc>
          <w:tcPr>
            <w:tcW w:w="60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0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2012</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2011</w:t>
            </w:r>
          </w:p>
        </w:tc>
        <w:tc>
          <w:tcPr>
            <w:tcW w:w="11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2012</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r>
      <w:tr>
        <w:trPr>
          <w:trHeight w:val="398"/>
        </w:trPr>
        <w:tc>
          <w:tcPr>
            <w:tcW w:w="60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Machine Clothing</w:t>
            </w:r>
          </w:p>
        </w:tc>
        <w:tc>
          <w:tcPr>
            <w:tcW w:w="20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$177,471</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$188,334</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$518,881</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$555,993</w:t>
            </w:r>
          </w:p>
        </w:tc>
      </w:tr>
      <w:tr>
        <w:trPr>
          <w:trHeight w:val="203"/>
        </w:trPr>
        <w:tc>
          <w:tcPr>
            <w:tcW w:w="60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Engineered Composites</w:t>
            </w:r>
          </w:p>
        </w:tc>
        <w:tc>
          <w:tcPr>
            <w:tcW w:w="20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17,118</w:t>
            </w:r>
          </w:p>
        </w:tc>
        <w:tc>
          <w:tcPr>
            <w:tcW w:w="11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11,918</w:t>
            </w:r>
          </w:p>
        </w:tc>
        <w:tc>
          <w:tcPr>
            <w:tcW w:w="11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47,725</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33,894</w:t>
            </w:r>
          </w:p>
        </w:tc>
        <w:tc>
          <w:tcPr>
            <w:tcW w:w="20" w:type="dxa"/>
            <w:vAlign w:val="bottom"/>
          </w:tcPr>
          <w:p>
            <w:pPr>
              <w:spacing w:after="0"/>
              <w:rPr>
                <w:sz w:val="17"/>
                <w:szCs w:val="17"/>
                <w:color w:val="auto"/>
              </w:rPr>
            </w:pPr>
          </w:p>
        </w:tc>
      </w:tr>
      <w:tr>
        <w:trPr>
          <w:trHeight w:val="196"/>
        </w:trPr>
        <w:tc>
          <w:tcPr>
            <w:tcW w:w="60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20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$194,589</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$200,252</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$566,606</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$589,887</w:t>
            </w:r>
          </w:p>
        </w:tc>
        <w:tc>
          <w:tcPr>
            <w:tcW w:w="20" w:type="dxa"/>
            <w:vAlign w:val="bottom"/>
          </w:tcPr>
          <w:p>
            <w:pPr>
              <w:spacing w:after="0"/>
              <w:rPr>
                <w:sz w:val="17"/>
                <w:szCs w:val="17"/>
                <w:color w:val="auto"/>
              </w:rPr>
            </w:pPr>
          </w:p>
        </w:tc>
      </w:tr>
      <w:tr>
        <w:trPr>
          <w:trHeight w:val="398"/>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Machine Clothing</w:t>
            </w:r>
          </w:p>
        </w:tc>
        <w:tc>
          <w:tcPr>
            <w:tcW w:w="20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$44,918</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$48,867</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$120,760</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$136,847</w:t>
            </w: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0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(312)</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(1,434)</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(653)</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(3,621)</w:t>
            </w: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Research expense</w:t>
            </w:r>
          </w:p>
        </w:tc>
        <w:tc>
          <w:tcPr>
            <w:tcW w:w="20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(6,734)</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(6,400)</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(20,052)</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(20,777)</w:t>
            </w:r>
          </w:p>
        </w:tc>
        <w:tc>
          <w:tcPr>
            <w:tcW w:w="20" w:type="dxa"/>
            <w:vAlign w:val="bottom"/>
          </w:tcPr>
          <w:p>
            <w:pPr>
              <w:spacing w:after="0"/>
              <w:rPr>
                <w:sz w:val="17"/>
                <w:szCs w:val="17"/>
                <w:color w:val="auto"/>
              </w:rPr>
            </w:pPr>
          </w:p>
        </w:tc>
      </w:tr>
      <w:tr>
        <w:trPr>
          <w:trHeight w:val="203"/>
        </w:trPr>
        <w:tc>
          <w:tcPr>
            <w:tcW w:w="60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Unallocated expenses</w:t>
            </w:r>
          </w:p>
        </w:tc>
        <w:tc>
          <w:tcPr>
            <w:tcW w:w="20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(14,760)</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(14,275)</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(163,856)</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(48,137)</w:t>
            </w:r>
          </w:p>
        </w:tc>
        <w:tc>
          <w:tcPr>
            <w:tcW w:w="20" w:type="dxa"/>
            <w:vAlign w:val="bottom"/>
          </w:tcPr>
          <w:p>
            <w:pPr>
              <w:spacing w:after="0"/>
              <w:rPr>
                <w:sz w:val="17"/>
                <w:szCs w:val="17"/>
                <w:color w:val="auto"/>
              </w:rPr>
            </w:pPr>
          </w:p>
        </w:tc>
      </w:tr>
      <w:tr>
        <w:trPr>
          <w:trHeight w:val="210"/>
        </w:trPr>
        <w:tc>
          <w:tcPr>
            <w:tcW w:w="6080" w:type="dxa"/>
            <w:vAlign w:val="bottom"/>
          </w:tcPr>
          <w:p>
            <w:pPr>
              <w:ind w:left="100"/>
              <w:spacing w:after="0"/>
              <w:rPr>
                <w:sz w:val="20"/>
                <w:szCs w:val="20"/>
                <w:color w:val="auto"/>
              </w:rPr>
            </w:pPr>
            <w:r>
              <w:rPr>
                <w:rFonts w:ascii="Arial" w:cs="Arial" w:eastAsia="Arial" w:hAnsi="Arial"/>
                <w:sz w:val="18"/>
                <w:szCs w:val="18"/>
                <w:color w:val="auto"/>
              </w:rPr>
              <w:t>Operating income/(loss) before reconciling items</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23,112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26,758</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(63,801)</w:t>
            </w:r>
          </w:p>
        </w:tc>
        <w:tc>
          <w:tcPr>
            <w:tcW w:w="940" w:type="dxa"/>
            <w:vAlign w:val="bottom"/>
          </w:tcPr>
          <w:p>
            <w:pPr>
              <w:jc w:val="right"/>
              <w:spacing w:after="0"/>
              <w:rPr>
                <w:sz w:val="20"/>
                <w:szCs w:val="20"/>
                <w:color w:val="auto"/>
              </w:rPr>
            </w:pPr>
            <w:r>
              <w:rPr>
                <w:rFonts w:ascii="Arial" w:cs="Arial" w:eastAsia="Arial" w:hAnsi="Arial"/>
                <w:sz w:val="18"/>
                <w:szCs w:val="18"/>
                <w:color w:val="auto"/>
              </w:rPr>
              <w:t>64,312</w:t>
            </w:r>
          </w:p>
        </w:tc>
        <w:tc>
          <w:tcPr>
            <w:tcW w:w="20" w:type="dxa"/>
            <w:vAlign w:val="bottom"/>
          </w:tcPr>
          <w:p>
            <w:pPr>
              <w:spacing w:after="0"/>
              <w:rPr>
                <w:sz w:val="18"/>
                <w:szCs w:val="18"/>
                <w:color w:val="auto"/>
              </w:rPr>
            </w:pPr>
          </w:p>
        </w:tc>
      </w:tr>
      <w:tr>
        <w:trPr>
          <w:trHeight w:val="390"/>
        </w:trPr>
        <w:tc>
          <w:tcPr>
            <w:tcW w:w="6080" w:type="dxa"/>
            <w:vAlign w:val="bottom"/>
          </w:tcPr>
          <w:p>
            <w:pPr>
              <w:spacing w:after="0"/>
              <w:rPr>
                <w:sz w:val="20"/>
                <w:szCs w:val="20"/>
                <w:color w:val="auto"/>
              </w:rPr>
            </w:pPr>
            <w:r>
              <w:rPr>
                <w:rFonts w:ascii="Arial" w:cs="Arial" w:eastAsia="Arial" w:hAnsi="Arial"/>
                <w:sz w:val="18"/>
                <w:szCs w:val="18"/>
                <w:b w:val="1"/>
                <w:bCs w:val="1"/>
                <w:color w:val="auto"/>
              </w:rPr>
              <w:t>Reconciling items:</w:t>
            </w:r>
          </w:p>
        </w:tc>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20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3,997</w:t>
            </w: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4,377</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12,610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13,939</w:t>
            </w:r>
          </w:p>
        </w:tc>
        <w:tc>
          <w:tcPr>
            <w:tcW w:w="20" w:type="dxa"/>
            <w:vAlign w:val="bottom"/>
          </w:tcPr>
          <w:p>
            <w:pPr>
              <w:spacing w:after="0"/>
              <w:rPr>
                <w:sz w:val="17"/>
                <w:szCs w:val="17"/>
                <w:color w:val="auto"/>
              </w:rPr>
            </w:pPr>
          </w:p>
        </w:tc>
      </w:tr>
      <w:tr>
        <w:trPr>
          <w:trHeight w:val="203"/>
        </w:trPr>
        <w:tc>
          <w:tcPr>
            <w:tcW w:w="60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Other expense/(income), net</w:t>
            </w:r>
          </w:p>
        </w:tc>
        <w:tc>
          <w:tcPr>
            <w:tcW w:w="20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3,069</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(9)</w:t>
            </w:r>
          </w:p>
        </w:tc>
        <w:tc>
          <w:tcPr>
            <w:tcW w:w="11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5,062</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4,811</w:t>
            </w:r>
          </w:p>
        </w:tc>
        <w:tc>
          <w:tcPr>
            <w:tcW w:w="20" w:type="dxa"/>
            <w:vAlign w:val="bottom"/>
          </w:tcPr>
          <w:p>
            <w:pPr>
              <w:spacing w:after="0"/>
              <w:rPr>
                <w:sz w:val="17"/>
                <w:szCs w:val="17"/>
                <w:color w:val="auto"/>
              </w:rPr>
            </w:pPr>
          </w:p>
        </w:tc>
      </w:tr>
      <w:tr>
        <w:trPr>
          <w:trHeight w:val="196"/>
        </w:trPr>
        <w:tc>
          <w:tcPr>
            <w:tcW w:w="6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Income/(loss) from continuing operations before income taxes</w:t>
            </w:r>
          </w:p>
        </w:tc>
        <w:tc>
          <w:tcPr>
            <w:tcW w:w="20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$16,046</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$22,390</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($81,473)</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$45,562</w:t>
            </w:r>
          </w:p>
        </w:tc>
        <w:tc>
          <w:tcPr>
            <w:tcW w:w="20" w:type="dxa"/>
            <w:vAlign w:val="bottom"/>
            <w:tcBorders>
              <w:bottom w:val="single" w:sz="8" w:color="auto"/>
            </w:tcBorders>
          </w:tcPr>
          <w:p>
            <w:pPr>
              <w:spacing w:after="0"/>
              <w:rPr>
                <w:sz w:val="17"/>
                <w:szCs w:val="17"/>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pension settlement and restructuring costs by reportable segment for the three and nine month periods ended</w:t>
      </w:r>
    </w:p>
    <w:p>
      <w:pPr>
        <w:spacing w:after="0"/>
        <w:rPr>
          <w:sz w:val="20"/>
          <w:szCs w:val="20"/>
          <w:color w:val="auto"/>
        </w:rPr>
      </w:pPr>
      <w:r>
        <w:rPr>
          <w:rFonts w:ascii="Arial" w:cs="Arial" w:eastAsia="Arial" w:hAnsi="Arial"/>
          <w:sz w:val="18"/>
          <w:szCs w:val="18"/>
          <w:color w:val="auto"/>
        </w:rPr>
        <w:t>September 30, 2012 and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Three Months Ended</w:t>
            </w: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Nine Months Ended</w:t>
            </w: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3280" w:type="dxa"/>
            <w:vAlign w:val="bottom"/>
            <w:gridSpan w:val="2"/>
          </w:tcPr>
          <w:p>
            <w:pPr>
              <w:ind w:left="1760"/>
              <w:spacing w:after="0" w:line="181" w:lineRule="exact"/>
              <w:rPr>
                <w:sz w:val="20"/>
                <w:szCs w:val="20"/>
                <w:color w:val="auto"/>
              </w:rPr>
            </w:pPr>
            <w:r>
              <w:rPr>
                <w:rFonts w:ascii="Arial" w:cs="Arial" w:eastAsia="Arial" w:hAnsi="Arial"/>
                <w:sz w:val="18"/>
                <w:szCs w:val="18"/>
                <w:color w:val="auto"/>
              </w:rPr>
              <w:t>September 30,</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2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540" w:type="dxa"/>
            <w:vAlign w:val="bottom"/>
          </w:tcPr>
          <w:p>
            <w:pPr>
              <w:spacing w:after="0"/>
              <w:rPr>
                <w:sz w:val="20"/>
                <w:szCs w:val="20"/>
                <w:color w:val="auto"/>
              </w:rPr>
            </w:pPr>
            <w:r>
              <w:rPr>
                <w:rFonts w:ascii="Arial" w:cs="Arial" w:eastAsia="Arial" w:hAnsi="Arial"/>
                <w:sz w:val="18"/>
                <w:szCs w:val="18"/>
                <w:b w:val="1"/>
                <w:bCs w:val="1"/>
                <w:color w:val="auto"/>
              </w:rPr>
              <w:t>Pension settlement</w:t>
            </w: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Unallocated expenses</w:t>
            </w:r>
          </w:p>
        </w:tc>
        <w:tc>
          <w:tcPr>
            <w:tcW w:w="18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97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rPr>
              <w:t>$ 119,735</w:t>
            </w:r>
          </w:p>
        </w:tc>
        <w:tc>
          <w:tcPr>
            <w:tcW w:w="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540" w:type="dxa"/>
            <w:vAlign w:val="bottom"/>
          </w:tcPr>
          <w:p>
            <w:pPr>
              <w:spacing w:after="0"/>
              <w:rPr>
                <w:sz w:val="20"/>
                <w:szCs w:val="20"/>
                <w:color w:val="auto"/>
              </w:rPr>
            </w:pPr>
            <w:r>
              <w:rPr>
                <w:rFonts w:ascii="Arial" w:cs="Arial" w:eastAsia="Arial" w:hAnsi="Arial"/>
                <w:sz w:val="18"/>
                <w:szCs w:val="18"/>
                <w:b w:val="1"/>
                <w:bCs w:val="1"/>
                <w:color w:val="auto"/>
              </w:rPr>
              <w:t>Restructuring expense</w:t>
            </w:r>
          </w:p>
        </w:tc>
        <w:tc>
          <w:tcPr>
            <w:tcW w:w="1860" w:type="dxa"/>
            <w:vAlign w:val="bottom"/>
            <w:vMerge w:val="restart"/>
          </w:tcPr>
          <w:p>
            <w:pPr>
              <w:ind w:left="1760"/>
              <w:spacing w:after="0"/>
              <w:rPr>
                <w:sz w:val="20"/>
                <w:szCs w:val="20"/>
                <w:color w:val="auto"/>
              </w:rPr>
            </w:pPr>
            <w:r>
              <w:rPr>
                <w:rFonts w:ascii="Arial" w:cs="Arial" w:eastAsia="Arial" w:hAnsi="Arial"/>
                <w:sz w:val="18"/>
                <w:szCs w:val="18"/>
                <w:b w:val="1"/>
                <w:bCs w:val="1"/>
                <w:color w:val="auto"/>
                <w:w w:val="79"/>
              </w:rPr>
              <w:t>$</w:t>
            </w:r>
          </w:p>
        </w:tc>
        <w:tc>
          <w:tcPr>
            <w:tcW w:w="1420" w:type="dxa"/>
            <w:vAlign w:val="bottom"/>
            <w:vMerge w:val="restart"/>
          </w:tcPr>
          <w:p>
            <w:pPr>
              <w:jc w:val="right"/>
              <w:ind w:right="870"/>
              <w:spacing w:after="0"/>
              <w:rPr>
                <w:sz w:val="20"/>
                <w:szCs w:val="20"/>
                <w:color w:val="auto"/>
              </w:rPr>
            </w:pPr>
            <w:r>
              <w:rPr>
                <w:rFonts w:ascii="Arial" w:cs="Arial" w:eastAsia="Arial" w:hAnsi="Arial"/>
                <w:sz w:val="18"/>
                <w:szCs w:val="18"/>
                <w:b w:val="1"/>
                <w:bCs w:val="1"/>
                <w:color w:val="auto"/>
                <w:w w:val="97"/>
              </w:rPr>
              <w:t>2,739</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$6,315</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540" w:type="dxa"/>
            <w:vAlign w:val="bottom"/>
          </w:tcPr>
          <w:p>
            <w:pPr>
              <w:ind w:left="100"/>
              <w:spacing w:after="0" w:line="181" w:lineRule="exact"/>
              <w:rPr>
                <w:sz w:val="20"/>
                <w:szCs w:val="20"/>
                <w:color w:val="auto"/>
              </w:rPr>
            </w:pPr>
            <w:r>
              <w:rPr>
                <w:rFonts w:ascii="Arial" w:cs="Arial" w:eastAsia="Arial" w:hAnsi="Arial"/>
                <w:sz w:val="18"/>
                <w:szCs w:val="18"/>
                <w:color w:val="auto"/>
              </w:rPr>
              <w:t>Machine Clothing</w:t>
            </w:r>
          </w:p>
        </w:tc>
        <w:tc>
          <w:tcPr>
            <w:tcW w:w="18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470"/>
              <w:spacing w:after="0" w:line="181" w:lineRule="exact"/>
              <w:rPr>
                <w:sz w:val="20"/>
                <w:szCs w:val="20"/>
                <w:color w:val="auto"/>
              </w:rPr>
            </w:pPr>
            <w:r>
              <w:rPr>
                <w:rFonts w:ascii="Arial" w:cs="Arial" w:eastAsia="Arial" w:hAnsi="Arial"/>
                <w:sz w:val="18"/>
                <w:szCs w:val="18"/>
                <w:color w:val="auto"/>
                <w:w w:val="93"/>
              </w:rPr>
              <w:t>2,610</w:t>
            </w:r>
          </w:p>
        </w:tc>
        <w:tc>
          <w:tcPr>
            <w:tcW w:w="2340" w:type="dxa"/>
            <w:vAlign w:val="bottom"/>
            <w:vMerge w:val="continue"/>
          </w:tcPr>
          <w:p>
            <w:pPr>
              <w:spacing w:after="0"/>
              <w:rPr>
                <w:sz w:val="15"/>
                <w:szCs w:val="15"/>
                <w:color w:val="auto"/>
              </w:rPr>
            </w:pPr>
          </w:p>
        </w:tc>
        <w:tc>
          <w:tcPr>
            <w:tcW w:w="4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w w:val="97"/>
              </w:rPr>
              <w:t>3,215</w:t>
            </w:r>
          </w:p>
        </w:tc>
        <w:tc>
          <w:tcPr>
            <w:tcW w:w="0" w:type="dxa"/>
            <w:vAlign w:val="bottom"/>
          </w:tcPr>
          <w:p>
            <w:pPr>
              <w:spacing w:after="0"/>
              <w:rPr>
                <w:sz w:val="1"/>
                <w:szCs w:val="1"/>
                <w:color w:val="auto"/>
              </w:rPr>
            </w:pPr>
          </w:p>
        </w:tc>
      </w:tr>
      <w:tr>
        <w:trPr>
          <w:trHeight w:val="203"/>
        </w:trPr>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1860" w:type="dxa"/>
            <w:vAlign w:val="bottom"/>
          </w:tcPr>
          <w:p>
            <w:pPr>
              <w:spacing w:after="0"/>
              <w:rPr>
                <w:sz w:val="17"/>
                <w:szCs w:val="17"/>
                <w:color w:val="auto"/>
              </w:rPr>
            </w:pPr>
          </w:p>
        </w:tc>
        <w:tc>
          <w:tcPr>
            <w:tcW w:w="1420" w:type="dxa"/>
            <w:vAlign w:val="bottom"/>
          </w:tcPr>
          <w:p>
            <w:pPr>
              <w:jc w:val="right"/>
              <w:ind w:right="97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10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234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1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81</w:t>
            </w:r>
          </w:p>
        </w:tc>
        <w:tc>
          <w:tcPr>
            <w:tcW w:w="2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(166)</w:t>
            </w: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1860" w:type="dxa"/>
            <w:vAlign w:val="bottom"/>
            <w:tcBorders>
              <w:bottom w:val="single" w:sz="8" w:color="auto"/>
            </w:tcBorders>
          </w:tcPr>
          <w:p>
            <w:pPr>
              <w:ind w:left="176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w w:val="97"/>
              </w:rPr>
              <w:t>2,739</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93"/>
              </w:rPr>
              <w:t>2,691</w:t>
            </w:r>
          </w:p>
        </w:tc>
        <w:tc>
          <w:tcPr>
            <w:tcW w:w="234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$6,149</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4,456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2012 restructuring expense was principally related to a reduction in workforce in Sweden and the previously announced curtailment of manufacturing in New York and Wisconsin. Those costs were partially offset by a reduction in accruals related to the relocation of the Company’s headquarters. The 2011 restructuring expense was principally due to the same integration and the substantial completion of the SAP conversion project.</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Except for the merger of PMC and Engineered Fabrics into Machine Clothing, there were no material changes in the total assets of reportable segments for the nine months ended September 30, 2012.</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Pensions and Other Benefits</w:t>
      </w:r>
    </w:p>
    <w:p>
      <w:pPr>
        <w:spacing w:after="0" w:line="19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sponsor defined benefit pension plans in various countries. The amount of contributions to the plans is based on several factors including the funding rules in each country. We also provide certain medical, dental and life insurance benefits (“Other Postretirement Benefits”) for retired United States and Canadian employees that meet program qualifications. We currently fund this plan as claims are paid.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nine months ended September 30, 2012 and 2011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Other Postretirement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4440" w:type="dxa"/>
            <w:vAlign w:val="bottom"/>
            <w:gridSpan w:val="2"/>
          </w:tcPr>
          <w:p>
            <w:pPr>
              <w:ind w:left="2620"/>
              <w:spacing w:after="0" w:line="181" w:lineRule="exact"/>
              <w:rPr>
                <w:sz w:val="20"/>
                <w:szCs w:val="20"/>
                <w:color w:val="auto"/>
              </w:rPr>
            </w:pPr>
            <w:r>
              <w:rPr>
                <w:rFonts w:ascii="Arial" w:cs="Arial" w:eastAsia="Arial" w:hAnsi="Arial"/>
                <w:sz w:val="18"/>
                <w:szCs w:val="18"/>
                <w:color w:val="auto"/>
              </w:rPr>
              <w:t>Pension Plans</w:t>
            </w: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Benefits</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900" w:type="dxa"/>
            <w:vAlign w:val="bottom"/>
          </w:tcPr>
          <w:p>
            <w:pPr>
              <w:spacing w:after="0"/>
              <w:rPr>
                <w:sz w:val="20"/>
                <w:szCs w:val="20"/>
                <w:color w:val="auto"/>
              </w:rPr>
            </w:pPr>
            <w:r>
              <w:rPr>
                <w:rFonts w:ascii="Arial" w:cs="Arial" w:eastAsia="Arial" w:hAnsi="Arial"/>
                <w:sz w:val="18"/>
                <w:szCs w:val="18"/>
                <w:color w:val="auto"/>
              </w:rPr>
              <w:t>Service cost</w:t>
            </w:r>
          </w:p>
        </w:tc>
        <w:tc>
          <w:tcPr>
            <w:tcW w:w="3380" w:type="dxa"/>
            <w:vAlign w:val="bottom"/>
          </w:tcPr>
          <w:p>
            <w:pPr>
              <w:jc w:val="right"/>
              <w:ind w:right="150"/>
              <w:spacing w:after="0"/>
              <w:rPr>
                <w:sz w:val="20"/>
                <w:szCs w:val="20"/>
                <w:color w:val="auto"/>
              </w:rPr>
            </w:pPr>
            <w:r>
              <w:rPr>
                <w:rFonts w:ascii="Arial" w:cs="Arial" w:eastAsia="Arial" w:hAnsi="Arial"/>
                <w:sz w:val="18"/>
                <w:szCs w:val="18"/>
                <w:b w:val="1"/>
                <w:bCs w:val="1"/>
                <w:color w:val="auto"/>
              </w:rPr>
              <w:t>$2,554</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$2,547</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$804</w:t>
            </w:r>
          </w:p>
        </w:tc>
        <w:tc>
          <w:tcPr>
            <w:tcW w:w="66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33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9,824</w:t>
            </w: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15,102</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2,766</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380" w:type="dxa"/>
            <w:vAlign w:val="bottom"/>
          </w:tcPr>
          <w:p>
            <w:pPr>
              <w:ind w:left="2620"/>
              <w:spacing w:after="0"/>
              <w:rPr>
                <w:sz w:val="20"/>
                <w:szCs w:val="20"/>
                <w:color w:val="auto"/>
              </w:rPr>
            </w:pPr>
            <w:r>
              <w:rPr>
                <w:rFonts w:ascii="Arial" w:cs="Arial" w:eastAsia="Arial" w:hAnsi="Arial"/>
                <w:sz w:val="18"/>
                <w:szCs w:val="18"/>
                <w:b w:val="1"/>
                <w:bCs w:val="1"/>
                <w:color w:val="auto"/>
              </w:rPr>
              <w:t>(9,436)</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(11,943)</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900" w:type="dxa"/>
            <w:vAlign w:val="bottom"/>
          </w:tcPr>
          <w:p>
            <w:pPr>
              <w:spacing w:after="0"/>
              <w:rPr>
                <w:sz w:val="20"/>
                <w:szCs w:val="20"/>
                <w:color w:val="auto"/>
              </w:rPr>
            </w:pPr>
            <w:r>
              <w:rPr>
                <w:rFonts w:ascii="Arial" w:cs="Arial" w:eastAsia="Arial" w:hAnsi="Arial"/>
                <w:sz w:val="18"/>
                <w:szCs w:val="18"/>
                <w:color w:val="auto"/>
              </w:rPr>
              <w:t>Amortization:</w:t>
            </w:r>
          </w:p>
        </w:tc>
        <w:tc>
          <w:tcPr>
            <w:tcW w:w="33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59</w:t>
            </w:r>
          </w:p>
        </w:tc>
        <w:tc>
          <w:tcPr>
            <w:tcW w:w="1060" w:type="dxa"/>
            <w:vAlign w:val="bottom"/>
          </w:tcPr>
          <w:p>
            <w:pPr>
              <w:spacing w:after="0"/>
              <w:rPr>
                <w:sz w:val="24"/>
                <w:szCs w:val="24"/>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8"/>
                <w:szCs w:val="18"/>
                <w:color w:val="auto"/>
              </w:rPr>
              <w:t>Transition obligation</w:t>
            </w:r>
          </w:p>
        </w:tc>
        <w:tc>
          <w:tcPr>
            <w:tcW w:w="3380" w:type="dxa"/>
            <w:vAlign w:val="bottom"/>
            <w:vMerge w:val="continue"/>
          </w:tcPr>
          <w:p>
            <w:pPr>
              <w:spacing w:after="0"/>
              <w:rPr>
                <w:sz w:val="15"/>
                <w:szCs w:val="15"/>
                <w:color w:val="auto"/>
              </w:rPr>
            </w:pPr>
          </w:p>
        </w:tc>
        <w:tc>
          <w:tcPr>
            <w:tcW w:w="106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66</w:t>
            </w:r>
          </w:p>
        </w:tc>
        <w:tc>
          <w:tcPr>
            <w:tcW w:w="1420" w:type="dxa"/>
            <w:vAlign w:val="bottom"/>
            <w:vMerge w:val="continue"/>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Prior service cost/(credit)</w:t>
            </w:r>
          </w:p>
        </w:tc>
        <w:tc>
          <w:tcPr>
            <w:tcW w:w="33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339</w:t>
            </w: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27</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(2,751)</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9"/>
        </w:trPr>
        <w:tc>
          <w:tcPr>
            <w:tcW w:w="4900" w:type="dxa"/>
            <w:vAlign w:val="bottom"/>
          </w:tcPr>
          <w:p>
            <w:pPr>
              <w:ind w:left="160"/>
              <w:spacing w:after="0"/>
              <w:rPr>
                <w:sz w:val="20"/>
                <w:szCs w:val="20"/>
                <w:color w:val="auto"/>
              </w:rPr>
            </w:pPr>
            <w:r>
              <w:rPr>
                <w:rFonts w:ascii="Arial" w:cs="Arial" w:eastAsia="Arial" w:hAnsi="Arial"/>
                <w:sz w:val="18"/>
                <w:szCs w:val="18"/>
                <w:color w:val="auto"/>
              </w:rPr>
              <w:t>Net actuarial loss</w:t>
            </w:r>
          </w:p>
        </w:tc>
        <w:tc>
          <w:tcPr>
            <w:tcW w:w="3380" w:type="dxa"/>
            <w:vAlign w:val="bottom"/>
          </w:tcPr>
          <w:p>
            <w:pPr>
              <w:jc w:val="right"/>
              <w:ind w:right="150"/>
              <w:spacing w:after="0"/>
              <w:rPr>
                <w:sz w:val="20"/>
                <w:szCs w:val="20"/>
                <w:color w:val="auto"/>
              </w:rPr>
            </w:pPr>
            <w:r>
              <w:rPr>
                <w:rFonts w:ascii="Arial" w:cs="Arial" w:eastAsia="Arial" w:hAnsi="Arial"/>
                <w:sz w:val="18"/>
                <w:szCs w:val="18"/>
                <w:b w:val="1"/>
                <w:bCs w:val="1"/>
                <w:color w:val="auto"/>
              </w:rPr>
              <w:t>3,774</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4,266</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2,412</w:t>
            </w:r>
          </w:p>
        </w:tc>
        <w:tc>
          <w:tcPr>
            <w:tcW w:w="660" w:type="dxa"/>
            <w:vAlign w:val="bottom"/>
          </w:tcPr>
          <w:p>
            <w:pPr>
              <w:jc w:val="right"/>
              <w:spacing w:after="0"/>
              <w:rPr>
                <w:sz w:val="20"/>
                <w:szCs w:val="20"/>
                <w:color w:val="auto"/>
              </w:rPr>
            </w:pPr>
            <w:r>
              <w:rPr>
                <w:rFonts w:ascii="Arial" w:cs="Arial" w:eastAsia="Arial" w:hAnsi="Arial"/>
                <w:sz w:val="18"/>
                <w:szCs w:val="18"/>
                <w:color w:val="auto"/>
              </w:rPr>
              <w:t>2,259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 charge</w:t>
            </w:r>
          </w:p>
        </w:tc>
        <w:tc>
          <w:tcPr>
            <w:tcW w:w="3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119,735</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costs</w:t>
            </w:r>
          </w:p>
        </w:tc>
        <w:tc>
          <w:tcPr>
            <w:tcW w:w="3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$126,849</w:t>
            </w:r>
          </w:p>
        </w:tc>
        <w:tc>
          <w:tcPr>
            <w:tcW w:w="1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$10,065</w:t>
            </w:r>
          </w:p>
        </w:tc>
        <w:tc>
          <w:tcPr>
            <w:tcW w:w="14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$3,231</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the first quarter of 2012, the Company announced a plan to significantly reduce its pension plan liabilities by settling certain pension obligations, which led to settlement charges totaling $119.7 million for the first six months of 2012. In the first quarter of 2012, we recorded a settlement charge of $9.2 million related to the extinguishment of our pension plan liability in Sweden. In the second quarter of 2012, we recorded settlement charges totaling $110.5 million related to settling a majority of the defined benefit pension plan liabilities in the United States and Canada. As a result of settling these pension liabilities and making additional voluntary contributions, the combined unfunded pension liability declined from $101.2 million as of December 31, 2011 to $26.9 million at June 30, 2012, when the settlement actions were completed.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Restructuring</w:t>
      </w:r>
    </w:p>
    <w:p>
      <w:pPr>
        <w:spacing w:after="0" w:line="190"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Restructuring expenses in 2012 were principally related to a reduction in workforce in Sweden and the previously announced curtailment of manufacturing in New York and Wisconsin. Those costs were partially offset by a reduction in accruals related to the relocation of the Company’s headquarters. The restructuring activities in Sweden are related to lower demand for paper machine clothing in Europe.</w:t>
      </w:r>
    </w:p>
    <w:p>
      <w:pPr>
        <w:spacing w:after="0" w:line="168"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The following tables summarize charges reported in the Statement of Income under “Restructuring and other, net” for 2012 and 2011: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8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2"/>
          </w:tcPr>
          <w:p>
            <w:pPr>
              <w:jc w:val="right"/>
              <w:ind w:right="250"/>
              <w:spacing w:after="0" w:line="226" w:lineRule="exact"/>
              <w:rPr>
                <w:sz w:val="20"/>
                <w:szCs w:val="20"/>
                <w:color w:val="auto"/>
              </w:rPr>
            </w:pPr>
            <w:r>
              <w:rPr>
                <w:rFonts w:ascii="Arial" w:cs="Arial" w:eastAsia="Arial" w:hAnsi="Arial"/>
                <w:sz w:val="20"/>
                <w:szCs w:val="20"/>
                <w:color w:val="auto"/>
              </w:rPr>
              <w:t>Three months ended</w:t>
            </w:r>
          </w:p>
        </w:tc>
        <w:tc>
          <w:tcPr>
            <w:tcW w:w="2160" w:type="dxa"/>
            <w:vAlign w:val="bottom"/>
            <w:tcBorders>
              <w:top w:val="single" w:sz="8" w:color="auto"/>
            </w:tcBorders>
            <w:gridSpan w:val="3"/>
          </w:tcPr>
          <w:p>
            <w:pPr>
              <w:jc w:val="right"/>
              <w:ind w:right="193"/>
              <w:spacing w:after="0" w:line="226" w:lineRule="exact"/>
              <w:rPr>
                <w:sz w:val="20"/>
                <w:szCs w:val="20"/>
                <w:color w:val="auto"/>
              </w:rPr>
            </w:pPr>
            <w:r>
              <w:rPr>
                <w:rFonts w:ascii="Arial" w:cs="Arial" w:eastAsia="Arial" w:hAnsi="Arial"/>
                <w:sz w:val="20"/>
                <w:szCs w:val="20"/>
                <w:color w:val="auto"/>
              </w:rPr>
              <w:t>Nine months ended</w:t>
            </w:r>
          </w:p>
        </w:tc>
        <w:tc>
          <w:tcPr>
            <w:tcW w:w="40" w:type="dxa"/>
            <w:vAlign w:val="bottom"/>
            <w:gridSpan w:val="2"/>
          </w:tcPr>
          <w:p>
            <w:pPr>
              <w:spacing w:after="0"/>
              <w:rPr>
                <w:sz w:val="19"/>
                <w:szCs w:val="19"/>
                <w:color w:val="auto"/>
              </w:rPr>
            </w:pP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80" w:type="dxa"/>
            <w:vAlign w:val="bottom"/>
            <w:gridSpan w:val="2"/>
          </w:tcPr>
          <w:p>
            <w:pPr>
              <w:jc w:val="right"/>
              <w:ind w:right="510"/>
              <w:spacing w:after="0" w:line="216" w:lineRule="exact"/>
              <w:rPr>
                <w:sz w:val="20"/>
                <w:szCs w:val="20"/>
                <w:color w:val="auto"/>
              </w:rPr>
            </w:pPr>
            <w:r>
              <w:rPr>
                <w:rFonts w:ascii="Arial" w:cs="Arial" w:eastAsia="Arial" w:hAnsi="Arial"/>
                <w:sz w:val="20"/>
                <w:szCs w:val="20"/>
                <w:color w:val="auto"/>
              </w:rPr>
              <w:t>September 30,</w:t>
            </w:r>
          </w:p>
        </w:tc>
        <w:tc>
          <w:tcPr>
            <w:tcW w:w="2200" w:type="dxa"/>
            <w:vAlign w:val="bottom"/>
            <w:gridSpan w:val="5"/>
          </w:tcPr>
          <w:p>
            <w:pPr>
              <w:ind w:left="380"/>
              <w:spacing w:after="0" w:line="216" w:lineRule="exact"/>
              <w:rPr>
                <w:sz w:val="20"/>
                <w:szCs w:val="20"/>
                <w:color w:val="auto"/>
              </w:rPr>
            </w:pPr>
            <w:r>
              <w:rPr>
                <w:rFonts w:ascii="Arial" w:cs="Arial" w:eastAsia="Arial" w:hAnsi="Arial"/>
                <w:sz w:val="20"/>
                <w:szCs w:val="20"/>
                <w:color w:val="auto"/>
              </w:rPr>
              <w:t>September 30,</w:t>
            </w:r>
          </w:p>
        </w:tc>
      </w:tr>
      <w:tr>
        <w:trPr>
          <w:trHeight w:val="220"/>
        </w:trPr>
        <w:tc>
          <w:tcPr>
            <w:tcW w:w="378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(in thousands)</w:t>
            </w:r>
          </w:p>
        </w:tc>
        <w:tc>
          <w:tcPr>
            <w:tcW w:w="2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2"/>
              <w:spacing w:after="0" w:line="220" w:lineRule="exact"/>
              <w:rPr>
                <w:sz w:val="20"/>
                <w:szCs w:val="20"/>
                <w:color w:val="auto"/>
              </w:rPr>
            </w:pPr>
            <w:r>
              <w:rPr>
                <w:rFonts w:ascii="Arial" w:cs="Arial" w:eastAsia="Arial" w:hAnsi="Arial"/>
                <w:sz w:val="20"/>
                <w:szCs w:val="20"/>
                <w:color w:val="auto"/>
              </w:rPr>
              <w:t>2012</w:t>
            </w:r>
          </w:p>
        </w:tc>
        <w:tc>
          <w:tcPr>
            <w:tcW w:w="1080" w:type="dxa"/>
            <w:vAlign w:val="bottom"/>
            <w:tcBorders>
              <w:bottom w:val="single" w:sz="8" w:color="auto"/>
            </w:tcBorders>
          </w:tcPr>
          <w:p>
            <w:pPr>
              <w:jc w:val="right"/>
              <w:ind w:right="10"/>
              <w:spacing w:after="0" w:line="220" w:lineRule="exact"/>
              <w:rPr>
                <w:sz w:val="20"/>
                <w:szCs w:val="20"/>
                <w:color w:val="auto"/>
              </w:rPr>
            </w:pPr>
            <w:r>
              <w:rPr>
                <w:rFonts w:ascii="Arial" w:cs="Arial" w:eastAsia="Arial" w:hAnsi="Arial"/>
                <w:sz w:val="20"/>
                <w:szCs w:val="20"/>
                <w:color w:val="auto"/>
              </w:rPr>
              <w:t>2011</w:t>
            </w:r>
          </w:p>
        </w:tc>
        <w:tc>
          <w:tcPr>
            <w:tcW w:w="1120" w:type="dxa"/>
            <w:vAlign w:val="bottom"/>
            <w:tcBorders>
              <w:bottom w:val="single" w:sz="8" w:color="auto"/>
            </w:tcBorders>
          </w:tcPr>
          <w:p>
            <w:pPr>
              <w:jc w:val="right"/>
              <w:ind w:right="51"/>
              <w:spacing w:after="0" w:line="220" w:lineRule="exact"/>
              <w:rPr>
                <w:sz w:val="20"/>
                <w:szCs w:val="20"/>
                <w:color w:val="auto"/>
              </w:rPr>
            </w:pPr>
            <w:r>
              <w:rPr>
                <w:rFonts w:ascii="Arial" w:cs="Arial" w:eastAsia="Arial" w:hAnsi="Arial"/>
                <w:sz w:val="20"/>
                <w:szCs w:val="20"/>
                <w:color w:val="auto"/>
              </w:rPr>
              <w:t>2012</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color w:val="auto"/>
              </w:rPr>
              <w:t>2011</w:t>
            </w:r>
          </w:p>
        </w:tc>
        <w:tc>
          <w:tcPr>
            <w:tcW w:w="20" w:type="dxa"/>
            <w:vAlign w:val="bottom"/>
          </w:tcPr>
          <w:p>
            <w:pPr>
              <w:spacing w:after="0"/>
              <w:rPr>
                <w:sz w:val="19"/>
                <w:szCs w:val="19"/>
                <w:color w:val="auto"/>
              </w:rPr>
            </w:pPr>
          </w:p>
        </w:tc>
      </w:tr>
      <w:tr>
        <w:trPr>
          <w:trHeight w:val="231"/>
        </w:trPr>
        <w:tc>
          <w:tcPr>
            <w:tcW w:w="3780" w:type="dxa"/>
            <w:vAlign w:val="bottom"/>
          </w:tcPr>
          <w:p>
            <w:pPr>
              <w:spacing w:after="0"/>
              <w:rPr>
                <w:sz w:val="20"/>
                <w:szCs w:val="20"/>
                <w:color w:val="auto"/>
              </w:rPr>
            </w:pPr>
            <w:r>
              <w:rPr>
                <w:rFonts w:ascii="Arial" w:cs="Arial" w:eastAsia="Arial" w:hAnsi="Arial"/>
                <w:sz w:val="20"/>
                <w:szCs w:val="20"/>
                <w:color w:val="auto"/>
              </w:rPr>
              <w:t>Machine Clothing</w:t>
            </w:r>
          </w:p>
        </w:tc>
        <w:tc>
          <w:tcPr>
            <w:tcW w:w="2400" w:type="dxa"/>
            <w:vAlign w:val="bottom"/>
          </w:tcPr>
          <w:p>
            <w:pPr>
              <w:spacing w:after="0"/>
              <w:rPr>
                <w:sz w:val="20"/>
                <w:szCs w:val="20"/>
                <w:color w:val="auto"/>
              </w:rPr>
            </w:pPr>
          </w:p>
        </w:tc>
        <w:tc>
          <w:tcPr>
            <w:tcW w:w="2000" w:type="dxa"/>
            <w:vAlign w:val="bottom"/>
          </w:tcPr>
          <w:p>
            <w:pPr>
              <w:jc w:val="right"/>
              <w:ind w:right="72"/>
              <w:spacing w:after="0"/>
              <w:rPr>
                <w:sz w:val="20"/>
                <w:szCs w:val="20"/>
                <w:color w:val="auto"/>
              </w:rPr>
            </w:pPr>
            <w:r>
              <w:rPr>
                <w:rFonts w:ascii="Arial" w:cs="Arial" w:eastAsia="Arial" w:hAnsi="Arial"/>
                <w:sz w:val="20"/>
                <w:szCs w:val="20"/>
                <w:color w:val="auto"/>
              </w:rPr>
              <w:t>$2,739</w:t>
            </w:r>
          </w:p>
        </w:tc>
        <w:tc>
          <w:tcPr>
            <w:tcW w:w="1080" w:type="dxa"/>
            <w:vAlign w:val="bottom"/>
          </w:tcPr>
          <w:p>
            <w:pPr>
              <w:jc w:val="right"/>
              <w:ind w:right="10"/>
              <w:spacing w:after="0"/>
              <w:rPr>
                <w:sz w:val="20"/>
                <w:szCs w:val="20"/>
                <w:color w:val="auto"/>
              </w:rPr>
            </w:pPr>
            <w:r>
              <w:rPr>
                <w:rFonts w:ascii="Arial" w:cs="Arial" w:eastAsia="Arial" w:hAnsi="Arial"/>
                <w:sz w:val="20"/>
                <w:szCs w:val="20"/>
                <w:color w:val="auto"/>
              </w:rPr>
              <w:t>$2,610</w:t>
            </w:r>
          </w:p>
        </w:tc>
        <w:tc>
          <w:tcPr>
            <w:tcW w:w="1120" w:type="dxa"/>
            <w:vAlign w:val="bottom"/>
          </w:tcPr>
          <w:p>
            <w:pPr>
              <w:ind w:left="420"/>
              <w:spacing w:after="0"/>
              <w:rPr>
                <w:sz w:val="20"/>
                <w:szCs w:val="20"/>
                <w:color w:val="auto"/>
              </w:rPr>
            </w:pPr>
            <w:r>
              <w:rPr>
                <w:rFonts w:ascii="Arial" w:cs="Arial" w:eastAsia="Arial" w:hAnsi="Arial"/>
                <w:sz w:val="20"/>
                <w:szCs w:val="20"/>
                <w:color w:val="auto"/>
              </w:rPr>
              <w:t>$6,315</w:t>
            </w:r>
          </w:p>
        </w:tc>
        <w:tc>
          <w:tcPr>
            <w:tcW w:w="3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$3,215</w:t>
            </w:r>
          </w:p>
        </w:tc>
        <w:tc>
          <w:tcPr>
            <w:tcW w:w="20" w:type="dxa"/>
            <w:vAlign w:val="bottom"/>
          </w:tcPr>
          <w:p>
            <w:pPr>
              <w:spacing w:after="0"/>
              <w:rPr>
                <w:sz w:val="20"/>
                <w:szCs w:val="20"/>
                <w:color w:val="auto"/>
              </w:rPr>
            </w:pPr>
          </w:p>
        </w:tc>
      </w:tr>
      <w:tr>
        <w:trPr>
          <w:trHeight w:val="429"/>
        </w:trPr>
        <w:tc>
          <w:tcPr>
            <w:tcW w:w="3780" w:type="dxa"/>
            <w:vAlign w:val="bottom"/>
          </w:tcPr>
          <w:p>
            <w:pPr>
              <w:spacing w:after="0"/>
              <w:rPr>
                <w:sz w:val="20"/>
                <w:szCs w:val="20"/>
                <w:color w:val="auto"/>
              </w:rPr>
            </w:pPr>
            <w:r>
              <w:rPr>
                <w:rFonts w:ascii="Arial" w:cs="Arial" w:eastAsia="Arial" w:hAnsi="Arial"/>
                <w:sz w:val="20"/>
                <w:szCs w:val="20"/>
                <w:color w:val="auto"/>
              </w:rPr>
              <w:t>Engineered Composites</w:t>
            </w:r>
          </w:p>
        </w:tc>
        <w:tc>
          <w:tcPr>
            <w:tcW w:w="2400" w:type="dxa"/>
            <w:vAlign w:val="bottom"/>
          </w:tcPr>
          <w:p>
            <w:pPr>
              <w:spacing w:after="0"/>
              <w:rPr>
                <w:sz w:val="24"/>
                <w:szCs w:val="24"/>
                <w:color w:val="auto"/>
              </w:rPr>
            </w:pPr>
          </w:p>
        </w:tc>
        <w:tc>
          <w:tcPr>
            <w:tcW w:w="2000" w:type="dxa"/>
            <w:vAlign w:val="bottom"/>
          </w:tcPr>
          <w:p>
            <w:pPr>
              <w:jc w:val="right"/>
              <w:ind w:right="192"/>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3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1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57</w:t>
            </w:r>
          </w:p>
        </w:tc>
        <w:tc>
          <w:tcPr>
            <w:tcW w:w="20" w:type="dxa"/>
            <w:vAlign w:val="bottom"/>
          </w:tcPr>
          <w:p>
            <w:pPr>
              <w:spacing w:after="0"/>
              <w:rPr>
                <w:sz w:val="24"/>
                <w:szCs w:val="24"/>
                <w:color w:val="auto"/>
              </w:rPr>
            </w:pPr>
          </w:p>
        </w:tc>
      </w:tr>
      <w:tr>
        <w:trPr>
          <w:trHeight w:val="415"/>
        </w:trPr>
        <w:tc>
          <w:tcPr>
            <w:tcW w:w="3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Unallocated expenses</w:t>
            </w:r>
          </w:p>
        </w:tc>
        <w:tc>
          <w:tcPr>
            <w:tcW w:w="2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9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20"/>
                <w:szCs w:val="20"/>
                <w:color w:val="auto"/>
              </w:rPr>
              <w:t>81</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20"/>
                <w:szCs w:val="20"/>
                <w:color w:val="auto"/>
              </w:rPr>
              <w:t>(166)</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1,184</w:t>
            </w:r>
          </w:p>
        </w:tc>
        <w:tc>
          <w:tcPr>
            <w:tcW w:w="20" w:type="dxa"/>
            <w:vAlign w:val="bottom"/>
          </w:tcPr>
          <w:p>
            <w:pPr>
              <w:spacing w:after="0"/>
              <w:rPr>
                <w:sz w:val="24"/>
                <w:szCs w:val="24"/>
                <w:color w:val="auto"/>
              </w:rPr>
            </w:pPr>
          </w:p>
        </w:tc>
      </w:tr>
      <w:tr>
        <w:trPr>
          <w:trHeight w:val="210"/>
        </w:trPr>
        <w:tc>
          <w:tcPr>
            <w:tcW w:w="378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Total</w:t>
            </w:r>
          </w:p>
        </w:tc>
        <w:tc>
          <w:tcPr>
            <w:tcW w:w="2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2"/>
              <w:spacing w:after="0" w:line="209" w:lineRule="exact"/>
              <w:rPr>
                <w:sz w:val="20"/>
                <w:szCs w:val="20"/>
                <w:color w:val="auto"/>
              </w:rPr>
            </w:pPr>
            <w:r>
              <w:rPr>
                <w:rFonts w:ascii="Arial" w:cs="Arial" w:eastAsia="Arial" w:hAnsi="Arial"/>
                <w:sz w:val="20"/>
                <w:szCs w:val="20"/>
                <w:color w:val="auto"/>
              </w:rPr>
              <w:t>$2,739</w:t>
            </w:r>
          </w:p>
        </w:tc>
        <w:tc>
          <w:tcPr>
            <w:tcW w:w="1080" w:type="dxa"/>
            <w:vAlign w:val="bottom"/>
            <w:tcBorders>
              <w:bottom w:val="single" w:sz="8" w:color="auto"/>
            </w:tcBorders>
          </w:tcPr>
          <w:p>
            <w:pPr>
              <w:jc w:val="right"/>
              <w:ind w:right="10"/>
              <w:spacing w:after="0" w:line="209" w:lineRule="exact"/>
              <w:rPr>
                <w:sz w:val="20"/>
                <w:szCs w:val="20"/>
                <w:color w:val="auto"/>
              </w:rPr>
            </w:pPr>
            <w:r>
              <w:rPr>
                <w:rFonts w:ascii="Arial" w:cs="Arial" w:eastAsia="Arial" w:hAnsi="Arial"/>
                <w:sz w:val="20"/>
                <w:szCs w:val="20"/>
                <w:color w:val="auto"/>
              </w:rPr>
              <w:t>$2,691</w:t>
            </w:r>
          </w:p>
        </w:tc>
        <w:tc>
          <w:tcPr>
            <w:tcW w:w="1120" w:type="dxa"/>
            <w:vAlign w:val="bottom"/>
            <w:tcBorders>
              <w:bottom w:val="single" w:sz="8" w:color="auto"/>
            </w:tcBorders>
          </w:tcPr>
          <w:p>
            <w:pPr>
              <w:ind w:left="420"/>
              <w:spacing w:after="0" w:line="209" w:lineRule="exact"/>
              <w:rPr>
                <w:sz w:val="20"/>
                <w:szCs w:val="20"/>
                <w:color w:val="auto"/>
              </w:rPr>
            </w:pPr>
            <w:r>
              <w:rPr>
                <w:rFonts w:ascii="Arial" w:cs="Arial" w:eastAsia="Arial" w:hAnsi="Arial"/>
                <w:sz w:val="20"/>
                <w:szCs w:val="20"/>
                <w:color w:val="auto"/>
              </w:rPr>
              <w:t>$6,149</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$4,456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7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spacing w:after="0"/>
              <w:rPr>
                <w:sz w:val="18"/>
                <w:szCs w:val="18"/>
                <w:color w:val="auto"/>
              </w:rPr>
            </w:pPr>
          </w:p>
        </w:tc>
        <w:tc>
          <w:tcPr>
            <w:tcW w:w="1040" w:type="dxa"/>
            <w:vAlign w:val="bottom"/>
            <w:tcBorders>
              <w:bottom w:val="single" w:sz="8" w:color="auto"/>
            </w:tcBorders>
            <w:gridSpan w:val="2"/>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84"/>
        </w:trPr>
        <w:tc>
          <w:tcPr>
            <w:tcW w:w="3780" w:type="dxa"/>
            <w:vAlign w:val="bottom"/>
          </w:tcPr>
          <w:p>
            <w:pPr>
              <w:spacing w:after="0"/>
              <w:rPr>
                <w:sz w:val="20"/>
                <w:szCs w:val="20"/>
                <w:color w:val="auto"/>
              </w:rPr>
            </w:pPr>
            <w:r>
              <w:rPr>
                <w:rFonts w:ascii="Arial" w:cs="Arial" w:eastAsia="Arial" w:hAnsi="Arial"/>
                <w:sz w:val="16"/>
                <w:szCs w:val="16"/>
                <w:color w:val="auto"/>
              </w:rPr>
              <w:t>Nine months ended September 30, 2012</w:t>
            </w:r>
          </w:p>
        </w:tc>
        <w:tc>
          <w:tcPr>
            <w:tcW w:w="2400" w:type="dxa"/>
            <w:vAlign w:val="bottom"/>
          </w:tcPr>
          <w:p>
            <w:pPr>
              <w:jc w:val="right"/>
              <w:ind w:right="199"/>
              <w:spacing w:after="0"/>
              <w:rPr>
                <w:sz w:val="20"/>
                <w:szCs w:val="20"/>
                <w:color w:val="auto"/>
              </w:rPr>
            </w:pPr>
            <w:r>
              <w:rPr>
                <w:rFonts w:ascii="Arial" w:cs="Arial" w:eastAsia="Arial" w:hAnsi="Arial"/>
                <w:sz w:val="16"/>
                <w:szCs w:val="16"/>
                <w:color w:val="auto"/>
              </w:rPr>
              <w:t>Total restructuring</w:t>
            </w:r>
          </w:p>
        </w:tc>
        <w:tc>
          <w:tcPr>
            <w:tcW w:w="2000" w:type="dxa"/>
            <w:vAlign w:val="bottom"/>
          </w:tcPr>
          <w:p>
            <w:pPr>
              <w:jc w:val="right"/>
              <w:ind w:right="532"/>
              <w:spacing w:after="0"/>
              <w:rPr>
                <w:sz w:val="20"/>
                <w:szCs w:val="20"/>
                <w:color w:val="auto"/>
              </w:rPr>
            </w:pPr>
            <w:r>
              <w:rPr>
                <w:rFonts w:ascii="Arial" w:cs="Arial" w:eastAsia="Arial" w:hAnsi="Arial"/>
                <w:sz w:val="16"/>
                <w:szCs w:val="16"/>
                <w:color w:val="auto"/>
              </w:rPr>
              <w:t>Termination and</w:t>
            </w:r>
          </w:p>
        </w:tc>
        <w:tc>
          <w:tcPr>
            <w:tcW w:w="2200" w:type="dxa"/>
            <w:vAlign w:val="bottom"/>
            <w:gridSpan w:val="2"/>
          </w:tcPr>
          <w:p>
            <w:pPr>
              <w:jc w:val="right"/>
              <w:ind w:right="511"/>
              <w:spacing w:after="0"/>
              <w:rPr>
                <w:sz w:val="20"/>
                <w:szCs w:val="20"/>
                <w:color w:val="auto"/>
              </w:rPr>
            </w:pPr>
            <w:r>
              <w:rPr>
                <w:rFonts w:ascii="Arial" w:cs="Arial" w:eastAsia="Arial" w:hAnsi="Arial"/>
                <w:sz w:val="16"/>
                <w:szCs w:val="16"/>
                <w:color w:val="auto"/>
              </w:rPr>
              <w:t>Impairment of plant</w:t>
            </w:r>
          </w:p>
        </w:tc>
        <w:tc>
          <w:tcPr>
            <w:tcW w:w="1080" w:type="dxa"/>
            <w:vAlign w:val="bottom"/>
            <w:gridSpan w:val="4"/>
          </w:tcPr>
          <w:p>
            <w:pPr>
              <w:ind w:left="140"/>
              <w:spacing w:after="0"/>
              <w:rPr>
                <w:sz w:val="20"/>
                <w:szCs w:val="20"/>
                <w:color w:val="auto"/>
              </w:rPr>
            </w:pPr>
            <w:r>
              <w:rPr>
                <w:rFonts w:ascii="Arial" w:cs="Arial" w:eastAsia="Arial" w:hAnsi="Arial"/>
                <w:sz w:val="16"/>
                <w:szCs w:val="16"/>
                <w:color w:val="auto"/>
              </w:rPr>
              <w:t>Benefit plan</w:t>
            </w:r>
          </w:p>
        </w:tc>
      </w:tr>
      <w:tr>
        <w:trPr>
          <w:trHeight w:val="187"/>
        </w:trPr>
        <w:tc>
          <w:tcPr>
            <w:tcW w:w="3780" w:type="dxa"/>
            <w:vAlign w:val="bottom"/>
          </w:tcPr>
          <w:p>
            <w:pPr>
              <w:spacing w:after="0"/>
              <w:rPr>
                <w:sz w:val="20"/>
                <w:szCs w:val="20"/>
                <w:color w:val="auto"/>
              </w:rPr>
            </w:pPr>
            <w:r>
              <w:rPr>
                <w:rFonts w:ascii="Arial" w:cs="Arial" w:eastAsia="Arial" w:hAnsi="Arial"/>
                <w:sz w:val="16"/>
                <w:szCs w:val="16"/>
                <w:color w:val="auto"/>
              </w:rPr>
              <w:t>(in thousands)</w:t>
            </w:r>
          </w:p>
        </w:tc>
        <w:tc>
          <w:tcPr>
            <w:tcW w:w="2400" w:type="dxa"/>
            <w:vAlign w:val="bottom"/>
          </w:tcPr>
          <w:p>
            <w:pPr>
              <w:jc w:val="right"/>
              <w:ind w:right="139"/>
              <w:spacing w:after="0"/>
              <w:rPr>
                <w:sz w:val="20"/>
                <w:szCs w:val="20"/>
                <w:color w:val="auto"/>
              </w:rPr>
            </w:pPr>
            <w:r>
              <w:rPr>
                <w:rFonts w:ascii="Arial" w:cs="Arial" w:eastAsia="Arial" w:hAnsi="Arial"/>
                <w:sz w:val="16"/>
                <w:szCs w:val="16"/>
                <w:color w:val="auto"/>
              </w:rPr>
              <w:t>costs incurred</w:t>
            </w:r>
          </w:p>
        </w:tc>
        <w:tc>
          <w:tcPr>
            <w:tcW w:w="2000" w:type="dxa"/>
            <w:vAlign w:val="bottom"/>
          </w:tcPr>
          <w:p>
            <w:pPr>
              <w:jc w:val="right"/>
              <w:ind w:right="472"/>
              <w:spacing w:after="0"/>
              <w:rPr>
                <w:sz w:val="20"/>
                <w:szCs w:val="20"/>
                <w:color w:val="auto"/>
              </w:rPr>
            </w:pPr>
            <w:r>
              <w:rPr>
                <w:rFonts w:ascii="Arial" w:cs="Arial" w:eastAsia="Arial" w:hAnsi="Arial"/>
                <w:sz w:val="16"/>
                <w:szCs w:val="16"/>
                <w:color w:val="auto"/>
              </w:rPr>
              <w:t>other costs</w:t>
            </w:r>
          </w:p>
        </w:tc>
        <w:tc>
          <w:tcPr>
            <w:tcW w:w="2200" w:type="dxa"/>
            <w:vAlign w:val="bottom"/>
            <w:gridSpan w:val="2"/>
          </w:tcPr>
          <w:p>
            <w:pPr>
              <w:jc w:val="right"/>
              <w:ind w:right="471"/>
              <w:spacing w:after="0"/>
              <w:rPr>
                <w:sz w:val="20"/>
                <w:szCs w:val="20"/>
                <w:color w:val="auto"/>
              </w:rPr>
            </w:pPr>
            <w:r>
              <w:rPr>
                <w:rFonts w:ascii="Arial" w:cs="Arial" w:eastAsia="Arial" w:hAnsi="Arial"/>
                <w:sz w:val="16"/>
                <w:szCs w:val="16"/>
                <w:color w:val="auto"/>
              </w:rPr>
              <w:t>and equipment</w:t>
            </w:r>
          </w:p>
        </w:tc>
        <w:tc>
          <w:tcPr>
            <w:tcW w:w="300" w:type="dxa"/>
            <w:vAlign w:val="bottom"/>
          </w:tcPr>
          <w:p>
            <w:pPr>
              <w:spacing w:after="0"/>
              <w:rPr>
                <w:sz w:val="16"/>
                <w:szCs w:val="16"/>
                <w:color w:val="auto"/>
              </w:rPr>
            </w:pPr>
          </w:p>
        </w:tc>
        <w:tc>
          <w:tcPr>
            <w:tcW w:w="780" w:type="dxa"/>
            <w:vAlign w:val="bottom"/>
            <w:gridSpan w:val="3"/>
          </w:tcPr>
          <w:p>
            <w:pPr>
              <w:ind w:left="240"/>
              <w:spacing w:after="0"/>
              <w:rPr>
                <w:sz w:val="20"/>
                <w:szCs w:val="20"/>
                <w:color w:val="auto"/>
              </w:rPr>
            </w:pPr>
            <w:r>
              <w:rPr>
                <w:rFonts w:ascii="Arial" w:cs="Arial" w:eastAsia="Arial" w:hAnsi="Arial"/>
                <w:sz w:val="16"/>
                <w:szCs w:val="16"/>
                <w:color w:val="auto"/>
              </w:rPr>
              <w:t>charge</w:t>
            </w:r>
          </w:p>
        </w:tc>
      </w:tr>
      <w:tr>
        <w:trPr>
          <w:trHeight w:val="184"/>
        </w:trPr>
        <w:tc>
          <w:tcPr>
            <w:tcW w:w="37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Machine Clothing</w:t>
            </w:r>
          </w:p>
        </w:tc>
        <w:tc>
          <w:tcPr>
            <w:tcW w:w="24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$6,315</w:t>
            </w:r>
          </w:p>
        </w:tc>
        <w:tc>
          <w:tcPr>
            <w:tcW w:w="200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color w:val="auto"/>
              </w:rPr>
              <w:t>$6,315</w:t>
            </w:r>
          </w:p>
        </w:tc>
        <w:tc>
          <w:tcPr>
            <w:tcW w:w="1080" w:type="dxa"/>
            <w:vAlign w:val="bottom"/>
            <w:tcBorders>
              <w:top w:val="single" w:sz="8" w:color="auto"/>
            </w:tcBorders>
          </w:tcPr>
          <w:p>
            <w:pPr>
              <w:jc w:val="right"/>
              <w:ind w:right="75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Engineered Composites</w:t>
            </w:r>
          </w:p>
        </w:tc>
        <w:tc>
          <w:tcPr>
            <w:tcW w:w="2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472"/>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6"/>
                <w:szCs w:val="16"/>
                <w:color w:val="auto"/>
              </w:rPr>
            </w:pPr>
          </w:p>
        </w:tc>
        <w:tc>
          <w:tcPr>
            <w:tcW w:w="1120" w:type="dxa"/>
            <w:vAlign w:val="bottom"/>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Unallocated expenses</w:t>
            </w:r>
          </w:p>
        </w:tc>
        <w:tc>
          <w:tcPr>
            <w:tcW w:w="2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(166)</w:t>
            </w:r>
          </w:p>
        </w:tc>
        <w:tc>
          <w:tcPr>
            <w:tcW w:w="20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380</w:t>
            </w: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(546)</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4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$6,149</w:t>
            </w:r>
          </w:p>
        </w:tc>
        <w:tc>
          <w:tcPr>
            <w:tcW w:w="2000" w:type="dxa"/>
            <w:vAlign w:val="bottom"/>
            <w:tcBorders>
              <w:bottom w:val="single" w:sz="8" w:color="auto"/>
            </w:tcBorders>
          </w:tcPr>
          <w:p>
            <w:pPr>
              <w:jc w:val="right"/>
              <w:ind w:right="472"/>
              <w:spacing w:after="0" w:line="183" w:lineRule="exact"/>
              <w:rPr>
                <w:sz w:val="20"/>
                <w:szCs w:val="20"/>
                <w:color w:val="auto"/>
              </w:rPr>
            </w:pPr>
            <w:r>
              <w:rPr>
                <w:rFonts w:ascii="Arial" w:cs="Arial" w:eastAsia="Arial" w:hAnsi="Arial"/>
                <w:sz w:val="16"/>
                <w:szCs w:val="16"/>
                <w:color w:val="auto"/>
              </w:rPr>
              <w:t>$6,695</w:t>
            </w: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1"/>
              <w:spacing w:after="0" w:line="183" w:lineRule="exact"/>
              <w:rPr>
                <w:sz w:val="20"/>
                <w:szCs w:val="20"/>
                <w:color w:val="auto"/>
              </w:rPr>
            </w:pPr>
            <w:r>
              <w:rPr>
                <w:rFonts w:ascii="Arial" w:cs="Arial" w:eastAsia="Arial" w:hAnsi="Arial"/>
                <w:sz w:val="16"/>
                <w:szCs w:val="16"/>
                <w:color w:val="auto"/>
              </w:rPr>
              <w:t>($546)</w:t>
            </w:r>
          </w:p>
        </w:tc>
        <w:tc>
          <w:tcPr>
            <w:tcW w:w="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3780" w:type="dxa"/>
            <w:vAlign w:val="bottom"/>
          </w:tcPr>
          <w:p>
            <w:pPr>
              <w:spacing w:after="0"/>
              <w:rPr>
                <w:sz w:val="20"/>
                <w:szCs w:val="20"/>
                <w:color w:val="auto"/>
              </w:rPr>
            </w:pPr>
            <w:r>
              <w:rPr>
                <w:rFonts w:ascii="Arial" w:cs="Arial" w:eastAsia="Arial" w:hAnsi="Arial"/>
                <w:sz w:val="16"/>
                <w:szCs w:val="16"/>
                <w:color w:val="auto"/>
              </w:rPr>
              <w:t>Nine months ended September 30, 2011</w:t>
            </w:r>
          </w:p>
        </w:tc>
        <w:tc>
          <w:tcPr>
            <w:tcW w:w="2400" w:type="dxa"/>
            <w:vAlign w:val="bottom"/>
          </w:tcPr>
          <w:p>
            <w:pPr>
              <w:jc w:val="right"/>
              <w:ind w:right="199"/>
              <w:spacing w:after="0"/>
              <w:rPr>
                <w:sz w:val="20"/>
                <w:szCs w:val="20"/>
                <w:color w:val="auto"/>
              </w:rPr>
            </w:pPr>
            <w:r>
              <w:rPr>
                <w:rFonts w:ascii="Arial" w:cs="Arial" w:eastAsia="Arial" w:hAnsi="Arial"/>
                <w:sz w:val="16"/>
                <w:szCs w:val="16"/>
                <w:color w:val="auto"/>
              </w:rPr>
              <w:t>Total restructuring</w:t>
            </w:r>
          </w:p>
        </w:tc>
        <w:tc>
          <w:tcPr>
            <w:tcW w:w="2000" w:type="dxa"/>
            <w:vAlign w:val="bottom"/>
          </w:tcPr>
          <w:p>
            <w:pPr>
              <w:jc w:val="right"/>
              <w:ind w:right="532"/>
              <w:spacing w:after="0"/>
              <w:rPr>
                <w:sz w:val="20"/>
                <w:szCs w:val="20"/>
                <w:color w:val="auto"/>
              </w:rPr>
            </w:pPr>
            <w:r>
              <w:rPr>
                <w:rFonts w:ascii="Arial" w:cs="Arial" w:eastAsia="Arial" w:hAnsi="Arial"/>
                <w:sz w:val="16"/>
                <w:szCs w:val="16"/>
                <w:color w:val="auto"/>
              </w:rPr>
              <w:t>Termination and</w:t>
            </w:r>
          </w:p>
        </w:tc>
        <w:tc>
          <w:tcPr>
            <w:tcW w:w="2200" w:type="dxa"/>
            <w:vAlign w:val="bottom"/>
            <w:gridSpan w:val="2"/>
          </w:tcPr>
          <w:p>
            <w:pPr>
              <w:jc w:val="right"/>
              <w:ind w:right="511"/>
              <w:spacing w:after="0"/>
              <w:rPr>
                <w:sz w:val="20"/>
                <w:szCs w:val="20"/>
                <w:color w:val="auto"/>
              </w:rPr>
            </w:pPr>
            <w:r>
              <w:rPr>
                <w:rFonts w:ascii="Arial" w:cs="Arial" w:eastAsia="Arial" w:hAnsi="Arial"/>
                <w:sz w:val="16"/>
                <w:szCs w:val="16"/>
                <w:color w:val="auto"/>
              </w:rPr>
              <w:t>Impairment of plant</w:t>
            </w:r>
          </w:p>
        </w:tc>
        <w:tc>
          <w:tcPr>
            <w:tcW w:w="1080" w:type="dxa"/>
            <w:vAlign w:val="bottom"/>
            <w:gridSpan w:val="4"/>
          </w:tcPr>
          <w:p>
            <w:pPr>
              <w:ind w:left="140"/>
              <w:spacing w:after="0"/>
              <w:rPr>
                <w:sz w:val="20"/>
                <w:szCs w:val="20"/>
                <w:color w:val="auto"/>
              </w:rPr>
            </w:pPr>
            <w:r>
              <w:rPr>
                <w:rFonts w:ascii="Arial" w:cs="Arial" w:eastAsia="Arial" w:hAnsi="Arial"/>
                <w:sz w:val="16"/>
                <w:szCs w:val="16"/>
                <w:color w:val="auto"/>
              </w:rPr>
              <w:t>Benefit plan</w:t>
            </w:r>
          </w:p>
        </w:tc>
      </w:tr>
      <w:tr>
        <w:trPr>
          <w:trHeight w:val="187"/>
        </w:trPr>
        <w:tc>
          <w:tcPr>
            <w:tcW w:w="3780" w:type="dxa"/>
            <w:vAlign w:val="bottom"/>
          </w:tcPr>
          <w:p>
            <w:pPr>
              <w:spacing w:after="0"/>
              <w:rPr>
                <w:sz w:val="20"/>
                <w:szCs w:val="20"/>
                <w:color w:val="auto"/>
              </w:rPr>
            </w:pPr>
            <w:r>
              <w:rPr>
                <w:rFonts w:ascii="Arial" w:cs="Arial" w:eastAsia="Arial" w:hAnsi="Arial"/>
                <w:sz w:val="16"/>
                <w:szCs w:val="16"/>
                <w:color w:val="auto"/>
              </w:rPr>
              <w:t>(in thousands)</w:t>
            </w:r>
          </w:p>
        </w:tc>
        <w:tc>
          <w:tcPr>
            <w:tcW w:w="2400" w:type="dxa"/>
            <w:vAlign w:val="bottom"/>
          </w:tcPr>
          <w:p>
            <w:pPr>
              <w:jc w:val="right"/>
              <w:ind w:right="139"/>
              <w:spacing w:after="0"/>
              <w:rPr>
                <w:sz w:val="20"/>
                <w:szCs w:val="20"/>
                <w:color w:val="auto"/>
              </w:rPr>
            </w:pPr>
            <w:r>
              <w:rPr>
                <w:rFonts w:ascii="Arial" w:cs="Arial" w:eastAsia="Arial" w:hAnsi="Arial"/>
                <w:sz w:val="16"/>
                <w:szCs w:val="16"/>
                <w:color w:val="auto"/>
              </w:rPr>
              <w:t>costs incurred</w:t>
            </w:r>
          </w:p>
        </w:tc>
        <w:tc>
          <w:tcPr>
            <w:tcW w:w="2000" w:type="dxa"/>
            <w:vAlign w:val="bottom"/>
          </w:tcPr>
          <w:p>
            <w:pPr>
              <w:jc w:val="right"/>
              <w:ind w:right="472"/>
              <w:spacing w:after="0"/>
              <w:rPr>
                <w:sz w:val="20"/>
                <w:szCs w:val="20"/>
                <w:color w:val="auto"/>
              </w:rPr>
            </w:pPr>
            <w:r>
              <w:rPr>
                <w:rFonts w:ascii="Arial" w:cs="Arial" w:eastAsia="Arial" w:hAnsi="Arial"/>
                <w:sz w:val="16"/>
                <w:szCs w:val="16"/>
                <w:color w:val="auto"/>
              </w:rPr>
              <w:t>other costs</w:t>
            </w:r>
          </w:p>
        </w:tc>
        <w:tc>
          <w:tcPr>
            <w:tcW w:w="2200" w:type="dxa"/>
            <w:vAlign w:val="bottom"/>
            <w:gridSpan w:val="2"/>
          </w:tcPr>
          <w:p>
            <w:pPr>
              <w:jc w:val="right"/>
              <w:ind w:right="471"/>
              <w:spacing w:after="0"/>
              <w:rPr>
                <w:sz w:val="20"/>
                <w:szCs w:val="20"/>
                <w:color w:val="auto"/>
              </w:rPr>
            </w:pPr>
            <w:r>
              <w:rPr>
                <w:rFonts w:ascii="Arial" w:cs="Arial" w:eastAsia="Arial" w:hAnsi="Arial"/>
                <w:sz w:val="16"/>
                <w:szCs w:val="16"/>
                <w:color w:val="auto"/>
              </w:rPr>
              <w:t>and equipment</w:t>
            </w:r>
          </w:p>
        </w:tc>
        <w:tc>
          <w:tcPr>
            <w:tcW w:w="300" w:type="dxa"/>
            <w:vAlign w:val="bottom"/>
          </w:tcPr>
          <w:p>
            <w:pPr>
              <w:spacing w:after="0"/>
              <w:rPr>
                <w:sz w:val="16"/>
                <w:szCs w:val="16"/>
                <w:color w:val="auto"/>
              </w:rPr>
            </w:pPr>
          </w:p>
        </w:tc>
        <w:tc>
          <w:tcPr>
            <w:tcW w:w="780" w:type="dxa"/>
            <w:vAlign w:val="bottom"/>
            <w:gridSpan w:val="3"/>
          </w:tcPr>
          <w:p>
            <w:pPr>
              <w:ind w:left="240"/>
              <w:spacing w:after="0"/>
              <w:rPr>
                <w:sz w:val="20"/>
                <w:szCs w:val="20"/>
                <w:color w:val="auto"/>
              </w:rPr>
            </w:pPr>
            <w:r>
              <w:rPr>
                <w:rFonts w:ascii="Arial" w:cs="Arial" w:eastAsia="Arial" w:hAnsi="Arial"/>
                <w:sz w:val="16"/>
                <w:szCs w:val="16"/>
                <w:color w:val="auto"/>
              </w:rPr>
              <w:t>charge</w:t>
            </w:r>
          </w:p>
        </w:tc>
      </w:tr>
      <w:tr>
        <w:trPr>
          <w:trHeight w:val="184"/>
        </w:trPr>
        <w:tc>
          <w:tcPr>
            <w:tcW w:w="37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Machine Clothing</w:t>
            </w:r>
          </w:p>
        </w:tc>
        <w:tc>
          <w:tcPr>
            <w:tcW w:w="24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$3,215</w:t>
            </w:r>
          </w:p>
        </w:tc>
        <w:tc>
          <w:tcPr>
            <w:tcW w:w="200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color w:val="auto"/>
              </w:rPr>
              <w:t>$2,901</w:t>
            </w:r>
          </w:p>
        </w:tc>
        <w:tc>
          <w:tcPr>
            <w:tcW w:w="10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71"/>
              <w:spacing w:after="0"/>
              <w:rPr>
                <w:sz w:val="20"/>
                <w:szCs w:val="20"/>
                <w:color w:val="auto"/>
              </w:rPr>
            </w:pPr>
            <w:r>
              <w:rPr>
                <w:rFonts w:ascii="Arial" w:cs="Arial" w:eastAsia="Arial" w:hAnsi="Arial"/>
                <w:sz w:val="16"/>
                <w:szCs w:val="16"/>
                <w:color w:val="auto"/>
              </w:rPr>
              <w:t>$89</w:t>
            </w: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6"/>
                <w:szCs w:val="16"/>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Engineered Composites</w:t>
            </w:r>
          </w:p>
        </w:tc>
        <w:tc>
          <w:tcPr>
            <w:tcW w:w="2400" w:type="dxa"/>
            <w:vAlign w:val="bottom"/>
          </w:tcPr>
          <w:p>
            <w:pPr>
              <w:jc w:val="right"/>
              <w:ind w:right="199"/>
              <w:spacing w:after="0"/>
              <w:rPr>
                <w:sz w:val="20"/>
                <w:szCs w:val="20"/>
                <w:color w:val="auto"/>
              </w:rPr>
            </w:pPr>
            <w:r>
              <w:rPr>
                <w:rFonts w:ascii="Arial" w:cs="Arial" w:eastAsia="Arial" w:hAnsi="Arial"/>
                <w:sz w:val="16"/>
                <w:szCs w:val="16"/>
                <w:color w:val="auto"/>
              </w:rPr>
              <w:t>57</w:t>
            </w:r>
          </w:p>
        </w:tc>
        <w:tc>
          <w:tcPr>
            <w:tcW w:w="2000" w:type="dxa"/>
            <w:vAlign w:val="bottom"/>
          </w:tcPr>
          <w:p>
            <w:pPr>
              <w:jc w:val="right"/>
              <w:ind w:right="472"/>
              <w:spacing w:after="0"/>
              <w:rPr>
                <w:sz w:val="20"/>
                <w:szCs w:val="20"/>
                <w:color w:val="auto"/>
              </w:rPr>
            </w:pPr>
            <w:r>
              <w:rPr>
                <w:rFonts w:ascii="Arial" w:cs="Arial" w:eastAsia="Arial" w:hAnsi="Arial"/>
                <w:sz w:val="16"/>
                <w:szCs w:val="16"/>
                <w:color w:val="auto"/>
              </w:rPr>
              <w:t>57</w:t>
            </w:r>
          </w:p>
        </w:tc>
        <w:tc>
          <w:tcPr>
            <w:tcW w:w="1080" w:type="dxa"/>
            <w:vAlign w:val="bottom"/>
          </w:tcPr>
          <w:p>
            <w:pPr>
              <w:spacing w:after="0"/>
              <w:rPr>
                <w:sz w:val="16"/>
                <w:szCs w:val="16"/>
                <w:color w:val="auto"/>
              </w:rPr>
            </w:pPr>
          </w:p>
        </w:tc>
        <w:tc>
          <w:tcPr>
            <w:tcW w:w="1120" w:type="dxa"/>
            <w:vAlign w:val="bottom"/>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Unallocated expenses</w:t>
            </w:r>
          </w:p>
        </w:tc>
        <w:tc>
          <w:tcPr>
            <w:tcW w:w="2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1,184</w:t>
            </w:r>
          </w:p>
        </w:tc>
        <w:tc>
          <w:tcPr>
            <w:tcW w:w="20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1,184</w:t>
            </w: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4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$4,456</w:t>
            </w:r>
          </w:p>
        </w:tc>
        <w:tc>
          <w:tcPr>
            <w:tcW w:w="2000" w:type="dxa"/>
            <w:vAlign w:val="bottom"/>
            <w:tcBorders>
              <w:bottom w:val="single" w:sz="8" w:color="auto"/>
            </w:tcBorders>
          </w:tcPr>
          <w:p>
            <w:pPr>
              <w:jc w:val="right"/>
              <w:ind w:right="472"/>
              <w:spacing w:after="0" w:line="183" w:lineRule="exact"/>
              <w:rPr>
                <w:sz w:val="20"/>
                <w:szCs w:val="20"/>
                <w:color w:val="auto"/>
              </w:rPr>
            </w:pPr>
            <w:r>
              <w:rPr>
                <w:rFonts w:ascii="Arial" w:cs="Arial" w:eastAsia="Arial" w:hAnsi="Arial"/>
                <w:sz w:val="16"/>
                <w:szCs w:val="16"/>
                <w:color w:val="auto"/>
              </w:rPr>
              <w:t>$4,142</w:t>
            </w: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1"/>
              <w:spacing w:after="0" w:line="183" w:lineRule="exact"/>
              <w:rPr>
                <w:sz w:val="20"/>
                <w:szCs w:val="20"/>
                <w:color w:val="auto"/>
              </w:rPr>
            </w:pPr>
            <w:r>
              <w:rPr>
                <w:rFonts w:ascii="Arial" w:cs="Arial" w:eastAsia="Arial" w:hAnsi="Arial"/>
                <w:sz w:val="16"/>
                <w:szCs w:val="16"/>
                <w:color w:val="auto"/>
              </w:rPr>
              <w:t>$89</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$225</w:t>
            </w:r>
          </w:p>
        </w:tc>
        <w:tc>
          <w:tcPr>
            <w:tcW w:w="20" w:type="dxa"/>
            <w:vAlign w:val="bottom"/>
          </w:tcPr>
          <w:p>
            <w:pPr>
              <w:spacing w:after="0"/>
              <w:rPr>
                <w:sz w:val="15"/>
                <w:szCs w:val="15"/>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tables below present year-to-date summaries of changes in restructuring liabilities for 2012 and 2011: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8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jc w:val="right"/>
              <w:ind w:right="61"/>
              <w:spacing w:after="0" w:line="226" w:lineRule="exact"/>
              <w:rPr>
                <w:sz w:val="20"/>
                <w:szCs w:val="20"/>
                <w:color w:val="auto"/>
              </w:rPr>
            </w:pPr>
            <w:r>
              <w:rPr>
                <w:rFonts w:ascii="Arial" w:cs="Arial" w:eastAsia="Arial" w:hAnsi="Arial"/>
                <w:sz w:val="20"/>
                <w:szCs w:val="20"/>
                <w:color w:val="auto"/>
              </w:rPr>
              <w:t>Restructuring</w:t>
            </w:r>
          </w:p>
        </w:tc>
        <w:tc>
          <w:tcPr>
            <w:tcW w:w="256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line="226" w:lineRule="exact"/>
              <w:rPr>
                <w:sz w:val="20"/>
                <w:szCs w:val="20"/>
                <w:color w:val="auto"/>
              </w:rPr>
            </w:pPr>
            <w:r>
              <w:rPr>
                <w:rFonts w:ascii="Arial" w:cs="Arial" w:eastAsia="Arial" w:hAnsi="Arial"/>
                <w:sz w:val="20"/>
                <w:szCs w:val="20"/>
                <w:color w:val="auto"/>
              </w:rPr>
              <w:t>Restructuring</w:t>
            </w:r>
          </w:p>
        </w:tc>
        <w:tc>
          <w:tcPr>
            <w:tcW w:w="20" w:type="dxa"/>
            <w:vAlign w:val="bottom"/>
          </w:tcPr>
          <w:p>
            <w:pPr>
              <w:spacing w:after="0"/>
              <w:rPr>
                <w:sz w:val="19"/>
                <w:szCs w:val="19"/>
                <w:color w:val="auto"/>
              </w:rPr>
            </w:pPr>
          </w:p>
        </w:tc>
      </w:tr>
      <w:tr>
        <w:trPr>
          <w:trHeight w:val="216"/>
        </w:trPr>
        <w:tc>
          <w:tcPr>
            <w:tcW w:w="1880" w:type="dxa"/>
            <w:vAlign w:val="bottom"/>
          </w:tcPr>
          <w:p>
            <w:pPr>
              <w:spacing w:after="0"/>
              <w:rPr>
                <w:sz w:val="18"/>
                <w:szCs w:val="18"/>
                <w:color w:val="auto"/>
              </w:rPr>
            </w:pPr>
          </w:p>
        </w:tc>
        <w:tc>
          <w:tcPr>
            <w:tcW w:w="2180" w:type="dxa"/>
            <w:vAlign w:val="bottom"/>
          </w:tcPr>
          <w:p>
            <w:pPr>
              <w:jc w:val="right"/>
              <w:ind w:right="61"/>
              <w:spacing w:after="0" w:line="216" w:lineRule="exact"/>
              <w:rPr>
                <w:sz w:val="20"/>
                <w:szCs w:val="20"/>
                <w:color w:val="auto"/>
              </w:rPr>
            </w:pPr>
            <w:r>
              <w:rPr>
                <w:rFonts w:ascii="Arial" w:cs="Arial" w:eastAsia="Arial" w:hAnsi="Arial"/>
                <w:sz w:val="20"/>
                <w:szCs w:val="20"/>
                <w:color w:val="auto"/>
              </w:rPr>
              <w:t>charges accrued</w:t>
            </w:r>
          </w:p>
        </w:tc>
        <w:tc>
          <w:tcPr>
            <w:tcW w:w="25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charges accrued</w:t>
            </w:r>
          </w:p>
        </w:tc>
      </w:tr>
      <w:tr>
        <w:trPr>
          <w:trHeight w:val="220"/>
        </w:trPr>
        <w:tc>
          <w:tcPr>
            <w:tcW w:w="188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(in thousands)</w:t>
            </w:r>
          </w:p>
        </w:tc>
        <w:tc>
          <w:tcPr>
            <w:tcW w:w="2180" w:type="dxa"/>
            <w:vAlign w:val="bottom"/>
            <w:tcBorders>
              <w:bottom w:val="single" w:sz="8" w:color="auto"/>
            </w:tcBorders>
          </w:tcPr>
          <w:p>
            <w:pPr>
              <w:jc w:val="right"/>
              <w:ind w:right="1"/>
              <w:spacing w:after="0" w:line="220" w:lineRule="exact"/>
              <w:rPr>
                <w:sz w:val="20"/>
                <w:szCs w:val="20"/>
                <w:color w:val="auto"/>
              </w:rPr>
            </w:pPr>
            <w:r>
              <w:rPr>
                <w:rFonts w:ascii="Arial" w:cs="Arial" w:eastAsia="Arial" w:hAnsi="Arial"/>
                <w:sz w:val="20"/>
                <w:szCs w:val="20"/>
                <w:color w:val="auto"/>
              </w:rPr>
              <w:t>December 31, 2011</w:t>
            </w:r>
          </w:p>
        </w:tc>
        <w:tc>
          <w:tcPr>
            <w:tcW w:w="2560" w:type="dxa"/>
            <w:vAlign w:val="bottom"/>
            <w:tcBorders>
              <w:bottom w:val="single" w:sz="8" w:color="auto"/>
            </w:tcBorders>
          </w:tcPr>
          <w:p>
            <w:pPr>
              <w:jc w:val="right"/>
              <w:ind w:right="181"/>
              <w:spacing w:after="0" w:line="220" w:lineRule="exact"/>
              <w:rPr>
                <w:sz w:val="20"/>
                <w:szCs w:val="20"/>
                <w:color w:val="auto"/>
              </w:rPr>
            </w:pPr>
            <w:r>
              <w:rPr>
                <w:rFonts w:ascii="Arial" w:cs="Arial" w:eastAsia="Arial" w:hAnsi="Arial"/>
                <w:sz w:val="20"/>
                <w:szCs w:val="20"/>
                <w:color w:val="auto"/>
              </w:rPr>
              <w:t>New accruals Payments</w:t>
            </w:r>
          </w:p>
        </w:tc>
        <w:tc>
          <w:tcPr>
            <w:tcW w:w="2820" w:type="dxa"/>
            <w:vAlign w:val="bottom"/>
            <w:tcBorders>
              <w:bottom w:val="single" w:sz="8" w:color="auto"/>
            </w:tcBorders>
          </w:tcPr>
          <w:p>
            <w:pPr>
              <w:jc w:val="right"/>
              <w:ind w:right="101"/>
              <w:spacing w:after="0" w:line="220" w:lineRule="exact"/>
              <w:rPr>
                <w:sz w:val="20"/>
                <w:szCs w:val="20"/>
                <w:color w:val="auto"/>
              </w:rPr>
            </w:pPr>
            <w:r>
              <w:rPr>
                <w:rFonts w:ascii="Arial" w:cs="Arial" w:eastAsia="Arial" w:hAnsi="Arial"/>
                <w:sz w:val="20"/>
                <w:szCs w:val="20"/>
                <w:color w:val="auto"/>
              </w:rPr>
              <w:t>Currency translation/ other</w:t>
            </w:r>
          </w:p>
        </w:tc>
        <w:tc>
          <w:tcPr>
            <w:tcW w:w="2000" w:type="dxa"/>
            <w:vAlign w:val="bottom"/>
            <w:tcBorders>
              <w:bottom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color w:val="auto"/>
              </w:rPr>
              <w:t>September 30, 2012</w:t>
            </w:r>
          </w:p>
        </w:tc>
      </w:tr>
      <w:tr>
        <w:trPr>
          <w:trHeight w:val="426"/>
        </w:trPr>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Termination costs</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$6,979</w:t>
            </w:r>
          </w:p>
        </w:tc>
        <w:tc>
          <w:tcPr>
            <w:tcW w:w="25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$6,579  ($6,395)</w:t>
            </w:r>
          </w:p>
        </w:tc>
        <w:tc>
          <w:tcPr>
            <w:tcW w:w="2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$7,169</w:t>
            </w:r>
          </w:p>
        </w:tc>
        <w:tc>
          <w:tcPr>
            <w:tcW w:w="20" w:type="dxa"/>
            <w:vAlign w:val="bottom"/>
          </w:tcPr>
          <w:p>
            <w:pPr>
              <w:spacing w:after="0"/>
              <w:rPr>
                <w:sz w:val="24"/>
                <w:szCs w:val="24"/>
                <w:color w:val="auto"/>
              </w:rPr>
            </w:pPr>
          </w:p>
        </w:tc>
      </w:tr>
      <w:tr>
        <w:trPr>
          <w:trHeight w:val="210"/>
        </w:trPr>
        <w:tc>
          <w:tcPr>
            <w:tcW w:w="1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r>
      <w:tr>
        <w:trPr>
          <w:trHeight w:val="206"/>
        </w:trPr>
        <w:tc>
          <w:tcPr>
            <w:tcW w:w="188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jc w:val="right"/>
              <w:ind w:right="61"/>
              <w:spacing w:after="0" w:line="206" w:lineRule="exact"/>
              <w:rPr>
                <w:sz w:val="20"/>
                <w:szCs w:val="20"/>
                <w:color w:val="auto"/>
              </w:rPr>
            </w:pPr>
            <w:r>
              <w:rPr>
                <w:rFonts w:ascii="Arial" w:cs="Arial" w:eastAsia="Arial" w:hAnsi="Arial"/>
                <w:sz w:val="20"/>
                <w:szCs w:val="20"/>
                <w:color w:val="auto"/>
              </w:rPr>
              <w:t>Restructuring</w:t>
            </w:r>
          </w:p>
        </w:tc>
        <w:tc>
          <w:tcPr>
            <w:tcW w:w="256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20"/>
                <w:szCs w:val="20"/>
                <w:color w:val="auto"/>
              </w:rPr>
              <w:t>Restructuring</w:t>
            </w:r>
          </w:p>
        </w:tc>
        <w:tc>
          <w:tcPr>
            <w:tcW w:w="2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2180" w:type="dxa"/>
            <w:vAlign w:val="bottom"/>
          </w:tcPr>
          <w:p>
            <w:pPr>
              <w:jc w:val="right"/>
              <w:ind w:right="61"/>
              <w:spacing w:after="0" w:line="216" w:lineRule="exact"/>
              <w:rPr>
                <w:sz w:val="20"/>
                <w:szCs w:val="20"/>
                <w:color w:val="auto"/>
              </w:rPr>
            </w:pPr>
            <w:r>
              <w:rPr>
                <w:rFonts w:ascii="Arial" w:cs="Arial" w:eastAsia="Arial" w:hAnsi="Arial"/>
                <w:sz w:val="20"/>
                <w:szCs w:val="20"/>
                <w:color w:val="auto"/>
              </w:rPr>
              <w:t>charges accrued</w:t>
            </w:r>
          </w:p>
        </w:tc>
        <w:tc>
          <w:tcPr>
            <w:tcW w:w="25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charges accrued</w:t>
            </w:r>
          </w:p>
        </w:tc>
      </w:tr>
      <w:tr>
        <w:trPr>
          <w:trHeight w:val="220"/>
        </w:trPr>
        <w:tc>
          <w:tcPr>
            <w:tcW w:w="188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auto"/>
              </w:rPr>
              <w:t>(in thousands)</w:t>
            </w:r>
          </w:p>
        </w:tc>
        <w:tc>
          <w:tcPr>
            <w:tcW w:w="2180" w:type="dxa"/>
            <w:vAlign w:val="bottom"/>
            <w:tcBorders>
              <w:bottom w:val="single" w:sz="8" w:color="auto"/>
            </w:tcBorders>
          </w:tcPr>
          <w:p>
            <w:pPr>
              <w:jc w:val="right"/>
              <w:ind w:right="1"/>
              <w:spacing w:after="0" w:line="220" w:lineRule="exact"/>
              <w:rPr>
                <w:sz w:val="20"/>
                <w:szCs w:val="20"/>
                <w:color w:val="auto"/>
              </w:rPr>
            </w:pPr>
            <w:r>
              <w:rPr>
                <w:rFonts w:ascii="Arial" w:cs="Arial" w:eastAsia="Arial" w:hAnsi="Arial"/>
                <w:sz w:val="20"/>
                <w:szCs w:val="20"/>
                <w:color w:val="auto"/>
              </w:rPr>
              <w:t>December 31, 2010</w:t>
            </w:r>
          </w:p>
        </w:tc>
        <w:tc>
          <w:tcPr>
            <w:tcW w:w="2560" w:type="dxa"/>
            <w:vAlign w:val="bottom"/>
            <w:tcBorders>
              <w:bottom w:val="single" w:sz="8" w:color="auto"/>
            </w:tcBorders>
          </w:tcPr>
          <w:p>
            <w:pPr>
              <w:jc w:val="right"/>
              <w:ind w:right="181"/>
              <w:spacing w:after="0" w:line="220" w:lineRule="exact"/>
              <w:rPr>
                <w:sz w:val="20"/>
                <w:szCs w:val="20"/>
                <w:color w:val="auto"/>
              </w:rPr>
            </w:pPr>
            <w:r>
              <w:rPr>
                <w:rFonts w:ascii="Arial" w:cs="Arial" w:eastAsia="Arial" w:hAnsi="Arial"/>
                <w:sz w:val="20"/>
                <w:szCs w:val="20"/>
                <w:color w:val="auto"/>
              </w:rPr>
              <w:t>New accruals Payments</w:t>
            </w:r>
          </w:p>
        </w:tc>
        <w:tc>
          <w:tcPr>
            <w:tcW w:w="2820" w:type="dxa"/>
            <w:vAlign w:val="bottom"/>
            <w:tcBorders>
              <w:bottom w:val="single" w:sz="8" w:color="auto"/>
            </w:tcBorders>
          </w:tcPr>
          <w:p>
            <w:pPr>
              <w:jc w:val="right"/>
              <w:ind w:right="101"/>
              <w:spacing w:after="0" w:line="220" w:lineRule="exact"/>
              <w:rPr>
                <w:sz w:val="20"/>
                <w:szCs w:val="20"/>
                <w:color w:val="auto"/>
              </w:rPr>
            </w:pPr>
            <w:r>
              <w:rPr>
                <w:rFonts w:ascii="Arial" w:cs="Arial" w:eastAsia="Arial" w:hAnsi="Arial"/>
                <w:sz w:val="20"/>
                <w:szCs w:val="20"/>
                <w:color w:val="auto"/>
              </w:rPr>
              <w:t>Currency translation/ other</w:t>
            </w:r>
          </w:p>
        </w:tc>
        <w:tc>
          <w:tcPr>
            <w:tcW w:w="2000" w:type="dxa"/>
            <w:vAlign w:val="bottom"/>
            <w:tcBorders>
              <w:bottom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color w:val="auto"/>
              </w:rPr>
              <w:t>September 30, 2011</w:t>
            </w:r>
          </w:p>
        </w:tc>
      </w:tr>
      <w:tr>
        <w:trPr>
          <w:trHeight w:val="426"/>
        </w:trPr>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Termination costs</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$2,809</w:t>
            </w:r>
          </w:p>
        </w:tc>
        <w:tc>
          <w:tcPr>
            <w:tcW w:w="25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3,962  ($2,206)</w:t>
            </w:r>
          </w:p>
        </w:tc>
        <w:tc>
          <w:tcPr>
            <w:tcW w:w="28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$46</w:t>
            </w:r>
          </w:p>
        </w:tc>
        <w:tc>
          <w:tcPr>
            <w:tcW w:w="2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$4,611</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We expect that substantially all accruals for restructuring liabilities as of September 30, 2012 will be paid within one year.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Other expense/(income),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expense/(income), net consists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Three Months Ended</w:t>
            </w:r>
          </w:p>
        </w:tc>
        <w:tc>
          <w:tcPr>
            <w:tcW w:w="218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Nine Months Ended</w:t>
            </w:r>
          </w:p>
        </w:tc>
        <w:tc>
          <w:tcPr>
            <w:tcW w:w="40" w:type="dxa"/>
            <w:vAlign w:val="bottom"/>
            <w:gridSpan w:val="2"/>
          </w:tcPr>
          <w:p>
            <w:pPr>
              <w:spacing w:after="0"/>
              <w:rPr>
                <w:sz w:val="18"/>
                <w:szCs w:val="18"/>
                <w:color w:val="auto"/>
              </w:rPr>
            </w:pPr>
          </w:p>
        </w:tc>
      </w:tr>
      <w:tr>
        <w:trPr>
          <w:trHeight w:val="203"/>
        </w:trPr>
        <w:tc>
          <w:tcPr>
            <w:tcW w:w="4820" w:type="dxa"/>
            <w:vAlign w:val="bottom"/>
          </w:tcPr>
          <w:p>
            <w:pPr>
              <w:spacing w:after="0"/>
              <w:rPr>
                <w:sz w:val="17"/>
                <w:szCs w:val="17"/>
                <w:color w:val="auto"/>
              </w:rPr>
            </w:pPr>
          </w:p>
        </w:tc>
        <w:tc>
          <w:tcPr>
            <w:tcW w:w="4420" w:type="dxa"/>
            <w:vAlign w:val="bottom"/>
            <w:gridSpan w:val="2"/>
          </w:tcPr>
          <w:p>
            <w:pPr>
              <w:jc w:val="right"/>
              <w:ind w:right="710"/>
              <w:spacing w:after="0" w:line="202" w:lineRule="exact"/>
              <w:rPr>
                <w:sz w:val="20"/>
                <w:szCs w:val="20"/>
                <w:color w:val="auto"/>
              </w:rPr>
            </w:pPr>
            <w:r>
              <w:rPr>
                <w:rFonts w:ascii="Arial" w:cs="Arial" w:eastAsia="Arial" w:hAnsi="Arial"/>
                <w:sz w:val="18"/>
                <w:szCs w:val="18"/>
                <w:color w:val="auto"/>
              </w:rPr>
              <w:t>September 30,</w:t>
            </w:r>
          </w:p>
        </w:tc>
        <w:tc>
          <w:tcPr>
            <w:tcW w:w="222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September 30,</w:t>
            </w:r>
          </w:p>
        </w:tc>
      </w:tr>
      <w:tr>
        <w:trPr>
          <w:trHeight w:val="203"/>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w:t>
            </w:r>
          </w:p>
        </w:tc>
        <w:tc>
          <w:tcPr>
            <w:tcW w:w="32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2012</w:t>
            </w:r>
          </w:p>
        </w:tc>
        <w:tc>
          <w:tcPr>
            <w:tcW w:w="118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2011</w:t>
            </w:r>
          </w:p>
        </w:tc>
        <w:tc>
          <w:tcPr>
            <w:tcW w:w="118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2012</w:t>
            </w:r>
          </w:p>
        </w:tc>
        <w:tc>
          <w:tcPr>
            <w:tcW w:w="10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4820" w:type="dxa"/>
            <w:vAlign w:val="bottom"/>
          </w:tcPr>
          <w:p>
            <w:pPr>
              <w:spacing w:after="0" w:line="195" w:lineRule="exact"/>
              <w:rPr>
                <w:sz w:val="20"/>
                <w:szCs w:val="20"/>
                <w:color w:val="auto"/>
              </w:rPr>
            </w:pPr>
            <w:r>
              <w:rPr>
                <w:rFonts w:ascii="Arial" w:cs="Arial" w:eastAsia="Arial" w:hAnsi="Arial"/>
                <w:sz w:val="18"/>
                <w:szCs w:val="18"/>
                <w:color w:val="auto"/>
              </w:rPr>
              <w:t>Currency transactions</w:t>
            </w:r>
          </w:p>
        </w:tc>
        <w:tc>
          <w:tcPr>
            <w:tcW w:w="32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$2,174</w:t>
            </w:r>
          </w:p>
        </w:tc>
        <w:tc>
          <w:tcPr>
            <w:tcW w:w="11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($814)</w:t>
            </w:r>
          </w:p>
        </w:tc>
        <w:tc>
          <w:tcPr>
            <w:tcW w:w="11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$2,873</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$2,564</w:t>
            </w:r>
          </w:p>
        </w:tc>
        <w:tc>
          <w:tcPr>
            <w:tcW w:w="40" w:type="dxa"/>
            <w:vAlign w:val="bottom"/>
            <w:gridSpan w:val="2"/>
          </w:tcPr>
          <w:p>
            <w:pPr>
              <w:spacing w:after="0"/>
              <w:rPr>
                <w:sz w:val="16"/>
                <w:szCs w:val="16"/>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3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605</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263</w:t>
            </w:r>
          </w:p>
        </w:tc>
        <w:tc>
          <w:tcPr>
            <w:tcW w:w="11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1,814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Letter of credit fees</w:t>
            </w:r>
          </w:p>
        </w:tc>
        <w:tc>
          <w:tcPr>
            <w:tcW w:w="3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191</w:t>
            </w: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361</w:t>
            </w:r>
          </w:p>
        </w:tc>
        <w:tc>
          <w:tcPr>
            <w:tcW w:w="11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961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Other, net</w:t>
            </w:r>
          </w:p>
        </w:tc>
        <w:tc>
          <w:tcPr>
            <w:tcW w:w="32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99</w:t>
            </w:r>
          </w:p>
        </w:tc>
        <w:tc>
          <w:tcPr>
            <w:tcW w:w="11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181</w:t>
            </w:r>
          </w:p>
        </w:tc>
        <w:tc>
          <w:tcPr>
            <w:tcW w:w="11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(586)</w:t>
            </w:r>
          </w:p>
        </w:tc>
        <w:tc>
          <w:tcPr>
            <w:tcW w:w="10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(175)</w:t>
            </w:r>
          </w:p>
        </w:tc>
        <w:tc>
          <w:tcPr>
            <w:tcW w:w="20" w:type="dxa"/>
            <w:vAlign w:val="bottom"/>
          </w:tcPr>
          <w:p>
            <w:pPr>
              <w:spacing w:after="0"/>
              <w:rPr>
                <w:sz w:val="17"/>
                <w:szCs w:val="17"/>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24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$3,069</w:t>
            </w:r>
          </w:p>
        </w:tc>
        <w:tc>
          <w:tcPr>
            <w:tcW w:w="11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($9)</w:t>
            </w:r>
          </w:p>
        </w:tc>
        <w:tc>
          <w:tcPr>
            <w:tcW w:w="1180" w:type="dxa"/>
            <w:vAlign w:val="bottom"/>
          </w:tcPr>
          <w:p>
            <w:pPr>
              <w:jc w:val="right"/>
              <w:ind w:right="90"/>
              <w:spacing w:after="0" w:line="196" w:lineRule="exact"/>
              <w:rPr>
                <w:sz w:val="20"/>
                <w:szCs w:val="20"/>
                <w:color w:val="auto"/>
              </w:rPr>
            </w:pPr>
            <w:r>
              <w:rPr>
                <w:rFonts w:ascii="Arial" w:cs="Arial" w:eastAsia="Arial" w:hAnsi="Arial"/>
                <w:sz w:val="18"/>
                <w:szCs w:val="18"/>
                <w:color w:val="auto"/>
              </w:rPr>
              <w:t>$5,062</w:t>
            </w: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$4,811</w:t>
            </w:r>
          </w:p>
        </w:tc>
        <w:tc>
          <w:tcPr>
            <w:tcW w:w="20" w:type="dxa"/>
            <w:vAlign w:val="bottom"/>
          </w:tcPr>
          <w:p>
            <w:pPr>
              <w:spacing w:after="0"/>
              <w:rPr>
                <w:sz w:val="17"/>
                <w:szCs w:val="17"/>
                <w:color w:val="auto"/>
              </w:rPr>
            </w:pPr>
          </w:p>
        </w:tc>
      </w:tr>
      <w:tr>
        <w:trPr>
          <w:trHeight w:val="426"/>
        </w:trPr>
        <w:tc>
          <w:tcPr>
            <w:tcW w:w="4820" w:type="dxa"/>
            <w:vAlign w:val="bottom"/>
            <w:tcBorders>
              <w:top w:val="single" w:sz="8" w:color="auto"/>
            </w:tcBorders>
          </w:tcPr>
          <w:p>
            <w:pPr>
              <w:spacing w:after="0"/>
              <w:rPr>
                <w:sz w:val="24"/>
                <w:szCs w:val="24"/>
                <w:color w:val="auto"/>
              </w:rPr>
            </w:pPr>
          </w:p>
        </w:tc>
        <w:tc>
          <w:tcPr>
            <w:tcW w:w="3240" w:type="dxa"/>
            <w:vAlign w:val="bottom"/>
            <w:tcBorders>
              <w:top w:val="single" w:sz="8" w:color="auto"/>
            </w:tcBorders>
          </w:tcPr>
          <w:p>
            <w:pPr>
              <w:jc w:val="right"/>
              <w:ind w:right="2150"/>
              <w:spacing w:after="0"/>
              <w:rPr>
                <w:sz w:val="20"/>
                <w:szCs w:val="20"/>
                <w:color w:val="auto"/>
              </w:rPr>
            </w:pPr>
            <w:r>
              <w:rPr>
                <w:rFonts w:ascii="Arial" w:cs="Arial" w:eastAsia="Arial" w:hAnsi="Arial"/>
                <w:sz w:val="18"/>
                <w:szCs w:val="18"/>
                <w:color w:val="auto"/>
              </w:rPr>
              <w:t>10</w:t>
            </w:r>
          </w:p>
        </w:tc>
        <w:tc>
          <w:tcPr>
            <w:tcW w:w="1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482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ectPr>
          <w:pgSz w:w="11900" w:h="16838" w:orient="portrait"/>
          <w:cols w:equalWidth="0" w:num="1">
            <w:col w:w="11420"/>
          </w:cols>
          <w:pgMar w:left="240" w:top="6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Income Taxes</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The following table presents components of income tax expense/(benefit) for the three and nine month periods ended September 30, 2012 and 2011: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00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18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September 30,</w:t>
            </w:r>
          </w:p>
        </w:tc>
        <w:tc>
          <w:tcPr>
            <w:tcW w:w="16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0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2012</w:t>
            </w:r>
          </w:p>
        </w:tc>
        <w:tc>
          <w:tcPr>
            <w:tcW w:w="7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2011</w:t>
            </w: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2012</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8020" w:type="dxa"/>
            <w:vAlign w:val="bottom"/>
            <w:gridSpan w:val="2"/>
          </w:tcPr>
          <w:p>
            <w:pPr>
              <w:spacing w:after="0"/>
              <w:rPr>
                <w:sz w:val="20"/>
                <w:szCs w:val="20"/>
                <w:color w:val="auto"/>
              </w:rPr>
            </w:pPr>
            <w:r>
              <w:rPr>
                <w:rFonts w:ascii="Arial" w:cs="Arial" w:eastAsia="Arial" w:hAnsi="Arial"/>
                <w:sz w:val="18"/>
                <w:szCs w:val="18"/>
                <w:color w:val="auto"/>
              </w:rPr>
              <w:t>Income tax expense/(benefit) based on income from continuing operations, at estimated tax rates of</w:t>
            </w: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$5,681</w:t>
            </w:r>
          </w:p>
        </w:tc>
        <w:tc>
          <w:tcPr>
            <w:tcW w:w="7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$13,545</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20" w:type="dxa"/>
            <w:vAlign w:val="bottom"/>
            <w:gridSpan w:val="2"/>
          </w:tcPr>
          <w:p>
            <w:pPr>
              <w:spacing w:after="0" w:line="181" w:lineRule="exact"/>
              <w:rPr>
                <w:sz w:val="20"/>
                <w:szCs w:val="20"/>
                <w:color w:val="auto"/>
              </w:rPr>
            </w:pPr>
            <w:r>
              <w:rPr>
                <w:rFonts w:ascii="Arial" w:cs="Arial" w:eastAsia="Arial" w:hAnsi="Arial"/>
                <w:sz w:val="18"/>
                <w:szCs w:val="18"/>
                <w:color w:val="auto"/>
              </w:rPr>
              <w:t>35.4% in 2012 and 34.6% in 2011, respectively</w:t>
            </w:r>
          </w:p>
        </w:tc>
        <w:tc>
          <w:tcPr>
            <w:tcW w:w="1020" w:type="dxa"/>
            <w:vAlign w:val="bottom"/>
            <w:vMerge w:val="continue"/>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$7,753</w:t>
            </w:r>
          </w:p>
        </w:tc>
        <w:tc>
          <w:tcPr>
            <w:tcW w:w="880" w:type="dxa"/>
            <w:vAlign w:val="bottom"/>
            <w:vMerge w:val="continue"/>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$15,778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pension plan</w:t>
            </w:r>
          </w:p>
        </w:tc>
        <w:tc>
          <w:tcPr>
            <w:tcW w:w="10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(39,460)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change in estimated tax rates</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1,968</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20" w:type="dxa"/>
            <w:vAlign w:val="bottom"/>
            <w:gridSpan w:val="2"/>
          </w:tcPr>
          <w:p>
            <w:pPr>
              <w:spacing w:after="0"/>
              <w:rPr>
                <w:sz w:val="20"/>
                <w:szCs w:val="20"/>
                <w:color w:val="auto"/>
              </w:rPr>
            </w:pPr>
            <w:r>
              <w:rPr>
                <w:rFonts w:ascii="Arial" w:cs="Arial" w:eastAsia="Arial" w:hAnsi="Arial"/>
                <w:sz w:val="18"/>
                <w:szCs w:val="18"/>
                <w:color w:val="auto"/>
              </w:rPr>
              <w:t>Income tax from continuing operations before discrete items</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7,649</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7,994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(25,915)</w:t>
            </w:r>
          </w:p>
        </w:tc>
        <w:tc>
          <w:tcPr>
            <w:tcW w:w="720" w:type="dxa"/>
            <w:vAlign w:val="bottom"/>
          </w:tcPr>
          <w:p>
            <w:pPr>
              <w:jc w:val="right"/>
              <w:spacing w:after="0"/>
              <w:rPr>
                <w:sz w:val="20"/>
                <w:szCs w:val="20"/>
                <w:color w:val="auto"/>
              </w:rPr>
            </w:pPr>
            <w:r>
              <w:rPr>
                <w:rFonts w:ascii="Arial" w:cs="Arial" w:eastAsia="Arial" w:hAnsi="Arial"/>
                <w:sz w:val="18"/>
                <w:szCs w:val="18"/>
                <w:color w:val="auto"/>
              </w:rPr>
              <w:t>15,778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802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454</w:t>
            </w:r>
          </w:p>
        </w:tc>
        <w:tc>
          <w:tcPr>
            <w:tcW w:w="7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(5,597)</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0" w:type="dxa"/>
            <w:vAlign w:val="bottom"/>
          </w:tcPr>
          <w:p>
            <w:pPr>
              <w:ind w:left="80"/>
              <w:spacing w:after="0" w:line="181" w:lineRule="exact"/>
              <w:rPr>
                <w:sz w:val="20"/>
                <w:szCs w:val="20"/>
                <w:color w:val="auto"/>
              </w:rPr>
            </w:pPr>
            <w:r>
              <w:rPr>
                <w:rFonts w:ascii="Arial" w:cs="Arial" w:eastAsia="Arial" w:hAnsi="Arial"/>
                <w:sz w:val="18"/>
                <w:szCs w:val="18"/>
                <w:color w:val="auto"/>
              </w:rPr>
              <w:t>Provision for/resolution of tax audits and contingencies</w:t>
            </w:r>
          </w:p>
        </w:tc>
        <w:tc>
          <w:tcPr>
            <w:tcW w:w="1020" w:type="dxa"/>
            <w:vAlign w:val="bottom"/>
            <w:vMerge w:val="continue"/>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vMerge w:val="continue"/>
          </w:tcPr>
          <w:p>
            <w:pPr>
              <w:spacing w:after="0"/>
              <w:rPr>
                <w:sz w:val="15"/>
                <w:szCs w:val="15"/>
                <w:color w:val="auto"/>
              </w:rPr>
            </w:pPr>
          </w:p>
        </w:tc>
        <w:tc>
          <w:tcPr>
            <w:tcW w:w="74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tcPr>
          <w:p>
            <w:pPr>
              <w:ind w:left="8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0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(912)</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(912)</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Enacted legislation change</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(benefit)/expense from continuing operations</w:t>
            </w:r>
          </w:p>
        </w:tc>
        <w:tc>
          <w:tcPr>
            <w:tcW w:w="10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$6,965</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$7,897</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($32,650)</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$14,303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The third quarter estimated effective tax rate on continuing operations was 35.4 percent in 2012, as compared to 34.6 percent for the same period in 2011. The increase in the rate was primarily due to a change in the distribution of income and loss among the various countries in which we operate.</w:t>
      </w:r>
    </w:p>
    <w:p>
      <w:pPr>
        <w:spacing w:after="0" w:line="1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We are currently under audit in the U.S. and non-U.S. tax jurisdictions, including but not limited to Canada, Germany and France. Tax reserves are recorded for the outcome of these uncertainties in accordance with US GAAP.</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$ 0 million to a net decrease of $2.0 million, from the re-evaluation of certain uncertain tax positions arising in examinations, in appeals, or in the courts, or from the closure of tax statutes. Not included in the range is $22.4 million of tax benefits in Germany related to a 1999 reorganization that have been challenged by the German tax authorities in the course of an audit of tax years 2000-2003. In 2008 the German Federal Tax Court denied tax benefits to other taxpayers in a case involving German tax laws relevant to our reorganization. One of these cases involved a non-German party, and in the ruling in that case, the German Federal Tax Court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German Federal Tax Court for further consideration. In May 2010 the German Federal Tax Court released its decision, in which it resolved certain tax issues that may be relevant to our audit and remanded the case to a lower court for further development. Although we were required to pay approximately $12.9 million to the German tax authorities in order to continue to pursue the position,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Company is in the process of evaluating its tax-planning strategies to determine if an action could be taken to reduce or eliminate its valuation allowances on certain deferred tax assets. It is reasonably possible that over the next twelve months that these actions could result in recognition of a discrete tax benefit in the range of $9 to $14 million.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Earnings Per Share</w:t>
      </w:r>
    </w:p>
    <w:p>
      <w:pPr>
        <w:spacing w:after="0" w:line="234"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Earnings per share are computed using the weighted average number of shares of Class A Common Stock and Class B Common Stock outstanding during the period. Diluted earnings per share include the effect of all potentially dilutive securities.</w:t>
      </w:r>
    </w:p>
    <w:p>
      <w:pPr>
        <w:spacing w:after="0" w:line="1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amounts used in computing earnings per share, including the effect on income and the weighted average number of shares of potentially dilutive securities,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2"/>
          </w:tcPr>
          <w:p>
            <w:pPr>
              <w:jc w:val="right"/>
              <w:ind w:right="830"/>
              <w:spacing w:after="0"/>
              <w:rPr>
                <w:sz w:val="20"/>
                <w:szCs w:val="20"/>
                <w:color w:val="auto"/>
              </w:rPr>
            </w:pPr>
            <w:r>
              <w:rPr>
                <w:rFonts w:ascii="Arial" w:cs="Arial" w:eastAsia="Arial" w:hAnsi="Arial"/>
                <w:sz w:val="18"/>
                <w:szCs w:val="18"/>
                <w:color w:val="auto"/>
              </w:rPr>
              <w:t>Three Months Ended</w:t>
            </w:r>
          </w:p>
        </w:tc>
        <w:tc>
          <w:tcPr>
            <w:tcW w:w="280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60" w:type="dxa"/>
            <w:vAlign w:val="bottom"/>
          </w:tcPr>
          <w:p>
            <w:pPr>
              <w:spacing w:after="0"/>
              <w:rPr>
                <w:sz w:val="15"/>
                <w:szCs w:val="15"/>
                <w:color w:val="auto"/>
              </w:rPr>
            </w:pPr>
          </w:p>
        </w:tc>
        <w:tc>
          <w:tcPr>
            <w:tcW w:w="230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260" w:type="dxa"/>
            <w:vAlign w:val="bottom"/>
          </w:tcPr>
          <w:p>
            <w:pPr>
              <w:spacing w:after="0"/>
              <w:rPr>
                <w:sz w:val="15"/>
                <w:szCs w:val="15"/>
                <w:color w:val="auto"/>
              </w:rPr>
            </w:pPr>
          </w:p>
        </w:tc>
        <w:tc>
          <w:tcPr>
            <w:tcW w:w="2820" w:type="dxa"/>
            <w:vAlign w:val="bottom"/>
            <w:gridSpan w:val="3"/>
          </w:tcPr>
          <w:p>
            <w:pPr>
              <w:jc w:val="right"/>
              <w:ind w:right="960"/>
              <w:spacing w:after="0" w:line="181"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data)</w:t>
            </w:r>
          </w:p>
        </w:tc>
        <w:tc>
          <w:tcPr>
            <w:tcW w:w="2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2012</w:t>
            </w:r>
          </w:p>
        </w:tc>
        <w:tc>
          <w:tcPr>
            <w:tcW w:w="12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4"/>
              </w:rPr>
              <w:t>2011</w:t>
            </w: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2012</w:t>
            </w: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available to common shareholders</w:t>
            </w: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$9,463</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$16,674</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$22,759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6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60" w:type="dxa"/>
            <w:vAlign w:val="bottom"/>
          </w:tcPr>
          <w:p>
            <w:pPr>
              <w:ind w:left="160"/>
              <w:spacing w:after="0"/>
              <w:rPr>
                <w:sz w:val="20"/>
                <w:szCs w:val="20"/>
                <w:color w:val="auto"/>
              </w:rPr>
            </w:pPr>
            <w:r>
              <w:rPr>
                <w:rFonts w:ascii="Arial" w:cs="Arial" w:eastAsia="Arial" w:hAnsi="Arial"/>
                <w:sz w:val="18"/>
                <w:szCs w:val="18"/>
                <w:color w:val="auto"/>
              </w:rPr>
              <w:t>Weighted average number of shares used in</w:t>
            </w:r>
          </w:p>
        </w:tc>
        <w:tc>
          <w:tcPr>
            <w:tcW w:w="23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31,363</w:t>
            </w:r>
          </w:p>
        </w:tc>
        <w:tc>
          <w:tcPr>
            <w:tcW w:w="1260" w:type="dxa"/>
            <w:vAlign w:val="bottom"/>
          </w:tcPr>
          <w:p>
            <w:pPr>
              <w:spacing w:after="0"/>
              <w:rPr>
                <w:sz w:val="24"/>
                <w:szCs w:val="2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31,340</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160"/>
              <w:spacing w:after="0"/>
              <w:rPr>
                <w:sz w:val="20"/>
                <w:szCs w:val="20"/>
                <w:color w:val="auto"/>
              </w:rPr>
            </w:pPr>
            <w:r>
              <w:rPr>
                <w:rFonts w:ascii="Arial" w:cs="Arial" w:eastAsia="Arial" w:hAnsi="Arial"/>
                <w:sz w:val="18"/>
                <w:szCs w:val="18"/>
                <w:color w:val="auto"/>
              </w:rPr>
              <w:t>calculating basic net income per share</w:t>
            </w:r>
          </w:p>
        </w:tc>
        <w:tc>
          <w:tcPr>
            <w:tcW w:w="2300" w:type="dxa"/>
            <w:vAlign w:val="bottom"/>
            <w:vMerge w:val="continue"/>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31,278</w:t>
            </w:r>
          </w:p>
        </w:tc>
        <w:tc>
          <w:tcPr>
            <w:tcW w:w="1500" w:type="dxa"/>
            <w:vAlign w:val="bottom"/>
            <w:vMerge w:val="continue"/>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31,255</w:t>
            </w: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300" w:type="dxa"/>
            <w:vAlign w:val="bottom"/>
          </w:tcPr>
          <w:p>
            <w:pPr>
              <w:jc w:val="right"/>
              <w:ind w:right="510"/>
              <w:spacing w:after="0"/>
              <w:rPr>
                <w:sz w:val="20"/>
                <w:szCs w:val="20"/>
                <w:color w:val="auto"/>
              </w:rPr>
            </w:pPr>
            <w:r>
              <w:rPr>
                <w:rFonts w:ascii="Arial" w:cs="Arial" w:eastAsia="Arial" w:hAnsi="Arial"/>
                <w:sz w:val="18"/>
                <w:szCs w:val="18"/>
                <w:b w:val="1"/>
                <w:bCs w:val="1"/>
                <w:color w:val="auto"/>
              </w:rPr>
              <w:t>35</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58</w:t>
            </w: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Long-term incentive plan</w:t>
            </w: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152</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109</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152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06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3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31,550</w:t>
            </w:r>
          </w:p>
        </w:tc>
        <w:tc>
          <w:tcPr>
            <w:tcW w:w="1260" w:type="dxa"/>
            <w:vAlign w:val="bottom"/>
          </w:tcPr>
          <w:p>
            <w:pPr>
              <w:spacing w:after="0"/>
              <w:rPr>
                <w:sz w:val="24"/>
                <w:szCs w:val="2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31,550</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300" w:type="dxa"/>
            <w:vAlign w:val="bottom"/>
            <w:vMerge w:val="continue"/>
          </w:tcPr>
          <w:p>
            <w:pPr>
              <w:spacing w:after="0"/>
              <w:rPr>
                <w:sz w:val="17"/>
                <w:szCs w:val="17"/>
                <w:color w:val="auto"/>
              </w:rPr>
            </w:pPr>
          </w:p>
        </w:tc>
        <w:tc>
          <w:tcPr>
            <w:tcW w:w="126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31,462</w:t>
            </w:r>
          </w:p>
        </w:tc>
        <w:tc>
          <w:tcPr>
            <w:tcW w:w="1500" w:type="dxa"/>
            <w:vAlign w:val="bottom"/>
            <w:vMerge w:val="continue"/>
          </w:tcPr>
          <w:p>
            <w:pPr>
              <w:spacing w:after="0"/>
              <w:rPr>
                <w:sz w:val="17"/>
                <w:szCs w:val="17"/>
                <w:color w:val="auto"/>
              </w:rPr>
            </w:pPr>
          </w:p>
        </w:tc>
        <w:tc>
          <w:tcPr>
            <w:tcW w:w="1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31,476</w:t>
            </w:r>
          </w:p>
        </w:tc>
        <w:tc>
          <w:tcPr>
            <w:tcW w:w="0" w:type="dxa"/>
            <w:vAlign w:val="bottom"/>
          </w:tcPr>
          <w:p>
            <w:pPr>
              <w:spacing w:after="0"/>
              <w:rPr>
                <w:sz w:val="1"/>
                <w:szCs w:val="1"/>
                <w:color w:val="auto"/>
              </w:rPr>
            </w:pPr>
          </w:p>
        </w:tc>
      </w:tr>
      <w:tr>
        <w:trPr>
          <w:trHeight w:val="398"/>
        </w:trPr>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 of stock-based compensation plans</w:t>
            </w:r>
          </w:p>
        </w:tc>
        <w:tc>
          <w:tcPr>
            <w:tcW w:w="2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that were not included in the computation of</w:t>
            </w:r>
          </w:p>
        </w:tc>
        <w:tc>
          <w:tcPr>
            <w:tcW w:w="2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diluted earnings per share because</w:t>
            </w:r>
          </w:p>
        </w:tc>
        <w:tc>
          <w:tcPr>
            <w:tcW w:w="23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17"/>
                <w:szCs w:val="17"/>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Arial" w:cs="Arial" w:eastAsia="Arial" w:hAnsi="Arial"/>
                <w:sz w:val="18"/>
                <w:szCs w:val="18"/>
                <w:color w:val="auto"/>
              </w:rPr>
              <w:t>to do so would have been antidilutive</w:t>
            </w:r>
          </w:p>
        </w:tc>
        <w:tc>
          <w:tcPr>
            <w:tcW w:w="2300" w:type="dxa"/>
            <w:vAlign w:val="bottom"/>
            <w:vMerge w:val="continue"/>
          </w:tcPr>
          <w:p>
            <w:pPr>
              <w:spacing w:after="0"/>
              <w:rPr>
                <w:sz w:val="17"/>
                <w:szCs w:val="17"/>
                <w:color w:val="auto"/>
              </w:rPr>
            </w:pPr>
          </w:p>
        </w:tc>
        <w:tc>
          <w:tcPr>
            <w:tcW w:w="126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500" w:type="dxa"/>
            <w:vAlign w:val="bottom"/>
            <w:vMerge w:val="continue"/>
          </w:tcPr>
          <w:p>
            <w:pPr>
              <w:spacing w:after="0"/>
              <w:rPr>
                <w:sz w:val="17"/>
                <w:szCs w:val="17"/>
                <w:color w:val="auto"/>
              </w:rPr>
            </w:pPr>
          </w:p>
        </w:tc>
        <w:tc>
          <w:tcPr>
            <w:tcW w:w="1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market price of common stock used</w:t>
            </w:r>
          </w:p>
        </w:tc>
        <w:tc>
          <w:tcPr>
            <w:tcW w:w="230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$19.92</w:t>
            </w:r>
          </w:p>
        </w:tc>
        <w:tc>
          <w:tcPr>
            <w:tcW w:w="1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$21.46</w:t>
            </w: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300" w:type="dxa"/>
            <w:vAlign w:val="bottom"/>
            <w:vMerge w:val="continue"/>
          </w:tcPr>
          <w:p>
            <w:pPr>
              <w:spacing w:after="0"/>
              <w:rPr>
                <w:sz w:val="17"/>
                <w:szCs w:val="17"/>
                <w:color w:val="auto"/>
              </w:rPr>
            </w:pPr>
          </w:p>
        </w:tc>
        <w:tc>
          <w:tcPr>
            <w:tcW w:w="126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$22.24</w:t>
            </w:r>
          </w:p>
        </w:tc>
        <w:tc>
          <w:tcPr>
            <w:tcW w:w="1500" w:type="dxa"/>
            <w:vAlign w:val="bottom"/>
            <w:vMerge w:val="continue"/>
          </w:tcPr>
          <w:p>
            <w:pPr>
              <w:spacing w:after="0"/>
              <w:rPr>
                <w:sz w:val="17"/>
                <w:szCs w:val="17"/>
                <w:color w:val="auto"/>
              </w:rPr>
            </w:pPr>
          </w:p>
        </w:tc>
        <w:tc>
          <w:tcPr>
            <w:tcW w:w="1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412"/>
        </w:trPr>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per share:</w:t>
            </w:r>
          </w:p>
        </w:tc>
        <w:tc>
          <w:tcPr>
            <w:tcW w:w="2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60" w:type="dxa"/>
            <w:vAlign w:val="bottom"/>
          </w:tcPr>
          <w:p>
            <w:pPr>
              <w:ind w:left="160"/>
              <w:spacing w:after="0"/>
              <w:rPr>
                <w:sz w:val="20"/>
                <w:szCs w:val="20"/>
                <w:color w:val="auto"/>
              </w:rPr>
            </w:pPr>
            <w:r>
              <w:rPr>
                <w:rFonts w:ascii="Arial" w:cs="Arial" w:eastAsia="Arial" w:hAnsi="Arial"/>
                <w:sz w:val="18"/>
                <w:szCs w:val="18"/>
                <w:color w:val="auto"/>
              </w:rPr>
              <w:t>Basic</w:t>
            </w:r>
          </w:p>
        </w:tc>
        <w:tc>
          <w:tcPr>
            <w:tcW w:w="2300" w:type="dxa"/>
            <w:vAlign w:val="bottom"/>
          </w:tcPr>
          <w:p>
            <w:pPr>
              <w:jc w:val="right"/>
              <w:ind w:right="510"/>
              <w:spacing w:after="0"/>
              <w:rPr>
                <w:sz w:val="20"/>
                <w:szCs w:val="20"/>
                <w:color w:val="auto"/>
              </w:rPr>
            </w:pPr>
            <w:r>
              <w:rPr>
                <w:rFonts w:ascii="Arial" w:cs="Arial" w:eastAsia="Arial" w:hAnsi="Arial"/>
                <w:sz w:val="18"/>
                <w:szCs w:val="18"/>
                <w:b w:val="1"/>
                <w:bCs w:val="1"/>
                <w:color w:val="auto"/>
              </w:rPr>
              <w:t>$0.30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$0.53</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$0.73</w:t>
            </w: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$0.30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$0.53</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$0.72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September 30, 2012 and 2011, there was no dilution resulting from the convertible debt instrument, purchased call option, and warrant that are described in Note 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shares issued and outstanding: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Class A</w:t>
            </w:r>
          </w:p>
        </w:tc>
        <w:tc>
          <w:tcPr>
            <w:tcW w:w="184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Class B</w:t>
            </w:r>
          </w:p>
        </w:tc>
        <w:tc>
          <w:tcPr>
            <w:tcW w:w="244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Less: Treasury</w:t>
            </w:r>
          </w:p>
        </w:tc>
        <w:tc>
          <w:tcPr>
            <w:tcW w:w="17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Net shares</w:t>
            </w:r>
          </w:p>
        </w:tc>
        <w:tc>
          <w:tcPr>
            <w:tcW w:w="20" w:type="dxa"/>
            <w:vAlign w:val="bottom"/>
          </w:tcPr>
          <w:p>
            <w:pPr>
              <w:spacing w:after="0"/>
              <w:rPr>
                <w:sz w:val="18"/>
                <w:szCs w:val="18"/>
                <w:color w:val="auto"/>
              </w:rPr>
            </w:pPr>
          </w:p>
        </w:tc>
      </w:tr>
      <w:tr>
        <w:trPr>
          <w:trHeight w:val="203"/>
        </w:trPr>
        <w:tc>
          <w:tcPr>
            <w:tcW w:w="27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rPr>
              <w:t>Shares</w:t>
            </w:r>
          </w:p>
        </w:tc>
        <w:tc>
          <w:tcPr>
            <w:tcW w:w="1840" w:type="dxa"/>
            <w:vAlign w:val="bottom"/>
            <w:tcBorders>
              <w:bottom w:val="single" w:sz="8" w:color="auto"/>
            </w:tcBorders>
          </w:tcPr>
          <w:p>
            <w:pPr>
              <w:jc w:val="right"/>
              <w:ind w:right="810"/>
              <w:spacing w:after="0" w:line="203" w:lineRule="exact"/>
              <w:rPr>
                <w:sz w:val="20"/>
                <w:szCs w:val="20"/>
                <w:color w:val="auto"/>
              </w:rPr>
            </w:pPr>
            <w:r>
              <w:rPr>
                <w:rFonts w:ascii="Arial" w:cs="Arial" w:eastAsia="Arial" w:hAnsi="Arial"/>
                <w:sz w:val="18"/>
                <w:szCs w:val="18"/>
                <w:color w:val="auto"/>
              </w:rPr>
              <w:t>Shares</w:t>
            </w:r>
          </w:p>
        </w:tc>
        <w:tc>
          <w:tcPr>
            <w:tcW w:w="2440" w:type="dxa"/>
            <w:vAlign w:val="bottom"/>
            <w:tcBorders>
              <w:bottom w:val="single" w:sz="8" w:color="auto"/>
            </w:tcBorders>
          </w:tcPr>
          <w:p>
            <w:pPr>
              <w:jc w:val="right"/>
              <w:ind w:right="1110"/>
              <w:spacing w:after="0" w:line="203" w:lineRule="exact"/>
              <w:rPr>
                <w:sz w:val="20"/>
                <w:szCs w:val="20"/>
                <w:color w:val="auto"/>
              </w:rPr>
            </w:pPr>
            <w:r>
              <w:rPr>
                <w:rFonts w:ascii="Arial" w:cs="Arial" w:eastAsia="Arial" w:hAnsi="Arial"/>
                <w:sz w:val="18"/>
                <w:szCs w:val="18"/>
                <w:color w:val="auto"/>
              </w:rPr>
              <w:t>Shares</w:t>
            </w:r>
          </w:p>
        </w:tc>
        <w:tc>
          <w:tcPr>
            <w:tcW w:w="17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7"/>
                <w:szCs w:val="17"/>
                <w:color w:val="auto"/>
              </w:rPr>
            </w:pPr>
          </w:p>
        </w:tc>
      </w:tr>
      <w:tr>
        <w:trPr>
          <w:trHeight w:val="398"/>
        </w:trPr>
        <w:tc>
          <w:tcPr>
            <w:tcW w:w="2760" w:type="dxa"/>
            <w:vAlign w:val="bottom"/>
          </w:tcPr>
          <w:p>
            <w:pPr>
              <w:spacing w:after="0"/>
              <w:rPr>
                <w:sz w:val="20"/>
                <w:szCs w:val="20"/>
                <w:color w:val="auto"/>
              </w:rPr>
            </w:pPr>
            <w:r>
              <w:rPr>
                <w:rFonts w:ascii="Arial" w:cs="Arial" w:eastAsia="Arial" w:hAnsi="Arial"/>
                <w:sz w:val="18"/>
                <w:szCs w:val="18"/>
                <w:color w:val="auto"/>
              </w:rPr>
              <w:t>December 31, 2011</w:t>
            </w:r>
          </w:p>
        </w:tc>
        <w:tc>
          <w:tcPr>
            <w:tcW w:w="2600" w:type="dxa"/>
            <w:vAlign w:val="bottom"/>
          </w:tcPr>
          <w:p>
            <w:pPr>
              <w:jc w:val="right"/>
              <w:ind w:right="170"/>
              <w:spacing w:after="0"/>
              <w:rPr>
                <w:sz w:val="20"/>
                <w:szCs w:val="20"/>
                <w:color w:val="auto"/>
              </w:rPr>
            </w:pPr>
            <w:r>
              <w:rPr>
                <w:rFonts w:ascii="Arial" w:cs="Arial" w:eastAsia="Arial" w:hAnsi="Arial"/>
                <w:sz w:val="18"/>
                <w:szCs w:val="18"/>
                <w:color w:val="auto"/>
              </w:rPr>
              <w:t>36,540,842</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3,236,098</w:t>
            </w:r>
          </w:p>
        </w:tc>
        <w:tc>
          <w:tcPr>
            <w:tcW w:w="2440" w:type="dxa"/>
            <w:vAlign w:val="bottom"/>
          </w:tcPr>
          <w:p>
            <w:pPr>
              <w:jc w:val="right"/>
              <w:ind w:right="210"/>
              <w:spacing w:after="0"/>
              <w:rPr>
                <w:sz w:val="20"/>
                <w:szCs w:val="20"/>
                <w:color w:val="auto"/>
              </w:rPr>
            </w:pPr>
            <w:r>
              <w:rPr>
                <w:rFonts w:ascii="Arial" w:cs="Arial" w:eastAsia="Arial" w:hAnsi="Arial"/>
                <w:sz w:val="18"/>
                <w:szCs w:val="18"/>
                <w:color w:val="auto"/>
              </w:rPr>
              <w:t>(8,479,487)</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31,297,453</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June 30, 2012</w:t>
            </w:r>
          </w:p>
        </w:tc>
        <w:tc>
          <w:tcPr>
            <w:tcW w:w="2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36,589,304</w:t>
            </w:r>
          </w:p>
        </w:tc>
        <w:tc>
          <w:tcPr>
            <w:tcW w:w="18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3,236,098</w:t>
            </w:r>
          </w:p>
        </w:tc>
        <w:tc>
          <w:tcPr>
            <w:tcW w:w="24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(8,467,873)</w:t>
            </w: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31,357,529</w:t>
            </w:r>
          </w:p>
        </w:tc>
      </w:tr>
      <w:tr>
        <w:trPr>
          <w:trHeight w:val="203"/>
        </w:trPr>
        <w:tc>
          <w:tcPr>
            <w:tcW w:w="2760" w:type="dxa"/>
            <w:vAlign w:val="bottom"/>
          </w:tcPr>
          <w:p>
            <w:pPr>
              <w:spacing w:after="0" w:line="203" w:lineRule="exact"/>
              <w:rPr>
                <w:sz w:val="20"/>
                <w:szCs w:val="20"/>
                <w:color w:val="auto"/>
              </w:rPr>
            </w:pPr>
            <w:r>
              <w:rPr>
                <w:rFonts w:ascii="Arial" w:cs="Arial" w:eastAsia="Arial" w:hAnsi="Arial"/>
                <w:sz w:val="18"/>
                <w:szCs w:val="18"/>
                <w:color w:val="auto"/>
              </w:rPr>
              <w:t>September 30, 2012</w:t>
            </w:r>
          </w:p>
        </w:tc>
        <w:tc>
          <w:tcPr>
            <w:tcW w:w="260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36,629,604</w:t>
            </w:r>
          </w:p>
        </w:tc>
        <w:tc>
          <w:tcPr>
            <w:tcW w:w="18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3,236,098</w:t>
            </w:r>
          </w:p>
        </w:tc>
        <w:tc>
          <w:tcPr>
            <w:tcW w:w="244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(8,467,873)</w:t>
            </w:r>
          </w:p>
        </w:tc>
        <w:tc>
          <w:tcPr>
            <w:tcW w:w="1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31,397,829</w:t>
            </w:r>
          </w:p>
        </w:tc>
      </w:tr>
      <w:tr>
        <w:trPr>
          <w:trHeight w:val="426"/>
        </w:trPr>
        <w:tc>
          <w:tcPr>
            <w:tcW w:w="276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right"/>
              <w:ind w:right="1290"/>
              <w:spacing w:after="0"/>
              <w:rPr>
                <w:sz w:val="20"/>
                <w:szCs w:val="20"/>
                <w:color w:val="auto"/>
              </w:rPr>
            </w:pPr>
            <w:r>
              <w:rPr>
                <w:rFonts w:ascii="Arial" w:cs="Arial" w:eastAsia="Arial" w:hAnsi="Arial"/>
                <w:sz w:val="18"/>
                <w:szCs w:val="18"/>
                <w:color w:val="auto"/>
              </w:rPr>
              <w:t>12</w:t>
            </w:r>
          </w:p>
        </w:tc>
        <w:tc>
          <w:tcPr>
            <w:tcW w:w="24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ectPr>
          <w:pgSz w:w="11900" w:h="16838" w:orient="portrait"/>
          <w:cols w:equalWidth="0" w:num="1">
            <w:col w:w="11420"/>
          </w:cols>
          <w:pgMar w:left="240" w:top="6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7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September 30, 2012</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31, 2011</w:t>
            </w:r>
          </w:p>
        </w:tc>
        <w:tc>
          <w:tcPr>
            <w:tcW w:w="20" w:type="dxa"/>
            <w:vAlign w:val="bottom"/>
          </w:tcPr>
          <w:p>
            <w:pPr>
              <w:spacing w:after="0"/>
              <w:rPr>
                <w:sz w:val="18"/>
                <w:szCs w:val="18"/>
                <w:color w:val="auto"/>
              </w:rPr>
            </w:pPr>
          </w:p>
        </w:tc>
      </w:tr>
      <w:tr>
        <w:trPr>
          <w:trHeight w:val="376"/>
        </w:trPr>
        <w:tc>
          <w:tcPr>
            <w:tcW w:w="4220" w:type="dxa"/>
            <w:vAlign w:val="bottom"/>
          </w:tcPr>
          <w:p>
            <w:pPr>
              <w:spacing w:after="0"/>
              <w:rPr>
                <w:sz w:val="20"/>
                <w:szCs w:val="20"/>
                <w:color w:val="auto"/>
              </w:rPr>
            </w:pPr>
            <w:r>
              <w:rPr>
                <w:rFonts w:ascii="Arial" w:cs="Arial" w:eastAsia="Arial" w:hAnsi="Arial"/>
                <w:sz w:val="18"/>
                <w:szCs w:val="18"/>
                <w:color w:val="auto"/>
              </w:rPr>
              <w:t>Finished goods</w:t>
            </w:r>
          </w:p>
        </w:tc>
        <w:tc>
          <w:tcPr>
            <w:tcW w:w="4700" w:type="dxa"/>
            <w:vAlign w:val="bottom"/>
          </w:tcPr>
          <w:p>
            <w:pPr>
              <w:jc w:val="right"/>
              <w:ind w:right="830"/>
              <w:spacing w:after="0"/>
              <w:rPr>
                <w:sz w:val="20"/>
                <w:szCs w:val="20"/>
                <w:color w:val="auto"/>
              </w:rPr>
            </w:pPr>
            <w:r>
              <w:rPr>
                <w:rFonts w:ascii="Arial" w:cs="Arial" w:eastAsia="Arial" w:hAnsi="Arial"/>
                <w:sz w:val="18"/>
                <w:szCs w:val="18"/>
                <w:b w:val="1"/>
                <w:bCs w:val="1"/>
                <w:color w:val="auto"/>
              </w:rPr>
              <w:t>$52,436</w:t>
            </w:r>
          </w:p>
        </w:tc>
        <w:tc>
          <w:tcPr>
            <w:tcW w:w="2500" w:type="dxa"/>
            <w:vAlign w:val="bottom"/>
          </w:tcPr>
          <w:p>
            <w:pPr>
              <w:jc w:val="right"/>
              <w:spacing w:after="0"/>
              <w:rPr>
                <w:sz w:val="20"/>
                <w:szCs w:val="20"/>
                <w:color w:val="auto"/>
              </w:rPr>
            </w:pPr>
            <w:r>
              <w:rPr>
                <w:rFonts w:ascii="Arial" w:cs="Arial" w:eastAsia="Arial" w:hAnsi="Arial"/>
                <w:sz w:val="18"/>
                <w:szCs w:val="18"/>
                <w:color w:val="auto"/>
              </w:rPr>
              <w:t>$61,540</w:t>
            </w:r>
          </w:p>
        </w:tc>
        <w:tc>
          <w:tcPr>
            <w:tcW w:w="20" w:type="dxa"/>
            <w:vAlign w:val="bottom"/>
          </w:tcPr>
          <w:p>
            <w:pPr>
              <w:spacing w:after="0"/>
              <w:rPr>
                <w:sz w:val="24"/>
                <w:szCs w:val="24"/>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7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43,810</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39,552</w:t>
            </w: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Raw material and supplies</w:t>
            </w:r>
          </w:p>
        </w:tc>
        <w:tc>
          <w:tcPr>
            <w:tcW w:w="47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25,450</w:t>
            </w:r>
          </w:p>
        </w:tc>
        <w:tc>
          <w:tcPr>
            <w:tcW w:w="2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28,711</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47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$121,696</w:t>
            </w:r>
          </w:p>
        </w:tc>
        <w:tc>
          <w:tcPr>
            <w:tcW w:w="25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$129,803</w:t>
            </w:r>
          </w:p>
        </w:tc>
      </w:tr>
    </w:tbl>
    <w:p>
      <w:pPr>
        <w:spacing w:after="0" w:line="215"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We record a provision for obsolete inventory based on the age and category of the inventories.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203"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20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2012 the Company applied the qualitative assessment approach (See Recent Accounting Pronouncements footnote) in performing its annual evaluation of goodwill and concluded that no impairment provision was required. In addition, there were no amounts at risk due to the large spread between the fair and carrying values.</w:t>
      </w:r>
    </w:p>
    <w:p>
      <w:pPr>
        <w:spacing w:after="0" w:line="20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January 1, 2012 to September 30, 2012,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right"/>
              <w:ind w:right="50"/>
              <w:spacing w:after="0" w:line="194" w:lineRule="exact"/>
              <w:rPr>
                <w:sz w:val="20"/>
                <w:szCs w:val="20"/>
                <w:color w:val="auto"/>
              </w:rPr>
            </w:pPr>
            <w:r>
              <w:rPr>
                <w:rFonts w:ascii="Arial" w:cs="Arial" w:eastAsia="Arial" w:hAnsi="Arial"/>
                <w:sz w:val="18"/>
                <w:szCs w:val="18"/>
                <w:b w:val="1"/>
                <w:bCs w:val="1"/>
                <w:color w:val="auto"/>
              </w:rPr>
              <w:t>Balance at</w:t>
            </w:r>
          </w:p>
        </w:tc>
        <w:tc>
          <w:tcPr>
            <w:tcW w:w="8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130"/>
              <w:spacing w:after="0" w:line="194" w:lineRule="exact"/>
              <w:rPr>
                <w:sz w:val="20"/>
                <w:szCs w:val="20"/>
                <w:color w:val="auto"/>
              </w:rPr>
            </w:pPr>
            <w:r>
              <w:rPr>
                <w:rFonts w:ascii="Arial" w:cs="Arial" w:eastAsia="Arial" w:hAnsi="Arial"/>
                <w:sz w:val="18"/>
                <w:szCs w:val="18"/>
                <w:b w:val="1"/>
                <w:bCs w:val="1"/>
                <w:color w:val="auto"/>
              </w:rPr>
              <w:t>Currency</w:t>
            </w:r>
          </w:p>
        </w:tc>
        <w:tc>
          <w:tcPr>
            <w:tcW w:w="1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Balance at</w:t>
            </w: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 2011</w:t>
            </w:r>
          </w:p>
        </w:tc>
        <w:tc>
          <w:tcPr>
            <w:tcW w:w="15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11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Translation</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2012</w:t>
            </w:r>
          </w:p>
        </w:tc>
      </w:tr>
      <w:tr>
        <w:trPr>
          <w:trHeight w:val="398"/>
        </w:trPr>
        <w:tc>
          <w:tcPr>
            <w:tcW w:w="436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AEC trade names</w:t>
            </w:r>
          </w:p>
        </w:tc>
        <w:tc>
          <w:tcPr>
            <w:tcW w:w="250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05"/>
        </w:trPr>
        <w:tc>
          <w:tcPr>
            <w:tcW w:w="20" w:type="dxa"/>
            <w:vAlign w:val="bottom"/>
          </w:tcPr>
          <w:p>
            <w:pPr>
              <w:spacing w:after="0"/>
              <w:rPr>
                <w:sz w:val="24"/>
                <w:szCs w:val="24"/>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AEC customer contracts</w:t>
            </w:r>
          </w:p>
        </w:tc>
        <w:tc>
          <w:tcPr>
            <w:tcW w:w="2500" w:type="dxa"/>
            <w:vAlign w:val="bottom"/>
          </w:tcPr>
          <w:p>
            <w:pPr>
              <w:jc w:val="right"/>
              <w:ind w:right="50"/>
              <w:spacing w:after="0"/>
              <w:rPr>
                <w:sz w:val="20"/>
                <w:szCs w:val="20"/>
                <w:color w:val="auto"/>
              </w:rPr>
            </w:pPr>
            <w:r>
              <w:rPr>
                <w:rFonts w:ascii="Arial" w:cs="Arial" w:eastAsia="Arial" w:hAnsi="Arial"/>
                <w:sz w:val="18"/>
                <w:szCs w:val="18"/>
                <w:color w:val="auto"/>
              </w:rPr>
              <w:t>808</w:t>
            </w:r>
          </w:p>
        </w:tc>
        <w:tc>
          <w:tcPr>
            <w:tcW w:w="8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Pr>
          <w:p>
            <w:pPr>
              <w:spacing w:after="0"/>
              <w:rPr>
                <w:sz w:val="24"/>
                <w:szCs w:val="24"/>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392"/>
        </w:trPr>
        <w:tc>
          <w:tcPr>
            <w:tcW w:w="20" w:type="dxa"/>
            <w:vAlign w:val="bottom"/>
          </w:tcPr>
          <w:p>
            <w:pPr>
              <w:spacing w:after="0"/>
              <w:rPr>
                <w:sz w:val="24"/>
                <w:szCs w:val="24"/>
                <w:color w:val="auto"/>
              </w:rPr>
            </w:pPr>
          </w:p>
        </w:tc>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AEC technology</w:t>
            </w:r>
          </w:p>
        </w:tc>
        <w:tc>
          <w:tcPr>
            <w:tcW w:w="2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w:t>
            </w: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196"/>
        </w:trPr>
        <w:tc>
          <w:tcPr>
            <w:tcW w:w="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5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$1,079</w:t>
            </w:r>
          </w:p>
        </w:tc>
        <w:tc>
          <w:tcPr>
            <w:tcW w:w="8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w:t>
            </w:r>
          </w:p>
        </w:tc>
        <w:tc>
          <w:tcPr>
            <w:tcW w:w="6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w:t>
            </w:r>
          </w:p>
        </w:tc>
      </w:tr>
      <w:tr>
        <w:trPr>
          <w:trHeight w:val="398"/>
        </w:trPr>
        <w:tc>
          <w:tcPr>
            <w:tcW w:w="436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Goodwill, Machine Clothing reporting unit</w:t>
            </w:r>
          </w:p>
        </w:tc>
        <w:tc>
          <w:tcPr>
            <w:tcW w:w="250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$75,469</w:t>
            </w:r>
          </w:p>
        </w:tc>
        <w:tc>
          <w:tcPr>
            <w:tcW w:w="8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4"/>
              </w:rPr>
              <w:t>403)</w:t>
            </w:r>
          </w:p>
        </w:tc>
        <w:tc>
          <w:tcPr>
            <w:tcW w:w="1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$75,066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of amortized intangible assets for the years ending December 31, 2012 through 2016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color w:val="auto"/>
                <w:w w:val="99"/>
              </w:rPr>
              <w:t>Annual Amortization</w:t>
            </w:r>
          </w:p>
        </w:tc>
        <w:tc>
          <w:tcPr>
            <w:tcW w:w="20" w:type="dxa"/>
            <w:vAlign w:val="bottom"/>
          </w:tcPr>
          <w:p>
            <w:pPr>
              <w:spacing w:after="0"/>
              <w:rPr>
                <w:sz w:val="18"/>
                <w:szCs w:val="18"/>
                <w:color w:val="auto"/>
              </w:rPr>
            </w:pPr>
          </w:p>
        </w:tc>
      </w:tr>
      <w:tr>
        <w:trPr>
          <w:trHeight w:val="203"/>
        </w:trPr>
        <w:tc>
          <w:tcPr>
            <w:tcW w:w="1320" w:type="dxa"/>
            <w:vAlign w:val="bottom"/>
          </w:tcPr>
          <w:p>
            <w:pPr>
              <w:ind w:left="260"/>
              <w:spacing w:after="0" w:line="203" w:lineRule="exact"/>
              <w:rPr>
                <w:sz w:val="20"/>
                <w:szCs w:val="20"/>
                <w:color w:val="auto"/>
              </w:rPr>
            </w:pPr>
            <w:r>
              <w:rPr>
                <w:rFonts w:ascii="Arial" w:cs="Arial" w:eastAsia="Arial" w:hAnsi="Arial"/>
                <w:sz w:val="18"/>
                <w:szCs w:val="18"/>
                <w:color w:val="auto"/>
              </w:rPr>
              <w:t>Year</w:t>
            </w:r>
          </w:p>
        </w:tc>
        <w:tc>
          <w:tcPr>
            <w:tcW w:w="328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99"/>
              </w:rPr>
              <w:t>(in thousands)</w:t>
            </w:r>
          </w:p>
        </w:tc>
      </w:tr>
      <w:tr>
        <w:trPr>
          <w:trHeight w:val="195"/>
        </w:trPr>
        <w:tc>
          <w:tcPr>
            <w:tcW w:w="132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2012</w:t>
            </w:r>
          </w:p>
        </w:tc>
        <w:tc>
          <w:tcPr>
            <w:tcW w:w="3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6"/>
                <w:szCs w:val="16"/>
                <w:color w:val="auto"/>
              </w:rPr>
            </w:pPr>
          </w:p>
        </w:tc>
      </w:tr>
      <w:tr>
        <w:trPr>
          <w:trHeight w:val="203"/>
        </w:trPr>
        <w:tc>
          <w:tcPr>
            <w:tcW w:w="1320" w:type="dxa"/>
            <w:vAlign w:val="bottom"/>
          </w:tcPr>
          <w:p>
            <w:pPr>
              <w:ind w:left="240"/>
              <w:spacing w:after="0" w:line="202" w:lineRule="exact"/>
              <w:rPr>
                <w:sz w:val="20"/>
                <w:szCs w:val="20"/>
                <w:color w:val="auto"/>
              </w:rPr>
            </w:pPr>
            <w:r>
              <w:rPr>
                <w:rFonts w:ascii="Arial" w:cs="Arial" w:eastAsia="Arial" w:hAnsi="Arial"/>
                <w:sz w:val="18"/>
                <w:szCs w:val="18"/>
                <w:color w:val="auto"/>
              </w:rPr>
              <w:t>2013</w:t>
            </w:r>
          </w:p>
        </w:tc>
        <w:tc>
          <w:tcPr>
            <w:tcW w:w="32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r>
      <w:tr>
        <w:trPr>
          <w:trHeight w:val="203"/>
        </w:trPr>
        <w:tc>
          <w:tcPr>
            <w:tcW w:w="1320" w:type="dxa"/>
            <w:vAlign w:val="bottom"/>
          </w:tcPr>
          <w:p>
            <w:pPr>
              <w:ind w:left="240"/>
              <w:spacing w:after="0" w:line="202" w:lineRule="exact"/>
              <w:rPr>
                <w:sz w:val="20"/>
                <w:szCs w:val="20"/>
                <w:color w:val="auto"/>
              </w:rPr>
            </w:pPr>
            <w:r>
              <w:rPr>
                <w:rFonts w:ascii="Arial" w:cs="Arial" w:eastAsia="Arial" w:hAnsi="Arial"/>
                <w:sz w:val="18"/>
                <w:szCs w:val="18"/>
                <w:color w:val="auto"/>
              </w:rPr>
              <w:t>2014</w:t>
            </w:r>
          </w:p>
        </w:tc>
        <w:tc>
          <w:tcPr>
            <w:tcW w:w="32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r>
      <w:tr>
        <w:trPr>
          <w:trHeight w:val="203"/>
        </w:trPr>
        <w:tc>
          <w:tcPr>
            <w:tcW w:w="1320" w:type="dxa"/>
            <w:vAlign w:val="bottom"/>
          </w:tcPr>
          <w:p>
            <w:pPr>
              <w:ind w:left="240"/>
              <w:spacing w:after="0" w:line="202" w:lineRule="exact"/>
              <w:rPr>
                <w:sz w:val="20"/>
                <w:szCs w:val="20"/>
                <w:color w:val="auto"/>
              </w:rPr>
            </w:pPr>
            <w:r>
              <w:rPr>
                <w:rFonts w:ascii="Arial" w:cs="Arial" w:eastAsia="Arial" w:hAnsi="Arial"/>
                <w:sz w:val="18"/>
                <w:szCs w:val="18"/>
                <w:color w:val="auto"/>
              </w:rPr>
              <w:t>2015</w:t>
            </w:r>
          </w:p>
        </w:tc>
        <w:tc>
          <w:tcPr>
            <w:tcW w:w="32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r>
      <w:tr>
        <w:trPr>
          <w:trHeight w:val="203"/>
        </w:trPr>
        <w:tc>
          <w:tcPr>
            <w:tcW w:w="132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rPr>
              <w:t>2016</w:t>
            </w:r>
          </w:p>
        </w:tc>
        <w:tc>
          <w:tcPr>
            <w:tcW w:w="32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Financial Instruments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9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(in thousands, except interest rates)</w:t>
            </w:r>
          </w:p>
        </w:tc>
        <w:tc>
          <w:tcPr>
            <w:tcW w:w="2440" w:type="dxa"/>
            <w:vAlign w:val="bottom"/>
            <w:tcBorders>
              <w:top w:val="single" w:sz="8" w:color="auto"/>
            </w:tcBorders>
            <w:gridSpan w:val="3"/>
          </w:tcPr>
          <w:p>
            <w:pPr>
              <w:jc w:val="right"/>
              <w:spacing w:after="0" w:line="194" w:lineRule="exact"/>
              <w:rPr>
                <w:sz w:val="20"/>
                <w:szCs w:val="20"/>
                <w:color w:val="auto"/>
              </w:rPr>
            </w:pPr>
            <w:r>
              <w:rPr>
                <w:rFonts w:ascii="Arial" w:cs="Arial" w:eastAsia="Arial" w:hAnsi="Arial"/>
                <w:sz w:val="18"/>
                <w:szCs w:val="18"/>
                <w:b w:val="1"/>
                <w:bCs w:val="1"/>
                <w:color w:val="auto"/>
              </w:rPr>
              <w:t xml:space="preserve">September 30, </w:t>
            </w:r>
            <w:r>
              <w:rPr>
                <w:rFonts w:ascii="Arial" w:cs="Arial" w:eastAsia="Arial" w:hAnsi="Arial"/>
                <w:sz w:val="18"/>
                <w:szCs w:val="18"/>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980" w:type="dxa"/>
            <w:vAlign w:val="bottom"/>
            <w:gridSpan w:val="2"/>
            <w:vMerge w:val="continue"/>
          </w:tcPr>
          <w:p>
            <w:pPr>
              <w:spacing w:after="0"/>
              <w:rPr>
                <w:sz w:val="11"/>
                <w:szCs w:val="11"/>
                <w:color w:val="auto"/>
              </w:rPr>
            </w:pPr>
          </w:p>
        </w:tc>
        <w:tc>
          <w:tcPr>
            <w:tcW w:w="12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11"/>
                <w:szCs w:val="11"/>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8980" w:type="dxa"/>
            <w:vAlign w:val="bottom"/>
            <w:gridSpan w:val="2"/>
          </w:tcPr>
          <w:p>
            <w:pPr>
              <w:spacing w:after="0"/>
              <w:rPr>
                <w:sz w:val="20"/>
                <w:szCs w:val="20"/>
                <w:color w:val="auto"/>
              </w:rPr>
            </w:pPr>
            <w:r>
              <w:rPr>
                <w:rFonts w:ascii="Arial" w:cs="Arial" w:eastAsia="Arial" w:hAnsi="Arial"/>
                <w:sz w:val="18"/>
                <w:szCs w:val="18"/>
                <w:color w:val="auto"/>
              </w:rPr>
              <w:t>Convertible notes, par value $28,437, issued in March 2006 with fixed contractual interest rates of 2.25%, due in</w:t>
            </w: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$28,052</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$27,228</w:t>
            </w:r>
          </w:p>
        </w:tc>
        <w:tc>
          <w:tcPr>
            <w:tcW w:w="0" w:type="dxa"/>
            <w:vAlign w:val="bottom"/>
          </w:tcPr>
          <w:p>
            <w:pPr>
              <w:spacing w:after="0"/>
              <w:rPr>
                <w:sz w:val="1"/>
                <w:szCs w:val="1"/>
                <w:color w:val="auto"/>
              </w:rPr>
            </w:pPr>
          </w:p>
        </w:tc>
      </w:tr>
      <w:tr>
        <w:trPr>
          <w:trHeight w:val="109"/>
        </w:trPr>
        <w:tc>
          <w:tcPr>
            <w:tcW w:w="8940" w:type="dxa"/>
            <w:vAlign w:val="bottom"/>
            <w:vMerge w:val="restart"/>
          </w:tcPr>
          <w:p>
            <w:pPr>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8980" w:type="dxa"/>
            <w:vAlign w:val="bottom"/>
            <w:gridSpan w:val="2"/>
          </w:tcPr>
          <w:p>
            <w:pPr>
              <w:spacing w:after="0"/>
              <w:rPr>
                <w:sz w:val="20"/>
                <w:szCs w:val="20"/>
                <w:color w:val="auto"/>
              </w:rPr>
            </w:pPr>
            <w:r>
              <w:rPr>
                <w:rFonts w:ascii="Arial" w:cs="Arial" w:eastAsia="Arial" w:hAnsi="Arial"/>
                <w:sz w:val="18"/>
                <w:szCs w:val="18"/>
                <w:color w:val="auto"/>
              </w:rPr>
              <w:t>Private placement with a fixed interest rate of 6.84%, due in 2013 through 2017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150,000</w:t>
            </w:r>
          </w:p>
        </w:tc>
        <w:tc>
          <w:tcPr>
            <w:tcW w:w="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980" w:type="dxa"/>
            <w:vAlign w:val="bottom"/>
            <w:gridSpan w:val="2"/>
          </w:tcPr>
          <w:p>
            <w:pPr>
              <w:spacing w:after="0"/>
              <w:rPr>
                <w:sz w:val="20"/>
                <w:szCs w:val="20"/>
                <w:color w:val="auto"/>
              </w:rPr>
            </w:pPr>
            <w:r>
              <w:rPr>
                <w:rFonts w:ascii="Arial" w:cs="Arial" w:eastAsia="Arial" w:hAnsi="Arial"/>
                <w:sz w:val="18"/>
                <w:szCs w:val="18"/>
                <w:color w:val="auto"/>
              </w:rPr>
              <w:t>Credit agreement with borrowings outstanding at an end of period interest rate of 3.95% in 2012 and 3.61% in</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134,000</w:t>
            </w:r>
          </w:p>
        </w:tc>
        <w:tc>
          <w:tcPr>
            <w:tcW w:w="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187,000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2011, due in 2015</w:t>
            </w:r>
          </w:p>
        </w:tc>
        <w:tc>
          <w:tcPr>
            <w:tcW w:w="12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98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8980" w:type="dxa"/>
            <w:vAlign w:val="bottom"/>
            <w:gridSpan w:val="2"/>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10,143</w:t>
            </w:r>
          </w:p>
        </w:tc>
        <w:tc>
          <w:tcPr>
            <w:tcW w:w="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10,160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940" w:type="dxa"/>
            <w:vAlign w:val="bottom"/>
            <w:vMerge w:val="restart"/>
          </w:tcPr>
          <w:p>
            <w:pPr>
              <w:spacing w:after="0" w:line="203" w:lineRule="exact"/>
              <w:rPr>
                <w:sz w:val="20"/>
                <w:szCs w:val="20"/>
                <w:color w:val="auto"/>
              </w:rPr>
            </w:pPr>
            <w:r>
              <w:rPr>
                <w:rFonts w:ascii="Arial" w:cs="Arial" w:eastAsia="Arial" w:hAnsi="Arial"/>
                <w:sz w:val="18"/>
                <w:szCs w:val="18"/>
                <w:color w:val="auto"/>
              </w:rPr>
              <w:t>period rate of 3.05% in 2012 and 3.05% 2011, due in varying amounts through 2021</w:t>
            </w:r>
          </w:p>
        </w:tc>
        <w:tc>
          <w:tcPr>
            <w:tcW w:w="40" w:type="dxa"/>
            <w:vAlign w:val="bottom"/>
            <w:vMerge w:val="restart"/>
          </w:tcPr>
          <w:p>
            <w:pPr>
              <w:spacing w:after="0"/>
              <w:rPr>
                <w:sz w:val="9"/>
                <w:szCs w:val="9"/>
                <w:color w:val="auto"/>
              </w:rPr>
            </w:pPr>
          </w:p>
        </w:tc>
        <w:tc>
          <w:tcPr>
            <w:tcW w:w="12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940" w:type="dxa"/>
            <w:vAlign w:val="bottom"/>
            <w:tcBorders>
              <w:bottom w:val="single" w:sz="8" w:color="auto"/>
            </w:tcBorders>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8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322,195</w:t>
            </w:r>
          </w:p>
        </w:tc>
        <w:tc>
          <w:tcPr>
            <w:tcW w:w="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374,388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4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(33,066)</w:t>
            </w:r>
          </w:p>
        </w:tc>
        <w:tc>
          <w:tcPr>
            <w:tcW w:w="40" w:type="dxa"/>
            <w:vAlign w:val="bottom"/>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399"/>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4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$289,129</w:t>
            </w:r>
          </w:p>
        </w:tc>
        <w:tc>
          <w:tcPr>
            <w:tcW w:w="40" w:type="dxa"/>
            <w:vAlign w:val="bottom"/>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$373,125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note agreement and guaranty (“the Prudential agreement”) was entered into in October 2005 and was amended and restated September 17, 2010, with the Prudential Insurance Company of America, and certain other purchasers, in an aggregate principal amount of $ 150 million, with interest at 6.84% and a maturity date of October 25, 2017. There are mandatory payments of $50 million on October 25, 2013 and October 25, 2015. At the noteholders’ election, certain prepayments may also be required in connection with certain asset dispositions or financings. The notes may not otherwise be prepaid without a premium, under certain market conditions. The note agreement contains customary terms, as well as affirmative covenants, negative covenants, and events of default comparable to those in our current principal credit facility. For disclosure purposes, we are required to measure the fair value of outstanding debt on a recurring basis. As of September 30, 2012, the fair value of the note agreement was approximately $174.6 million. This was measured using active market interest rates which qualifies the Prudential notes as a level 2 instrument in the hierarchy for inputs used in measuring fair value.</w:t>
      </w:r>
    </w:p>
    <w:p>
      <w:pPr>
        <w:spacing w:after="0" w:line="20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July 16, 2010, we entered into a $390 million unsecured five-year revolving credit facility agreement, under which $134 million of borrowings are outstanding as of September 30, 2012. The 2010 credit agreement replaces the previous $460 million credit agreement made in 2006. The applicable interest rate for borrowings under the 2010 agreement, as well as under the former agreement, is LIBOR plus a spread, based on our leverage ratio at the time of borrowing.</w:t>
      </w:r>
    </w:p>
    <w:p>
      <w:pPr>
        <w:spacing w:after="0" w:line="2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September 30, 2012 we would have been able to borrow an additional $256 million under the credit agreement.</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Also on July 16, 2010, we entered into interest rate hedging transactions that have the effect of fixing the LIBOR portion of the effective interest rate (before addition of the spread) on $105 million of the indebtedness drawn under the 2010 agreement at the rate of 2.04% for the next five years. Under the terms of these transactions, we pay the fixed rate of 2.04% and the counterparties pay a floating rate based on the three-month LIBOR rate at each quarterly calculation date, which on July 16, 2012 was 0.46%. The net effect is to fix the effective interest rate on $105 million of indebtedness at 2.04%, plus the applicable spread, until these swap agreements expire on July 16, 2015. On July 16, the applicable spread was 225 basis points, yielding an effective annual rate of 4.29%. This interest rate swap is accounted for as a hedge of future cash flows, as further described in Note 12 of the Notes to Consolidated Financial Statements.</w:t>
      </w: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Reflecting, in each case, the effect of subsequent amendments to each agreement, we are currently required to maintain a leverage ratio of not greater than 3.50 to 1.00 and minimum interest coverage of 3.00 to 1.00 under the credit agreement and Prudential agreement.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jc w:val="both"/>
        <w:ind w:right="620"/>
        <w:spacing w:after="0"/>
        <w:rPr>
          <w:sz w:val="20"/>
          <w:szCs w:val="20"/>
          <w:color w:val="auto"/>
        </w:rPr>
      </w:pPr>
      <w:r>
        <w:rPr>
          <w:rFonts w:ascii="Arial" w:cs="Arial" w:eastAsia="Arial" w:hAnsi="Arial"/>
          <w:sz w:val="18"/>
          <w:szCs w:val="18"/>
          <w:color w:val="auto"/>
        </w:rPr>
        <w:t>As of September 30, 2012, our leverage ratio was 1.06 to 1.00 and our interest coverage ratio was 13.56 to 1.00. We may purchase our Common Stock or pay dividends to the extent our leverage ratio remains at or below 3.50 to 1.00, and may make acquisitions with cash provided our leverage ratio would not exceed 3.00 to 1.00 after giving pro forma effect to the acquisition.</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2006, we issued $180 million principal amount of 2.25% convertible notes. The notes are convertible upon the occurrence of specified events and at any time on or after February 15, 2013, into cash up to the principal amount of notes converted and shares of our Class A common stock with respect to the remainder, if any, of our conversion obligation at a conversion rate of 23.2078 shares per $1,000 principal amount of notes (equivalent to a conversion price of $43.09 per share of Class A common stock). As of September 30, 2012, $28.4 million principal amount of convertible notes were outstanding, with a fair value of approximately $28.3 million. This was measured using quoted prices in active markets, which qualifies the convertible notes as a level 2 instrument in the hierarchy for inputs used in measuring fair value. These amounts reflect the reduction in principal amount and fair value as a result of purchases made in 2009.</w:t>
      </w:r>
    </w:p>
    <w:p>
      <w:pPr>
        <w:spacing w:after="0" w:line="203" w:lineRule="exact"/>
        <w:rPr>
          <w:sz w:val="20"/>
          <w:szCs w:val="20"/>
          <w:color w:val="auto"/>
        </w:rPr>
      </w:pPr>
    </w:p>
    <w:p>
      <w:pPr>
        <w:jc w:val="both"/>
        <w:ind w:right="180"/>
        <w:spacing w:after="0" w:line="234" w:lineRule="auto"/>
        <w:rPr>
          <w:sz w:val="20"/>
          <w:szCs w:val="20"/>
          <w:color w:val="auto"/>
        </w:rPr>
      </w:pPr>
      <w:r>
        <w:rPr>
          <w:rFonts w:ascii="Arial" w:cs="Arial" w:eastAsia="Arial" w:hAnsi="Arial"/>
          <w:sz w:val="18"/>
          <w:szCs w:val="18"/>
          <w:color w:val="auto"/>
        </w:rPr>
        <w:t>Holders may convert their notes at any time on or after February 15, 2013. Before February 15, 2013, a holder may convert notes during the five-business day period immediately after any period of five consecutive trading days in which the trading price per note for each of such five days was less than 103% of the product of the last reported sale price of our Class A common stock and the conversion rate on such day.</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Additionally, holders may convert prior to February 15, 2013, if we elect to distribute to all or substantially all of our Class A shareholders (a) rights or warrants to purchase shares of Class A common stock for less than their trading value, or (b) assets, debt securities, or rights to purchase securities, which distribution has a per-share value exceeding 15% of the current trading value of the Class A common stock.</w:t>
      </w:r>
    </w:p>
    <w:p>
      <w:pPr>
        <w:spacing w:after="0" w:line="2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Converting holders are entitled to receive, upon conversion of their notes, (1) an amount in cash equal to the lesser of the principal amount of the note and the note’s conversion value, and (2) if the conversion value of the note exceeds the principal amount, shares of our Class A common stock in respect of the excess conversion value. The conversion rate of the notes (subject to adjustment upon the occurrence of certain events) is 23.2078 shares per $1,000 principal amount of notes (equivalent to a conversion price of $43.09 per share of Class A common stock). The exact amount payable upon conversion would be determined in accordance with the terms of the indenture pursuant to which the notes were issued and will be based on a daily conversion value calculated on a proportionate basis by reference to the volume-weighted average price of our Class A common stock for each day during a twenty-five day period relating to the conversion.</w:t>
      </w:r>
    </w:p>
    <w:p>
      <w:pPr>
        <w:spacing w:after="0" w:line="20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notes are not redeemable before March 15, 2013. On or after March 15, 2013, we may, at our option, redeem for cash all or part of the notes for a price equal to 100% of the principal amount of the notes to be purchased, plus any accrued and unpaid interest, including any additional interest, up to but excluding the redemption date.</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each of March 15, 2013, and March 15, 2021, holders may require that we purchase all or a portion of their notes at a purchase price equal to 100% of the principal amount of the notes to be purchased, plus any accrued and unpaid interest, including any additional interest, up to but excluding the purchase date. Holders also have the right to require that we repurchase notes upon the occurrence of certain fundamental events, including, without limitation, (1) a person or group, other than the Standish family, becoming beneficial owner of shares of common stock carrying more than 50% of the voting power of our common stock, (2) consummation of an exchange offer, tender offer, or similar event whereby our Class A common stock is converted into cash, securities, or other property, or any sale, lease, or other transfer of all or substantially all of our consolidated assets, (3) approval by our stockholders of a plan or proposal of liquidation or dissolution, or (4) the delisting of our Class A common stock under certain circumstances.</w:t>
      </w:r>
    </w:p>
    <w:p>
      <w:pPr>
        <w:spacing w:after="0" w:line="20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 connection with the sale of the notes, we entered into hedge and warrant transactions with respect to our Class A common stock. These transactions are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the hedge transactions, if we deliver notice to the counterparties of any conversion of the notes on or prior to March 15, 2013, the counterparties are in the aggregate obligated to deliver to the Company the number of shares of Class A common stock that we are obligated to deliver to the holders of the notes with respect to such conversion, exclusive of any shares deliverable by the Company by reason of any additional (or “make whole”) premium relating to the notes or by reason of any election by the Company to unilaterally increase the conversion rate. The note hedge and warrant transactions had a net cost of $14.7 million. Pursuant to the warrant transactions, we sold a total of 4.1 million warrants, each exercisable to buy a single share of Class A common stock at an initial strike price of $52.25 per share. The warrants are American-style warrants (exercisable at any time), and expire over a period of sixty trading days beginning on September 15, 2013. If the warrants are exercised when they expire, we may choose either net cash or net share settlement. If the warrants are exercised before they expire, they must be net share settled. If we elect to net cash settle the warrants, we will pay cash in an amount equal to, for each exercise of warrants, (i) the number of warrants exercised multiplied by (ii) the excess of the volume weighted average price of the our Class A common stock on the expiration date of such warrants (the “settlement price”) over the strike price. Under net share settlement, we will deliver to the warrant holders a number of shares of our Class A common stock equal to, for each exercise of warrants, the amount payable upon net cash settlement divided by the settlement price.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8" w:name="page19"/>
    <w:bookmarkEnd w:id="18"/>
    <w:p>
      <w:pPr>
        <w:ind w:right="120"/>
        <w:spacing w:after="0" w:line="275" w:lineRule="auto"/>
        <w:rPr>
          <w:sz w:val="20"/>
          <w:szCs w:val="20"/>
          <w:color w:val="auto"/>
        </w:rPr>
      </w:pPr>
      <w:r>
        <w:rPr>
          <w:rFonts w:ascii="Arial" w:cs="Arial" w:eastAsia="Arial" w:hAnsi="Arial"/>
          <w:sz w:val="17"/>
          <w:szCs w:val="17"/>
          <w:color w:val="auto"/>
        </w:rPr>
        <w:t>As of September 30, 2012, the carrying amounts of the debt and equity components of our bifurcated convertible debt instrument were $28.1 million and $25.5 million, respectively. The equity component is included in additional paid-in capital in the equity section of the balance sheet.</w:t>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convertible feature of the notes, the convertible note hedge, and the warrant transactions each meet the requirements of the applicable accounting guidance to be accounted for as equity instruments. As such, the convertible feature of the notes has not been accounted for as a derivative (which would be marked to market each reporting period) and in the event the debt is converted, no gain or loss is recognized, as the cash payment of principal reduces the recorded liability and the issuance of common shares would be recorded in stockholders’ equity.</w:t>
      </w:r>
    </w:p>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the amount paid for the call option and the premium received for the warrant were recorded as additional paid-in capital in the accompanying Consolidated Balance Sheets and are not accounted for as derivatives (which would be marked to market each reporting period). Incremental net shares for the convertible note feature and the warrant agreement will be included in future diluted earnings per share calculations for those periods in which our average common stock price exceeds $ 43.09 per share in the case of the Senior Notes and $49.20 per share in the case of the warrants. The purchased call option is antidilutive and is excluded from the diluted earnings per share calculation.</w:t>
      </w:r>
    </w:p>
    <w:p>
      <w:pPr>
        <w:spacing w:after="0" w:line="19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Indebtedness under the note and guaranty agreement, the convertible notes, and the credit agreement is ranked equally in right of payment to all unsecured senior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as of September 30, 2012.</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Fair Value Measurements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The hierarchy is broken down into three general levels: Level 1 inputs are quoted prices in active markets for identical assets or liabilities; Level 2 inputs include data points that are observable, such as quoted prices for similar assets or liabilities in active markets, quoted prices for identical assets or similar assets or liabilities in markets that are not active, and inputs (other than quoted prices) such as interest rates and yield curves that are observable for the asset and liability, either directly or indirectly; Level 3 inputs are unobservable data points for the asset or liability, and include situations in which there is little, if any, market activity for the asset or liability.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fair-value hierarchy for our financial assets and liabilities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310"/>
              <w:spacing w:after="0" w:line="194" w:lineRule="exact"/>
              <w:rPr>
                <w:sz w:val="20"/>
                <w:szCs w:val="20"/>
                <w:color w:val="auto"/>
              </w:rPr>
            </w:pPr>
            <w:r>
              <w:rPr>
                <w:rFonts w:ascii="Arial" w:cs="Arial" w:eastAsia="Arial" w:hAnsi="Arial"/>
                <w:sz w:val="18"/>
                <w:szCs w:val="18"/>
                <w:b w:val="1"/>
                <w:bCs w:val="1"/>
                <w:color w:val="auto"/>
                <w:w w:val="99"/>
              </w:rPr>
              <w:t>Quoted prices in</w:t>
            </w:r>
          </w:p>
        </w:tc>
        <w:tc>
          <w:tcPr>
            <w:tcW w:w="2240" w:type="dxa"/>
            <w:vAlign w:val="bottom"/>
            <w:tcBorders>
              <w:top w:val="single" w:sz="8" w:color="auto"/>
            </w:tcBorders>
            <w:gridSpan w:val="2"/>
          </w:tcPr>
          <w:p>
            <w:pPr>
              <w:jc w:val="center"/>
              <w:ind w:right="90"/>
              <w:spacing w:after="0" w:line="194" w:lineRule="exact"/>
              <w:rPr>
                <w:sz w:val="20"/>
                <w:szCs w:val="20"/>
                <w:color w:val="auto"/>
              </w:rPr>
            </w:pPr>
            <w:r>
              <w:rPr>
                <w:rFonts w:ascii="Arial" w:cs="Arial" w:eastAsia="Arial" w:hAnsi="Arial"/>
                <w:sz w:val="18"/>
                <w:szCs w:val="18"/>
                <w:b w:val="1"/>
                <w:bCs w:val="1"/>
                <w:color w:val="auto"/>
                <w:w w:val="99"/>
              </w:rPr>
              <w:t>Significant 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3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Total fair</w:t>
            </w:r>
          </w:p>
        </w:tc>
        <w:tc>
          <w:tcPr>
            <w:tcW w:w="230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26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value</w:t>
            </w:r>
          </w:p>
        </w:tc>
        <w:tc>
          <w:tcPr>
            <w:tcW w:w="23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8"/>
              </w:rPr>
              <w:t>(Level 1)</w:t>
            </w:r>
          </w:p>
        </w:tc>
        <w:tc>
          <w:tcPr>
            <w:tcW w:w="15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rPr>
              <w:t>(Level 2)</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54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 at September 30, 2012</w:t>
            </w:r>
          </w:p>
        </w:tc>
        <w:tc>
          <w:tcPr>
            <w:tcW w:w="23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$41,656</w:t>
            </w: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160"/>
              <w:spacing w:after="0" w:line="181" w:lineRule="exact"/>
              <w:rPr>
                <w:sz w:val="20"/>
                <w:szCs w:val="20"/>
                <w:color w:val="auto"/>
              </w:rPr>
            </w:pPr>
            <w:r>
              <w:rPr>
                <w:rFonts w:ascii="Arial" w:cs="Arial" w:eastAsia="Arial" w:hAnsi="Arial"/>
                <w:sz w:val="18"/>
                <w:szCs w:val="18"/>
                <w:color w:val="auto"/>
              </w:rPr>
              <w:t>Cash equivalents</w:t>
            </w:r>
          </w:p>
        </w:tc>
        <w:tc>
          <w:tcPr>
            <w:tcW w:w="2340" w:type="dxa"/>
            <w:vAlign w:val="bottom"/>
            <w:vMerge w:val="continue"/>
          </w:tcPr>
          <w:p>
            <w:pPr>
              <w:spacing w:after="0"/>
              <w:rPr>
                <w:sz w:val="15"/>
                <w:szCs w:val="15"/>
                <w:color w:val="auto"/>
              </w:rPr>
            </w:pPr>
          </w:p>
        </w:tc>
        <w:tc>
          <w:tcPr>
            <w:tcW w:w="230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$41,656</w:t>
            </w:r>
          </w:p>
        </w:tc>
        <w:tc>
          <w:tcPr>
            <w:tcW w:w="1540" w:type="dxa"/>
            <w:vAlign w:val="bottom"/>
          </w:tcPr>
          <w:p>
            <w:pPr>
              <w:jc w:val="right"/>
              <w:ind w:right="7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Common stock of foreign public company</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591</w:t>
            </w:r>
          </w:p>
        </w:tc>
        <w:tc>
          <w:tcPr>
            <w:tcW w:w="23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591</w:t>
            </w:r>
          </w:p>
        </w:tc>
        <w:tc>
          <w:tcPr>
            <w:tcW w:w="154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160"/>
              <w:spacing w:after="0"/>
              <w:rPr>
                <w:sz w:val="20"/>
                <w:szCs w:val="20"/>
                <w:color w:val="auto"/>
              </w:rPr>
            </w:pPr>
            <w:r>
              <w:rPr>
                <w:rFonts w:ascii="Arial" w:cs="Arial" w:eastAsia="Arial" w:hAnsi="Arial"/>
                <w:sz w:val="18"/>
                <w:szCs w:val="18"/>
                <w:color w:val="auto"/>
              </w:rPr>
              <w:t>Foreign exchange contracts</w:t>
            </w:r>
          </w:p>
        </w:tc>
        <w:tc>
          <w:tcPr>
            <w:tcW w:w="2340" w:type="dxa"/>
            <w:vAlign w:val="bottom"/>
          </w:tcPr>
          <w:p>
            <w:pPr>
              <w:jc w:val="right"/>
              <w:ind w:right="210"/>
              <w:spacing w:after="0"/>
              <w:rPr>
                <w:sz w:val="20"/>
                <w:szCs w:val="20"/>
                <w:color w:val="auto"/>
              </w:rPr>
            </w:pPr>
            <w:r>
              <w:rPr>
                <w:rFonts w:ascii="Arial" w:cs="Arial" w:eastAsia="Arial" w:hAnsi="Arial"/>
                <w:sz w:val="18"/>
                <w:szCs w:val="18"/>
                <w:b w:val="1"/>
                <w:bCs w:val="1"/>
                <w:color w:val="auto"/>
              </w:rPr>
              <w:t>123</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(5,150)</w:t>
            </w: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2340" w:type="dxa"/>
            <w:vAlign w:val="bottom"/>
            <w:vMerge w:val="continue"/>
          </w:tcPr>
          <w:p>
            <w:pPr>
              <w:spacing w:after="0"/>
              <w:rPr>
                <w:sz w:val="18"/>
                <w:szCs w:val="18"/>
                <w:color w:val="auto"/>
              </w:rPr>
            </w:pP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4540" w:type="dxa"/>
            <w:vAlign w:val="bottom"/>
          </w:tcPr>
          <w:p>
            <w:pPr>
              <w:spacing w:after="0"/>
              <w:rPr>
                <w:sz w:val="20"/>
                <w:szCs w:val="20"/>
                <w:color w:val="auto"/>
              </w:rPr>
            </w:pPr>
            <w:r>
              <w:rPr>
                <w:rFonts w:ascii="Arial" w:cs="Arial" w:eastAsia="Arial" w:hAnsi="Arial"/>
                <w:sz w:val="18"/>
                <w:szCs w:val="18"/>
                <w:b w:val="1"/>
                <w:bCs w:val="1"/>
                <w:color w:val="auto"/>
              </w:rPr>
              <w:t>Fair Value at December 31, 2011</w:t>
            </w: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2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$30,287</w:t>
            </w:r>
          </w:p>
        </w:tc>
        <w:tc>
          <w:tcPr>
            <w:tcW w:w="2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$30,287</w:t>
            </w:r>
          </w:p>
        </w:tc>
        <w:tc>
          <w:tcPr>
            <w:tcW w:w="1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Common stock of foreign public company</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577</w:t>
            </w:r>
          </w:p>
        </w:tc>
        <w:tc>
          <w:tcPr>
            <w:tcW w:w="23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577</w:t>
            </w:r>
          </w:p>
        </w:tc>
        <w:tc>
          <w:tcPr>
            <w:tcW w:w="154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160"/>
              <w:spacing w:after="0" w:line="185" w:lineRule="exact"/>
              <w:rPr>
                <w:sz w:val="20"/>
                <w:szCs w:val="20"/>
                <w:color w:val="auto"/>
              </w:rPr>
            </w:pPr>
            <w:r>
              <w:rPr>
                <w:rFonts w:ascii="Arial" w:cs="Arial" w:eastAsia="Arial" w:hAnsi="Arial"/>
                <w:sz w:val="18"/>
                <w:szCs w:val="18"/>
                <w:color w:val="auto"/>
              </w:rPr>
              <w:t>Foreign exchange contracts</w:t>
            </w:r>
          </w:p>
        </w:tc>
        <w:tc>
          <w:tcPr>
            <w:tcW w:w="234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1</w:t>
            </w:r>
          </w:p>
        </w:tc>
        <w:tc>
          <w:tcPr>
            <w:tcW w:w="2300" w:type="dxa"/>
            <w:vAlign w:val="bottom"/>
          </w:tcPr>
          <w:p>
            <w:pPr>
              <w:jc w:val="right"/>
              <w:ind w:right="270"/>
              <w:spacing w:after="0" w:line="185" w:lineRule="exact"/>
              <w:rPr>
                <w:sz w:val="20"/>
                <w:szCs w:val="20"/>
                <w:color w:val="auto"/>
              </w:rPr>
            </w:pPr>
            <w:r>
              <w:rPr>
                <w:rFonts w:ascii="Arial" w:cs="Arial" w:eastAsia="Arial" w:hAnsi="Arial"/>
                <w:sz w:val="18"/>
                <w:szCs w:val="18"/>
                <w:color w:val="auto"/>
              </w:rPr>
              <w:t>-</w:t>
            </w:r>
          </w:p>
        </w:tc>
        <w:tc>
          <w:tcPr>
            <w:tcW w:w="154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2340" w:type="dxa"/>
            <w:vAlign w:val="bottom"/>
          </w:tcPr>
          <w:p>
            <w:pPr>
              <w:jc w:val="right"/>
              <w:ind w:right="150"/>
              <w:spacing w:after="0"/>
              <w:rPr>
                <w:sz w:val="20"/>
                <w:szCs w:val="20"/>
                <w:color w:val="auto"/>
              </w:rPr>
            </w:pPr>
            <w:r>
              <w:rPr>
                <w:rFonts w:ascii="Arial" w:cs="Arial" w:eastAsia="Arial" w:hAnsi="Arial"/>
                <w:sz w:val="18"/>
                <w:szCs w:val="18"/>
                <w:color w:val="auto"/>
              </w:rPr>
              <w:t>(4,251)</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2012, there were no transfers between levels 1, 2, and 3.</w:t>
      </w:r>
    </w:p>
    <w:p>
      <w:pPr>
        <w:spacing w:after="0" w:line="21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20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expense/(income), net. Gains for the nine months ended September 30, 2012 and 2011 were $0.0 million and $0.6 million.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0" w:name="page21"/>
    <w:bookmarkEnd w:id="20"/>
    <w:p>
      <w:pPr>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212"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Changes in exchange rates can result in revaluation gains and losses that are recorded in Selling, General, Technical, Product Engineering, and Research expenses or Other expense/income, net. Revaluation gains and losses occur when our business units have intercompany or third-party trade receivable or payable balances in a currency other than their local reporting (or functional) currency.</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order to mitigate foreign exchange volatility in the financial statements, we periodically enter into foreign currency financial instruments from time to time. There were no foreign currency financial instruments designated as hedging instruments at September 30, 2012.</w:t>
      </w:r>
    </w:p>
    <w:p>
      <w:pPr>
        <w:spacing w:after="0" w:line="1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described in Note 11 of the Notes to Consolidated Financial Statements, on July 16, 2010, we entered into a $390 million unsecured five-year revolving credit facility agreement. The applicable interest rate for borrowings under the agreement is LIBOR plus a spread, based on our leverage ratio at the time of borrowing. Interest rate changes on this variable rate debt cause changes in cash flows, and in order to mitigate this cash flow risk we have fixed a portion of the effective interest rate on part of the indebtedness drawn under the agreement by entering into interest rate hedging transactions on July 16, 2010. This interest rate swap locked in our interest rate on the forecasted outstanding borrowings of $105 million at 2.04% plus the credit spread on the debt for a five year period. The credit spread is based on the pricing grid, which can go as low as 2.0% or as high as 2.75%, based on our leverage ratio.</w:t>
      </w:r>
    </w:p>
    <w:p>
      <w:pPr>
        <w:spacing w:after="0" w:line="20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interest rate swap is accounted for as a hedge of future cash flows. The fair value of our interest rate swap is derived from a discounted cash flow analysis based on the terms of the contract and the interest rate curve, and is recorded in the Consolidated Balance Sheets as of September 30, 2012 as Other noncurrent liabilities of $5.1 million. Unrealized gains and losses on the swap will flow through the caption Derivative valuation adjustment in the Shareholders’ equity section of the Consolidated Balance Sheets, to the extent that the hedge is highly effective. Gains and losses related to the ineffective portion of the hedge will be recognized in the current period in earnings. Amounts accumulated in Other comprehensive income are reclassified as Interest expense, net when the related interest payments (that is, the hedged forecasted transactions) affect earnings. Interest expense related to the swap totaled $1.2 million and $1.4 million for the nine months ended September 30, 2012 and 2011, respectively.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Fair value amounts of derivative instruments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72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September 30,</w:t>
            </w:r>
          </w:p>
        </w:tc>
        <w:tc>
          <w:tcPr>
            <w:tcW w:w="164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68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9"/>
              </w:rPr>
              <w:t>Balance sheet caption</w:t>
            </w:r>
          </w:p>
        </w:tc>
        <w:tc>
          <w:tcPr>
            <w:tcW w:w="23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16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4740" w:type="dxa"/>
            <w:vAlign w:val="bottom"/>
            <w:gridSpan w:val="2"/>
          </w:tcPr>
          <w:p>
            <w:pPr>
              <w:spacing w:after="0"/>
              <w:rPr>
                <w:sz w:val="20"/>
                <w:szCs w:val="20"/>
                <w:color w:val="auto"/>
              </w:rPr>
            </w:pPr>
            <w:r>
              <w:rPr>
                <w:rFonts w:ascii="Arial" w:cs="Arial" w:eastAsia="Arial" w:hAnsi="Arial"/>
                <w:sz w:val="18"/>
                <w:szCs w:val="18"/>
                <w:color w:val="auto"/>
              </w:rPr>
              <w:t>Asset Derivatives</w:t>
            </w:r>
          </w:p>
        </w:tc>
        <w:tc>
          <w:tcPr>
            <w:tcW w:w="26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Derivatives not designated as hedging instruments:</w:t>
            </w:r>
          </w:p>
        </w:tc>
        <w:tc>
          <w:tcPr>
            <w:tcW w:w="2680" w:type="dxa"/>
            <w:vAlign w:val="bottom"/>
          </w:tcPr>
          <w:p>
            <w:pPr>
              <w:spacing w:after="0"/>
              <w:rPr>
                <w:sz w:val="17"/>
                <w:szCs w:val="17"/>
                <w:color w:val="auto"/>
              </w:rPr>
            </w:pPr>
          </w:p>
        </w:tc>
        <w:tc>
          <w:tcPr>
            <w:tcW w:w="23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$123</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Foreign exchange contracts</w:t>
            </w:r>
          </w:p>
        </w:tc>
        <w:tc>
          <w:tcPr>
            <w:tcW w:w="2680" w:type="dxa"/>
            <w:vAlign w:val="bottom"/>
            <w:tcBorders>
              <w:bottom w:val="single" w:sz="8" w:color="auto"/>
            </w:tcBorders>
          </w:tcPr>
          <w:p>
            <w:pPr>
              <w:jc w:val="center"/>
              <w:ind w:right="490"/>
              <w:spacing w:after="0" w:line="203" w:lineRule="exact"/>
              <w:rPr>
                <w:sz w:val="20"/>
                <w:szCs w:val="20"/>
                <w:color w:val="auto"/>
              </w:rPr>
            </w:pPr>
            <w:r>
              <w:rPr>
                <w:rFonts w:ascii="Arial" w:cs="Arial" w:eastAsia="Arial" w:hAnsi="Arial"/>
                <w:sz w:val="18"/>
                <w:szCs w:val="18"/>
                <w:color w:val="auto"/>
                <w:w w:val="99"/>
              </w:rPr>
              <w:t>Other assets</w:t>
            </w:r>
          </w:p>
        </w:tc>
        <w:tc>
          <w:tcPr>
            <w:tcW w:w="236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gridSpan w:val="2"/>
          </w:tcPr>
          <w:p>
            <w:pPr>
              <w:spacing w:after="0" w:line="196" w:lineRule="exact"/>
              <w:rPr>
                <w:sz w:val="20"/>
                <w:szCs w:val="20"/>
                <w:color w:val="auto"/>
              </w:rPr>
            </w:pPr>
            <w:r>
              <w:rPr>
                <w:rFonts w:ascii="Arial" w:cs="Arial" w:eastAsia="Arial" w:hAnsi="Arial"/>
                <w:sz w:val="18"/>
                <w:szCs w:val="18"/>
                <w:color w:val="auto"/>
              </w:rPr>
              <w:t>Total asset derivatives not designated as hedging instruments</w:t>
            </w:r>
          </w:p>
        </w:tc>
        <w:tc>
          <w:tcPr>
            <w:tcW w:w="23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$123</w:t>
            </w:r>
          </w:p>
        </w:tc>
        <w:tc>
          <w:tcPr>
            <w:tcW w:w="1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2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line="196" w:lineRule="exact"/>
              <w:rPr>
                <w:sz w:val="20"/>
                <w:szCs w:val="20"/>
                <w:color w:val="auto"/>
              </w:rPr>
            </w:pPr>
            <w:r>
              <w:rPr>
                <w:rFonts w:ascii="Arial" w:cs="Arial" w:eastAsia="Arial" w:hAnsi="Arial"/>
                <w:sz w:val="18"/>
                <w:szCs w:val="18"/>
                <w:color w:val="auto"/>
              </w:rPr>
              <w:t>Total asset derivatives</w:t>
            </w:r>
          </w:p>
        </w:tc>
        <w:tc>
          <w:tcPr>
            <w:tcW w:w="2680" w:type="dxa"/>
            <w:vAlign w:val="bottom"/>
          </w:tcPr>
          <w:p>
            <w:pPr>
              <w:spacing w:after="0"/>
              <w:rPr>
                <w:sz w:val="17"/>
                <w:szCs w:val="17"/>
                <w:color w:val="auto"/>
              </w:rPr>
            </w:pPr>
          </w:p>
        </w:tc>
        <w:tc>
          <w:tcPr>
            <w:tcW w:w="23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$123</w:t>
            </w:r>
          </w:p>
        </w:tc>
        <w:tc>
          <w:tcPr>
            <w:tcW w:w="1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00"/>
        </w:trPr>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Liability Derivatives</w:t>
            </w:r>
          </w:p>
        </w:tc>
        <w:tc>
          <w:tcPr>
            <w:tcW w:w="268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Derivatives designated as hedging instruments:</w:t>
            </w:r>
          </w:p>
        </w:tc>
        <w:tc>
          <w:tcPr>
            <w:tcW w:w="2680" w:type="dxa"/>
            <w:vAlign w:val="bottom"/>
          </w:tcPr>
          <w:p>
            <w:pPr>
              <w:spacing w:after="0"/>
              <w:rPr>
                <w:sz w:val="17"/>
                <w:szCs w:val="17"/>
                <w:color w:val="auto"/>
              </w:rPr>
            </w:pPr>
          </w:p>
        </w:tc>
        <w:tc>
          <w:tcPr>
            <w:tcW w:w="23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($5,150)</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Interest rate swap</w:t>
            </w:r>
          </w:p>
        </w:tc>
        <w:tc>
          <w:tcPr>
            <w:tcW w:w="2680" w:type="dxa"/>
            <w:vAlign w:val="bottom"/>
            <w:tcBorders>
              <w:bottom w:val="single" w:sz="8" w:color="auto"/>
            </w:tcBorders>
          </w:tcPr>
          <w:p>
            <w:pPr>
              <w:jc w:val="center"/>
              <w:ind w:right="510"/>
              <w:spacing w:after="0" w:line="203" w:lineRule="exact"/>
              <w:rPr>
                <w:sz w:val="20"/>
                <w:szCs w:val="20"/>
                <w:color w:val="auto"/>
              </w:rPr>
            </w:pPr>
            <w:r>
              <w:rPr>
                <w:rFonts w:ascii="Arial" w:cs="Arial" w:eastAsia="Arial" w:hAnsi="Arial"/>
                <w:sz w:val="18"/>
                <w:szCs w:val="18"/>
                <w:color w:val="auto"/>
                <w:w w:val="99"/>
              </w:rPr>
              <w:t>Other noncurrent liabilities</w:t>
            </w:r>
          </w:p>
        </w:tc>
        <w:tc>
          <w:tcPr>
            <w:tcW w:w="236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Total liability derivatives designated as hedging instruments</w:t>
            </w:r>
          </w:p>
        </w:tc>
        <w:tc>
          <w:tcPr>
            <w:tcW w:w="26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($5,150)</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line="196" w:lineRule="exact"/>
              <w:rPr>
                <w:sz w:val="20"/>
                <w:szCs w:val="20"/>
                <w:color w:val="auto"/>
              </w:rPr>
            </w:pPr>
            <w:r>
              <w:rPr>
                <w:rFonts w:ascii="Arial" w:cs="Arial" w:eastAsia="Arial" w:hAnsi="Arial"/>
                <w:sz w:val="18"/>
                <w:szCs w:val="18"/>
                <w:color w:val="auto"/>
              </w:rPr>
              <w:t>Total liability derivatives</w:t>
            </w:r>
          </w:p>
        </w:tc>
        <w:tc>
          <w:tcPr>
            <w:tcW w:w="2680" w:type="dxa"/>
            <w:vAlign w:val="bottom"/>
          </w:tcPr>
          <w:p>
            <w:pPr>
              <w:spacing w:after="0"/>
              <w:rPr>
                <w:sz w:val="17"/>
                <w:szCs w:val="17"/>
                <w:color w:val="auto"/>
              </w:rPr>
            </w:pPr>
          </w:p>
        </w:tc>
        <w:tc>
          <w:tcPr>
            <w:tcW w:w="23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($5,150)</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($4,251)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2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derivatives</w:t>
            </w:r>
          </w:p>
        </w:tc>
        <w:tc>
          <w:tcPr>
            <w:tcW w:w="26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($5,027)</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Gains/(losses) on changes in fair value of derivative instruments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Three months ended</w:t>
            </w:r>
          </w:p>
        </w:tc>
        <w:tc>
          <w:tcPr>
            <w:tcW w:w="23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460" w:type="dxa"/>
            <w:vAlign w:val="bottom"/>
          </w:tcPr>
          <w:p>
            <w:pPr>
              <w:spacing w:after="0"/>
              <w:rPr>
                <w:sz w:val="15"/>
                <w:szCs w:val="15"/>
                <w:color w:val="auto"/>
              </w:rPr>
            </w:pPr>
          </w:p>
        </w:tc>
        <w:tc>
          <w:tcPr>
            <w:tcW w:w="3660" w:type="dxa"/>
            <w:vAlign w:val="bottom"/>
            <w:gridSpan w:val="2"/>
          </w:tcPr>
          <w:p>
            <w:pPr>
              <w:jc w:val="right"/>
              <w:ind w:right="750"/>
              <w:spacing w:after="0" w:line="181" w:lineRule="exact"/>
              <w:rPr>
                <w:sz w:val="20"/>
                <w:szCs w:val="20"/>
                <w:color w:val="auto"/>
              </w:rPr>
            </w:pPr>
            <w:r>
              <w:rPr>
                <w:rFonts w:ascii="Arial" w:cs="Arial" w:eastAsia="Arial" w:hAnsi="Arial"/>
                <w:sz w:val="18"/>
                <w:szCs w:val="18"/>
                <w:color w:val="auto"/>
              </w:rPr>
              <w:t>September 30,</w:t>
            </w:r>
          </w:p>
        </w:tc>
        <w:tc>
          <w:tcPr>
            <w:tcW w:w="2320" w:type="dxa"/>
            <w:vAlign w:val="bottom"/>
            <w:gridSpan w:val="3"/>
          </w:tcPr>
          <w:p>
            <w:pPr>
              <w:jc w:val="right"/>
              <w:ind w:right="660"/>
              <w:spacing w:after="0" w:line="181"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460" w:type="dxa"/>
            <w:vAlign w:val="bottom"/>
          </w:tcPr>
          <w:p>
            <w:pPr>
              <w:spacing w:after="0"/>
              <w:rPr>
                <w:sz w:val="20"/>
                <w:szCs w:val="20"/>
                <w:color w:val="auto"/>
              </w:rPr>
            </w:pPr>
            <w:r>
              <w:rPr>
                <w:rFonts w:ascii="Arial" w:cs="Arial" w:eastAsia="Arial" w:hAnsi="Arial"/>
                <w:sz w:val="18"/>
                <w:szCs w:val="18"/>
                <w:color w:val="auto"/>
              </w:rPr>
              <w:t>Derivatives designated as hedging instruments</w:t>
            </w:r>
          </w:p>
        </w:tc>
        <w:tc>
          <w:tcPr>
            <w:tcW w:w="23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$144</w:t>
            </w:r>
          </w:p>
        </w:tc>
        <w:tc>
          <w:tcPr>
            <w:tcW w:w="1360" w:type="dxa"/>
            <w:vAlign w:val="bottom"/>
          </w:tcPr>
          <w:p>
            <w:pPr>
              <w:spacing w:after="0"/>
              <w:rPr>
                <w:sz w:val="24"/>
                <w:szCs w:val="24"/>
                <w:color w:val="auto"/>
              </w:rPr>
            </w:pPr>
          </w:p>
        </w:tc>
        <w:tc>
          <w:tcPr>
            <w:tcW w:w="11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$548</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1</w:t>
            </w:r>
          </w:p>
        </w:tc>
        <w:tc>
          <w:tcPr>
            <w:tcW w:w="2300" w:type="dxa"/>
            <w:vAlign w:val="bottom"/>
            <w:vMerge w:val="continue"/>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($1,535)</w:t>
            </w:r>
          </w:p>
        </w:tc>
        <w:tc>
          <w:tcPr>
            <w:tcW w:w="1160" w:type="dxa"/>
            <w:vAlign w:val="bottom"/>
            <w:vMerge w:val="continue"/>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(71)</w:t>
            </w:r>
          </w:p>
        </w:tc>
        <w:tc>
          <w:tcPr>
            <w:tcW w:w="1360" w:type="dxa"/>
            <w:vAlign w:val="bottom"/>
          </w:tcPr>
          <w:p>
            <w:pPr>
              <w:spacing w:after="0"/>
              <w:rPr>
                <w:sz w:val="18"/>
                <w:szCs w:val="18"/>
                <w:color w:val="auto"/>
              </w:rPr>
            </w:pPr>
          </w:p>
        </w:tc>
        <w:tc>
          <w:tcPr>
            <w:tcW w:w="11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47</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60" w:type="dxa"/>
            <w:vAlign w:val="bottom"/>
          </w:tcPr>
          <w:p>
            <w:pPr>
              <w:ind w:left="100"/>
              <w:spacing w:after="0" w:line="208" w:lineRule="exact"/>
              <w:rPr>
                <w:sz w:val="20"/>
                <w:szCs w:val="20"/>
                <w:color w:val="auto"/>
              </w:rPr>
            </w:pPr>
            <w:r>
              <w:rPr>
                <w:rFonts w:ascii="Arial" w:cs="Arial" w:eastAsia="Arial" w:hAnsi="Arial"/>
                <w:sz w:val="18"/>
                <w:szCs w:val="18"/>
                <w:color w:val="auto"/>
              </w:rPr>
              <w:t xml:space="preserve">Foreign exchange options </w:t>
            </w:r>
            <w:r>
              <w:rPr>
                <w:rFonts w:ascii="Arial" w:cs="Arial" w:eastAsia="Arial" w:hAnsi="Arial"/>
                <w:sz w:val="23"/>
                <w:szCs w:val="23"/>
                <w:color w:val="auto"/>
                <w:vertAlign w:val="superscript"/>
              </w:rPr>
              <w:t>2</w:t>
            </w:r>
          </w:p>
        </w:tc>
        <w:tc>
          <w:tcPr>
            <w:tcW w:w="2300" w:type="dxa"/>
            <w:vAlign w:val="bottom"/>
            <w:vMerge w:val="continue"/>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(469)</w:t>
            </w:r>
          </w:p>
        </w:tc>
        <w:tc>
          <w:tcPr>
            <w:tcW w:w="1160" w:type="dxa"/>
            <w:vAlign w:val="bottom"/>
            <w:vMerge w:val="continue"/>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330"/>
        </w:trPr>
        <w:tc>
          <w:tcPr>
            <w:tcW w:w="5460" w:type="dxa"/>
            <w:vAlign w:val="bottom"/>
          </w:tcPr>
          <w:p>
            <w:pPr>
              <w:ind w:left="100"/>
              <w:spacing w:after="0"/>
              <w:rPr>
                <w:sz w:val="20"/>
                <w:szCs w:val="20"/>
                <w:color w:val="auto"/>
              </w:rPr>
            </w:pPr>
            <w:r>
              <w:rPr>
                <w:rFonts w:ascii="Arial" w:cs="Arial" w:eastAsia="Arial" w:hAnsi="Arial"/>
                <w:sz w:val="18"/>
                <w:szCs w:val="18"/>
                <w:color w:val="auto"/>
              </w:rPr>
              <w:t xml:space="preserve">Foreign exchange contracts </w:t>
            </w:r>
            <w:r>
              <w:rPr>
                <w:rFonts w:ascii="Arial" w:cs="Arial" w:eastAsia="Arial" w:hAnsi="Arial"/>
                <w:sz w:val="23"/>
                <w:szCs w:val="23"/>
                <w:color w:val="auto"/>
                <w:vertAlign w:val="superscript"/>
              </w:rPr>
              <w:t>2</w:t>
            </w:r>
          </w:p>
        </w:tc>
        <w:tc>
          <w:tcPr>
            <w:tcW w:w="2300" w:type="dxa"/>
            <w:vAlign w:val="bottom"/>
          </w:tcPr>
          <w:p>
            <w:pPr>
              <w:jc w:val="right"/>
              <w:ind w:right="370"/>
              <w:spacing w:after="0"/>
              <w:rPr>
                <w:sz w:val="20"/>
                <w:szCs w:val="20"/>
                <w:color w:val="auto"/>
              </w:rPr>
            </w:pPr>
            <w:r>
              <w:rPr>
                <w:rFonts w:ascii="Arial" w:cs="Arial" w:eastAsia="Arial" w:hAnsi="Arial"/>
                <w:sz w:val="18"/>
                <w:szCs w:val="18"/>
                <w:b w:val="1"/>
                <w:bCs w:val="1"/>
                <w:color w:val="auto"/>
              </w:rPr>
              <w:t>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(382)</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80" w:right="160" w:hanging="175"/>
        <w:spacing w:after="0" w:line="24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Unrealized losses are recognized in Other comprehensive income, net of tax. This derivative was an effective hedge of interest rate cash flow risk for the nine months ended September 30, 2012.</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 (Losses)/gains are recognized in Other expense, net.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were defending 4,443 claims as of October 17, 2012.</w:t>
      </w:r>
    </w:p>
    <w:p>
      <w:pPr>
        <w:spacing w:after="0" w:line="18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76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i w:val="1"/>
                <w:iCs w:val="1"/>
                <w:color w:val="auto"/>
              </w:rPr>
              <w:t>Year ended</w:t>
            </w:r>
          </w:p>
        </w:tc>
        <w:tc>
          <w:tcPr>
            <w:tcW w:w="1960" w:type="dxa"/>
            <w:vAlign w:val="bottom"/>
            <w:tcBorders>
              <w:top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i w:val="1"/>
                <w:iCs w:val="1"/>
                <w:color w:val="auto"/>
              </w:rPr>
              <w:t>Opening Number</w:t>
            </w:r>
          </w:p>
        </w:tc>
        <w:tc>
          <w:tcPr>
            <w:tcW w:w="2160" w:type="dxa"/>
            <w:vAlign w:val="bottom"/>
            <w:tcBorders>
              <w:top w:val="single" w:sz="8" w:color="auto"/>
              <w:right w:val="single" w:sz="8" w:color="auto"/>
            </w:tcBorders>
            <w:vMerge w:val="restart"/>
          </w:tcPr>
          <w:p>
            <w:pPr>
              <w:jc w:val="right"/>
              <w:ind w:right="350"/>
              <w:spacing w:after="0"/>
              <w:rPr>
                <w:sz w:val="20"/>
                <w:szCs w:val="20"/>
                <w:color w:val="auto"/>
              </w:rPr>
            </w:pPr>
            <w:r>
              <w:rPr>
                <w:rFonts w:ascii="Arial" w:cs="Arial" w:eastAsia="Arial" w:hAnsi="Arial"/>
                <w:sz w:val="18"/>
                <w:szCs w:val="18"/>
                <w:i w:val="1"/>
                <w:iCs w:val="1"/>
                <w:color w:val="auto"/>
              </w:rPr>
              <w:t>Claims Dismissed,</w:t>
            </w:r>
          </w:p>
        </w:tc>
        <w:tc>
          <w:tcPr>
            <w:tcW w:w="134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i w:val="1"/>
                <w:iCs w:val="1"/>
                <w:color w:val="auto"/>
              </w:rPr>
              <w:t>Closing Number</w:t>
            </w:r>
          </w:p>
        </w:tc>
        <w:tc>
          <w:tcPr>
            <w:tcW w:w="23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i w:val="1"/>
                <w:iCs w:val="1"/>
                <w:color w:val="auto"/>
              </w:rPr>
              <w:t>Amounts Paid</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i w:val="1"/>
                <w:iCs w:val="1"/>
                <w:color w:val="auto"/>
              </w:rPr>
              <w:t>New Claims</w:t>
            </w:r>
          </w:p>
        </w:tc>
        <w:tc>
          <w:tcPr>
            <w:tcW w:w="1880" w:type="dxa"/>
            <w:vAlign w:val="bottom"/>
            <w:tcBorders>
              <w:right w:val="single" w:sz="8" w:color="auto"/>
            </w:tcBorders>
            <w:vMerge w:val="continue"/>
          </w:tcPr>
          <w:p>
            <w:pPr>
              <w:spacing w:after="0"/>
              <w:rPr>
                <w:sz w:val="9"/>
                <w:szCs w:val="9"/>
                <w:color w:val="auto"/>
              </w:rPr>
            </w:pPr>
          </w:p>
        </w:tc>
        <w:tc>
          <w:tcPr>
            <w:tcW w:w="23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i w:val="1"/>
                <w:iCs w:val="1"/>
                <w:color w:val="auto"/>
              </w:rPr>
              <w:t>(thousands) to Settle</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i w:val="1"/>
                <w:iCs w:val="1"/>
                <w:color w:val="auto"/>
              </w:rPr>
              <w:t>December 31,</w:t>
            </w:r>
          </w:p>
        </w:tc>
        <w:tc>
          <w:tcPr>
            <w:tcW w:w="1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i w:val="1"/>
                <w:iCs w:val="1"/>
                <w:color w:val="auto"/>
              </w:rPr>
              <w:t>of Claims</w:t>
            </w:r>
          </w:p>
        </w:tc>
        <w:tc>
          <w:tcPr>
            <w:tcW w:w="21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i w:val="1"/>
                <w:iCs w:val="1"/>
                <w:color w:val="auto"/>
              </w:rPr>
              <w:t>Settled, or Resolved</w:t>
            </w:r>
          </w:p>
        </w:tc>
        <w:tc>
          <w:tcPr>
            <w:tcW w:w="13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i w:val="1"/>
                <w:iCs w:val="1"/>
                <w:color w:val="auto"/>
              </w:rPr>
              <w:t>of Claims</w:t>
            </w:r>
          </w:p>
        </w:tc>
        <w:tc>
          <w:tcPr>
            <w:tcW w:w="2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60" w:type="dxa"/>
            <w:vAlign w:val="bottom"/>
            <w:tcBorders>
              <w:left w:val="single" w:sz="8" w:color="auto"/>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jc w:val="right"/>
              <w:ind w:right="570"/>
              <w:spacing w:after="0"/>
              <w:rPr>
                <w:sz w:val="20"/>
                <w:szCs w:val="20"/>
                <w:color w:val="auto"/>
              </w:rPr>
            </w:pPr>
            <w:r>
              <w:rPr>
                <w:rFonts w:ascii="Arial" w:cs="Arial" w:eastAsia="Arial" w:hAnsi="Arial"/>
                <w:sz w:val="18"/>
                <w:szCs w:val="18"/>
                <w:i w:val="1"/>
                <w:iCs w:val="1"/>
                <w:color w:val="auto"/>
              </w:rPr>
              <w:t>or Resolve ($)</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2005</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29,411</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6,257</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1,297</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24,451</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2006</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24,451</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6,841</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1,806</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19,416</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3,879</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2007</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19,416</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808</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190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18,798</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2008</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18,798</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523</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18,385</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2009</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18,385</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9,482</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42</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8,945</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2010</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8,945</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3,963</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188</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5,170</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2011</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5,170</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789</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65</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4,446</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1,111</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2012 to date</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4,446</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73</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4,443</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530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Exposure and disease information sufficient meaningfully to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7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October 17, 2012, we had resolved, by means of settlement or dismissal, 36,353 claims. The total cost of resolving all claims was $8,646,000. Of this amount, almost 100% was paid by our insurance carrier. The Company has over $ 125 million in confirmed insurance coverage that should be available with respect to current and future asbestos claims, as well as additional insurance coverage that we should be able to access.</w:t>
      </w:r>
    </w:p>
    <w:p>
      <w:pPr>
        <w:spacing w:after="0" w:line="165"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7,873 claims as of October 17, 2012.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3" w:name="page24"/>
    <w:bookmarkEnd w:id="23"/>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76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i w:val="1"/>
                <w:iCs w:val="1"/>
                <w:color w:val="auto"/>
              </w:rPr>
              <w:t>Year ended</w:t>
            </w:r>
          </w:p>
        </w:tc>
        <w:tc>
          <w:tcPr>
            <w:tcW w:w="1960" w:type="dxa"/>
            <w:vAlign w:val="bottom"/>
            <w:tcBorders>
              <w:top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i w:val="1"/>
                <w:iCs w:val="1"/>
                <w:color w:val="auto"/>
              </w:rPr>
              <w:t>Opening Number</w:t>
            </w:r>
          </w:p>
        </w:tc>
        <w:tc>
          <w:tcPr>
            <w:tcW w:w="2160" w:type="dxa"/>
            <w:vAlign w:val="bottom"/>
            <w:tcBorders>
              <w:top w:val="single" w:sz="8" w:color="auto"/>
              <w:right w:val="single" w:sz="8" w:color="auto"/>
            </w:tcBorders>
            <w:vMerge w:val="restart"/>
          </w:tcPr>
          <w:p>
            <w:pPr>
              <w:jc w:val="right"/>
              <w:ind w:right="350"/>
              <w:spacing w:after="0"/>
              <w:rPr>
                <w:sz w:val="20"/>
                <w:szCs w:val="20"/>
                <w:color w:val="auto"/>
              </w:rPr>
            </w:pPr>
            <w:r>
              <w:rPr>
                <w:rFonts w:ascii="Arial" w:cs="Arial" w:eastAsia="Arial" w:hAnsi="Arial"/>
                <w:sz w:val="18"/>
                <w:szCs w:val="18"/>
                <w:i w:val="1"/>
                <w:iCs w:val="1"/>
                <w:color w:val="auto"/>
              </w:rPr>
              <w:t>Claims Dismissed,</w:t>
            </w:r>
          </w:p>
        </w:tc>
        <w:tc>
          <w:tcPr>
            <w:tcW w:w="134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i w:val="1"/>
                <w:iCs w:val="1"/>
                <w:color w:val="auto"/>
              </w:rPr>
              <w:t>Closing Number</w:t>
            </w:r>
          </w:p>
        </w:tc>
        <w:tc>
          <w:tcPr>
            <w:tcW w:w="23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i w:val="1"/>
                <w:iCs w:val="1"/>
                <w:color w:val="auto"/>
              </w:rPr>
              <w:t>Amounts Paid</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i w:val="1"/>
                <w:iCs w:val="1"/>
                <w:color w:val="auto"/>
              </w:rPr>
              <w:t>New Claims</w:t>
            </w:r>
          </w:p>
        </w:tc>
        <w:tc>
          <w:tcPr>
            <w:tcW w:w="1880" w:type="dxa"/>
            <w:vAlign w:val="bottom"/>
            <w:tcBorders>
              <w:right w:val="single" w:sz="8" w:color="auto"/>
            </w:tcBorders>
            <w:vMerge w:val="continue"/>
          </w:tcPr>
          <w:p>
            <w:pPr>
              <w:spacing w:after="0"/>
              <w:rPr>
                <w:sz w:val="9"/>
                <w:szCs w:val="9"/>
                <w:color w:val="auto"/>
              </w:rPr>
            </w:pPr>
          </w:p>
        </w:tc>
        <w:tc>
          <w:tcPr>
            <w:tcW w:w="23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i w:val="1"/>
                <w:iCs w:val="1"/>
                <w:color w:val="auto"/>
              </w:rPr>
              <w:t>(thousands) to Settle</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i w:val="1"/>
                <w:iCs w:val="1"/>
                <w:color w:val="auto"/>
              </w:rPr>
              <w:t>December 31,</w:t>
            </w:r>
          </w:p>
        </w:tc>
        <w:tc>
          <w:tcPr>
            <w:tcW w:w="1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i w:val="1"/>
                <w:iCs w:val="1"/>
                <w:color w:val="auto"/>
              </w:rPr>
              <w:t>of Claims</w:t>
            </w:r>
          </w:p>
        </w:tc>
        <w:tc>
          <w:tcPr>
            <w:tcW w:w="21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i w:val="1"/>
                <w:iCs w:val="1"/>
                <w:color w:val="auto"/>
              </w:rPr>
              <w:t>Settled, or Resolved</w:t>
            </w:r>
          </w:p>
        </w:tc>
        <w:tc>
          <w:tcPr>
            <w:tcW w:w="13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i w:val="1"/>
                <w:iCs w:val="1"/>
                <w:color w:val="auto"/>
              </w:rPr>
              <w:t>of Claims</w:t>
            </w:r>
          </w:p>
        </w:tc>
        <w:tc>
          <w:tcPr>
            <w:tcW w:w="2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60" w:type="dxa"/>
            <w:vAlign w:val="bottom"/>
            <w:tcBorders>
              <w:left w:val="single" w:sz="8" w:color="auto"/>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jc w:val="right"/>
              <w:ind w:right="570"/>
              <w:spacing w:after="0"/>
              <w:rPr>
                <w:sz w:val="20"/>
                <w:szCs w:val="20"/>
                <w:color w:val="auto"/>
              </w:rPr>
            </w:pPr>
            <w:r>
              <w:rPr>
                <w:rFonts w:ascii="Arial" w:cs="Arial" w:eastAsia="Arial" w:hAnsi="Arial"/>
                <w:sz w:val="18"/>
                <w:szCs w:val="18"/>
                <w:i w:val="1"/>
                <w:iCs w:val="1"/>
                <w:color w:val="auto"/>
              </w:rPr>
              <w:t>or Resolve ($)</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2005</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9,985</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642</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223</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9,566</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2006</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9,566</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1,182</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730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9,114</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2007</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9,114</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462</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88</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8,740</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2008</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8,740</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86</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8,664</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2009</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8,664</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760</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7,907</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2010</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7,907</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47</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7,869</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2011</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7,869</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7,877</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i w:val="1"/>
                <w:iCs w:val="1"/>
                <w:color w:val="auto"/>
              </w:rPr>
              <w:t>2012 to date</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7,877</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7,873</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October 17, 2012, Brandon has resolved, by means of settlement or dismissal, 9,727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7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6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NAFTA Audits</w:t>
      </w:r>
    </w:p>
    <w:p>
      <w:pPr>
        <w:spacing w:after="0" w:line="200" w:lineRule="exact"/>
        <w:rPr>
          <w:sz w:val="20"/>
          <w:szCs w:val="20"/>
          <w:color w:val="auto"/>
        </w:rPr>
      </w:pPr>
    </w:p>
    <w:p>
      <w:pPr>
        <w:spacing w:after="0" w:line="23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17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December 2011, while these appeals were pending, SAT revoked its earlier declarations of invalidation with respect to the certificates of origin at issue in 28 of the 36 open audits, and ordered a further review of such certificates. To date, the Company has been informed by SAT that it has completed its review of 19 of the 28 audits, concluded that the certificates of origin in 19 of those 28 audits were valid, and that the shipments identified in those 19 audits entitled to NAFTA’s duty-free treatment. SAT is continuing to review the certificates of origin in the remaining 9 open audits where the original declaration was revoked. SAT is also still considering the Company’s appeal with regard to the 8 open audits where the original declaration invalidating the certificates of origin have not yet been revoked.</w:t>
      </w:r>
    </w:p>
    <w:p>
      <w:pPr>
        <w:spacing w:after="0" w:line="16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Based on discussions with SAT, the Company currently expects that it will be given an opportunity to present evidence to SAT officials to establish the origin for NAFTA purposes of all of the shipments covered by the above-described audits still under review, and that it will be able to establish that a very high percentage of the shipments at issue were entitled to NAFTA treatment. For the small percentage of shipments for which the Company may not be able to establish qualification for duty-free treatment under NAFTA, the Company may be required to pay duties and penalties. The Company currently does not expect any such amounts to be material.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14. Changes in Stockholders’ Equity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Stockholders’ Equity: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9"/>
              </w:rPr>
              <w:t>Class A</w:t>
            </w:r>
          </w:p>
        </w:tc>
        <w:tc>
          <w:tcPr>
            <w:tcW w:w="112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9"/>
              </w:rPr>
              <w:t>Class B</w:t>
            </w:r>
          </w:p>
        </w:tc>
        <w:tc>
          <w:tcPr>
            <w:tcW w:w="1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Accumulated</w:t>
            </w:r>
          </w:p>
        </w:tc>
        <w:tc>
          <w:tcPr>
            <w:tcW w:w="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Total</w:t>
            </w:r>
          </w:p>
        </w:tc>
        <w:tc>
          <w:tcPr>
            <w:tcW w:w="4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Additional paid</w:t>
            </w: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Retained</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items of other</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Treasury</w:t>
            </w:r>
          </w:p>
        </w:tc>
        <w:tc>
          <w:tcPr>
            <w:tcW w:w="1120" w:type="dxa"/>
            <w:vAlign w:val="bottom"/>
            <w:vMerge w:val="continue"/>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spacing w:after="0" w:line="163" w:lineRule="exact"/>
              <w:rPr>
                <w:sz w:val="20"/>
                <w:szCs w:val="20"/>
                <w:color w:val="auto"/>
              </w:rPr>
            </w:pPr>
            <w:r>
              <w:rPr>
                <w:rFonts w:ascii="Arial" w:cs="Arial" w:eastAsia="Arial" w:hAnsi="Arial"/>
                <w:sz w:val="18"/>
                <w:szCs w:val="18"/>
                <w:color w:val="auto"/>
              </w:rPr>
              <w:t>(in thousands)</w:t>
            </w:r>
          </w:p>
        </w:tc>
        <w:tc>
          <w:tcPr>
            <w:tcW w:w="1300" w:type="dxa"/>
            <w:vAlign w:val="bottom"/>
          </w:tcPr>
          <w:p>
            <w:pPr>
              <w:jc w:val="center"/>
              <w:ind w:right="110"/>
              <w:spacing w:after="0" w:line="163" w:lineRule="exact"/>
              <w:rPr>
                <w:sz w:val="20"/>
                <w:szCs w:val="20"/>
                <w:color w:val="auto"/>
              </w:rPr>
            </w:pPr>
            <w:r>
              <w:rPr>
                <w:rFonts w:ascii="Arial" w:cs="Arial" w:eastAsia="Arial" w:hAnsi="Arial"/>
                <w:sz w:val="18"/>
                <w:szCs w:val="18"/>
                <w:color w:val="auto"/>
              </w:rPr>
              <w:t>Common</w:t>
            </w:r>
          </w:p>
        </w:tc>
        <w:tc>
          <w:tcPr>
            <w:tcW w:w="1120" w:type="dxa"/>
            <w:vAlign w:val="bottom"/>
          </w:tcPr>
          <w:p>
            <w:pPr>
              <w:jc w:val="center"/>
              <w:ind w:right="70"/>
              <w:spacing w:after="0" w:line="163" w:lineRule="exact"/>
              <w:rPr>
                <w:sz w:val="20"/>
                <w:szCs w:val="20"/>
                <w:color w:val="auto"/>
              </w:rPr>
            </w:pPr>
            <w:r>
              <w:rPr>
                <w:rFonts w:ascii="Arial" w:cs="Arial" w:eastAsia="Arial" w:hAnsi="Arial"/>
                <w:sz w:val="18"/>
                <w:szCs w:val="18"/>
                <w:color w:val="auto"/>
                <w:w w:val="98"/>
              </w:rPr>
              <w:t>Common</w:t>
            </w: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60" w:type="dxa"/>
            <w:vAlign w:val="bottom"/>
            <w:gridSpan w:val="3"/>
          </w:tcPr>
          <w:p>
            <w:pPr>
              <w:jc w:val="center"/>
              <w:ind w:right="40"/>
              <w:spacing w:after="0" w:line="163" w:lineRule="exact"/>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00" w:type="dxa"/>
            <w:vAlign w:val="bottom"/>
            <w:vMerge w:val="restart"/>
          </w:tcPr>
          <w:p>
            <w:pPr>
              <w:jc w:val="center"/>
              <w:ind w:right="110"/>
              <w:spacing w:after="0"/>
              <w:rPr>
                <w:sz w:val="20"/>
                <w:szCs w:val="20"/>
                <w:color w:val="auto"/>
              </w:rPr>
            </w:pPr>
            <w:r>
              <w:rPr>
                <w:rFonts w:ascii="Arial" w:cs="Arial" w:eastAsia="Arial" w:hAnsi="Arial"/>
                <w:sz w:val="18"/>
                <w:szCs w:val="18"/>
                <w:color w:val="auto"/>
              </w:rPr>
              <w:t>Stock</w:t>
            </w:r>
          </w:p>
        </w:tc>
        <w:tc>
          <w:tcPr>
            <w:tcW w:w="1120" w:type="dxa"/>
            <w:vAlign w:val="bottom"/>
            <w:vMerge w:val="restart"/>
          </w:tcPr>
          <w:p>
            <w:pPr>
              <w:jc w:val="center"/>
              <w:ind w:right="70"/>
              <w:spacing w:after="0"/>
              <w:rPr>
                <w:sz w:val="20"/>
                <w:szCs w:val="20"/>
                <w:color w:val="auto"/>
              </w:rPr>
            </w:pPr>
            <w:r>
              <w:rPr>
                <w:rFonts w:ascii="Arial" w:cs="Arial" w:eastAsia="Arial" w:hAnsi="Arial"/>
                <w:sz w:val="18"/>
                <w:szCs w:val="18"/>
                <w:color w:val="auto"/>
                <w:w w:val="97"/>
              </w:rPr>
              <w:t>Stock</w:t>
            </w:r>
          </w:p>
        </w:tc>
        <w:tc>
          <w:tcPr>
            <w:tcW w:w="1320" w:type="dxa"/>
            <w:vAlign w:val="bottom"/>
          </w:tcPr>
          <w:p>
            <w:pPr>
              <w:jc w:val="right"/>
              <w:ind w:right="270"/>
              <w:spacing w:after="0" w:line="148" w:lineRule="exact"/>
              <w:rPr>
                <w:sz w:val="20"/>
                <w:szCs w:val="20"/>
                <w:color w:val="auto"/>
              </w:rPr>
            </w:pPr>
            <w:r>
              <w:rPr>
                <w:rFonts w:ascii="Arial" w:cs="Arial" w:eastAsia="Arial" w:hAnsi="Arial"/>
                <w:sz w:val="17"/>
                <w:szCs w:val="17"/>
                <w:color w:val="auto"/>
              </w:rPr>
              <w:t>in capital</w:t>
            </w:r>
          </w:p>
        </w:tc>
        <w:tc>
          <w:tcPr>
            <w:tcW w:w="920" w:type="dxa"/>
            <w:vAlign w:val="bottom"/>
          </w:tcPr>
          <w:p>
            <w:pPr>
              <w:jc w:val="right"/>
              <w:ind w:right="70"/>
              <w:spacing w:after="0" w:line="148" w:lineRule="exact"/>
              <w:rPr>
                <w:sz w:val="20"/>
                <w:szCs w:val="20"/>
                <w:color w:val="auto"/>
              </w:rPr>
            </w:pPr>
            <w:r>
              <w:rPr>
                <w:rFonts w:ascii="Arial" w:cs="Arial" w:eastAsia="Arial" w:hAnsi="Arial"/>
                <w:sz w:val="17"/>
                <w:szCs w:val="17"/>
                <w:color w:val="auto"/>
              </w:rPr>
              <w:t>earnings</w:t>
            </w:r>
          </w:p>
        </w:tc>
        <w:tc>
          <w:tcPr>
            <w:tcW w:w="1260" w:type="dxa"/>
            <w:vAlign w:val="bottom"/>
          </w:tcPr>
          <w:p>
            <w:pPr>
              <w:jc w:val="right"/>
              <w:spacing w:after="0" w:line="148" w:lineRule="exact"/>
              <w:rPr>
                <w:sz w:val="20"/>
                <w:szCs w:val="20"/>
                <w:color w:val="auto"/>
              </w:rPr>
            </w:pPr>
            <w:r>
              <w:rPr>
                <w:rFonts w:ascii="Arial" w:cs="Arial" w:eastAsia="Arial" w:hAnsi="Arial"/>
                <w:sz w:val="17"/>
                <w:szCs w:val="17"/>
                <w:color w:val="auto"/>
              </w:rPr>
              <w:t>comprehensive</w:t>
            </w:r>
          </w:p>
        </w:tc>
        <w:tc>
          <w:tcPr>
            <w:tcW w:w="840" w:type="dxa"/>
            <w:vAlign w:val="bottom"/>
          </w:tcPr>
          <w:p>
            <w:pPr>
              <w:jc w:val="right"/>
              <w:ind w:right="130"/>
              <w:spacing w:after="0" w:line="148" w:lineRule="exact"/>
              <w:rPr>
                <w:sz w:val="20"/>
                <w:szCs w:val="20"/>
                <w:color w:val="auto"/>
              </w:rPr>
            </w:pPr>
            <w:r>
              <w:rPr>
                <w:rFonts w:ascii="Arial" w:cs="Arial" w:eastAsia="Arial" w:hAnsi="Arial"/>
                <w:sz w:val="17"/>
                <w:szCs w:val="17"/>
                <w:color w:val="auto"/>
              </w:rPr>
              <w:t>stock</w:t>
            </w:r>
          </w:p>
        </w:tc>
        <w:tc>
          <w:tcPr>
            <w:tcW w:w="1160" w:type="dxa"/>
            <w:vAlign w:val="bottom"/>
            <w:gridSpan w:val="3"/>
            <w:vMerge w:val="restart"/>
          </w:tcPr>
          <w:p>
            <w:pPr>
              <w:ind w:left="3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vMerge w:val="restart"/>
          </w:tcPr>
          <w:p>
            <w:pPr>
              <w:jc w:val="right"/>
              <w:ind w:right="270"/>
              <w:spacing w:after="0" w:line="203" w:lineRule="exact"/>
              <w:rPr>
                <w:sz w:val="20"/>
                <w:szCs w:val="20"/>
                <w:color w:val="auto"/>
              </w:rPr>
            </w:pPr>
            <w:r>
              <w:rPr>
                <w:rFonts w:ascii="Arial" w:cs="Arial" w:eastAsia="Arial" w:hAnsi="Arial"/>
                <w:sz w:val="18"/>
                <w:szCs w:val="18"/>
                <w:color w:val="auto"/>
              </w:rPr>
              <w:t>income</w:t>
            </w:r>
          </w:p>
        </w:tc>
        <w:tc>
          <w:tcPr>
            <w:tcW w:w="8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December 31, 2011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$391,495</w:t>
            </w:r>
          </w:p>
        </w:tc>
        <w:tc>
          <w:tcPr>
            <w:tcW w:w="920" w:type="dxa"/>
            <w:vAlign w:val="bottom"/>
          </w:tcPr>
          <w:p>
            <w:pPr>
              <w:jc w:val="right"/>
              <w:spacing w:after="0"/>
              <w:rPr>
                <w:sz w:val="20"/>
                <w:szCs w:val="20"/>
                <w:color w:val="auto"/>
              </w:rPr>
            </w:pPr>
            <w:r>
              <w:rPr>
                <w:rFonts w:ascii="Arial" w:cs="Arial" w:eastAsia="Arial" w:hAnsi="Arial"/>
                <w:sz w:val="18"/>
                <w:szCs w:val="18"/>
                <w:color w:val="auto"/>
              </w:rPr>
              <w:t>$422,044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($139,809)($257,920)</w:t>
            </w:r>
          </w:p>
        </w:tc>
        <w:tc>
          <w:tcPr>
            <w:tcW w:w="1120" w:type="dxa"/>
            <w:vAlign w:val="bottom"/>
          </w:tcPr>
          <w:p>
            <w:pPr>
              <w:jc w:val="right"/>
              <w:spacing w:after="0"/>
              <w:rPr>
                <w:sz w:val="20"/>
                <w:szCs w:val="20"/>
                <w:color w:val="auto"/>
              </w:rPr>
            </w:pPr>
            <w:r>
              <w:rPr>
                <w:rFonts w:ascii="Arial" w:cs="Arial" w:eastAsia="Arial" w:hAnsi="Arial"/>
                <w:sz w:val="18"/>
                <w:szCs w:val="18"/>
                <w:color w:val="auto"/>
              </w:rPr>
              <w:t>$415,850</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22,759</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(12,849)</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(12,849)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Compensation and benefits paid or</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1,190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ind w:left="450"/>
              <w:spacing w:after="0"/>
              <w:rPr>
                <w:sz w:val="20"/>
                <w:szCs w:val="20"/>
                <w:color w:val="auto"/>
              </w:rPr>
            </w:pPr>
            <w:r>
              <w:rPr>
                <w:rFonts w:ascii="Arial" w:cs="Arial" w:eastAsia="Arial" w:hAnsi="Arial"/>
                <w:sz w:val="18"/>
                <w:szCs w:val="18"/>
                <w:color w:val="auto"/>
                <w:w w:val="99"/>
              </w:rPr>
              <w:t>256</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payable in Class A Common Stock</w:t>
            </w:r>
          </w:p>
        </w:tc>
        <w:tc>
          <w:tcPr>
            <w:tcW w:w="13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4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Cumulative translation adjustment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3,899</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Pension settlement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79,204</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79,204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Pension plan remeasurement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(17,347)</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(17,347)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Change in pension liability adjustment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2,645</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Change in derivative valuation adjustment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(548)</w:t>
            </w:r>
          </w:p>
        </w:tc>
        <w:tc>
          <w:tcPr>
            <w:tcW w:w="8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4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September 30, 2012</w:t>
            </w:r>
          </w:p>
        </w:tc>
        <w:tc>
          <w:tcPr>
            <w:tcW w:w="13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$37</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13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$393,801</w:t>
            </w: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$431,954</w:t>
            </w:r>
          </w:p>
        </w:tc>
        <w:tc>
          <w:tcPr>
            <w:tcW w:w="21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($71,956)($257,664)</w:t>
            </w: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$496,175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15. Recent Accounting Pronouncements</w:t>
      </w:r>
    </w:p>
    <w:p>
      <w:pPr>
        <w:spacing w:after="0" w:line="200" w:lineRule="exact"/>
        <w:rPr>
          <w:sz w:val="20"/>
          <w:szCs w:val="20"/>
          <w:color w:val="auto"/>
        </w:rPr>
      </w:pPr>
    </w:p>
    <w:p>
      <w:pPr>
        <w:spacing w:after="0" w:line="23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May 2011, the Financial Accounting Standards Board (FASB) amended authoritative guidance related to common fair value measurements and disclosure requirements. This pronouncement was issued to provide a consistent definition of fair value and ensure that the fair value measurement and disclosure requirements are similar between U.S. GAAP and IFRS. This pronouncement changes certain fair value measurement principles and enhances the disclosure requirements, particularly for level 3 fair value measurements, and is effective for reporting periods beginning on or after December 15, 2011. This pronouncement was adopted effective January 1, 2012 and did not have a material effect on our financial statements.</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This guidance was adopted effective January 1, 2012 and concerns presentation and disclosure only and did not have a material impact on our financial statements.</w:t>
      </w:r>
    </w:p>
    <w:p>
      <w:pPr>
        <w:spacing w:after="0" w:line="19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This pronouncement is effective for annual and interim goodwill impairment tests performed for fiscal years beginning after December 15, 2011. The adoption of this guidance did not have a material effect on our financial statements.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prior Quarterly Reports on Form 10-Q) that could cause actual results to differ materially from the Company’s historical experience and our present expectations or projections.</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Forward-looking statements in this quarterly report include, without limitation, statements about future economic and paper industry conditions; sales, EBITDA, Adjusted EBITDA and operating income expectations in future periods in each of the Company’s businesses and for the Company as a whole, the timing and impact of certain production and development programs in the Company’s AEC business segment; the amount and timing of capital expenditures, future tax rates and cash paid for taxes, depreciation and amortization, future debt levels and debt covenant ratios, future revaluation gains and losses, and the Company’s ability to reduce costs. Furthermore, a change in any one or more of the foregoing factors could have a material effect on the Company’s financial results in any period. Such statements are based on current expectations, and the Company undertakes no obligation to publicly update or revise any forward-looking statements.</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quarterly report and earlier reports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spacing w:after="0" w:line="16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“Trends,” “Liquidity,” “Outlook,” and “Legal Proceedings” sections of this quarterly report,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17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0"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the Company. The MD&amp;A is provided as a supplement to, and should be read in conjunction with, our Consolidated Financial Statements and the accompanying Notes. In addition, the results of operations below reflect a previously reported segment reclassification, as described in Note 1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8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MC is the Company’s long-established core business and primary generator of cash. While the paper industry in our traditional geographic markets has suffered from well-documented overcapacity in the publication grades, especially newsprint, the industry is still expected to grow on a global basis, driven by demand for packaging and tissue grades, as well as the expansion of paper consumption and production in Asia and South America. Although we no longer consider the MC industry as having significant growth potential, our MC business has significant prospects for long-term cash-generation. We feel we are now well-positioned in this industry, with high-quality, low-cost production in growth markets, substantially lower fixed costs in mature markets, and continued strength in new product development and field services. We seek to maintain the cash-generating potential of this business by maintaining the low costs that we achieved through restructuring and performance improvement, and competing vigorously by using our differentiated products and services to reduce our customers’ total cost of operation and improve their paper quality.</w:t>
      </w:r>
    </w:p>
    <w:p>
      <w:pPr>
        <w:spacing w:after="0" w:line="1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supplies a number of customers in the aerospace industry. AEC’s most significant aerospace customer is the SAFRAN Group, for whom we make braces for the Boeing 787-8 main landing gear, outer guide vanes for the CFM-56 engine, and fan blades and other components for the LEAP engine. AEC is also developing other new and potentially significant composite products for aerospace (engine and airframe) applications.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Three months ended</w:t>
            </w:r>
          </w:p>
        </w:tc>
        <w:tc>
          <w:tcPr>
            <w:tcW w:w="14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Nine months ended</w:t>
            </w: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1"/>
        </w:trPr>
        <w:tc>
          <w:tcPr>
            <w:tcW w:w="3200" w:type="dxa"/>
            <w:vAlign w:val="bottom"/>
          </w:tcPr>
          <w:p>
            <w:pPr>
              <w:spacing w:after="0"/>
              <w:rPr>
                <w:sz w:val="15"/>
                <w:szCs w:val="15"/>
                <w:color w:val="auto"/>
              </w:rPr>
            </w:pPr>
          </w:p>
        </w:tc>
        <w:tc>
          <w:tcPr>
            <w:tcW w:w="3360" w:type="dxa"/>
            <w:vAlign w:val="bottom"/>
            <w:gridSpan w:val="2"/>
          </w:tcPr>
          <w:p>
            <w:pPr>
              <w:jc w:val="right"/>
              <w:ind w:right="590"/>
              <w:spacing w:after="0" w:line="181" w:lineRule="exact"/>
              <w:rPr>
                <w:sz w:val="20"/>
                <w:szCs w:val="20"/>
                <w:color w:val="auto"/>
              </w:rPr>
            </w:pPr>
            <w:r>
              <w:rPr>
                <w:rFonts w:ascii="Arial" w:cs="Arial" w:eastAsia="Arial" w:hAnsi="Arial"/>
                <w:sz w:val="18"/>
                <w:szCs w:val="18"/>
                <w:color w:val="auto"/>
              </w:rPr>
              <w:t>September 30,</w:t>
            </w:r>
          </w:p>
        </w:tc>
        <w:tc>
          <w:tcPr>
            <w:tcW w:w="1400" w:type="dxa"/>
            <w:vAlign w:val="bottom"/>
          </w:tcPr>
          <w:p>
            <w:pPr>
              <w:jc w:val="right"/>
              <w:ind w:right="730"/>
              <w:spacing w:after="0" w:line="181" w:lineRule="exact"/>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590"/>
              <w:spacing w:after="0" w:line="181" w:lineRule="exact"/>
              <w:rPr>
                <w:sz w:val="20"/>
                <w:szCs w:val="20"/>
                <w:color w:val="auto"/>
              </w:rPr>
            </w:pPr>
            <w:r>
              <w:rPr>
                <w:rFonts w:ascii="Arial" w:cs="Arial" w:eastAsia="Arial" w:hAnsi="Arial"/>
                <w:sz w:val="18"/>
                <w:szCs w:val="18"/>
                <w:color w:val="auto"/>
              </w:rPr>
              <w:t>September 30,</w:t>
            </w:r>
          </w:p>
        </w:tc>
        <w:tc>
          <w:tcPr>
            <w:tcW w:w="122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8"/>
                <w:szCs w:val="18"/>
                <w:color w:val="auto"/>
              </w:rPr>
              <w:t>(in thousands)</w:t>
            </w: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2011</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Change</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Change</w:t>
            </w:r>
          </w:p>
        </w:tc>
      </w:tr>
      <w:tr>
        <w:trPr>
          <w:trHeight w:val="173"/>
        </w:trPr>
        <w:tc>
          <w:tcPr>
            <w:tcW w:w="32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26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b w:val="1"/>
                <w:bCs w:val="1"/>
                <w:color w:val="auto"/>
              </w:rPr>
              <w:t>$177,471</w:t>
            </w:r>
          </w:p>
        </w:tc>
        <w:tc>
          <w:tcPr>
            <w:tcW w:w="1100" w:type="dxa"/>
            <w:vAlign w:val="bottom"/>
            <w:tcBorders>
              <w:top w:val="single" w:sz="8" w:color="auto"/>
            </w:tcBorders>
          </w:tcPr>
          <w:p>
            <w:pPr>
              <w:jc w:val="right"/>
              <w:ind w:right="110"/>
              <w:spacing w:after="0" w:line="173" w:lineRule="exact"/>
              <w:rPr>
                <w:sz w:val="20"/>
                <w:szCs w:val="20"/>
                <w:color w:val="auto"/>
              </w:rPr>
            </w:pPr>
            <w:r>
              <w:rPr>
                <w:rFonts w:ascii="Arial" w:cs="Arial" w:eastAsia="Arial" w:hAnsi="Arial"/>
                <w:sz w:val="18"/>
                <w:szCs w:val="18"/>
                <w:color w:val="auto"/>
              </w:rPr>
              <w:t>$188,334</w:t>
            </w:r>
          </w:p>
        </w:tc>
        <w:tc>
          <w:tcPr>
            <w:tcW w:w="140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color w:val="auto"/>
              </w:rPr>
              <w:t>-5.8%</w:t>
            </w:r>
          </w:p>
        </w:tc>
        <w:tc>
          <w:tcPr>
            <w:tcW w:w="114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b w:val="1"/>
                <w:bCs w:val="1"/>
                <w:color w:val="auto"/>
              </w:rPr>
              <w:t>$518,881</w:t>
            </w:r>
          </w:p>
        </w:tc>
        <w:tc>
          <w:tcPr>
            <w:tcW w:w="110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color w:val="auto"/>
              </w:rPr>
              <w:t>$555,993</w:t>
            </w:r>
          </w:p>
        </w:tc>
        <w:tc>
          <w:tcPr>
            <w:tcW w:w="12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5"/>
                <w:szCs w:val="15"/>
                <w:color w:val="auto"/>
              </w:rPr>
            </w:pPr>
          </w:p>
        </w:tc>
      </w:tr>
      <w:tr>
        <w:trPr>
          <w:trHeight w:val="225"/>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Engineered Composites</w:t>
            </w:r>
          </w:p>
        </w:tc>
        <w:tc>
          <w:tcPr>
            <w:tcW w:w="2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17,118</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11,918</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43.6%</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47,725</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33,894</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w:t>
            </w:r>
          </w:p>
        </w:tc>
      </w:tr>
      <w:tr>
        <w:trPr>
          <w:trHeight w:val="196"/>
        </w:trPr>
        <w:tc>
          <w:tcPr>
            <w:tcW w:w="3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$194,589</w:t>
            </w:r>
          </w:p>
        </w:tc>
        <w:tc>
          <w:tcPr>
            <w:tcW w:w="11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$200,252</w:t>
            </w:r>
          </w:p>
        </w:tc>
        <w:tc>
          <w:tcPr>
            <w:tcW w:w="14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-2.8%</w:t>
            </w:r>
          </w:p>
        </w:tc>
        <w:tc>
          <w:tcPr>
            <w:tcW w:w="11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$566,606</w:t>
            </w:r>
          </w:p>
        </w:tc>
        <w:tc>
          <w:tcPr>
            <w:tcW w:w="1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$589,887</w:t>
            </w:r>
          </w:p>
        </w:tc>
        <w:tc>
          <w:tcPr>
            <w:tcW w:w="12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net sales by $5.4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Excluding the effect of changes in currency translation rates, 2012 net sales decreased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560"/>
        <w:spacing w:after="0" w:line="234" w:lineRule="auto"/>
        <w:rPr>
          <w:sz w:val="20"/>
          <w:szCs w:val="20"/>
          <w:color w:val="auto"/>
        </w:rPr>
      </w:pPr>
      <w:r>
        <w:rPr>
          <w:rFonts w:ascii="Arial" w:cs="Arial" w:eastAsia="Arial" w:hAnsi="Arial"/>
          <w:sz w:val="18"/>
          <w:szCs w:val="18"/>
          <w:color w:val="auto"/>
        </w:rPr>
        <w:t>A transition to new contract terms with a major customer in North America, accelerating the transfer of inventory ownership to that customer, increased Q3 2012 net sales by $8 million, and will have a smaller positive residual impact on sales over the next two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-344805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0"/>
        <w:spacing w:after="0" w:line="239" w:lineRule="auto"/>
        <w:rPr>
          <w:sz w:val="20"/>
          <w:szCs w:val="20"/>
          <w:color w:val="auto"/>
        </w:rPr>
      </w:pPr>
      <w:r>
        <w:rPr>
          <w:rFonts w:ascii="Arial" w:cs="Arial" w:eastAsia="Arial" w:hAnsi="Arial"/>
          <w:sz w:val="18"/>
          <w:szCs w:val="18"/>
          <w:color w:val="auto"/>
        </w:rPr>
        <w:t>For Machine Clothing, sales in the Americas and Asia held firm in Q3 2012, while as expected, sales in Europe continued to deteriorate. AEC continued its string of strong quarters principally due to improved revenues from existing programs, including Landing Braces, LEAP-X, and Joint Strike Fighter advanced composite materials. The development program for the fan module of the LEAP engine remains 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-483870</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-354965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net sales by $13.2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Excluding the effect of changes in currency translation rates, 2012 net sales decreased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For Machine Clothing, an especially weak Q1 led to lower nine-month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0"/>
        <w:spacing w:after="0" w:line="246" w:lineRule="auto"/>
        <w:rPr>
          <w:sz w:val="20"/>
          <w:szCs w:val="20"/>
          <w:color w:val="auto"/>
        </w:rPr>
      </w:pPr>
      <w:r>
        <w:rPr>
          <w:rFonts w:ascii="Arial" w:cs="Arial" w:eastAsia="Arial" w:hAnsi="Arial"/>
          <w:sz w:val="18"/>
          <w:szCs w:val="18"/>
          <w:color w:val="auto"/>
        </w:rPr>
        <w:t>Continued progress in managing the growth opportunities in LEAP and other programs led to a year-to-date sales increase of 40.8% at AEC.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Three months ended</w:t>
            </w:r>
          </w:p>
        </w:tc>
        <w:tc>
          <w:tcPr>
            <w:tcW w:w="21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181"/>
        </w:trPr>
        <w:tc>
          <w:tcPr>
            <w:tcW w:w="4540" w:type="dxa"/>
            <w:vAlign w:val="bottom"/>
          </w:tcPr>
          <w:p>
            <w:pPr>
              <w:spacing w:after="0"/>
              <w:rPr>
                <w:sz w:val="15"/>
                <w:szCs w:val="15"/>
                <w:color w:val="auto"/>
              </w:rPr>
            </w:pPr>
          </w:p>
        </w:tc>
        <w:tc>
          <w:tcPr>
            <w:tcW w:w="4760" w:type="dxa"/>
            <w:vAlign w:val="bottom"/>
            <w:gridSpan w:val="2"/>
          </w:tcPr>
          <w:p>
            <w:pPr>
              <w:jc w:val="right"/>
              <w:ind w:right="670"/>
              <w:spacing w:after="0" w:line="181" w:lineRule="exact"/>
              <w:rPr>
                <w:sz w:val="20"/>
                <w:szCs w:val="20"/>
                <w:color w:val="auto"/>
              </w:rPr>
            </w:pPr>
            <w:r>
              <w:rPr>
                <w:rFonts w:ascii="Arial" w:cs="Arial" w:eastAsia="Arial" w:hAnsi="Arial"/>
                <w:sz w:val="18"/>
                <w:szCs w:val="18"/>
                <w:color w:val="auto"/>
              </w:rPr>
              <w:t>September 30,</w:t>
            </w:r>
          </w:p>
        </w:tc>
        <w:tc>
          <w:tcPr>
            <w:tcW w:w="2140" w:type="dxa"/>
            <w:vAlign w:val="bottom"/>
            <w:gridSpan w:val="3"/>
          </w:tcPr>
          <w:p>
            <w:pPr>
              <w:jc w:val="right"/>
              <w:ind w:right="54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73"/>
        </w:trPr>
        <w:tc>
          <w:tcPr>
            <w:tcW w:w="45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66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$79,195</w:t>
            </w:r>
          </w:p>
        </w:tc>
        <w:tc>
          <w:tcPr>
            <w:tcW w:w="110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$79,338</w:t>
            </w:r>
          </w:p>
        </w:tc>
        <w:tc>
          <w:tcPr>
            <w:tcW w:w="12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$225,440</w:t>
            </w:r>
          </w:p>
        </w:tc>
        <w:tc>
          <w:tcPr>
            <w:tcW w:w="920" w:type="dxa"/>
            <w:vAlign w:val="bottom"/>
          </w:tcPr>
          <w:p>
            <w:pPr>
              <w:jc w:val="right"/>
              <w:spacing w:after="0" w:line="173" w:lineRule="exact"/>
              <w:rPr>
                <w:sz w:val="20"/>
                <w:szCs w:val="20"/>
                <w:color w:val="auto"/>
              </w:rPr>
            </w:pPr>
            <w:r>
              <w:rPr>
                <w:rFonts w:ascii="Arial" w:cs="Arial" w:eastAsia="Arial" w:hAnsi="Arial"/>
                <w:sz w:val="18"/>
                <w:szCs w:val="18"/>
                <w:color w:val="auto"/>
              </w:rPr>
              <w:t>$240,828</w:t>
            </w:r>
          </w:p>
        </w:tc>
        <w:tc>
          <w:tcPr>
            <w:tcW w:w="20" w:type="dxa"/>
            <w:vAlign w:val="bottom"/>
          </w:tcPr>
          <w:p>
            <w:pPr>
              <w:spacing w:after="0"/>
              <w:rPr>
                <w:sz w:val="15"/>
                <w:szCs w:val="15"/>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36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1,515</w:t>
            </w: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(300)</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4,218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(1,059)</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(976)</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(3,221)</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(3,474)</w:t>
            </w:r>
          </w:p>
        </w:tc>
      </w:tr>
      <w:tr>
        <w:trPr>
          <w:trHeight w:val="196"/>
        </w:trPr>
        <w:tc>
          <w:tcPr>
            <w:tcW w:w="4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$79,651</w:t>
            </w: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$78,062</w:t>
            </w:r>
          </w:p>
        </w:tc>
        <w:tc>
          <w:tcPr>
            <w:tcW w:w="12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$226,437</w:t>
            </w:r>
          </w:p>
        </w:tc>
        <w:tc>
          <w:tcPr>
            <w:tcW w:w="9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$237,190</w:t>
            </w:r>
          </w:p>
        </w:tc>
      </w:tr>
      <w:tr>
        <w:trPr>
          <w:trHeight w:val="196"/>
        </w:trPr>
        <w:tc>
          <w:tcPr>
            <w:tcW w:w="4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3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40.9%</w:t>
            </w: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39.0%</w:t>
            </w:r>
          </w:p>
        </w:tc>
        <w:tc>
          <w:tcPr>
            <w:tcW w:w="12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40.0%</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during 2012 was principally due to the net effect of the following:</w:t>
      </w:r>
    </w:p>
    <w:p>
      <w:pPr>
        <w:spacing w:after="0" w:line="171" w:lineRule="exact"/>
        <w:rPr>
          <w:sz w:val="20"/>
          <w:szCs w:val="20"/>
          <w:color w:val="auto"/>
        </w:rPr>
      </w:pPr>
    </w:p>
    <w:p>
      <w:pPr>
        <w:ind w:left="540" w:right="160"/>
        <w:spacing w:after="0" w:line="234" w:lineRule="auto"/>
        <w:rPr>
          <w:sz w:val="20"/>
          <w:szCs w:val="20"/>
          <w:color w:val="auto"/>
        </w:rPr>
      </w:pPr>
      <w:r>
        <w:rPr>
          <w:rFonts w:ascii="Arial" w:cs="Arial" w:eastAsia="Arial" w:hAnsi="Arial"/>
          <w:sz w:val="18"/>
          <w:szCs w:val="18"/>
          <w:color w:val="auto"/>
        </w:rPr>
        <w:t>Gross profit margins in MC increased from 42.1 percent in 2011 to 44.6 percent in 2012, driven by high plant utilization in the Americas and favorable geographical sales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-216535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Higher sales in AEC and improved pricing in certain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decrease in gross profit during 2012 was principally due to lower net sales and plant utilization in MC during Q1. Q1 2011 gross profit was increased by unusually high production levels due to inventory restocking in MC.</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Three months ended</w:t>
            </w:r>
          </w:p>
        </w:tc>
        <w:tc>
          <w:tcPr>
            <w:tcW w:w="21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Nine months ended</w:t>
            </w:r>
          </w:p>
        </w:tc>
        <w:tc>
          <w:tcPr>
            <w:tcW w:w="40" w:type="dxa"/>
            <w:vAlign w:val="bottom"/>
            <w:gridSpan w:val="2"/>
          </w:tcPr>
          <w:p>
            <w:pPr>
              <w:spacing w:after="0"/>
              <w:rPr>
                <w:sz w:val="18"/>
                <w:szCs w:val="18"/>
                <w:color w:val="auto"/>
              </w:rPr>
            </w:pPr>
          </w:p>
        </w:tc>
      </w:tr>
      <w:tr>
        <w:trPr>
          <w:trHeight w:val="181"/>
        </w:trPr>
        <w:tc>
          <w:tcPr>
            <w:tcW w:w="4560" w:type="dxa"/>
            <w:vAlign w:val="bottom"/>
          </w:tcPr>
          <w:p>
            <w:pPr>
              <w:spacing w:after="0"/>
              <w:rPr>
                <w:sz w:val="15"/>
                <w:szCs w:val="15"/>
                <w:color w:val="auto"/>
              </w:rPr>
            </w:pPr>
          </w:p>
        </w:tc>
        <w:tc>
          <w:tcPr>
            <w:tcW w:w="4700" w:type="dxa"/>
            <w:vAlign w:val="bottom"/>
            <w:gridSpan w:val="2"/>
          </w:tcPr>
          <w:p>
            <w:pPr>
              <w:jc w:val="right"/>
              <w:ind w:right="570"/>
              <w:spacing w:after="0" w:line="181" w:lineRule="exact"/>
              <w:rPr>
                <w:sz w:val="20"/>
                <w:szCs w:val="20"/>
                <w:color w:val="auto"/>
              </w:rPr>
            </w:pPr>
            <w:r>
              <w:rPr>
                <w:rFonts w:ascii="Arial" w:cs="Arial" w:eastAsia="Arial" w:hAnsi="Arial"/>
                <w:sz w:val="18"/>
                <w:szCs w:val="18"/>
                <w:color w:val="auto"/>
              </w:rPr>
              <w:t>September 30,</w:t>
            </w:r>
          </w:p>
        </w:tc>
        <w:tc>
          <w:tcPr>
            <w:tcW w:w="2200" w:type="dxa"/>
            <w:vAlign w:val="bottom"/>
            <w:gridSpan w:val="4"/>
          </w:tcPr>
          <w:p>
            <w:pPr>
              <w:ind w:left="48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73"/>
        </w:trPr>
        <w:tc>
          <w:tcPr>
            <w:tcW w:w="45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48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$31,539</w:t>
            </w:r>
          </w:p>
        </w:tc>
        <w:tc>
          <w:tcPr>
            <w:tcW w:w="12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$27,861</w:t>
            </w:r>
          </w:p>
        </w:tc>
        <w:tc>
          <w:tcPr>
            <w:tcW w:w="124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$98,365</w:t>
            </w:r>
          </w:p>
        </w:tc>
        <w:tc>
          <w:tcPr>
            <w:tcW w:w="94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$100,766</w:t>
            </w:r>
          </w:p>
        </w:tc>
        <w:tc>
          <w:tcPr>
            <w:tcW w:w="20" w:type="dxa"/>
            <w:vAlign w:val="bottom"/>
          </w:tcPr>
          <w:p>
            <w:pPr>
              <w:spacing w:after="0"/>
              <w:rPr>
                <w:sz w:val="15"/>
                <w:szCs w:val="15"/>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34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1,827</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1,134</w:t>
            </w: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4,871</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3,400</w:t>
            </w:r>
          </w:p>
        </w:tc>
        <w:tc>
          <w:tcPr>
            <w:tcW w:w="20" w:type="dxa"/>
            <w:vAlign w:val="bottom"/>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Research</w:t>
            </w:r>
          </w:p>
        </w:tc>
        <w:tc>
          <w:tcPr>
            <w:tcW w:w="34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6,734</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6,400</w:t>
            </w: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20,052</w:t>
            </w:r>
          </w:p>
        </w:tc>
        <w:tc>
          <w:tcPr>
            <w:tcW w:w="9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20,777</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3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13,700</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13,218</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41,066</w:t>
            </w: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43,479</w:t>
            </w: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48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rPr>
              <w:t>$53,800</w:t>
            </w:r>
          </w:p>
        </w:tc>
        <w:tc>
          <w:tcPr>
            <w:tcW w:w="12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$48,613</w:t>
            </w:r>
          </w:p>
        </w:tc>
        <w:tc>
          <w:tcPr>
            <w:tcW w:w="124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$164,354</w:t>
            </w:r>
          </w:p>
        </w:tc>
        <w:tc>
          <w:tcPr>
            <w:tcW w:w="9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$168,422</w:t>
            </w:r>
          </w:p>
        </w:tc>
      </w:tr>
      <w:tr>
        <w:trPr>
          <w:trHeight w:val="196"/>
        </w:trPr>
        <w:tc>
          <w:tcPr>
            <w:tcW w:w="45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348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27.6%</w:t>
            </w:r>
          </w:p>
        </w:tc>
        <w:tc>
          <w:tcPr>
            <w:tcW w:w="12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24.3%</w:t>
            </w:r>
          </w:p>
        </w:tc>
        <w:tc>
          <w:tcPr>
            <w:tcW w:w="124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29.0%</w:t>
            </w:r>
          </w:p>
        </w:tc>
        <w:tc>
          <w:tcPr>
            <w:tcW w:w="9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28.6%</w:t>
            </w:r>
          </w:p>
        </w:tc>
        <w:tc>
          <w:tcPr>
            <w:tcW w:w="20" w:type="dxa"/>
            <w:vAlign w:val="bottom"/>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STG&amp;R expenses were higher than 2011, principally due to the net effect of the following:</w:t>
      </w:r>
    </w:p>
    <w:p>
      <w:pPr>
        <w:spacing w:after="0" w:line="171" w:lineRule="exact"/>
        <w:rPr>
          <w:sz w:val="20"/>
          <w:szCs w:val="20"/>
          <w:color w:val="auto"/>
        </w:rPr>
      </w:pPr>
    </w:p>
    <w:p>
      <w:pPr>
        <w:ind w:left="540" w:right="280"/>
        <w:spacing w:after="0" w:line="234" w:lineRule="auto"/>
        <w:rPr>
          <w:sz w:val="20"/>
          <w:szCs w:val="20"/>
          <w:color w:val="auto"/>
        </w:rPr>
      </w:pPr>
      <w:r>
        <w:rPr>
          <w:rFonts w:ascii="Arial" w:cs="Arial" w:eastAsia="Arial" w:hAnsi="Arial"/>
          <w:sz w:val="18"/>
          <w:szCs w:val="18"/>
          <w:color w:val="auto"/>
        </w:rPr>
        <w:t>Revaluation of nonfunctional-currency assets and liabilities resulted in a loss of $1.4 million in Q3 2012 as compared to a gain of $5.8 million in Q3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-216535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Changes in currency translation rates decreased 2012 expense by $2.4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STG&amp;R expenses were lower than 2011, principally due to the net effect of the following:</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Revaluation of nonfunctional-currency assets and liabilities resulted in a loss of $0.5 million for 2012 and gain of $1.8 million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Machine Clothing expenses in 2011 were reduced by a $1.0 million gain on the sale of a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Changes in currency translation rates decreased 2012 expense by $6.4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Operating Income/(loss)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(loss)/income by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Three months ended</w:t>
            </w:r>
          </w:p>
        </w:tc>
        <w:tc>
          <w:tcPr>
            <w:tcW w:w="19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181"/>
        </w:trPr>
        <w:tc>
          <w:tcPr>
            <w:tcW w:w="5540" w:type="dxa"/>
            <w:vAlign w:val="bottom"/>
          </w:tcPr>
          <w:p>
            <w:pPr>
              <w:spacing w:after="0"/>
              <w:rPr>
                <w:sz w:val="15"/>
                <w:szCs w:val="15"/>
                <w:color w:val="auto"/>
              </w:rPr>
            </w:pPr>
          </w:p>
        </w:tc>
        <w:tc>
          <w:tcPr>
            <w:tcW w:w="3940" w:type="dxa"/>
            <w:vAlign w:val="bottom"/>
            <w:gridSpan w:val="2"/>
          </w:tcPr>
          <w:p>
            <w:pPr>
              <w:jc w:val="right"/>
              <w:ind w:right="410"/>
              <w:spacing w:after="0" w:line="181" w:lineRule="exact"/>
              <w:rPr>
                <w:sz w:val="20"/>
                <w:szCs w:val="20"/>
                <w:color w:val="auto"/>
              </w:rPr>
            </w:pPr>
            <w:r>
              <w:rPr>
                <w:rFonts w:ascii="Arial" w:cs="Arial" w:eastAsia="Arial" w:hAnsi="Arial"/>
                <w:sz w:val="18"/>
                <w:szCs w:val="18"/>
                <w:color w:val="auto"/>
              </w:rPr>
              <w:t>September 30,</w:t>
            </w:r>
          </w:p>
        </w:tc>
        <w:tc>
          <w:tcPr>
            <w:tcW w:w="1960" w:type="dxa"/>
            <w:vAlign w:val="bottom"/>
            <w:gridSpan w:val="3"/>
          </w:tcPr>
          <w:p>
            <w:pPr>
              <w:jc w:val="right"/>
              <w:ind w:right="42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73"/>
        </w:trPr>
        <w:tc>
          <w:tcPr>
            <w:tcW w:w="55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98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$44,918</w:t>
            </w:r>
          </w:p>
        </w:tc>
        <w:tc>
          <w:tcPr>
            <w:tcW w:w="9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$48,867</w:t>
            </w:r>
          </w:p>
        </w:tc>
        <w:tc>
          <w:tcPr>
            <w:tcW w:w="11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$120,760</w:t>
            </w:r>
          </w:p>
        </w:tc>
        <w:tc>
          <w:tcPr>
            <w:tcW w:w="840" w:type="dxa"/>
            <w:vAlign w:val="bottom"/>
          </w:tcPr>
          <w:p>
            <w:pPr>
              <w:jc w:val="right"/>
              <w:spacing w:after="0" w:line="173" w:lineRule="exact"/>
              <w:rPr>
                <w:sz w:val="20"/>
                <w:szCs w:val="20"/>
                <w:color w:val="auto"/>
              </w:rPr>
            </w:pPr>
            <w:r>
              <w:rPr>
                <w:rFonts w:ascii="Arial" w:cs="Arial" w:eastAsia="Arial" w:hAnsi="Arial"/>
                <w:sz w:val="18"/>
                <w:szCs w:val="18"/>
                <w:color w:val="auto"/>
              </w:rPr>
              <w:t>$136,847</w:t>
            </w:r>
          </w:p>
        </w:tc>
        <w:tc>
          <w:tcPr>
            <w:tcW w:w="20" w:type="dxa"/>
            <w:vAlign w:val="bottom"/>
          </w:tcPr>
          <w:p>
            <w:pPr>
              <w:spacing w:after="0"/>
              <w:rPr>
                <w:sz w:val="15"/>
                <w:szCs w:val="15"/>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2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(312)</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(1,434)</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(653)</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(3,621)</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Research expense</w:t>
            </w:r>
          </w:p>
        </w:tc>
        <w:tc>
          <w:tcPr>
            <w:tcW w:w="2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(6,734)</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(6,400)</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(20,052)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(20,777)</w:t>
            </w:r>
          </w:p>
        </w:tc>
        <w:tc>
          <w:tcPr>
            <w:tcW w:w="20" w:type="dxa"/>
            <w:vAlign w:val="bottom"/>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Unallocated expenses - pension settlements</w:t>
            </w:r>
          </w:p>
        </w:tc>
        <w:tc>
          <w:tcPr>
            <w:tcW w:w="2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(119,735)</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25"/>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 - other</w:t>
            </w:r>
          </w:p>
        </w:tc>
        <w:tc>
          <w:tcPr>
            <w:tcW w:w="2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(14,760)</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(14,275)</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(44,121)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(48,137)</w:t>
            </w:r>
          </w:p>
        </w:tc>
        <w:tc>
          <w:tcPr>
            <w:tcW w:w="20" w:type="dxa"/>
            <w:vAlign w:val="bottom"/>
            <w:tcBorders>
              <w:bottom w:val="single" w:sz="8" w:color="auto"/>
            </w:tcBorders>
          </w:tcPr>
          <w:p>
            <w:pPr>
              <w:spacing w:after="0"/>
              <w:rPr>
                <w:sz w:val="19"/>
                <w:szCs w:val="19"/>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$23,112</w:t>
            </w: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$26,758</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($63,801)</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$64,312</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In addition to the items discussed above affecting gross profit, STG&amp;R and operating income, $2.7 million of restructuring charges were incurred in the third quarter of each year (see table below).</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items discussed above affecting gross profit, STG&amp;R and operating loss in 2012 was increased by the following:</w:t>
      </w:r>
    </w:p>
    <w:p>
      <w:pPr>
        <w:spacing w:after="0" w:line="19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Pension settlement charges of $119.7 million in 2012 for US, Canada, and Sweden.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2012 results included restructuring charges of $6.1 million as compared to $4.5 for 2011.</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Three months ended</w:t>
            </w:r>
          </w:p>
        </w:tc>
        <w:tc>
          <w:tcPr>
            <w:tcW w:w="1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Nine months ended</w:t>
            </w:r>
          </w:p>
        </w:tc>
        <w:tc>
          <w:tcPr>
            <w:tcW w:w="40" w:type="dxa"/>
            <w:vAlign w:val="bottom"/>
            <w:gridSpan w:val="2"/>
          </w:tcPr>
          <w:p>
            <w:pPr>
              <w:spacing w:after="0"/>
              <w:rPr>
                <w:sz w:val="18"/>
                <w:szCs w:val="18"/>
                <w:color w:val="auto"/>
              </w:rPr>
            </w:pPr>
          </w:p>
        </w:tc>
      </w:tr>
      <w:tr>
        <w:trPr>
          <w:trHeight w:val="181"/>
        </w:trPr>
        <w:tc>
          <w:tcPr>
            <w:tcW w:w="4700" w:type="dxa"/>
            <w:vAlign w:val="bottom"/>
          </w:tcPr>
          <w:p>
            <w:pPr>
              <w:spacing w:after="0"/>
              <w:rPr>
                <w:sz w:val="15"/>
                <w:szCs w:val="15"/>
                <w:color w:val="auto"/>
              </w:rPr>
            </w:pPr>
          </w:p>
        </w:tc>
        <w:tc>
          <w:tcPr>
            <w:tcW w:w="4760" w:type="dxa"/>
            <w:vAlign w:val="bottom"/>
            <w:gridSpan w:val="2"/>
          </w:tcPr>
          <w:p>
            <w:pPr>
              <w:jc w:val="right"/>
              <w:ind w:right="470"/>
              <w:spacing w:after="0" w:line="181" w:lineRule="exact"/>
              <w:rPr>
                <w:sz w:val="20"/>
                <w:szCs w:val="20"/>
                <w:color w:val="auto"/>
              </w:rPr>
            </w:pPr>
            <w:r>
              <w:rPr>
                <w:rFonts w:ascii="Arial" w:cs="Arial" w:eastAsia="Arial" w:hAnsi="Arial"/>
                <w:sz w:val="18"/>
                <w:szCs w:val="18"/>
                <w:color w:val="auto"/>
              </w:rPr>
              <w:t>September 30,</w:t>
            </w:r>
          </w:p>
        </w:tc>
        <w:tc>
          <w:tcPr>
            <w:tcW w:w="2000" w:type="dxa"/>
            <w:vAlign w:val="bottom"/>
            <w:gridSpan w:val="4"/>
          </w:tcPr>
          <w:p>
            <w:pPr>
              <w:jc w:val="center"/>
              <w:ind w:right="60"/>
              <w:spacing w:after="0" w:line="181" w:lineRule="exact"/>
              <w:rPr>
                <w:sz w:val="20"/>
                <w:szCs w:val="20"/>
                <w:color w:val="auto"/>
              </w:rPr>
            </w:pPr>
            <w:r>
              <w:rPr>
                <w:rFonts w:ascii="Arial" w:cs="Arial" w:eastAsia="Arial" w:hAnsi="Arial"/>
                <w:sz w:val="18"/>
                <w:szCs w:val="18"/>
                <w:color w:val="auto"/>
                <w:w w:val="99"/>
              </w:rPr>
              <w:t>September 30,</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2011</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73"/>
        </w:trPr>
        <w:tc>
          <w:tcPr>
            <w:tcW w:w="47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82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$2,739</w:t>
            </w:r>
          </w:p>
        </w:tc>
        <w:tc>
          <w:tcPr>
            <w:tcW w:w="9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$2,610</w:t>
            </w:r>
          </w:p>
        </w:tc>
        <w:tc>
          <w:tcPr>
            <w:tcW w:w="118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$6,315</w:t>
            </w:r>
          </w:p>
        </w:tc>
        <w:tc>
          <w:tcPr>
            <w:tcW w:w="80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$3,215</w:t>
            </w:r>
          </w:p>
        </w:tc>
        <w:tc>
          <w:tcPr>
            <w:tcW w:w="20" w:type="dxa"/>
            <w:vAlign w:val="bottom"/>
          </w:tcPr>
          <w:p>
            <w:pPr>
              <w:spacing w:after="0"/>
              <w:rPr>
                <w:sz w:val="15"/>
                <w:szCs w:val="15"/>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38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57</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3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(166)</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9"/>
                <w:szCs w:val="19"/>
                <w:color w:val="auto"/>
              </w:rPr>
            </w:pP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8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$2,739</w:t>
            </w:r>
          </w:p>
        </w:tc>
        <w:tc>
          <w:tcPr>
            <w:tcW w:w="9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$2,691</w:t>
            </w:r>
          </w:p>
        </w:tc>
        <w:tc>
          <w:tcPr>
            <w:tcW w:w="1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$6,149</w:t>
            </w:r>
          </w:p>
        </w:tc>
        <w:tc>
          <w:tcPr>
            <w:tcW w:w="8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$4,456</w:t>
            </w: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Restructuring charges in Q3 2012 were principally associated with restructuring actions in Sweden which are expected to contribute to lower costs starting in the fourth quarter of 2012. The restructuring activities are related to lower demand for paper machine clothing in Europe.</w:t>
      </w:r>
    </w:p>
    <w:p>
      <w:pPr>
        <w:spacing w:after="0" w:line="170"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Restructuring charges in Q3 2011 were principally due to organizational changes associated with the substantial completion of the SAP conversion project.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top w:val="single" w:sz="8" w:color="auto"/>
            </w:tcBorders>
          </w:tcPr>
          <w:p>
            <w:pPr>
              <w:spacing w:after="0"/>
              <w:rPr>
                <w:sz w:val="18"/>
                <w:szCs w:val="18"/>
                <w:color w:val="auto"/>
              </w:rPr>
            </w:pPr>
          </w:p>
        </w:tc>
        <w:tc>
          <w:tcPr>
            <w:tcW w:w="426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Three months ended</w:t>
            </w:r>
          </w:p>
        </w:tc>
        <w:tc>
          <w:tcPr>
            <w:tcW w:w="19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181"/>
        </w:trPr>
        <w:tc>
          <w:tcPr>
            <w:tcW w:w="5220" w:type="dxa"/>
            <w:vAlign w:val="bottom"/>
          </w:tcPr>
          <w:p>
            <w:pPr>
              <w:spacing w:after="0"/>
              <w:rPr>
                <w:sz w:val="15"/>
                <w:szCs w:val="15"/>
                <w:color w:val="auto"/>
              </w:rPr>
            </w:pPr>
          </w:p>
        </w:tc>
        <w:tc>
          <w:tcPr>
            <w:tcW w:w="4260" w:type="dxa"/>
            <w:vAlign w:val="bottom"/>
            <w:gridSpan w:val="2"/>
          </w:tcPr>
          <w:p>
            <w:pPr>
              <w:jc w:val="right"/>
              <w:ind w:right="470"/>
              <w:spacing w:after="0" w:line="181" w:lineRule="exact"/>
              <w:rPr>
                <w:sz w:val="20"/>
                <w:szCs w:val="20"/>
                <w:color w:val="auto"/>
              </w:rPr>
            </w:pPr>
            <w:r>
              <w:rPr>
                <w:rFonts w:ascii="Arial" w:cs="Arial" w:eastAsia="Arial" w:hAnsi="Arial"/>
                <w:sz w:val="18"/>
                <w:szCs w:val="18"/>
                <w:color w:val="auto"/>
              </w:rPr>
              <w:t>September 30,</w:t>
            </w:r>
          </w:p>
        </w:tc>
        <w:tc>
          <w:tcPr>
            <w:tcW w:w="1960" w:type="dxa"/>
            <w:vAlign w:val="bottom"/>
            <w:gridSpan w:val="3"/>
          </w:tcPr>
          <w:p>
            <w:pPr>
              <w:jc w:val="right"/>
              <w:ind w:right="42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19"/>
                <w:szCs w:val="19"/>
                <w:color w:val="auto"/>
              </w:rPr>
            </w:pPr>
          </w:p>
        </w:tc>
      </w:tr>
      <w:tr>
        <w:trPr>
          <w:trHeight w:val="173"/>
        </w:trPr>
        <w:tc>
          <w:tcPr>
            <w:tcW w:w="522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328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$3,997</w:t>
            </w:r>
          </w:p>
        </w:tc>
        <w:tc>
          <w:tcPr>
            <w:tcW w:w="9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$4,377</w:t>
            </w:r>
          </w:p>
        </w:tc>
        <w:tc>
          <w:tcPr>
            <w:tcW w:w="112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$12,610</w:t>
            </w:r>
          </w:p>
        </w:tc>
        <w:tc>
          <w:tcPr>
            <w:tcW w:w="820" w:type="dxa"/>
            <w:vAlign w:val="bottom"/>
          </w:tcPr>
          <w:p>
            <w:pPr>
              <w:jc w:val="right"/>
              <w:spacing w:after="0" w:line="173" w:lineRule="exact"/>
              <w:rPr>
                <w:sz w:val="20"/>
                <w:szCs w:val="20"/>
                <w:color w:val="auto"/>
              </w:rPr>
            </w:pPr>
            <w:r>
              <w:rPr>
                <w:rFonts w:ascii="Arial" w:cs="Arial" w:eastAsia="Arial" w:hAnsi="Arial"/>
                <w:sz w:val="18"/>
                <w:szCs w:val="18"/>
                <w:color w:val="auto"/>
              </w:rPr>
              <w:t>$13,939</w:t>
            </w:r>
          </w:p>
        </w:tc>
        <w:tc>
          <w:tcPr>
            <w:tcW w:w="20" w:type="dxa"/>
            <w:vAlign w:val="bottom"/>
          </w:tcPr>
          <w:p>
            <w:pPr>
              <w:spacing w:after="0"/>
              <w:rPr>
                <w:sz w:val="15"/>
                <w:szCs w:val="15"/>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Other expense/(income), net</w:t>
            </w:r>
          </w:p>
        </w:tc>
        <w:tc>
          <w:tcPr>
            <w:tcW w:w="3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3,069</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5,062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4,811</w:t>
            </w: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Income tax (benefit)/expense</w:t>
            </w:r>
          </w:p>
        </w:tc>
        <w:tc>
          <w:tcPr>
            <w:tcW w:w="3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6,965</w:t>
            </w:r>
          </w:p>
        </w:tc>
        <w:tc>
          <w:tcPr>
            <w:tcW w:w="9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7,897</w:t>
            </w: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(32,650)</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14,303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3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382</w:t>
            </w:r>
          </w:p>
        </w:tc>
        <w:tc>
          <w:tcPr>
            <w:tcW w:w="9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2,181</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71,582</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10,910</w:t>
            </w:r>
          </w:p>
        </w:tc>
      </w:tr>
      <w:tr>
        <w:trPr>
          <w:trHeight w:val="225"/>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3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$9,463</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$16,674</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$22,759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$42,169</w:t>
            </w:r>
          </w:p>
        </w:tc>
        <w:tc>
          <w:tcPr>
            <w:tcW w:w="20" w:type="dxa"/>
            <w:vAlign w:val="bottom"/>
            <w:tcBorders>
              <w:bottom w:val="single" w:sz="8" w:color="auto"/>
            </w:tcBorders>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The decrease in interest expense, net is principally the result of lower levels of outstanding debt. The average balance outstanding under the revolving credit agreement during the nine-month periods of 2012 and 2011 was $151.2 million and $225.3 million, respectively. The weighted average interest rate was 3.75% during Q3 2012, compared to a rate of 3.58% during Q3 2011. See the Capital Resources section below for further discussion of borrowings and interest rates.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 Expense/ (Income), 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expense/(income), net, included the following:</w:t>
      </w:r>
    </w:p>
    <w:p>
      <w:pPr>
        <w:spacing w:after="0" w:line="171" w:lineRule="exact"/>
        <w:rPr>
          <w:sz w:val="20"/>
          <w:szCs w:val="20"/>
          <w:color w:val="auto"/>
        </w:rPr>
      </w:pPr>
    </w:p>
    <w:p>
      <w:pPr>
        <w:ind w:left="720" w:hanging="361"/>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Revaluation of non-functional-currency intercompany balances resulted in losses of $2.2 million in Q3 2012 and a gain of $0.8 million in 2011.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Other expense/(income), net, included the following:</w:t>
      </w:r>
    </w:p>
    <w:p>
      <w:pPr>
        <w:spacing w:after="0" w:line="185" w:lineRule="exact"/>
        <w:rPr>
          <w:sz w:val="20"/>
          <w:szCs w:val="20"/>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Revaluation of non-functional-currency intercompany balances resulted in losses of $2.9 million in 2012 and $2.6 million in 2011.</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(Benefit)/Expense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right="40"/>
        <w:spacing w:after="0" w:line="234" w:lineRule="auto"/>
        <w:rPr>
          <w:sz w:val="20"/>
          <w:szCs w:val="20"/>
          <w:color w:val="auto"/>
        </w:rPr>
      </w:pPr>
      <w:r>
        <w:rPr>
          <w:rFonts w:ascii="Arial" w:cs="Arial" w:eastAsia="Arial" w:hAnsi="Arial"/>
          <w:sz w:val="18"/>
          <w:szCs w:val="18"/>
          <w:color w:val="auto"/>
        </w:rPr>
        <w:t>Income tax expense of $7.0 million was recognized in 2012 as compared to tax expense of $7.9 million in 2011, principally due to the net effect of the following:</w:t>
      </w:r>
    </w:p>
    <w:p>
      <w:pPr>
        <w:spacing w:after="0" w:line="2" w:lineRule="exact"/>
        <w:rPr>
          <w:sz w:val="20"/>
          <w:szCs w:val="20"/>
          <w:color w:val="auto"/>
        </w:rPr>
      </w:pPr>
    </w:p>
    <w:p>
      <w:pPr>
        <w:ind w:left="720" w:right="20" w:hanging="361"/>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effective income tax rate from continuing operations, exclusive of the pension settlement charge, effect of change in estimated tax rate and discrete tax items, was 35.4 percent for the third quarter of 2012 and 34.6 percent for the third quarter of 2011.</w:t>
      </w:r>
    </w:p>
    <w:p>
      <w:pPr>
        <w:spacing w:after="0" w:line="1" w:lineRule="exact"/>
        <w:rPr>
          <w:rFonts w:ascii="Arial" w:cs="Arial" w:eastAsia="Arial" w:hAnsi="Arial"/>
          <w:sz w:val="18"/>
          <w:szCs w:val="18"/>
          <w:color w:val="auto"/>
        </w:rPr>
      </w:pPr>
    </w:p>
    <w:p>
      <w:pPr>
        <w:ind w:left="720" w:right="20" w:hanging="361"/>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the effective income tax rate was primarily due to a change in the distribution of income and loss amongst the various countries within which the Company operates.</w:t>
      </w:r>
    </w:p>
    <w:p>
      <w:pPr>
        <w:spacing w:after="0" w:line="1" w:lineRule="exact"/>
        <w:rPr>
          <w:rFonts w:ascii="Arial" w:cs="Arial" w:eastAsia="Arial" w:hAnsi="Arial"/>
          <w:sz w:val="18"/>
          <w:szCs w:val="18"/>
          <w:color w:val="auto"/>
        </w:rPr>
      </w:pPr>
    </w:p>
    <w:p>
      <w:pPr>
        <w:ind w:left="720" w:hanging="361"/>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estimated income tax rate and discrete tax adjustments recorded in the third quarter each year increased income taxes by $1.3 million in 2012 and $0.1 million in 2011.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Year to date Income tax benefit includes favorable discrete tax adjustments of $6.7 million in 2012 and $1.5 million in 2011. Additionally, 2012 includes an income tax benefit of $ 39.5 million related to pension settlement charges. The Company’s effective income tax rate, exclusive of the pension settlement charge and discrete items, was 35.4 percent in 2012 and 34.6 percent in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the first quarter of 2012, the Company completed the sale of its Albany Door Systems business and, in the second quarter, the Company completed the sale of its PrimaLoft® Products business. In the third quarter, we recorded adjustments that decreased by $0.3 million the gain on sale of those businesses. For the nine months ended September 30, 2012, we recorded a pre-tax gain of $92.4 million for the sale of those businesses.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Machine Clothing, we anticipate a sharp slowdown at the end of this year across all of our markets, followed by a very slow start to next year. Additionally, we expect continued weakness in 2013 in European Machine Clothing and intense price competition. For AEC, the development program for the fan module of the LEAP engine remains on schedule, with important milestones scheduled for 2013.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Machine Clothing (MC) is our primary business segment and accounted for 92% of our consolidated revenues during 2012. MC is comprised of two main product areas, paper machine clothing and engineered fabrics (EF). Paper machine clothing (PMC) is purchased primarily by manufacturers of paper and paperboard. EF manufactures products similar to PMC, but for customers in industries other than paper. The largest portion of revenue in this segment is derived from sales to the nonwovens industry, which includes the manufacture of diapers, personal care and household wipes. Other markets that are served by this segment are businesses adjacent to the paper industry, and manufacturers of tannery, textile and building products.</w:t>
      </w:r>
    </w:p>
    <w:p>
      <w:pPr>
        <w:spacing w:after="0" w:line="192"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2-4% over the next five years, driven primarily by secular demand increases in the Asia and South America, with stabilization in the mature markets of Europe and North America.</w:t>
      </w:r>
    </w:p>
    <w:p>
      <w:pPr>
        <w:spacing w:after="0" w:line="16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PMC, while contributing to the papermaking efficiency of customers, have lengthened the useful life of many of our products and had an adverse impact on overall PMC demand. These factors help to explain why PMC revenue growth grows at a lesser rate than growth in paper production.</w:t>
      </w:r>
    </w:p>
    <w:p>
      <w:pPr>
        <w:spacing w:after="0" w:line="16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7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incurred significant restructuring charges in recent periods as we reduced PMC manufacturing capacity in the United States, Canada, Germany, Finland, France, Sweden, and Australia. We have also incurred costs for idle capacity and equipment relocation that were related to the shutdown of these plants, and underutilized costs related to our PMC plant in China. Expenses related to these items were included in “Cost of Goods Sold” in the periods in which they were incurred. In addition, we incurred restructuring charges related to the centralization of administrative functions in Europe, and reorganization of our research and development function that has improved our ability to bring value-added products to market faster.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Three months ended</w:t>
            </w:r>
          </w:p>
        </w:tc>
        <w:tc>
          <w:tcPr>
            <w:tcW w:w="2440" w:type="dxa"/>
            <w:vAlign w:val="bottom"/>
            <w:tcBorders>
              <w:top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9"/>
              </w:rPr>
              <w:t>Nine months ended</w:t>
            </w:r>
          </w:p>
        </w:tc>
        <w:tc>
          <w:tcPr>
            <w:tcW w:w="40" w:type="dxa"/>
            <w:vAlign w:val="bottom"/>
            <w:gridSpan w:val="2"/>
          </w:tcPr>
          <w:p>
            <w:pPr>
              <w:spacing w:after="0"/>
              <w:rPr>
                <w:sz w:val="18"/>
                <w:szCs w:val="18"/>
                <w:color w:val="auto"/>
              </w:rPr>
            </w:pPr>
          </w:p>
        </w:tc>
      </w:tr>
      <w:tr>
        <w:trPr>
          <w:trHeight w:val="181"/>
        </w:trPr>
        <w:tc>
          <w:tcPr>
            <w:tcW w:w="3940" w:type="dxa"/>
            <w:vAlign w:val="bottom"/>
          </w:tcPr>
          <w:p>
            <w:pPr>
              <w:spacing w:after="0"/>
              <w:rPr>
                <w:sz w:val="15"/>
                <w:szCs w:val="15"/>
                <w:color w:val="auto"/>
              </w:rPr>
            </w:pPr>
          </w:p>
        </w:tc>
        <w:tc>
          <w:tcPr>
            <w:tcW w:w="5040" w:type="dxa"/>
            <w:vAlign w:val="bottom"/>
            <w:gridSpan w:val="2"/>
          </w:tcPr>
          <w:p>
            <w:pPr>
              <w:jc w:val="right"/>
              <w:ind w:right="990"/>
              <w:spacing w:after="0" w:line="181" w:lineRule="exact"/>
              <w:rPr>
                <w:sz w:val="20"/>
                <w:szCs w:val="20"/>
                <w:color w:val="auto"/>
              </w:rPr>
            </w:pPr>
            <w:r>
              <w:rPr>
                <w:rFonts w:ascii="Arial" w:cs="Arial" w:eastAsia="Arial" w:hAnsi="Arial"/>
                <w:sz w:val="18"/>
                <w:szCs w:val="18"/>
                <w:color w:val="auto"/>
              </w:rPr>
              <w:t>September 30,</w:t>
            </w:r>
          </w:p>
        </w:tc>
        <w:tc>
          <w:tcPr>
            <w:tcW w:w="2480" w:type="dxa"/>
            <w:vAlign w:val="bottom"/>
            <w:gridSpan w:val="4"/>
          </w:tcPr>
          <w:p>
            <w:pPr>
              <w:jc w:val="center"/>
              <w:ind w:right="180"/>
              <w:spacing w:after="0" w:line="181" w:lineRule="exact"/>
              <w:rPr>
                <w:sz w:val="20"/>
                <w:szCs w:val="20"/>
                <w:color w:val="auto"/>
              </w:rPr>
            </w:pPr>
            <w:r>
              <w:rPr>
                <w:rFonts w:ascii="Arial" w:cs="Arial" w:eastAsia="Arial" w:hAnsi="Arial"/>
                <w:sz w:val="18"/>
                <w:szCs w:val="18"/>
                <w:color w:val="auto"/>
                <w:w w:val="99"/>
              </w:rPr>
              <w:t>September 30,</w:t>
            </w:r>
          </w:p>
        </w:tc>
      </w:tr>
      <w:tr>
        <w:trPr>
          <w:trHeight w:val="2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73"/>
        </w:trPr>
        <w:tc>
          <w:tcPr>
            <w:tcW w:w="39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6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$177,471</w:t>
            </w:r>
          </w:p>
        </w:tc>
        <w:tc>
          <w:tcPr>
            <w:tcW w:w="140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$188,334</w:t>
            </w:r>
          </w:p>
        </w:tc>
        <w:tc>
          <w:tcPr>
            <w:tcW w:w="142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$518,881</w:t>
            </w:r>
          </w:p>
        </w:tc>
        <w:tc>
          <w:tcPr>
            <w:tcW w:w="104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$555,993</w:t>
            </w:r>
          </w:p>
        </w:tc>
        <w:tc>
          <w:tcPr>
            <w:tcW w:w="20" w:type="dxa"/>
            <w:vAlign w:val="bottom"/>
          </w:tcPr>
          <w:p>
            <w:pPr>
              <w:spacing w:after="0"/>
              <w:rPr>
                <w:sz w:val="15"/>
                <w:szCs w:val="15"/>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79,195</w:t>
            </w:r>
          </w:p>
        </w:tc>
        <w:tc>
          <w:tcPr>
            <w:tcW w:w="1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79,338</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225,440</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240,828</w:t>
            </w:r>
          </w:p>
        </w:tc>
        <w:tc>
          <w:tcPr>
            <w:tcW w:w="2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44.6%</w:t>
            </w:r>
          </w:p>
        </w:tc>
        <w:tc>
          <w:tcPr>
            <w:tcW w:w="1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42.1%</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43.4%</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43.3%</w:t>
            </w:r>
          </w:p>
        </w:tc>
        <w:tc>
          <w:tcPr>
            <w:tcW w:w="20" w:type="dxa"/>
            <w:vAlign w:val="bottom"/>
          </w:tcPr>
          <w:p>
            <w:pPr>
              <w:spacing w:after="0"/>
              <w:rPr>
                <w:sz w:val="17"/>
                <w:szCs w:val="17"/>
                <w:color w:val="auto"/>
              </w:rPr>
            </w:pPr>
          </w:p>
        </w:tc>
      </w:tr>
      <w:tr>
        <w:trPr>
          <w:trHeight w:val="22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3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44,918</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48,867</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120,760</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136,847</w:t>
            </w:r>
          </w:p>
        </w:tc>
        <w:tc>
          <w:tcPr>
            <w:tcW w:w="2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left="540"/>
        <w:spacing w:after="0" w:line="234" w:lineRule="auto"/>
        <w:rPr>
          <w:sz w:val="20"/>
          <w:szCs w:val="20"/>
          <w:color w:val="auto"/>
        </w:rPr>
      </w:pPr>
      <w:r>
        <w:rPr>
          <w:rFonts w:ascii="Arial" w:cs="Arial" w:eastAsia="Arial" w:hAnsi="Arial"/>
          <w:sz w:val="18"/>
          <w:szCs w:val="18"/>
          <w:color w:val="auto"/>
        </w:rPr>
        <w:t>Changes in currency translation rates had the effect of decreasing net sales by $5.4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Excluding the effect of changes in currency translation rates, 2012 net sales decreased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560"/>
        <w:spacing w:after="0" w:line="234" w:lineRule="auto"/>
        <w:rPr>
          <w:sz w:val="20"/>
          <w:szCs w:val="20"/>
          <w:color w:val="auto"/>
        </w:rPr>
      </w:pPr>
      <w:r>
        <w:rPr>
          <w:rFonts w:ascii="Arial" w:cs="Arial" w:eastAsia="Arial" w:hAnsi="Arial"/>
          <w:sz w:val="18"/>
          <w:szCs w:val="18"/>
          <w:color w:val="auto"/>
        </w:rPr>
        <w:t>A transition to new contract terms with a major customer in North America, accelerating the transfer of inventory ownership to that customer, increased Q3 2012 net sales by $8 million, and will have a smaller positive residual impact on sales over the next two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-344805</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46" w:lineRule="auto"/>
        <w:rPr>
          <w:sz w:val="20"/>
          <w:szCs w:val="20"/>
          <w:color w:val="auto"/>
        </w:rPr>
      </w:pPr>
      <w:r>
        <w:rPr>
          <w:rFonts w:ascii="Arial" w:cs="Arial" w:eastAsia="Arial" w:hAnsi="Arial"/>
          <w:sz w:val="18"/>
          <w:szCs w:val="18"/>
          <w:color w:val="auto"/>
        </w:rPr>
        <w:t>Americas and Asia sales held firm in Q3 2012, while as expected, sales in Europe continued to deteriorate. Compared to Q3 2011, sales in Europe declined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net sales by $13.2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Excluding the effect of changes in currency translation rates, 2012 net sales decreased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560"/>
        <w:spacing w:after="0" w:line="234" w:lineRule="auto"/>
        <w:rPr>
          <w:sz w:val="20"/>
          <w:szCs w:val="20"/>
          <w:color w:val="auto"/>
        </w:rPr>
      </w:pPr>
      <w:r>
        <w:rPr>
          <w:rFonts w:ascii="Arial" w:cs="Arial" w:eastAsia="Arial" w:hAnsi="Arial"/>
          <w:sz w:val="18"/>
          <w:szCs w:val="18"/>
          <w:color w:val="auto"/>
        </w:rPr>
        <w:t>A transition to new contract terms with a major customer in North America, accelerating the transfer of inventory ownership to that customer, increased Q3 2012 net sales by $8 million, and will have a smaller positive residual impact on sales over the next two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-344805</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 especially weak Q1 led to lower nine-month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Gross Profit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right="100"/>
        <w:spacing w:after="0" w:line="246" w:lineRule="auto"/>
        <w:rPr>
          <w:sz w:val="20"/>
          <w:szCs w:val="20"/>
          <w:color w:val="auto"/>
        </w:rPr>
      </w:pPr>
      <w:r>
        <w:rPr>
          <w:rFonts w:ascii="Arial" w:cs="Arial" w:eastAsia="Arial" w:hAnsi="Arial"/>
          <w:sz w:val="18"/>
          <w:szCs w:val="18"/>
          <w:color w:val="auto"/>
        </w:rPr>
        <w:t>The increase in gross profit percentage during 2012 was primarily due to high plant utilization in the Americas and favorable geographic sales mix.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Gross profit percentage was slightly higher in 2012 was principally due to the net effect of the following:</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plant utilization during Q2 and Q3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Q1 2011 gross profit was increased by unusually high production levels due to inventory restocking in MC.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rPr>
          <w:sz w:val="20"/>
          <w:szCs w:val="20"/>
          <w:color w:val="auto"/>
        </w:rPr>
      </w:pPr>
      <w:r>
        <w:rPr>
          <w:rFonts w:ascii="Arial" w:cs="Arial" w:eastAsia="Arial" w:hAnsi="Arial"/>
          <w:sz w:val="18"/>
          <w:szCs w:val="18"/>
          <w:color w:val="auto"/>
        </w:rPr>
        <w:t>In addition to the items discussed above affecting gross profit and operating income, $2.7 million of restructuring charges were incurred in the third quarter of each year. Revaluation of nonfunctional currency assets and liabilities resulted in a loss of $1.4 million in Q3 2012 as compared to a gain of $5.8 million in Q3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items discussed above affecting gross profit and STG&amp;R, operating income in 2012 was decreased by the following: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$15.4 million decrease due to lower gross profit principally due to lower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Revaluation of non-functional currency balances resulted in a loss of $0.4 million in 2012 and gains of $1.8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Q3 2012 included restructuring charges of $6.3 million as compared to $3.2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9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the immediate future, we expect the quarterly volatility that we have experienced since the 2009 recession to continue. We anticipate a sharp slowdown at the end of this year across all of our markets, followed by a very slow start to next year, just as we experienced in Q4 2011 and Q1 2012. Given the greater economic uncertainty, the slowdown at the end of this year has the potential to be more severe than last year. For 2013, we expect continued weakness in demand in Europe and given the structural conditions there, a near certainty of price deterioration.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In 2011, approximately 25% of this segment’s sales were related to U.S. government contracts or programs.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Three months ended</w:t>
            </w:r>
          </w:p>
        </w:tc>
        <w:tc>
          <w:tcPr>
            <w:tcW w:w="242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181"/>
        </w:trPr>
        <w:tc>
          <w:tcPr>
            <w:tcW w:w="4220" w:type="dxa"/>
            <w:vAlign w:val="bottom"/>
          </w:tcPr>
          <w:p>
            <w:pPr>
              <w:spacing w:after="0"/>
              <w:rPr>
                <w:sz w:val="15"/>
                <w:szCs w:val="15"/>
                <w:color w:val="auto"/>
              </w:rPr>
            </w:pPr>
          </w:p>
        </w:tc>
        <w:tc>
          <w:tcPr>
            <w:tcW w:w="376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020" w:type="dxa"/>
            <w:vAlign w:val="bottom"/>
          </w:tcPr>
          <w:p>
            <w:pPr>
              <w:spacing w:after="0"/>
              <w:rPr>
                <w:sz w:val="15"/>
                <w:szCs w:val="15"/>
                <w:color w:val="auto"/>
              </w:rPr>
            </w:pPr>
          </w:p>
        </w:tc>
        <w:tc>
          <w:tcPr>
            <w:tcW w:w="17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73"/>
        </w:trPr>
        <w:tc>
          <w:tcPr>
            <w:tcW w:w="422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76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$17,118</w:t>
            </w:r>
          </w:p>
        </w:tc>
        <w:tc>
          <w:tcPr>
            <w:tcW w:w="102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$11,918</w:t>
            </w:r>
          </w:p>
        </w:tc>
        <w:tc>
          <w:tcPr>
            <w:tcW w:w="174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$47,725</w:t>
            </w:r>
          </w:p>
        </w:tc>
        <w:tc>
          <w:tcPr>
            <w:tcW w:w="680" w:type="dxa"/>
            <w:vAlign w:val="bottom"/>
          </w:tcPr>
          <w:p>
            <w:pPr>
              <w:jc w:val="right"/>
              <w:spacing w:after="0" w:line="173" w:lineRule="exact"/>
              <w:rPr>
                <w:sz w:val="20"/>
                <w:szCs w:val="20"/>
                <w:color w:val="auto"/>
              </w:rPr>
            </w:pPr>
            <w:r>
              <w:rPr>
                <w:rFonts w:ascii="Arial" w:cs="Arial" w:eastAsia="Arial" w:hAnsi="Arial"/>
                <w:sz w:val="18"/>
                <w:szCs w:val="18"/>
                <w:color w:val="auto"/>
              </w:rPr>
              <w:t>$33,894</w:t>
            </w:r>
          </w:p>
        </w:tc>
        <w:tc>
          <w:tcPr>
            <w:tcW w:w="20" w:type="dxa"/>
            <w:vAlign w:val="bottom"/>
          </w:tcPr>
          <w:p>
            <w:pPr>
              <w:spacing w:after="0"/>
              <w:rPr>
                <w:sz w:val="15"/>
                <w:szCs w:val="15"/>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76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1,515</w:t>
            </w:r>
          </w:p>
        </w:tc>
        <w:tc>
          <w:tcPr>
            <w:tcW w:w="10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(300)</w:t>
            </w:r>
          </w:p>
        </w:tc>
        <w:tc>
          <w:tcPr>
            <w:tcW w:w="174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4,218</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76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8.8%</w:t>
            </w:r>
          </w:p>
        </w:tc>
        <w:tc>
          <w:tcPr>
            <w:tcW w:w="10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-2.5%</w:t>
            </w:r>
          </w:p>
        </w:tc>
        <w:tc>
          <w:tcPr>
            <w:tcW w:w="17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8.8%</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w:t>
            </w: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(loss)/income</w:t>
            </w:r>
          </w:p>
        </w:tc>
        <w:tc>
          <w:tcPr>
            <w:tcW w:w="3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(312)</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(1,434)</w:t>
            </w:r>
          </w:p>
        </w:tc>
        <w:tc>
          <w:tcPr>
            <w:tcW w:w="1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(653)</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(3,621)</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left="540" w:right="40"/>
        <w:spacing w:after="0" w:line="246" w:lineRule="auto"/>
        <w:rPr>
          <w:sz w:val="20"/>
          <w:szCs w:val="20"/>
          <w:color w:val="auto"/>
        </w:rPr>
      </w:pPr>
      <w:r>
        <w:rPr>
          <w:rFonts w:ascii="Arial" w:cs="Arial" w:eastAsia="Arial" w:hAnsi="Arial"/>
          <w:sz w:val="18"/>
          <w:szCs w:val="18"/>
          <w:color w:val="auto"/>
        </w:rPr>
        <w:t>The 44% increase in 2012 net sales was principally due to improved revenues from existing programs, including Landing Braces, LEAP-X and Joint Strike Fighter advanced composite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8"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41% increase in 2012 net sales was principally due to improved revenues from existing programs, including LEAP-X and Joint Strike Fighter advanced composite materials.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comparisons</w:t>
      </w:r>
    </w:p>
    <w:p>
      <w:pPr>
        <w:spacing w:after="0"/>
        <w:rPr>
          <w:sz w:val="20"/>
          <w:szCs w:val="20"/>
          <w:color w:val="auto"/>
        </w:rPr>
      </w:pPr>
      <w:r>
        <w:rPr>
          <w:rFonts w:ascii="Arial" w:cs="Arial" w:eastAsia="Arial" w:hAnsi="Arial"/>
          <w:sz w:val="18"/>
          <w:szCs w:val="18"/>
          <w:color w:val="auto"/>
        </w:rPr>
        <w:t>The increase in 2012 gross profit was principally due to higher sales and improved pricing in some of the legacy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 comparison</w:t>
      </w:r>
    </w:p>
    <w:p>
      <w:pPr>
        <w:spacing w:after="0"/>
        <w:rPr>
          <w:sz w:val="20"/>
          <w:szCs w:val="20"/>
          <w:color w:val="auto"/>
        </w:rPr>
      </w:pPr>
      <w:r>
        <w:rPr>
          <w:rFonts w:ascii="Arial" w:cs="Arial" w:eastAsia="Arial" w:hAnsi="Arial"/>
          <w:sz w:val="18"/>
          <w:szCs w:val="18"/>
          <w:color w:val="auto"/>
        </w:rPr>
        <w:t>The decrease in 2012 operating loss was principally due to the higher net sales and improved gross margins.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development program for the fan module of the LEAP engine remains on schedule; the most important near-term milestones are production of parts for CFM’s first LEAP engine test (currently scheduled for Q3 2013) and construction of Plant 1 (scheduled for completion mid-2013).</w:t>
      </w:r>
    </w:p>
    <w:p>
      <w:pPr>
        <w:spacing w:after="0" w:line="16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longer term R&amp;D activities continue to expand, including a growing array of joint R&amp;D activities with Safran directed at both low- and high-temperature applications: activities aimed at airframe applications; and an exploration of applications in the automotive industry. Construction of AEC’s new 45,000-square-foot advanced composites R&amp;D Center will be completed in Q4 of this year. Boeing’s ground test of the ceramic composite engine nozzle, delayed by availability of the test engine, is also scheduled for late in Q4.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Summary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4120" w:type="dxa"/>
            <w:vAlign w:val="bottom"/>
            <w:gridSpan w:val="3"/>
          </w:tcPr>
          <w:p>
            <w:pPr>
              <w:jc w:val="right"/>
              <w:ind w:right="70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3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r>
      <w:tr>
        <w:trPr>
          <w:trHeight w:val="173"/>
        </w:trPr>
        <w:tc>
          <w:tcPr>
            <w:tcW w:w="732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312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$22,759</w:t>
            </w:r>
          </w:p>
        </w:tc>
        <w:tc>
          <w:tcPr>
            <w:tcW w:w="980" w:type="dxa"/>
            <w:vAlign w:val="bottom"/>
          </w:tcPr>
          <w:p>
            <w:pPr>
              <w:jc w:val="right"/>
              <w:spacing w:after="0" w:line="173" w:lineRule="exact"/>
              <w:rPr>
                <w:sz w:val="20"/>
                <w:szCs w:val="20"/>
                <w:color w:val="auto"/>
              </w:rPr>
            </w:pPr>
            <w:r>
              <w:rPr>
                <w:rFonts w:ascii="Arial" w:cs="Arial" w:eastAsia="Arial" w:hAnsi="Arial"/>
                <w:sz w:val="18"/>
                <w:szCs w:val="18"/>
                <w:color w:val="auto"/>
              </w:rPr>
              <w:t>$42,169</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1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47,500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49,683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40"/>
              <w:spacing w:after="0" w:line="202" w:lineRule="exact"/>
              <w:rPr>
                <w:sz w:val="20"/>
                <w:szCs w:val="20"/>
                <w:color w:val="auto"/>
              </w:rPr>
            </w:pPr>
            <w:r>
              <w:rPr>
                <w:rFonts w:ascii="Arial" w:cs="Arial" w:eastAsia="Arial" w:hAnsi="Arial"/>
                <w:sz w:val="18"/>
                <w:szCs w:val="18"/>
                <w:color w:val="auto"/>
              </w:rPr>
              <w:t>Changes in working capital</w:t>
            </w:r>
          </w:p>
        </w:tc>
        <w:tc>
          <w:tcPr>
            <w:tcW w:w="31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7,081</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(8,068)</w:t>
            </w:r>
          </w:p>
        </w:tc>
      </w:tr>
      <w:tr>
        <w:trPr>
          <w:trHeight w:val="203"/>
        </w:trPr>
        <w:tc>
          <w:tcPr>
            <w:tcW w:w="20" w:type="dxa"/>
            <w:vAlign w:val="bottom"/>
          </w:tcPr>
          <w:p>
            <w:pPr>
              <w:spacing w:after="0"/>
              <w:rPr>
                <w:sz w:val="17"/>
                <w:szCs w:val="17"/>
                <w:color w:val="auto"/>
              </w:rPr>
            </w:pPr>
          </w:p>
        </w:tc>
        <w:tc>
          <w:tcPr>
            <w:tcW w:w="7300" w:type="dxa"/>
            <w:vAlign w:val="bottom"/>
          </w:tcPr>
          <w:p>
            <w:pPr>
              <w:ind w:left="140"/>
              <w:spacing w:after="0" w:line="202" w:lineRule="exact"/>
              <w:rPr>
                <w:sz w:val="20"/>
                <w:szCs w:val="20"/>
                <w:color w:val="auto"/>
              </w:rPr>
            </w:pPr>
            <w:r>
              <w:rPr>
                <w:rFonts w:ascii="Arial" w:cs="Arial" w:eastAsia="Arial" w:hAnsi="Arial"/>
                <w:sz w:val="18"/>
                <w:szCs w:val="18"/>
                <w:color w:val="auto"/>
              </w:rPr>
              <w:t>Gain on disposition of assets</w:t>
            </w:r>
          </w:p>
        </w:tc>
        <w:tc>
          <w:tcPr>
            <w:tcW w:w="3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(92,376)</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(1,022)</w:t>
            </w:r>
          </w:p>
        </w:tc>
      </w:tr>
      <w:tr>
        <w:trPr>
          <w:trHeight w:val="203"/>
        </w:trPr>
        <w:tc>
          <w:tcPr>
            <w:tcW w:w="20" w:type="dxa"/>
            <w:vAlign w:val="bottom"/>
          </w:tcPr>
          <w:p>
            <w:pPr>
              <w:spacing w:after="0"/>
              <w:rPr>
                <w:sz w:val="17"/>
                <w:szCs w:val="17"/>
                <w:color w:val="auto"/>
              </w:rPr>
            </w:pPr>
          </w:p>
        </w:tc>
        <w:tc>
          <w:tcPr>
            <w:tcW w:w="7300" w:type="dxa"/>
            <w:vAlign w:val="bottom"/>
          </w:tcPr>
          <w:p>
            <w:pPr>
              <w:ind w:left="14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3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(116,374)</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(11,045)</w:t>
            </w:r>
          </w:p>
        </w:tc>
      </w:tr>
      <w:tr>
        <w:trPr>
          <w:trHeight w:val="203"/>
        </w:trPr>
        <w:tc>
          <w:tcPr>
            <w:tcW w:w="20" w:type="dxa"/>
            <w:vAlign w:val="bottom"/>
          </w:tcPr>
          <w:p>
            <w:pPr>
              <w:spacing w:after="0"/>
              <w:rPr>
                <w:sz w:val="17"/>
                <w:szCs w:val="17"/>
                <w:color w:val="auto"/>
              </w:rPr>
            </w:pPr>
          </w:p>
        </w:tc>
        <w:tc>
          <w:tcPr>
            <w:tcW w:w="7300" w:type="dxa"/>
            <w:vAlign w:val="bottom"/>
          </w:tcPr>
          <w:p>
            <w:pPr>
              <w:ind w:left="140"/>
              <w:spacing w:after="0" w:line="202" w:lineRule="exact"/>
              <w:rPr>
                <w:sz w:val="20"/>
                <w:szCs w:val="20"/>
                <w:color w:val="auto"/>
              </w:rPr>
            </w:pPr>
            <w:r>
              <w:rPr>
                <w:rFonts w:ascii="Arial" w:cs="Arial" w:eastAsia="Arial" w:hAnsi="Arial"/>
                <w:sz w:val="18"/>
                <w:szCs w:val="18"/>
                <w:color w:val="auto"/>
              </w:rPr>
              <w:t>Write-off of pension liability adjustment</w:t>
            </w:r>
          </w:p>
        </w:tc>
        <w:tc>
          <w:tcPr>
            <w:tcW w:w="31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118,350</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7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items</w:t>
            </w:r>
          </w:p>
        </w:tc>
        <w:tc>
          <w:tcPr>
            <w:tcW w:w="3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2,782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2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7300" w:type="dxa"/>
            <w:vAlign w:val="bottom"/>
          </w:tcPr>
          <w:p>
            <w:pPr>
              <w:spacing w:after="0" w:line="173" w:lineRule="exact"/>
              <w:rPr>
                <w:sz w:val="20"/>
                <w:szCs w:val="20"/>
                <w:color w:val="auto"/>
              </w:rPr>
            </w:pPr>
            <w:r>
              <w:rPr>
                <w:rFonts w:ascii="Arial" w:cs="Arial" w:eastAsia="Arial" w:hAnsi="Arial"/>
                <w:sz w:val="18"/>
                <w:szCs w:val="18"/>
                <w:color w:val="auto"/>
              </w:rPr>
              <w:t>Net cash (used in)/provided by operating activities</w:t>
            </w:r>
          </w:p>
        </w:tc>
        <w:tc>
          <w:tcPr>
            <w:tcW w:w="312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(10,278)</w:t>
            </w:r>
          </w:p>
        </w:tc>
        <w:tc>
          <w:tcPr>
            <w:tcW w:w="9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74,302</w:t>
            </w:r>
          </w:p>
        </w:tc>
        <w:tc>
          <w:tcPr>
            <w:tcW w:w="20" w:type="dxa"/>
            <w:vAlign w:val="bottom"/>
          </w:tcPr>
          <w:p>
            <w:pPr>
              <w:spacing w:after="0"/>
              <w:rPr>
                <w:sz w:val="15"/>
                <w:szCs w:val="15"/>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31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125,263</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(17,393)</w:t>
            </w: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in)/provided by financing activities</w:t>
            </w:r>
          </w:p>
        </w:tc>
        <w:tc>
          <w:tcPr>
            <w:tcW w:w="3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(64,602)</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(46,794)</w:t>
            </w:r>
          </w:p>
        </w:tc>
      </w:tr>
      <w:tr>
        <w:trPr>
          <w:trHeight w:val="225"/>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120" w:type="dxa"/>
            <w:vAlign w:val="bottom"/>
          </w:tcPr>
          <w:p>
            <w:pPr>
              <w:jc w:val="right"/>
              <w:ind w:right="250"/>
              <w:spacing w:after="0"/>
              <w:rPr>
                <w:sz w:val="20"/>
                <w:szCs w:val="20"/>
                <w:color w:val="auto"/>
              </w:rPr>
            </w:pPr>
            <w:r>
              <w:rPr>
                <w:rFonts w:ascii="Arial" w:cs="Arial" w:eastAsia="Arial" w:hAnsi="Arial"/>
                <w:sz w:val="18"/>
                <w:szCs w:val="18"/>
                <w:b w:val="1"/>
                <w:bCs w:val="1"/>
                <w:color w:val="auto"/>
              </w:rPr>
              <w:t>4,647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(2,648)</w:t>
            </w:r>
          </w:p>
        </w:tc>
      </w:tr>
      <w:tr>
        <w:trPr>
          <w:trHeight w:val="173"/>
        </w:trPr>
        <w:tc>
          <w:tcPr>
            <w:tcW w:w="732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Increase in cash and cash equivalents</w:t>
            </w:r>
          </w:p>
        </w:tc>
        <w:tc>
          <w:tcPr>
            <w:tcW w:w="3120" w:type="dxa"/>
            <w:vAlign w:val="bottom"/>
            <w:tcBorders>
              <w:top w:val="single" w:sz="8" w:color="auto"/>
            </w:tcBorders>
          </w:tcPr>
          <w:p>
            <w:pPr>
              <w:jc w:val="right"/>
              <w:ind w:right="250"/>
              <w:spacing w:after="0" w:line="173" w:lineRule="exact"/>
              <w:rPr>
                <w:sz w:val="20"/>
                <w:szCs w:val="20"/>
                <w:color w:val="auto"/>
              </w:rPr>
            </w:pPr>
            <w:r>
              <w:rPr>
                <w:rFonts w:ascii="Arial" w:cs="Arial" w:eastAsia="Arial" w:hAnsi="Arial"/>
                <w:sz w:val="18"/>
                <w:szCs w:val="18"/>
                <w:b w:val="1"/>
                <w:bCs w:val="1"/>
                <w:color w:val="auto"/>
              </w:rPr>
              <w:t>55,030</w:t>
            </w:r>
          </w:p>
        </w:tc>
        <w:tc>
          <w:tcPr>
            <w:tcW w:w="9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7,467</w:t>
            </w:r>
          </w:p>
        </w:tc>
        <w:tc>
          <w:tcPr>
            <w:tcW w:w="20" w:type="dxa"/>
            <w:vAlign w:val="bottom"/>
          </w:tcPr>
          <w:p>
            <w:pPr>
              <w:spacing w:after="0"/>
              <w:rPr>
                <w:sz w:val="15"/>
                <w:szCs w:val="15"/>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3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(1,282)</w:t>
            </w:r>
          </w:p>
        </w:tc>
      </w:tr>
      <w:tr>
        <w:trPr>
          <w:trHeight w:val="225"/>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118,909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117,925</w:t>
            </w:r>
          </w:p>
        </w:tc>
        <w:tc>
          <w:tcPr>
            <w:tcW w:w="20" w:type="dxa"/>
            <w:vAlign w:val="bottom"/>
          </w:tcPr>
          <w:p>
            <w:pPr>
              <w:spacing w:after="0"/>
              <w:rPr>
                <w:sz w:val="19"/>
                <w:szCs w:val="19"/>
                <w:color w:val="auto"/>
              </w:rPr>
            </w:pPr>
          </w:p>
        </w:tc>
      </w:tr>
      <w:tr>
        <w:trPr>
          <w:trHeight w:val="196"/>
        </w:trPr>
        <w:tc>
          <w:tcPr>
            <w:tcW w:w="7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1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173,939</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124,110</w:t>
            </w:r>
          </w:p>
        </w:tc>
        <w:tc>
          <w:tcPr>
            <w:tcW w:w="20" w:type="dxa"/>
            <w:vAlign w:val="bottom"/>
          </w:tcPr>
          <w:p>
            <w:pPr>
              <w:spacing w:after="0"/>
              <w:rPr>
                <w:sz w:val="17"/>
                <w:szCs w:val="17"/>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Below is our discussion of cash flow activities comparing the nine months ending September 30, 2012 to the same period of 2011: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decrease in cash provided by operating activities in 2012 was principally due to contributions to pension plans, which is included in Changes in long-term liabilities, deferred taxes and other credits in the above table. As part of the Company’s previously disclosed plan to fund and, in some areas, settle part of our pension liabilities in the U.S., Canada, and Sweden, $30 million of cash was used to settle the Swedish pension liabilities in Q1, we contributed $30 million in Q1 and $20 million in Q2 to the U.S. pension plan, and subsequently settled two-thirds of our U.S. pension obligations, and $18 million was contributed in Q2 to the plan in Canada to fully fund the plan and settle about half of the plan obligation. As a result of the funding and settlement activities, the global unfunded pension liability decreased from $ 101.2 million at December 31, 2011 to $26.9 million at June 30, 2012, when the settlement actions were completed. With the completion of this plan, approximately $215 million of pension plan obligations were settled, and pension expense has been reduced by $7-8 million per year.</w:t>
      </w:r>
    </w:p>
    <w:p>
      <w:pPr>
        <w:spacing w:after="0" w:line="18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Changes in working capital include changes in inventories and accounts receivable. Inventories decreased $8.4 million in 2012, but increased $13.3 million in 2011. Accounts receivable increased $6.9 million in 2012, but decreased $10.2 million in 2011.</w:t>
      </w:r>
    </w:p>
    <w:p>
      <w:pPr>
        <w:spacing w:after="0" w:line="156"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Depreciation and amortization expense totaled $47.5 million in 2012 and $49.7 million in 2011. For the full year 2012, we expect our depreciation and amortization to total $63.0 million.</w:t>
      </w:r>
    </w:p>
    <w:p>
      <w:pPr>
        <w:spacing w:after="0" w:line="15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previously disclosed, the Company reached a settlement in Q1 with the Canadian Revenue Agency (CRA) related to reassessment notices for tax years 2001 to 2008. Letters of credit of $50 million in the aggregate, required by the CRA during this process, were released by the CRA in Q2. Year to date Income tax expense includes favorable discrete tax adjustments of $6.7 million in 2012 and $1.5 million in 2011. Additionally, 2012 includes an income tax benefit of $39.5 million related to pension settlement charges.</w:t>
      </w:r>
    </w:p>
    <w:p>
      <w:pPr>
        <w:spacing w:after="0" w:line="18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Company’s effective income tax rate, exclusive of discrete items, was 35.4 percent in 2012 and 34.6 percent in 2011. Including the utilization of net operating loss carry-forwards and other deferred tax assets, cash paid for income taxes during the first three quarters of 2012 was $13.7 million, and is expected to be approximately $15 million in for the full year.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Investing Activities</w:t>
      </w:r>
    </w:p>
    <w:p>
      <w:pPr>
        <w:spacing w:after="0" w:line="23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Capital expenditures, including purchased software, were $25.4 million during the first nine months of 2012 and $20.3 million for the same period of 2011. We estimate capital spending for the full year of 2012 to be approximately $35 - $40 million.</w:t>
      </w:r>
    </w:p>
    <w:p>
      <w:pPr>
        <w:spacing w:after="0" w:line="197" w:lineRule="exact"/>
        <w:rPr>
          <w:sz w:val="20"/>
          <w:szCs w:val="20"/>
          <w:color w:val="auto"/>
        </w:rPr>
      </w:pPr>
    </w:p>
    <w:p>
      <w:pPr>
        <w:jc w:val="both"/>
        <w:ind w:right="80"/>
        <w:spacing w:after="0" w:line="228" w:lineRule="auto"/>
        <w:rPr>
          <w:sz w:val="20"/>
          <w:szCs w:val="20"/>
          <w:color w:val="auto"/>
        </w:rPr>
      </w:pPr>
      <w:r>
        <w:rPr>
          <w:rFonts w:ascii="Arial" w:cs="Arial" w:eastAsia="Arial" w:hAnsi="Arial"/>
          <w:sz w:val="17"/>
          <w:szCs w:val="17"/>
          <w:color w:val="auto"/>
        </w:rPr>
        <w:t>During Q2 2012, the Company completed the sale of 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Of the $38 million sale price, $34 million was received in June, with the remainder, subject to any post-closing adjustments, expected to be received in December 2013. During Q1 2012, the Company completed the sale of Albany Door Systems. At June 30, $122 million of the $135 million sale price had been received, with the remainder expected to be received in July 2013. We sold one U.S. manufacturing property during the first quarter of 2011 for $1.7 million in cash proceeds.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Cash dividends paid were $12.5 million during the first nine months of 2012 and $ 11.6 million during the first nine months of 2011. Dividends have been declared each quarter since the fourth quarter of 2001. Decisions with respect to whether a dividend will be paid, as well as the amount of the dividend, if applicable, are made by the Board of Directors each quarter. To the extent the Board declares cash dividends in the future, we would expect to pay such dividends out of operating cash flows. Future cash dividends will depend on debt covenants and on the Board’s assessment of our ability to generate sufficient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September 30, 2012 was held non-U.S.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a $390 million five-year revolving credit agreement that was executed during 2010. During 2012 we paid down outstanding debt under this agreement of $53 million, leaving $134 million outstanding as of September 30, 2012. These debt payments were made possible by our ability to repatriate cash from non-U.S. accounts in a tax efficient manner.</w:t>
      </w:r>
    </w:p>
    <w:p>
      <w:pPr>
        <w:spacing w:after="0" w:line="203"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The applicable interest rate for borrowings under the agreement is LIBOR plus a spread (all-in), based on our leverage ratio at the time of borrowing. Spreads under the 2010 agreement are higher than under the old agreement, reflecting changes in market spreads. As of September 30 the all-in interest rate was 3.67% in 2012 and 3.95% in 2011.</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connection with our 2010 credit agreement, we entered into interest rate swap agreements that have the effect of fixing the LIBOR portion of the effective interest rate (before addition of the spread) on $ 105.0 million of the indebtedness drawn under the credit agreement at the rate of 2.04% until these swap agreements expire on July 16, 2015. Under the terms of hedging transactions, we pay the fixed rate of 2.04% and the counterparties pay a floating rate based on the three-month LIBOR rate at each quarterly calculation date. On September 30, 2012, the applicable spread was 225 basis points, yielding an effective annual rate of 4.29%.</w:t>
      </w:r>
    </w:p>
    <w:p>
      <w:pPr>
        <w:spacing w:after="0" w:line="20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have a $ 150.0 million borrowing from the Prudential Insurance Company of America, for which the agreement was amended and restated during 2010. The principal is due in three installments of $50.0 million each in 2013, 2015, and 2017, and the interest rate is fixed at 6.84%.</w:t>
      </w:r>
    </w:p>
    <w:p>
      <w:pPr>
        <w:spacing w:after="0" w:line="17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also have $28.4 million principal amount of 2.25% convertible notes outstanding that were issued March 2006. The notes are convertible upon the occurrence of specified events, as described in Note 11 of Notes to Consolidated Financial Statements.</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Reflecting, in each case, the effect of subsequent amendments to each agreement, we are currently required to maintain a leverage ratio of not greater than 3.50 to 1.00 and to maintain minimum interest coverage of 3.00 to 1.00 under the new credit agreement and Prudential agreement.</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September 30, 2012, our leverage ratio was 1.06 to 1.00 and our interest coverage ratio was 13.56 to 1.00. We may purchase our Common Stock or pay dividends to the extent our leverage ratio remains at or below 3.50 to 1.00, and may make acquisitions with cash provided our leverage ratio would not exceed 3.00 to 1.00 after giving pro forma effect to the acquisition. As of September 30, 2012, we were in compliance with the covenants of our debt and credit agreements.</w:t>
      </w:r>
    </w:p>
    <w:p>
      <w:pPr>
        <w:spacing w:after="0" w:line="2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the maximum leverage ratio and our consolidated EBITDA (as defined in the new agreement), and without modification to any other credit agreements, as of September 30, 2012, we would have been able to borrow an additional $256 million under our credit agreements.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we have no off-balance sheet arrangements required to be disclosed pursuant to Item 303(a)(4) of Regulation S-K.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May 2011, the Financial Accounting Standards Board (FASB) amended authoritative guidance related to common fair value measurements and disclosure requirements. This pronouncement was issued to provide a consistent definition of fair value and ensure that the fair value measurement and disclosure requirements are similar between U.S. GAAP and IFRS. This pronouncement changes certain fair value measurement principles and enhances the disclosure requirements, particularly for level 3 fair value measurements, and is effective for reporting periods beginning on or after December 15, 2011. This pronouncement was adopted effective January 1, 2012 and did not have a material effect on our financial statements.</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This guidance was adopted effective January 1, 2012 and concerns presentation and disclosure only and did not have a material impact on our financial statements.</w:t>
      </w:r>
    </w:p>
    <w:p>
      <w:pPr>
        <w:spacing w:after="0" w:line="19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This pronouncement is effective for annual and interim goodwill impairment tests performed for fiscal years beginning after December 15, 2011. The adoption of this guidance did not have a material effect on our financial statements.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EBITDA from continuing operations, Adjusted EBITDA, pension settlement charges, sales excluding currency effects, effective income tax rate exclusive of income tax adjustments, net debt,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quarter of specific restructuring costs, or other gains and losses, on operating income or EBITDA can give management and investors additional insight into quarterly performance, especially when compared to quarters in which such items had a greater or lesser effect, or no effect.</w:t>
      </w:r>
    </w:p>
    <w:p>
      <w:pPr>
        <w:spacing w:after="0" w:line="19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effective Income tax rate, exclusive of Income tax adjustments, by removing Income tax adjustments from total Income tax expense, then dividing that result by Income before tax. The Company calculates EBITDA by adding Interest expense net, Income taxes and Depreciation and Amortization to Net income. Adjusted EBITDA is calculated by adding to EBITDA, costs associated with restructuring and pension settlement charges and then adding or subtracting revaluation losses or gains and subtracting building share gains.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a substitute for, the information contained in the Company’s statements of income</w:t>
      </w:r>
      <w:r>
        <w:rPr>
          <w:rFonts w:ascii="Arial" w:cs="Arial" w:eastAsia="Arial" w:hAnsi="Arial"/>
          <w:sz w:val="18"/>
          <w:szCs w:val="18"/>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contain the calculation of EBITDA from continuing operations and Adjusted EBITDA from continuing operations: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0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36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September 30, 2012</w:t>
            </w:r>
          </w:p>
        </w:tc>
        <w:tc>
          <w:tcPr>
            <w:tcW w:w="540" w:type="dxa"/>
            <w:vAlign w:val="bottom"/>
            <w:tcBorders>
              <w:top w:val="single" w:sz="8" w:color="auto"/>
              <w:bottom w:val="single" w:sz="8" w:color="auto"/>
              <w:right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760" w:type="dxa"/>
            <w:vAlign w:val="bottom"/>
            <w:tcBorders>
              <w:top w:val="single" w:sz="8" w:color="auto"/>
              <w:bottom w:val="single" w:sz="8" w:color="auto"/>
              <w:right w:val="single" w:sz="8" w:color="auto"/>
            </w:tcBorders>
            <w:gridSpan w:val="6"/>
          </w:tcPr>
          <w:p>
            <w:pPr>
              <w:jc w:val="right"/>
              <w:ind w:right="499"/>
              <w:spacing w:after="0"/>
              <w:rPr>
                <w:sz w:val="20"/>
                <w:szCs w:val="20"/>
                <w:color w:val="auto"/>
              </w:rPr>
            </w:pPr>
            <w:r>
              <w:rPr>
                <w:rFonts w:ascii="Arial" w:cs="Arial" w:eastAsia="Arial" w:hAnsi="Arial"/>
                <w:sz w:val="16"/>
                <w:szCs w:val="16"/>
                <w:b w:val="1"/>
                <w:bCs w:val="1"/>
                <w:color w:val="auto"/>
              </w:rPr>
              <w:t>Nine Months ended September 30, 2012</w:t>
            </w:r>
          </w:p>
        </w:tc>
        <w:tc>
          <w:tcPr>
            <w:tcW w:w="0" w:type="dxa"/>
            <w:vAlign w:val="bottom"/>
          </w:tcPr>
          <w:p>
            <w:pPr>
              <w:spacing w:after="0"/>
              <w:rPr>
                <w:sz w:val="1"/>
                <w:szCs w:val="1"/>
                <w:color w:val="auto"/>
              </w:rPr>
            </w:pPr>
          </w:p>
        </w:tc>
      </w:tr>
      <w:tr>
        <w:trPr>
          <w:trHeight w:val="184"/>
        </w:trPr>
        <w:tc>
          <w:tcPr>
            <w:tcW w:w="30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(in thousands)</w:t>
            </w:r>
          </w:p>
        </w:tc>
        <w:tc>
          <w:tcPr>
            <w:tcW w:w="108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Machine</w:t>
            </w:r>
          </w:p>
        </w:tc>
        <w:tc>
          <w:tcPr>
            <w:tcW w:w="56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AEC</w:t>
            </w:r>
          </w:p>
        </w:tc>
        <w:tc>
          <w:tcPr>
            <w:tcW w:w="1640" w:type="dxa"/>
            <w:vAlign w:val="bottom"/>
            <w:tcBorders>
              <w:right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Research and</w:t>
            </w:r>
          </w:p>
        </w:tc>
        <w:tc>
          <w:tcPr>
            <w:tcW w:w="940" w:type="dxa"/>
            <w:vAlign w:val="bottom"/>
            <w:tcBorders>
              <w:right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Total</w:t>
            </w:r>
          </w:p>
        </w:tc>
        <w:tc>
          <w:tcPr>
            <w:tcW w:w="106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Machine</w:t>
            </w:r>
          </w:p>
        </w:tc>
        <w:tc>
          <w:tcPr>
            <w:tcW w:w="58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AEC</w:t>
            </w:r>
          </w:p>
        </w:tc>
        <w:tc>
          <w:tcPr>
            <w:tcW w:w="1580" w:type="dxa"/>
            <w:vAlign w:val="bottom"/>
            <w:tcBorders>
              <w:right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Research and</w:t>
            </w:r>
          </w:p>
        </w:tc>
        <w:tc>
          <w:tcPr>
            <w:tcW w:w="220" w:type="dxa"/>
            <w:vAlign w:val="bottom"/>
          </w:tcPr>
          <w:p>
            <w:pPr>
              <w:spacing w:after="0"/>
              <w:rPr>
                <w:sz w:val="16"/>
                <w:szCs w:val="16"/>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00"/>
        </w:trPr>
        <w:tc>
          <w:tcPr>
            <w:tcW w:w="3060" w:type="dxa"/>
            <w:vAlign w:val="bottom"/>
            <w:tcBorders>
              <w:left w:val="single" w:sz="8" w:color="auto"/>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Clothing</w:t>
            </w:r>
          </w:p>
        </w:tc>
        <w:tc>
          <w:tcPr>
            <w:tcW w:w="5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gridSpan w:val="2"/>
            <w:vMerge w:val="restart"/>
          </w:tcPr>
          <w:p>
            <w:pPr>
              <w:jc w:val="right"/>
              <w:ind w:right="319"/>
              <w:spacing w:after="0"/>
              <w:rPr>
                <w:sz w:val="20"/>
                <w:szCs w:val="20"/>
                <w:color w:val="auto"/>
              </w:rPr>
            </w:pPr>
            <w:r>
              <w:rPr>
                <w:rFonts w:ascii="Arial" w:cs="Arial" w:eastAsia="Arial" w:hAnsi="Arial"/>
                <w:sz w:val="16"/>
                <w:szCs w:val="16"/>
                <w:color w:val="auto"/>
              </w:rPr>
              <w:t>Unallocated</w:t>
            </w:r>
          </w:p>
        </w:tc>
        <w:tc>
          <w:tcPr>
            <w:tcW w:w="940" w:type="dxa"/>
            <w:vAlign w:val="bottom"/>
            <w:tcBorders>
              <w:right w:val="single" w:sz="8" w:color="auto"/>
            </w:tcBorders>
            <w:gridSpan w:val="2"/>
            <w:vMerge w:val="restart"/>
          </w:tcPr>
          <w:p>
            <w:pPr>
              <w:jc w:val="right"/>
              <w:ind w:right="59"/>
              <w:spacing w:after="0"/>
              <w:rPr>
                <w:sz w:val="20"/>
                <w:szCs w:val="20"/>
                <w:color w:val="auto"/>
              </w:rPr>
            </w:pPr>
            <w:r>
              <w:rPr>
                <w:rFonts w:ascii="Arial" w:cs="Arial" w:eastAsia="Arial" w:hAnsi="Arial"/>
                <w:sz w:val="16"/>
                <w:szCs w:val="16"/>
                <w:color w:val="auto"/>
              </w:rPr>
              <w:t>Company</w:t>
            </w:r>
          </w:p>
        </w:tc>
        <w:tc>
          <w:tcPr>
            <w:tcW w:w="106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color w:val="auto"/>
              </w:rPr>
              <w:t>Clothing</w:t>
            </w:r>
          </w:p>
        </w:tc>
        <w:tc>
          <w:tcPr>
            <w:tcW w:w="5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gridSpan w:val="2"/>
            <w:vMerge w:val="restart"/>
          </w:tcPr>
          <w:p>
            <w:pPr>
              <w:jc w:val="right"/>
              <w:ind w:right="299"/>
              <w:spacing w:after="0"/>
              <w:rPr>
                <w:sz w:val="20"/>
                <w:szCs w:val="20"/>
                <w:color w:val="auto"/>
              </w:rPr>
            </w:pPr>
            <w:r>
              <w:rPr>
                <w:rFonts w:ascii="Arial" w:cs="Arial" w:eastAsia="Arial" w:hAnsi="Arial"/>
                <w:sz w:val="16"/>
                <w:szCs w:val="16"/>
                <w:color w:val="auto"/>
              </w:rPr>
              <w:t>Unallocated</w:t>
            </w:r>
          </w:p>
        </w:tc>
        <w:tc>
          <w:tcPr>
            <w:tcW w:w="9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87"/>
        </w:trPr>
        <w:tc>
          <w:tcPr>
            <w:tcW w:w="3060" w:type="dxa"/>
            <w:vAlign w:val="bottom"/>
            <w:tcBorders>
              <w:left w:val="single" w:sz="8" w:color="auto"/>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vMerge w:val="continue"/>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gridSpan w:val="2"/>
            <w:vMerge w:val="continue"/>
          </w:tcPr>
          <w:p>
            <w:pPr>
              <w:spacing w:after="0"/>
              <w:rPr>
                <w:sz w:val="7"/>
                <w:szCs w:val="7"/>
                <w:color w:val="auto"/>
              </w:rPr>
            </w:pPr>
          </w:p>
        </w:tc>
        <w:tc>
          <w:tcPr>
            <w:tcW w:w="940" w:type="dxa"/>
            <w:vAlign w:val="bottom"/>
            <w:tcBorders>
              <w:bottom w:val="single" w:sz="8" w:color="auto"/>
              <w:right w:val="single" w:sz="8" w:color="auto"/>
            </w:tcBorders>
            <w:gridSpan w:val="2"/>
            <w:vMerge w:val="continue"/>
          </w:tcPr>
          <w:p>
            <w:pPr>
              <w:spacing w:after="0"/>
              <w:rPr>
                <w:sz w:val="7"/>
                <w:szCs w:val="7"/>
                <w:color w:val="auto"/>
              </w:rPr>
            </w:pPr>
          </w:p>
        </w:tc>
        <w:tc>
          <w:tcPr>
            <w:tcW w:w="1060" w:type="dxa"/>
            <w:vAlign w:val="bottom"/>
            <w:tcBorders>
              <w:bottom w:val="single" w:sz="8" w:color="auto"/>
              <w:right w:val="single" w:sz="8" w:color="auto"/>
            </w:tcBorders>
            <w:gridSpan w:val="2"/>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gridSpan w:val="2"/>
            <w:vMerge w:val="continue"/>
          </w:tcPr>
          <w:p>
            <w:pPr>
              <w:spacing w:after="0"/>
              <w:rPr>
                <w:sz w:val="7"/>
                <w:szCs w:val="7"/>
                <w:color w:val="auto"/>
              </w:rPr>
            </w:pPr>
          </w:p>
        </w:tc>
        <w:tc>
          <w:tcPr>
            <w:tcW w:w="94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Income from continuing operations</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$ 44,918</w:t>
            </w:r>
          </w:p>
        </w:tc>
        <w:tc>
          <w:tcPr>
            <w:tcW w:w="5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$(312)</w:t>
            </w: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(35,525)</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9,081</w:t>
            </w:r>
          </w:p>
        </w:tc>
        <w:tc>
          <w:tcPr>
            <w:tcW w:w="40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120,760</w:t>
            </w:r>
          </w:p>
        </w:tc>
        <w:tc>
          <w:tcPr>
            <w:tcW w:w="5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 (653)</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(168,930)</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(48,823)</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Interest expense, net</w:t>
            </w:r>
          </w:p>
        </w:tc>
        <w:tc>
          <w:tcPr>
            <w:tcW w:w="10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3,997</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3,997</w:t>
            </w: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12,610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12,610</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Income tax (benefit)/expense</w:t>
            </w:r>
          </w:p>
        </w:tc>
        <w:tc>
          <w:tcPr>
            <w:tcW w:w="10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6,965</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6,965</w:t>
            </w: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(32,650)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(32,650)</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Depreciation and amortization</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11,469</w:t>
            </w:r>
          </w:p>
        </w:tc>
        <w:tc>
          <w:tcPr>
            <w:tcW w:w="5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1,471</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2,606</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15,546</w:t>
            </w: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35,267</w:t>
            </w:r>
          </w:p>
        </w:tc>
        <w:tc>
          <w:tcPr>
            <w:tcW w:w="5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4,325</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7,741</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47,333</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EBITDA from continuing operations</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56,387</w:t>
            </w:r>
          </w:p>
        </w:tc>
        <w:tc>
          <w:tcPr>
            <w:tcW w:w="5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1,159</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(21,957)</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35,589</w:t>
            </w: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156,027</w:t>
            </w:r>
          </w:p>
        </w:tc>
        <w:tc>
          <w:tcPr>
            <w:tcW w:w="5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3,672</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(181,229)</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(21,530)</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Restructuring and other, net</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2,739</w:t>
            </w:r>
          </w:p>
        </w:tc>
        <w:tc>
          <w:tcPr>
            <w:tcW w:w="56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2,739</w:t>
            </w: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6,315</w:t>
            </w:r>
          </w:p>
        </w:tc>
        <w:tc>
          <w:tcPr>
            <w:tcW w:w="5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(166)</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6,149</w:t>
            </w:r>
          </w:p>
        </w:tc>
        <w:tc>
          <w:tcPr>
            <w:tcW w:w="0" w:type="dxa"/>
            <w:vAlign w:val="bottom"/>
          </w:tcPr>
          <w:p>
            <w:pPr>
              <w:spacing w:after="0"/>
              <w:rPr>
                <w:sz w:val="1"/>
                <w:szCs w:val="1"/>
                <w:color w:val="auto"/>
              </w:rPr>
            </w:pPr>
          </w:p>
        </w:tc>
      </w:tr>
      <w:tr>
        <w:trPr>
          <w:trHeight w:val="184"/>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Foreign currency revaluation</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1,401</w:t>
            </w: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w:t>
            </w:r>
          </w:p>
        </w:tc>
        <w:tc>
          <w:tcPr>
            <w:tcW w:w="900" w:type="dxa"/>
            <w:vAlign w:val="bottom"/>
          </w:tcPr>
          <w:p>
            <w:pPr>
              <w:spacing w:after="0"/>
              <w:rPr>
                <w:sz w:val="16"/>
                <w:szCs w:val="16"/>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2,176</w:t>
            </w:r>
          </w:p>
        </w:tc>
        <w:tc>
          <w:tcPr>
            <w:tcW w:w="400" w:type="dxa"/>
            <w:vAlign w:val="bottom"/>
          </w:tcPr>
          <w:p>
            <w:pPr>
              <w:spacing w:after="0"/>
              <w:rPr>
                <w:sz w:val="16"/>
                <w:szCs w:val="16"/>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3,580</w:t>
            </w:r>
          </w:p>
        </w:tc>
        <w:tc>
          <w:tcPr>
            <w:tcW w:w="400" w:type="dxa"/>
            <w:vAlign w:val="bottom"/>
          </w:tcPr>
          <w:p>
            <w:pPr>
              <w:spacing w:after="0"/>
              <w:rPr>
                <w:sz w:val="16"/>
                <w:szCs w:val="16"/>
                <w:color w:val="auto"/>
              </w:rPr>
            </w:pPr>
          </w:p>
        </w:tc>
        <w:tc>
          <w:tcPr>
            <w:tcW w:w="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446</w:t>
            </w:r>
          </w:p>
        </w:tc>
        <w:tc>
          <w:tcPr>
            <w:tcW w:w="5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w:t>
            </w:r>
          </w:p>
        </w:tc>
        <w:tc>
          <w:tcPr>
            <w:tcW w:w="820" w:type="dxa"/>
            <w:vAlign w:val="bottom"/>
          </w:tcPr>
          <w:p>
            <w:pPr>
              <w:spacing w:after="0"/>
              <w:rPr>
                <w:sz w:val="16"/>
                <w:szCs w:val="16"/>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2,884</w:t>
            </w:r>
          </w:p>
        </w:tc>
        <w:tc>
          <w:tcPr>
            <w:tcW w:w="220" w:type="dxa"/>
            <w:vAlign w:val="bottom"/>
          </w:tcPr>
          <w:p>
            <w:pPr>
              <w:spacing w:after="0"/>
              <w:rPr>
                <w:sz w:val="16"/>
                <w:szCs w:val="16"/>
                <w:color w:val="auto"/>
              </w:rPr>
            </w:pPr>
          </w:p>
        </w:tc>
        <w:tc>
          <w:tcPr>
            <w:tcW w:w="7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100"/>
        </w:trPr>
        <w:tc>
          <w:tcPr>
            <w:tcW w:w="30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losses/(gains)</w:t>
            </w:r>
          </w:p>
        </w:tc>
        <w:tc>
          <w:tcPr>
            <w:tcW w:w="108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Pension plan settlement charges</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119,735</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119,735</w:t>
            </w:r>
          </w:p>
        </w:tc>
        <w:tc>
          <w:tcPr>
            <w:tcW w:w="0" w:type="dxa"/>
            <w:vAlign w:val="bottom"/>
          </w:tcPr>
          <w:p>
            <w:pPr>
              <w:spacing w:after="0"/>
              <w:rPr>
                <w:sz w:val="1"/>
                <w:szCs w:val="1"/>
                <w:color w:val="auto"/>
              </w:rPr>
            </w:pPr>
          </w:p>
        </w:tc>
      </w:tr>
      <w:tr>
        <w:trPr>
          <w:trHeight w:val="164"/>
        </w:trPr>
        <w:tc>
          <w:tcPr>
            <w:tcW w:w="30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Adjusted EBITDA from continuing</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$ 60,527</w:t>
            </w: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8"/>
              </w:rPr>
              <w:t>$1,162</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(19,781)</w:t>
            </w:r>
          </w:p>
        </w:tc>
        <w:tc>
          <w:tcPr>
            <w:tcW w:w="4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8"/>
              </w:rPr>
              <w:t>41,908</w:t>
            </w:r>
          </w:p>
        </w:tc>
        <w:tc>
          <w:tcPr>
            <w:tcW w:w="4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w:t>
            </w:r>
          </w:p>
        </w:tc>
        <w:tc>
          <w:tcPr>
            <w:tcW w:w="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162,788</w:t>
            </w:r>
          </w:p>
        </w:tc>
        <w:tc>
          <w:tcPr>
            <w:tcW w:w="5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8"/>
              </w:rPr>
              <w:t>$3,675</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(58,776)</w:t>
            </w:r>
          </w:p>
        </w:tc>
        <w:tc>
          <w:tcPr>
            <w:tcW w:w="2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107,687</w:t>
            </w:r>
          </w:p>
        </w:tc>
        <w:tc>
          <w:tcPr>
            <w:tcW w:w="0" w:type="dxa"/>
            <w:vAlign w:val="bottom"/>
          </w:tcPr>
          <w:p>
            <w:pPr>
              <w:spacing w:after="0"/>
              <w:rPr>
                <w:sz w:val="1"/>
                <w:szCs w:val="1"/>
                <w:color w:val="auto"/>
              </w:rPr>
            </w:pPr>
          </w:p>
        </w:tc>
      </w:tr>
      <w:tr>
        <w:trPr>
          <w:trHeight w:val="120"/>
        </w:trPr>
        <w:tc>
          <w:tcPr>
            <w:tcW w:w="30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operations</w:t>
            </w:r>
          </w:p>
        </w:tc>
        <w:tc>
          <w:tcPr>
            <w:tcW w:w="108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03"/>
        </w:trPr>
        <w:tc>
          <w:tcPr>
            <w:tcW w:w="30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4280" w:type="dxa"/>
            <w:vAlign w:val="bottom"/>
            <w:tcBorders>
              <w:top w:val="single" w:sz="8" w:color="auto"/>
              <w:bottom w:val="single" w:sz="8" w:color="auto"/>
              <w:right w:val="single" w:sz="8" w:color="auto"/>
            </w:tcBorders>
            <w:gridSpan w:val="7"/>
          </w:tcPr>
          <w:p>
            <w:pPr>
              <w:jc w:val="right"/>
              <w:ind w:right="499"/>
              <w:spacing w:after="0"/>
              <w:rPr>
                <w:sz w:val="20"/>
                <w:szCs w:val="20"/>
                <w:color w:val="auto"/>
              </w:rPr>
            </w:pPr>
            <w:r>
              <w:rPr>
                <w:rFonts w:ascii="Arial" w:cs="Arial" w:eastAsia="Arial" w:hAnsi="Arial"/>
                <w:sz w:val="16"/>
                <w:szCs w:val="16"/>
                <w:b w:val="1"/>
                <w:bCs w:val="1"/>
                <w:color w:val="auto"/>
              </w:rPr>
              <w:t>Three Months ended September 30, 2011</w:t>
            </w:r>
          </w:p>
        </w:tc>
        <w:tc>
          <w:tcPr>
            <w:tcW w:w="360" w:type="dxa"/>
            <w:vAlign w:val="bottom"/>
            <w:tcBorders>
              <w:top w:val="single" w:sz="8" w:color="auto"/>
              <w:bottom w:val="single" w:sz="8" w:color="auto"/>
            </w:tcBorders>
          </w:tcPr>
          <w:p>
            <w:pPr>
              <w:spacing w:after="0"/>
              <w:rPr>
                <w:sz w:val="17"/>
                <w:szCs w:val="17"/>
                <w:color w:val="auto"/>
              </w:rPr>
            </w:pPr>
          </w:p>
        </w:tc>
        <w:tc>
          <w:tcPr>
            <w:tcW w:w="3780" w:type="dxa"/>
            <w:vAlign w:val="bottom"/>
            <w:tcBorders>
              <w:top w:val="single" w:sz="8" w:color="auto"/>
              <w:bottom w:val="single" w:sz="8" w:color="auto"/>
              <w:right w:val="single" w:sz="8" w:color="auto"/>
            </w:tcBorders>
            <w:gridSpan w:val="6"/>
          </w:tcPr>
          <w:p>
            <w:pPr>
              <w:ind w:left="160"/>
              <w:spacing w:after="0"/>
              <w:rPr>
                <w:sz w:val="20"/>
                <w:szCs w:val="20"/>
                <w:color w:val="auto"/>
              </w:rPr>
            </w:pPr>
            <w:r>
              <w:rPr>
                <w:rFonts w:ascii="Arial" w:cs="Arial" w:eastAsia="Arial" w:hAnsi="Arial"/>
                <w:sz w:val="16"/>
                <w:szCs w:val="16"/>
                <w:b w:val="1"/>
                <w:bCs w:val="1"/>
                <w:color w:val="auto"/>
              </w:rPr>
              <w:t>Nine Months ended September 30, 2011</w:t>
            </w:r>
          </w:p>
        </w:tc>
        <w:tc>
          <w:tcPr>
            <w:tcW w:w="0" w:type="dxa"/>
            <w:vAlign w:val="bottom"/>
          </w:tcPr>
          <w:p>
            <w:pPr>
              <w:spacing w:after="0"/>
              <w:rPr>
                <w:sz w:val="1"/>
                <w:szCs w:val="1"/>
                <w:color w:val="auto"/>
              </w:rPr>
            </w:pPr>
          </w:p>
        </w:tc>
      </w:tr>
      <w:tr>
        <w:trPr>
          <w:trHeight w:val="184"/>
        </w:trPr>
        <w:tc>
          <w:tcPr>
            <w:tcW w:w="3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(in thousands)</w:t>
            </w:r>
          </w:p>
        </w:tc>
        <w:tc>
          <w:tcPr>
            <w:tcW w:w="108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Machine</w:t>
            </w:r>
          </w:p>
        </w:tc>
        <w:tc>
          <w:tcPr>
            <w:tcW w:w="140" w:type="dxa"/>
            <w:vAlign w:val="bottom"/>
          </w:tcPr>
          <w:p>
            <w:pPr>
              <w:spacing w:after="0"/>
              <w:rPr>
                <w:sz w:val="16"/>
                <w:szCs w:val="16"/>
                <w:color w:val="auto"/>
              </w:rPr>
            </w:pPr>
          </w:p>
        </w:tc>
        <w:tc>
          <w:tcPr>
            <w:tcW w:w="52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97"/>
              </w:rPr>
              <w:t>AEC</w:t>
            </w:r>
          </w:p>
        </w:tc>
        <w:tc>
          <w:tcPr>
            <w:tcW w:w="1620" w:type="dxa"/>
            <w:vAlign w:val="bottom"/>
            <w:tcBorders>
              <w:right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Research and</w:t>
            </w:r>
          </w:p>
        </w:tc>
        <w:tc>
          <w:tcPr>
            <w:tcW w:w="240" w:type="dxa"/>
            <w:vAlign w:val="bottom"/>
          </w:tcPr>
          <w:p>
            <w:pPr>
              <w:spacing w:after="0"/>
              <w:rPr>
                <w:sz w:val="16"/>
                <w:szCs w:val="16"/>
                <w:color w:val="auto"/>
              </w:rPr>
            </w:pPr>
          </w:p>
        </w:tc>
        <w:tc>
          <w:tcPr>
            <w:tcW w:w="6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c>
          <w:tcPr>
            <w:tcW w:w="106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Machine</w:t>
            </w:r>
          </w:p>
        </w:tc>
        <w:tc>
          <w:tcPr>
            <w:tcW w:w="6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AEC</w:t>
            </w: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Research and</w:t>
            </w:r>
          </w:p>
        </w:tc>
        <w:tc>
          <w:tcPr>
            <w:tcW w:w="200" w:type="dxa"/>
            <w:vAlign w:val="bottom"/>
          </w:tcPr>
          <w:p>
            <w:pPr>
              <w:spacing w:after="0"/>
              <w:rPr>
                <w:sz w:val="16"/>
                <w:szCs w:val="16"/>
                <w:color w:val="auto"/>
              </w:rPr>
            </w:pPr>
          </w:p>
        </w:tc>
        <w:tc>
          <w:tcPr>
            <w:tcW w:w="72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00"/>
        </w:trPr>
        <w:tc>
          <w:tcPr>
            <w:tcW w:w="3020" w:type="dxa"/>
            <w:vAlign w:val="bottom"/>
            <w:tcBorders>
              <w:left w:val="single" w:sz="8" w:color="auto"/>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Clothing</w:t>
            </w:r>
          </w:p>
        </w:tc>
        <w:tc>
          <w:tcPr>
            <w:tcW w:w="140" w:type="dxa"/>
            <w:vAlign w:val="bottom"/>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gridSpan w:val="2"/>
            <w:vMerge w:val="restart"/>
          </w:tcPr>
          <w:p>
            <w:pPr>
              <w:jc w:val="right"/>
              <w:ind w:right="319"/>
              <w:spacing w:after="0"/>
              <w:rPr>
                <w:sz w:val="20"/>
                <w:szCs w:val="20"/>
                <w:color w:val="auto"/>
              </w:rPr>
            </w:pPr>
            <w:r>
              <w:rPr>
                <w:rFonts w:ascii="Arial" w:cs="Arial" w:eastAsia="Arial" w:hAnsi="Arial"/>
                <w:sz w:val="16"/>
                <w:szCs w:val="16"/>
                <w:color w:val="auto"/>
              </w:rPr>
              <w:t>Unallocated</w:t>
            </w:r>
          </w:p>
        </w:tc>
        <w:tc>
          <w:tcPr>
            <w:tcW w:w="920" w:type="dxa"/>
            <w:vAlign w:val="bottom"/>
            <w:tcBorders>
              <w:right w:val="single" w:sz="8" w:color="auto"/>
            </w:tcBorders>
            <w:gridSpan w:val="2"/>
            <w:vMerge w:val="restart"/>
          </w:tcPr>
          <w:p>
            <w:pPr>
              <w:jc w:val="right"/>
              <w:ind w:right="59"/>
              <w:spacing w:after="0"/>
              <w:rPr>
                <w:sz w:val="20"/>
                <w:szCs w:val="20"/>
                <w:color w:val="auto"/>
              </w:rPr>
            </w:pPr>
            <w:r>
              <w:rPr>
                <w:rFonts w:ascii="Arial" w:cs="Arial" w:eastAsia="Arial" w:hAnsi="Arial"/>
                <w:sz w:val="16"/>
                <w:szCs w:val="16"/>
                <w:color w:val="auto"/>
              </w:rPr>
              <w:t>Company</w:t>
            </w:r>
          </w:p>
        </w:tc>
        <w:tc>
          <w:tcPr>
            <w:tcW w:w="106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color w:val="auto"/>
              </w:rPr>
              <w:t>Clothing</w:t>
            </w:r>
          </w:p>
        </w:tc>
        <w:tc>
          <w:tcPr>
            <w:tcW w:w="6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9"/>
              </w:rPr>
              <w:t>Unallocated</w:t>
            </w:r>
          </w:p>
        </w:tc>
        <w:tc>
          <w:tcPr>
            <w:tcW w:w="920" w:type="dxa"/>
            <w:vAlign w:val="bottom"/>
            <w:tcBorders>
              <w:right w:val="single" w:sz="8" w:color="auto"/>
            </w:tcBorders>
            <w:gridSpan w:val="2"/>
            <w:vMerge w:val="restart"/>
          </w:tcPr>
          <w:p>
            <w:pPr>
              <w:jc w:val="right"/>
              <w:ind w:right="59"/>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87"/>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gridSpan w:val="2"/>
            <w:vMerge w:val="continue"/>
          </w:tcPr>
          <w:p>
            <w:pPr>
              <w:spacing w:after="0"/>
              <w:rPr>
                <w:sz w:val="7"/>
                <w:szCs w:val="7"/>
                <w:color w:val="auto"/>
              </w:rPr>
            </w:pPr>
          </w:p>
        </w:tc>
        <w:tc>
          <w:tcPr>
            <w:tcW w:w="920" w:type="dxa"/>
            <w:vAlign w:val="bottom"/>
            <w:tcBorders>
              <w:bottom w:val="single" w:sz="8" w:color="auto"/>
              <w:right w:val="single" w:sz="8" w:color="auto"/>
            </w:tcBorders>
            <w:gridSpan w:val="2"/>
            <w:vMerge w:val="continue"/>
          </w:tcPr>
          <w:p>
            <w:pPr>
              <w:spacing w:after="0"/>
              <w:rPr>
                <w:sz w:val="7"/>
                <w:szCs w:val="7"/>
                <w:color w:val="auto"/>
              </w:rPr>
            </w:pPr>
          </w:p>
        </w:tc>
        <w:tc>
          <w:tcPr>
            <w:tcW w:w="1060" w:type="dxa"/>
            <w:vAlign w:val="bottom"/>
            <w:tcBorders>
              <w:bottom w:val="single" w:sz="8" w:color="auto"/>
              <w:right w:val="single" w:sz="8" w:color="auto"/>
            </w:tcBorders>
            <w:gridSpan w:val="2"/>
            <w:vMerge w:val="continue"/>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gridSpan w:val="2"/>
            <w:vMerge w:val="continue"/>
          </w:tcPr>
          <w:p>
            <w:pPr>
              <w:spacing w:after="0"/>
              <w:rPr>
                <w:sz w:val="7"/>
                <w:szCs w:val="7"/>
                <w:color w:val="auto"/>
              </w:rPr>
            </w:pPr>
          </w:p>
        </w:tc>
        <w:tc>
          <w:tcPr>
            <w:tcW w:w="92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Income from continuing operations</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$ 48,867</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4"/>
              </w:rPr>
              <w:t>(1,434)</w:t>
            </w:r>
          </w:p>
        </w:tc>
        <w:tc>
          <w:tcPr>
            <w:tcW w:w="8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(32,940)</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14,493</w:t>
            </w:r>
          </w:p>
        </w:tc>
        <w:tc>
          <w:tcPr>
            <w:tcW w:w="3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136,847</w:t>
            </w:r>
          </w:p>
        </w:tc>
        <w:tc>
          <w:tcPr>
            <w:tcW w:w="6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$(3,621)</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(101,967)</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31,259</w:t>
            </w: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Interest expense, net</w:t>
            </w:r>
          </w:p>
        </w:tc>
        <w:tc>
          <w:tcPr>
            <w:tcW w:w="10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4,377</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4,377</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13,939</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13,939</w:t>
            </w: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Income tax (benefit)</w:t>
            </w:r>
          </w:p>
        </w:tc>
        <w:tc>
          <w:tcPr>
            <w:tcW w:w="10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7,897</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7,897</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14,303</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14,303</w:t>
            </w: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Depreciation and amortization</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12,049</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1,241</w:t>
            </w: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2,642</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15,932</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36,220</w:t>
            </w:r>
          </w:p>
        </w:tc>
        <w:tc>
          <w:tcPr>
            <w:tcW w:w="6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3,640</w:t>
            </w: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7,670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47,530</w:t>
            </w: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EBITDA from continuing operations</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60,916</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(193)</w:t>
            </w: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(18,024)</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42,699</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173,067</w:t>
            </w:r>
          </w:p>
        </w:tc>
        <w:tc>
          <w:tcPr>
            <w:tcW w:w="6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w:t>
            </w: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(66,055)</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107,031</w:t>
            </w: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Restructuring and other, net</w:t>
            </w:r>
          </w:p>
        </w:tc>
        <w:tc>
          <w:tcPr>
            <w:tcW w:w="10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2,610</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81</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2,691</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3,215</w:t>
            </w:r>
          </w:p>
        </w:tc>
        <w:tc>
          <w:tcPr>
            <w:tcW w:w="6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57</w:t>
            </w: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1,184</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184"/>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Foreign currency revaluation</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(5,775)</w:t>
            </w:r>
          </w:p>
        </w:tc>
        <w:tc>
          <w:tcPr>
            <w:tcW w:w="140" w:type="dxa"/>
            <w:vAlign w:val="bottom"/>
          </w:tcPr>
          <w:p>
            <w:pPr>
              <w:spacing w:after="0"/>
              <w:rPr>
                <w:sz w:val="16"/>
                <w:szCs w:val="16"/>
                <w:color w:val="auto"/>
              </w:rPr>
            </w:pPr>
          </w:p>
        </w:tc>
        <w:tc>
          <w:tcPr>
            <w:tcW w:w="5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6"/>
                <w:szCs w:val="16"/>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(814)</w:t>
            </w:r>
          </w:p>
        </w:tc>
        <w:tc>
          <w:tcPr>
            <w:tcW w:w="240" w:type="dxa"/>
            <w:vAlign w:val="bottom"/>
          </w:tcPr>
          <w:p>
            <w:pPr>
              <w:spacing w:after="0"/>
              <w:rPr>
                <w:sz w:val="16"/>
                <w:szCs w:val="16"/>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(6,589)</w:t>
            </w:r>
          </w:p>
        </w:tc>
        <w:tc>
          <w:tcPr>
            <w:tcW w:w="360" w:type="dxa"/>
            <w:vAlign w:val="bottom"/>
          </w:tcPr>
          <w:p>
            <w:pPr>
              <w:spacing w:after="0"/>
              <w:rPr>
                <w:sz w:val="16"/>
                <w:szCs w:val="16"/>
                <w:color w:val="auto"/>
              </w:rPr>
            </w:pPr>
          </w:p>
        </w:tc>
        <w:tc>
          <w:tcPr>
            <w:tcW w:w="7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w w:val="98"/>
              </w:rPr>
              <w:t>(1,825)</w:t>
            </w: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w:t>
            </w:r>
          </w:p>
        </w:tc>
        <w:tc>
          <w:tcPr>
            <w:tcW w:w="800" w:type="dxa"/>
            <w:vAlign w:val="bottom"/>
          </w:tcPr>
          <w:p>
            <w:pPr>
              <w:spacing w:after="0"/>
              <w:rPr>
                <w:sz w:val="16"/>
                <w:szCs w:val="16"/>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2,567</w:t>
            </w:r>
          </w:p>
        </w:tc>
        <w:tc>
          <w:tcPr>
            <w:tcW w:w="200" w:type="dxa"/>
            <w:vAlign w:val="bottom"/>
          </w:tcPr>
          <w:p>
            <w:pPr>
              <w:spacing w:after="0"/>
              <w:rPr>
                <w:sz w:val="16"/>
                <w:szCs w:val="16"/>
                <w:color w:val="auto"/>
              </w:rPr>
            </w:pPr>
          </w:p>
        </w:tc>
        <w:tc>
          <w:tcPr>
            <w:tcW w:w="7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100"/>
        </w:trPr>
        <w:tc>
          <w:tcPr>
            <w:tcW w:w="3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losses/(gains)</w:t>
            </w:r>
          </w:p>
        </w:tc>
        <w:tc>
          <w:tcPr>
            <w:tcW w:w="108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0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Gain on sale of building</w:t>
            </w:r>
          </w:p>
        </w:tc>
        <w:tc>
          <w:tcPr>
            <w:tcW w:w="10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w w:val="98"/>
              </w:rPr>
              <w:t>(1,008)</w:t>
            </w:r>
          </w:p>
        </w:tc>
        <w:tc>
          <w:tcPr>
            <w:tcW w:w="6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164"/>
        </w:trPr>
        <w:tc>
          <w:tcPr>
            <w:tcW w:w="302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Adjusted EBITDA from continuing</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$ 57,751</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(193)</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(18,757)</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38,801</w:t>
            </w:r>
          </w:p>
        </w:tc>
        <w:tc>
          <w:tcPr>
            <w:tcW w:w="3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173,449</w:t>
            </w: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78</w:t>
            </w:r>
          </w:p>
        </w:tc>
        <w:tc>
          <w:tcPr>
            <w:tcW w:w="800" w:type="dxa"/>
            <w:vAlign w:val="bottom"/>
            <w:vMerge w:val="restart"/>
          </w:tcPr>
          <w:p>
            <w:pPr>
              <w:jc w:val="center"/>
              <w:ind w:left="5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(62,304)</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111,223</w:t>
            </w:r>
          </w:p>
        </w:tc>
        <w:tc>
          <w:tcPr>
            <w:tcW w:w="0" w:type="dxa"/>
            <w:vAlign w:val="bottom"/>
          </w:tcPr>
          <w:p>
            <w:pPr>
              <w:spacing w:after="0"/>
              <w:rPr>
                <w:sz w:val="1"/>
                <w:szCs w:val="1"/>
                <w:color w:val="auto"/>
              </w:rPr>
            </w:pPr>
          </w:p>
        </w:tc>
      </w:tr>
      <w:tr>
        <w:trPr>
          <w:trHeight w:val="120"/>
        </w:trPr>
        <w:tc>
          <w:tcPr>
            <w:tcW w:w="3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operations</w:t>
            </w:r>
          </w:p>
        </w:tc>
        <w:tc>
          <w:tcPr>
            <w:tcW w:w="1080" w:type="dxa"/>
            <w:vAlign w:val="bottom"/>
            <w:tcBorders>
              <w:right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720"/>
        <w:spacing w:after="0" w:line="239" w:lineRule="auto"/>
        <w:rPr>
          <w:sz w:val="20"/>
          <w:szCs w:val="20"/>
          <w:color w:val="auto"/>
        </w:rPr>
      </w:pPr>
      <w:r>
        <w:rPr>
          <w:rFonts w:ascii="Arial" w:cs="Arial" w:eastAsia="Arial" w:hAnsi="Arial"/>
          <w:sz w:val="18"/>
          <w:szCs w:val="18"/>
          <w:color w:val="auto"/>
        </w:rPr>
        <w:t>The Company discloses certain income and expense items on a per share basis. The Company believes that such disclosures provide important insight into underlying quarterly earnings and are financial performance metrics commonly used by investors. The Company calculates the per share amount for items included in continuing operations by using the effective tax rate utilized during the applicable reporting period and the weighted average number of shares outstanding for the period.</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September 30, 2012</w:t>
            </w:r>
          </w:p>
        </w:tc>
        <w:tc>
          <w:tcPr>
            <w:tcW w:w="6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 thousands, except per share amounts)</w:t>
            </w:r>
          </w:p>
        </w:tc>
        <w:tc>
          <w:tcPr>
            <w:tcW w:w="13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Pre-tax amounts</w:t>
            </w:r>
          </w:p>
        </w:tc>
        <w:tc>
          <w:tcPr>
            <w:tcW w:w="8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3"/>
              </w:rPr>
              <w:t>Tax effect</w:t>
            </w:r>
          </w:p>
        </w:tc>
        <w:tc>
          <w:tcPr>
            <w:tcW w:w="12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After-tax effect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Shares outstanding</w:t>
            </w:r>
          </w:p>
        </w:tc>
        <w:tc>
          <w:tcPr>
            <w:tcW w:w="134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Per share effect</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Restructuring and other, net from continuing operations</w:t>
            </w:r>
          </w:p>
        </w:tc>
        <w:tc>
          <w:tcPr>
            <w:tcW w:w="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2,739</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970</w:t>
            </w:r>
          </w:p>
        </w:tc>
        <w:tc>
          <w:tcPr>
            <w:tcW w:w="5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1,769</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31,363</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Foreign currency revaluation losses from continuing operations</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3,580</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1,267</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2,313</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31,363</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Negative effect of change in income tax rate</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1,968</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1,968</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31,363</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Discrete income tax benefit from continuing operations</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31,363</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Nine Months ended September 30, 2012</w:t>
            </w:r>
          </w:p>
        </w:tc>
        <w:tc>
          <w:tcPr>
            <w:tcW w:w="6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 thousands, except per share amounts)</w:t>
            </w:r>
          </w:p>
        </w:tc>
        <w:tc>
          <w:tcPr>
            <w:tcW w:w="13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Pre-tax amounts</w:t>
            </w:r>
          </w:p>
        </w:tc>
        <w:tc>
          <w:tcPr>
            <w:tcW w:w="8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3"/>
              </w:rPr>
              <w:t>Tax effect</w:t>
            </w:r>
          </w:p>
        </w:tc>
        <w:tc>
          <w:tcPr>
            <w:tcW w:w="12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After-tax effect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Shares outstanding</w:t>
            </w:r>
          </w:p>
        </w:tc>
        <w:tc>
          <w:tcPr>
            <w:tcW w:w="134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Per share effect</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Restructuring and other, net from continuing operations</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6,149</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2,177</w:t>
            </w:r>
          </w:p>
        </w:tc>
        <w:tc>
          <w:tcPr>
            <w:tcW w:w="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3,972</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31,340</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Foreign currency revaluation losses from continuing operations</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3,333</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1,180</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2,153</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31,340</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Pension settlement charge</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119,735</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39,460</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80,275</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31,340</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2.56</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Discrete income tax benefit from continuing operations</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6,735</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6,735</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31,340</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r>
      <w:tr>
        <w:trPr>
          <w:trHeight w:val="426"/>
        </w:trPr>
        <w:tc>
          <w:tcPr>
            <w:tcW w:w="5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9"/>
              </w:rPr>
              <w:t>38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29"/>
        </w:trPr>
        <w:tc>
          <w:tcPr>
            <w:tcW w:w="5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930" w:right="23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36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September 30, 2011</w:t>
            </w:r>
          </w:p>
        </w:tc>
        <w:tc>
          <w:tcPr>
            <w:tcW w:w="7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51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 thousands, except per share amounts)</w:t>
            </w:r>
          </w:p>
        </w:tc>
        <w:tc>
          <w:tcPr>
            <w:tcW w:w="13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Pre-tax amounts</w:t>
            </w:r>
          </w:p>
        </w:tc>
        <w:tc>
          <w:tcPr>
            <w:tcW w:w="8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3"/>
              </w:rPr>
              <w:t>Tax effect</w:t>
            </w:r>
          </w:p>
        </w:tc>
        <w:tc>
          <w:tcPr>
            <w:tcW w:w="12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After-tax effect</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Shares outstanding</w:t>
            </w:r>
          </w:p>
        </w:tc>
        <w:tc>
          <w:tcPr>
            <w:tcW w:w="134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Per share effect</w:t>
            </w:r>
          </w:p>
        </w:tc>
      </w:tr>
      <w:tr>
        <w:trPr>
          <w:trHeight w:val="196"/>
        </w:trPr>
        <w:tc>
          <w:tcPr>
            <w:tcW w:w="51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Restructuring and other, net from continuing operations</w:t>
            </w:r>
          </w:p>
        </w:tc>
        <w:tc>
          <w:tcPr>
            <w:tcW w:w="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2,691</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931</w:t>
            </w:r>
          </w:p>
        </w:tc>
        <w:tc>
          <w:tcPr>
            <w:tcW w:w="5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1,760</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31,278</w:t>
            </w:r>
          </w:p>
        </w:tc>
        <w:tc>
          <w:tcPr>
            <w:tcW w:w="7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r>
      <w:tr>
        <w:trPr>
          <w:trHeight w:val="196"/>
        </w:trPr>
        <w:tc>
          <w:tcPr>
            <w:tcW w:w="51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Foreign currency revaluation gains from continuing operations</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6,589</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2,280</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4,309</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31,278</w:t>
            </w:r>
          </w:p>
        </w:tc>
        <w:tc>
          <w:tcPr>
            <w:tcW w:w="7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r>
      <w:tr>
        <w:trPr>
          <w:trHeight w:val="196"/>
        </w:trPr>
        <w:tc>
          <w:tcPr>
            <w:tcW w:w="51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Negative effect of change in tax rate</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31,278</w:t>
            </w:r>
          </w:p>
        </w:tc>
        <w:tc>
          <w:tcPr>
            <w:tcW w:w="7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r>
      <w:tr>
        <w:trPr>
          <w:trHeight w:val="196"/>
        </w:trPr>
        <w:tc>
          <w:tcPr>
            <w:tcW w:w="51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Discrete tax benefit from continuing operations</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6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31,278</w:t>
            </w:r>
          </w:p>
        </w:tc>
        <w:tc>
          <w:tcPr>
            <w:tcW w:w="7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Nine Months ended September 30, 2011</w:t>
            </w:r>
          </w:p>
        </w:tc>
        <w:tc>
          <w:tcPr>
            <w:tcW w:w="6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 thousands, except per share amounts)</w:t>
            </w:r>
          </w:p>
        </w:tc>
        <w:tc>
          <w:tcPr>
            <w:tcW w:w="13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Pre-tax amounts</w:t>
            </w:r>
          </w:p>
        </w:tc>
        <w:tc>
          <w:tcPr>
            <w:tcW w:w="8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3"/>
              </w:rPr>
              <w:t>Tax effect</w:t>
            </w:r>
          </w:p>
        </w:tc>
        <w:tc>
          <w:tcPr>
            <w:tcW w:w="120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After-tax effect</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Shares outstanding</w:t>
            </w:r>
          </w:p>
        </w:tc>
        <w:tc>
          <w:tcPr>
            <w:tcW w:w="134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Per share effect</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Restructuring and other, net from continuing operations</w:t>
            </w:r>
          </w:p>
        </w:tc>
        <w:tc>
          <w:tcPr>
            <w:tcW w:w="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4,456</w:t>
            </w:r>
          </w:p>
        </w:tc>
        <w:tc>
          <w:tcPr>
            <w:tcW w:w="2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1,542</w:t>
            </w:r>
          </w:p>
        </w:tc>
        <w:tc>
          <w:tcPr>
            <w:tcW w:w="5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2,914</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31,255</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Foreign currency revaluation losses from continuing operations</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744</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257</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487</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31,255</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Gain on sale of former manufacturing building</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1,008</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349</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659</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31,255</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r>
      <w:tr>
        <w:trPr>
          <w:trHeight w:val="196"/>
        </w:trPr>
        <w:tc>
          <w:tcPr>
            <w:tcW w:w="51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Discrete tax benefit from continuing operations</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1,475</w:t>
            </w: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1,475</w:t>
            </w:r>
          </w:p>
        </w:tc>
        <w:tc>
          <w:tcPr>
            <w:tcW w:w="1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31,255</w:t>
            </w:r>
          </w:p>
        </w:tc>
        <w:tc>
          <w:tcPr>
            <w:tcW w:w="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r>
    </w:tbl>
    <w:p>
      <w:pPr>
        <w:spacing w:after="0" w:line="200" w:lineRule="exact"/>
        <w:rPr>
          <w:sz w:val="20"/>
          <w:szCs w:val="20"/>
          <w:color w:val="auto"/>
        </w:rPr>
      </w:pPr>
    </w:p>
    <w:p>
      <w:pPr>
        <w:spacing w:after="0" w:line="20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Company defines net debt as total debt minus cash. Management views net debt, a non-GAAP financial measure, as a measure of the Company's ability to reduce debt, add to cash balances, pay dividends, repurchase stock, and fund investing and financing activities. A reconciliation of total debt to net debt as of September 30, 2012, June 30, 2012 and December 31, 2011, is shown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5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580" w:type="dxa"/>
            <w:vAlign w:val="bottom"/>
            <w:tcBorders>
              <w:top w:val="single" w:sz="8" w:color="auto"/>
              <w:bottom w:val="single" w:sz="8" w:color="auto"/>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September 30, 2012</w:t>
            </w:r>
          </w:p>
        </w:tc>
        <w:tc>
          <w:tcPr>
            <w:tcW w:w="182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June 30, 2012</w:t>
            </w:r>
          </w:p>
        </w:tc>
        <w:tc>
          <w:tcPr>
            <w:tcW w:w="2520" w:type="dxa"/>
            <w:vAlign w:val="bottom"/>
            <w:tcBorders>
              <w:top w:val="single" w:sz="8" w:color="auto"/>
              <w:bottom w:val="single" w:sz="8" w:color="auto"/>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December 31, 2011</w:t>
            </w:r>
          </w:p>
        </w:tc>
      </w:tr>
      <w:tr>
        <w:trPr>
          <w:trHeight w:val="196"/>
        </w:trPr>
        <w:tc>
          <w:tcPr>
            <w:tcW w:w="45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Notes and loans payable</w:t>
            </w:r>
          </w:p>
        </w:tc>
        <w:tc>
          <w:tcPr>
            <w:tcW w:w="1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276</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357</w:t>
            </w:r>
          </w:p>
        </w:tc>
        <w:tc>
          <w:tcPr>
            <w:tcW w:w="1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424</w:t>
            </w:r>
          </w:p>
        </w:tc>
      </w:tr>
      <w:tr>
        <w:trPr>
          <w:trHeight w:val="196"/>
        </w:trPr>
        <w:tc>
          <w:tcPr>
            <w:tcW w:w="45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Current maturities of long-term debt</w:t>
            </w:r>
          </w:p>
        </w:tc>
        <w:tc>
          <w:tcPr>
            <w:tcW w:w="1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33,066</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30,355</w:t>
            </w:r>
          </w:p>
        </w:tc>
        <w:tc>
          <w:tcPr>
            <w:tcW w:w="17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1,263</w:t>
            </w:r>
          </w:p>
        </w:tc>
      </w:tr>
      <w:tr>
        <w:trPr>
          <w:trHeight w:val="196"/>
        </w:trPr>
        <w:tc>
          <w:tcPr>
            <w:tcW w:w="45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1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289,129</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313,632</w:t>
            </w:r>
          </w:p>
        </w:tc>
        <w:tc>
          <w:tcPr>
            <w:tcW w:w="17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373,125</w:t>
            </w:r>
          </w:p>
        </w:tc>
      </w:tr>
      <w:tr>
        <w:trPr>
          <w:trHeight w:val="196"/>
        </w:trPr>
        <w:tc>
          <w:tcPr>
            <w:tcW w:w="45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debt</w:t>
            </w:r>
          </w:p>
        </w:tc>
        <w:tc>
          <w:tcPr>
            <w:tcW w:w="1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322,471</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344,344</w:t>
            </w:r>
          </w:p>
        </w:tc>
        <w:tc>
          <w:tcPr>
            <w:tcW w:w="17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374,812</w:t>
            </w:r>
          </w:p>
        </w:tc>
      </w:tr>
      <w:tr>
        <w:trPr>
          <w:trHeight w:val="196"/>
        </w:trPr>
        <w:tc>
          <w:tcPr>
            <w:tcW w:w="45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Cash</w:t>
            </w:r>
          </w:p>
        </w:tc>
        <w:tc>
          <w:tcPr>
            <w:tcW w:w="17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173,939</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164,592</w:t>
            </w:r>
          </w:p>
        </w:tc>
        <w:tc>
          <w:tcPr>
            <w:tcW w:w="17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118,909</w:t>
            </w:r>
          </w:p>
        </w:tc>
      </w:tr>
      <w:tr>
        <w:trPr>
          <w:trHeight w:val="196"/>
        </w:trPr>
        <w:tc>
          <w:tcPr>
            <w:tcW w:w="45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Net debt</w:t>
            </w:r>
          </w:p>
        </w:tc>
        <w:tc>
          <w:tcPr>
            <w:tcW w:w="17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148,532</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179,752</w:t>
            </w:r>
          </w:p>
        </w:tc>
        <w:tc>
          <w:tcPr>
            <w:tcW w:w="17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255,903</w:t>
            </w:r>
          </w:p>
        </w:tc>
      </w:tr>
      <w:tr>
        <w:trPr>
          <w:trHeight w:val="426"/>
        </w:trPr>
        <w:tc>
          <w:tcPr>
            <w:tcW w:w="4500" w:type="dxa"/>
            <w:vAlign w:val="bottom"/>
          </w:tcPr>
          <w:p>
            <w:pPr>
              <w:spacing w:after="0"/>
              <w:rPr>
                <w:sz w:val="24"/>
                <w:szCs w:val="24"/>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39</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45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93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under Item 7A of form 10-K, which is included as an exhibit to this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61" w:lineRule="exact"/>
        <w:rPr>
          <w:sz w:val="20"/>
          <w:szCs w:val="20"/>
          <w:color w:val="auto"/>
        </w:rPr>
      </w:pPr>
    </w:p>
    <w:p>
      <w:pPr>
        <w:ind w:left="1040" w:hanging="103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230" w:lineRule="exact"/>
        <w:rPr>
          <w:sz w:val="20"/>
          <w:szCs w:val="20"/>
          <w:color w:val="auto"/>
        </w:rPr>
      </w:pPr>
    </w:p>
    <w:p>
      <w:pPr>
        <w:ind w:left="1040" w:hanging="103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were defending 4,443 claims as of October 17, 2012.</w:t>
      </w:r>
    </w:p>
    <w:p>
      <w:pPr>
        <w:spacing w:after="0" w:line="18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76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i w:val="1"/>
                <w:iCs w:val="1"/>
                <w:color w:val="auto"/>
              </w:rPr>
              <w:t>Year ended</w:t>
            </w:r>
          </w:p>
        </w:tc>
        <w:tc>
          <w:tcPr>
            <w:tcW w:w="1960" w:type="dxa"/>
            <w:vAlign w:val="bottom"/>
            <w:tcBorders>
              <w:top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i w:val="1"/>
                <w:iCs w:val="1"/>
                <w:color w:val="auto"/>
              </w:rPr>
              <w:t>Opening Number</w:t>
            </w:r>
          </w:p>
        </w:tc>
        <w:tc>
          <w:tcPr>
            <w:tcW w:w="2160" w:type="dxa"/>
            <w:vAlign w:val="bottom"/>
            <w:tcBorders>
              <w:top w:val="single" w:sz="8" w:color="auto"/>
              <w:right w:val="single" w:sz="8" w:color="auto"/>
            </w:tcBorders>
            <w:vMerge w:val="restart"/>
          </w:tcPr>
          <w:p>
            <w:pPr>
              <w:jc w:val="right"/>
              <w:ind w:right="350"/>
              <w:spacing w:after="0"/>
              <w:rPr>
                <w:sz w:val="20"/>
                <w:szCs w:val="20"/>
                <w:color w:val="auto"/>
              </w:rPr>
            </w:pPr>
            <w:r>
              <w:rPr>
                <w:rFonts w:ascii="Arial" w:cs="Arial" w:eastAsia="Arial" w:hAnsi="Arial"/>
                <w:sz w:val="18"/>
                <w:szCs w:val="18"/>
                <w:i w:val="1"/>
                <w:iCs w:val="1"/>
                <w:color w:val="auto"/>
              </w:rPr>
              <w:t>Claims Dismissed,</w:t>
            </w:r>
          </w:p>
        </w:tc>
        <w:tc>
          <w:tcPr>
            <w:tcW w:w="134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i w:val="1"/>
                <w:iCs w:val="1"/>
                <w:color w:val="auto"/>
              </w:rPr>
              <w:t>Closing Number</w:t>
            </w:r>
          </w:p>
        </w:tc>
        <w:tc>
          <w:tcPr>
            <w:tcW w:w="23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i w:val="1"/>
                <w:iCs w:val="1"/>
                <w:color w:val="auto"/>
              </w:rPr>
              <w:t>Amounts Paid</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i w:val="1"/>
                <w:iCs w:val="1"/>
                <w:color w:val="auto"/>
              </w:rPr>
              <w:t>New Claims</w:t>
            </w:r>
          </w:p>
        </w:tc>
        <w:tc>
          <w:tcPr>
            <w:tcW w:w="1880" w:type="dxa"/>
            <w:vAlign w:val="bottom"/>
            <w:tcBorders>
              <w:right w:val="single" w:sz="8" w:color="auto"/>
            </w:tcBorders>
            <w:vMerge w:val="continue"/>
          </w:tcPr>
          <w:p>
            <w:pPr>
              <w:spacing w:after="0"/>
              <w:rPr>
                <w:sz w:val="9"/>
                <w:szCs w:val="9"/>
                <w:color w:val="auto"/>
              </w:rPr>
            </w:pPr>
          </w:p>
        </w:tc>
        <w:tc>
          <w:tcPr>
            <w:tcW w:w="23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i w:val="1"/>
                <w:iCs w:val="1"/>
                <w:color w:val="auto"/>
              </w:rPr>
              <w:t>(thousands) to Settle</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i w:val="1"/>
                <w:iCs w:val="1"/>
                <w:color w:val="auto"/>
              </w:rPr>
              <w:t>December 31,</w:t>
            </w:r>
          </w:p>
        </w:tc>
        <w:tc>
          <w:tcPr>
            <w:tcW w:w="1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i w:val="1"/>
                <w:iCs w:val="1"/>
                <w:color w:val="auto"/>
              </w:rPr>
              <w:t>of Claims</w:t>
            </w:r>
          </w:p>
        </w:tc>
        <w:tc>
          <w:tcPr>
            <w:tcW w:w="21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i w:val="1"/>
                <w:iCs w:val="1"/>
                <w:color w:val="auto"/>
              </w:rPr>
              <w:t>Settled, or Resolved</w:t>
            </w:r>
          </w:p>
        </w:tc>
        <w:tc>
          <w:tcPr>
            <w:tcW w:w="13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i w:val="1"/>
                <w:iCs w:val="1"/>
                <w:color w:val="auto"/>
              </w:rPr>
              <w:t>of Claims</w:t>
            </w:r>
          </w:p>
        </w:tc>
        <w:tc>
          <w:tcPr>
            <w:tcW w:w="2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60" w:type="dxa"/>
            <w:vAlign w:val="bottom"/>
            <w:tcBorders>
              <w:left w:val="single" w:sz="8" w:color="auto"/>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jc w:val="right"/>
              <w:ind w:right="570"/>
              <w:spacing w:after="0"/>
              <w:rPr>
                <w:sz w:val="20"/>
                <w:szCs w:val="20"/>
                <w:color w:val="auto"/>
              </w:rPr>
            </w:pPr>
            <w:r>
              <w:rPr>
                <w:rFonts w:ascii="Arial" w:cs="Arial" w:eastAsia="Arial" w:hAnsi="Arial"/>
                <w:sz w:val="18"/>
                <w:szCs w:val="18"/>
                <w:i w:val="1"/>
                <w:iCs w:val="1"/>
                <w:color w:val="auto"/>
              </w:rPr>
              <w:t>or Resolve ($)</w:t>
            </w:r>
          </w:p>
        </w:tc>
        <w:tc>
          <w:tcPr>
            <w:tcW w:w="0" w:type="dxa"/>
            <w:vAlign w:val="bottom"/>
          </w:tcPr>
          <w:p>
            <w:pPr>
              <w:spacing w:after="0"/>
              <w:rPr>
                <w:sz w:val="1"/>
                <w:szCs w:val="1"/>
                <w:color w:val="auto"/>
              </w:rPr>
            </w:pPr>
          </w:p>
        </w:tc>
      </w:tr>
      <w:tr>
        <w:trPr>
          <w:trHeight w:val="108"/>
        </w:trPr>
        <w:tc>
          <w:tcPr>
            <w:tcW w:w="1760" w:type="dxa"/>
            <w:vAlign w:val="bottom"/>
            <w:tcBorders>
              <w:left w:val="single" w:sz="8" w:color="auto"/>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2005</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29,411</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6,257</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1,297</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24,451</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2006</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24,451</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6,841</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1,806</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19,416</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3,879</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2007</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19,416</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808</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190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18,798</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2008</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18,798</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523</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18,385</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2009</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18,385</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9,482</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42</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8,945</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2010</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8,945</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3,963</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188</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5,170</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2011</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5,170</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789</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65</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4,446</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1,111</w:t>
            </w: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2012 to date</w:t>
            </w:r>
          </w:p>
        </w:tc>
        <w:tc>
          <w:tcPr>
            <w:tcW w:w="19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4,446</w:t>
            </w:r>
          </w:p>
        </w:tc>
        <w:tc>
          <w:tcPr>
            <w:tcW w:w="21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73</w:t>
            </w:r>
          </w:p>
        </w:tc>
        <w:tc>
          <w:tcPr>
            <w:tcW w:w="13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70</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4,443</w:t>
            </w:r>
          </w:p>
        </w:tc>
        <w:tc>
          <w:tcPr>
            <w:tcW w:w="23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530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Exposure and disease information sufficient meaningfully to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7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October 17, 2012, we had resolved, by means of settlement or dismissal, 36,353 claims. The total cost of resolving all claims was $8,646,000. Of this amount, almost 100% was paid by our insurance carrier. The Company has over $ 125 million in confirmed insurance coverage that should be available with respect to current and future asbestos claims, as well as additional insurance coverage that we should be able to access.</w:t>
      </w:r>
    </w:p>
    <w:p>
      <w:pPr>
        <w:spacing w:after="0" w:line="165"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7,873 claims as of October 17, 2012.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600" w:type="dxa"/>
            <w:vAlign w:val="bottom"/>
            <w:tcBorders>
              <w:top w:val="single" w:sz="8" w:color="auto"/>
              <w:left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i w:val="1"/>
                <w:iCs w:val="1"/>
                <w:color w:val="auto"/>
              </w:rPr>
              <w:t>Opening Number</w:t>
            </w:r>
          </w:p>
        </w:tc>
        <w:tc>
          <w:tcPr>
            <w:tcW w:w="1980" w:type="dxa"/>
            <w:vAlign w:val="bottom"/>
            <w:tcBorders>
              <w:top w:val="single" w:sz="8" w:color="auto"/>
              <w:right w:val="single" w:sz="8" w:color="auto"/>
            </w:tcBorders>
            <w:vMerge w:val="restart"/>
          </w:tcPr>
          <w:p>
            <w:pPr>
              <w:jc w:val="right"/>
              <w:ind w:right="270"/>
              <w:spacing w:after="0"/>
              <w:rPr>
                <w:sz w:val="20"/>
                <w:szCs w:val="20"/>
                <w:color w:val="auto"/>
              </w:rPr>
            </w:pPr>
            <w:r>
              <w:rPr>
                <w:rFonts w:ascii="Arial" w:cs="Arial" w:eastAsia="Arial" w:hAnsi="Arial"/>
                <w:sz w:val="18"/>
                <w:szCs w:val="18"/>
                <w:i w:val="1"/>
                <w:iCs w:val="1"/>
                <w:color w:val="auto"/>
              </w:rPr>
              <w:t>Claims Dismissed,</w:t>
            </w:r>
          </w:p>
        </w:tc>
        <w:tc>
          <w:tcPr>
            <w:tcW w:w="122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i w:val="1"/>
                <w:iCs w:val="1"/>
                <w:color w:val="auto"/>
              </w:rPr>
              <w:t>Closing Number</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Amounts Paid</w:t>
            </w:r>
          </w:p>
        </w:tc>
        <w:tc>
          <w:tcPr>
            <w:tcW w:w="0" w:type="dxa"/>
            <w:vAlign w:val="bottom"/>
          </w:tcPr>
          <w:p>
            <w:pPr>
              <w:spacing w:after="0"/>
              <w:rPr>
                <w:sz w:val="1"/>
                <w:szCs w:val="1"/>
                <w:color w:val="auto"/>
              </w:rPr>
            </w:pPr>
          </w:p>
        </w:tc>
      </w:tr>
      <w:tr>
        <w:trPr>
          <w:trHeight w:val="108"/>
        </w:trPr>
        <w:tc>
          <w:tcPr>
            <w:tcW w:w="260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i w:val="1"/>
                <w:iCs w:val="1"/>
                <w:color w:val="auto"/>
              </w:rPr>
              <w:t>Year ended December 31,</w:t>
            </w:r>
          </w:p>
        </w:tc>
        <w:tc>
          <w:tcPr>
            <w:tcW w:w="17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i w:val="1"/>
                <w:iCs w:val="1"/>
                <w:color w:val="auto"/>
              </w:rPr>
              <w:t>New Claims</w:t>
            </w:r>
          </w:p>
        </w:tc>
        <w:tc>
          <w:tcPr>
            <w:tcW w:w="172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89"/>
              </w:rPr>
              <w:t>(thousands) to Settle</w:t>
            </w:r>
          </w:p>
        </w:tc>
        <w:tc>
          <w:tcPr>
            <w:tcW w:w="0" w:type="dxa"/>
            <w:vAlign w:val="bottom"/>
          </w:tcPr>
          <w:p>
            <w:pPr>
              <w:spacing w:after="0"/>
              <w:rPr>
                <w:sz w:val="1"/>
                <w:szCs w:val="1"/>
                <w:color w:val="auto"/>
              </w:rPr>
            </w:pPr>
          </w:p>
        </w:tc>
      </w:tr>
      <w:tr>
        <w:trPr>
          <w:trHeight w:val="108"/>
        </w:trPr>
        <w:tc>
          <w:tcPr>
            <w:tcW w:w="260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i w:val="1"/>
                <w:iCs w:val="1"/>
                <w:color w:val="auto"/>
              </w:rPr>
              <w:t>of Claims</w:t>
            </w:r>
          </w:p>
        </w:tc>
        <w:tc>
          <w:tcPr>
            <w:tcW w:w="198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i w:val="1"/>
                <w:iCs w:val="1"/>
                <w:color w:val="auto"/>
              </w:rPr>
              <w:t>Settled, or Resolved</w:t>
            </w:r>
          </w:p>
        </w:tc>
        <w:tc>
          <w:tcPr>
            <w:tcW w:w="12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i w:val="1"/>
                <w:iCs w:val="1"/>
                <w:color w:val="auto"/>
              </w:rPr>
              <w:t>of Claims</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0" w:type="dxa"/>
            <w:vAlign w:val="bottom"/>
            <w:tcBorders>
              <w:left w:val="single" w:sz="8" w:color="auto"/>
              <w:right w:val="single" w:sz="8" w:color="auto"/>
            </w:tcBorders>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0"/>
              </w:rPr>
              <w:t>or Resolve ($)</w:t>
            </w:r>
          </w:p>
        </w:tc>
        <w:tc>
          <w:tcPr>
            <w:tcW w:w="0" w:type="dxa"/>
            <w:vAlign w:val="bottom"/>
          </w:tcPr>
          <w:p>
            <w:pPr>
              <w:spacing w:after="0"/>
              <w:rPr>
                <w:sz w:val="1"/>
                <w:szCs w:val="1"/>
                <w:color w:val="auto"/>
              </w:rPr>
            </w:pPr>
          </w:p>
        </w:tc>
      </w:tr>
      <w:tr>
        <w:trPr>
          <w:trHeight w:val="108"/>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2005</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9,985</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642</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223</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9,566</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2006</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9,566</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1,182</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730</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9,114</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2007</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9,114</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462</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88</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8,740</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2008</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8,740</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86</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10</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8,664</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2009</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8,664</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760</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7,907</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2010</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7,907</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47</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9</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7,869</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i w:val="1"/>
                <w:iCs w:val="1"/>
                <w:color w:val="auto"/>
              </w:rPr>
              <w:t>2011</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7,869</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3</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11</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7,877</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i w:val="1"/>
                <w:iCs w:val="1"/>
                <w:color w:val="auto"/>
              </w:rPr>
              <w:t>2012 to date</w:t>
            </w:r>
          </w:p>
        </w:tc>
        <w:tc>
          <w:tcPr>
            <w:tcW w:w="17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7,877</w:t>
            </w:r>
          </w:p>
        </w:tc>
        <w:tc>
          <w:tcPr>
            <w:tcW w:w="19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6</w:t>
            </w:r>
          </w:p>
        </w:tc>
        <w:tc>
          <w:tcPr>
            <w:tcW w:w="12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7,873</w:t>
            </w:r>
          </w:p>
        </w:tc>
        <w:tc>
          <w:tcPr>
            <w:tcW w:w="21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October 17, 2012, Brandon has resolved, by means of settlement or dismissal, 9,727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7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6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NAFTA Audits</w:t>
      </w:r>
    </w:p>
    <w:p>
      <w:pPr>
        <w:spacing w:after="0" w:line="200" w:lineRule="exact"/>
        <w:rPr>
          <w:sz w:val="20"/>
          <w:szCs w:val="20"/>
          <w:color w:val="auto"/>
        </w:rPr>
      </w:pPr>
    </w:p>
    <w:p>
      <w:pPr>
        <w:spacing w:after="0" w:line="23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17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December 2011, while these appeals were pending, SAT revoked its earlier declarations of invalidation with respect to the certificates of origin at issue in 28 of the 36 open audits, and ordered a further review of such certificates. To date, the Company has been informed by SAT that it has completed its review of 19 of the 28 audits, concluded that the certificates of origin in 19 of those 28 audits were valid, and that the shipments identified in those 19 audits entitled to NAFTA’s duty-free treatment. SAT is continuing to review the certificates of origin in the remaining 9 open audits where the original declaration was revoked. SAT is also still considering the Company’s appeal with regard to the 8 open audits where the original declaration invalidating the certificates of origin have not yet been revoked.</w:t>
      </w:r>
    </w:p>
    <w:p>
      <w:pPr>
        <w:spacing w:after="0" w:line="16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Based on discussions with SAT, the Company currently expects that it will be given an opportunity to present evidence to SAT officials to establish the origin for NAFTA purposes of all of the shipments covered by the above-described audits still under review, and that it will be able to establish that a very high percentage of the shipments at issue were entitled to NAFTA treatment. For the small percentage of shipments for which the Company may not be able to establish qualification for duty-free treatment under NAFTA, the Company may be required to pay duties and penalties. The Company currently does not expect any such amounts to be material.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There have been no material changes in risks since December 31, 2011. For discussion of risk factors, refer to Item 1A of our Annual Report on Form 10-K for the year ended December 31, 2011.</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made no share purchases during the second quarter of 2012. We remain authorized by the Board of Directors to purchase up to 2 million shares of our Class A Common Stock.</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240" w:top="657"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Exhibit No.</w:t>
            </w:r>
          </w:p>
        </w:tc>
        <w:tc>
          <w:tcPr>
            <w:tcW w:w="10160" w:type="dxa"/>
            <w:vAlign w:val="bottom"/>
          </w:tcPr>
          <w:p>
            <w:pPr>
              <w:ind w:left="180"/>
              <w:spacing w:after="0"/>
              <w:rPr>
                <w:sz w:val="20"/>
                <w:szCs w:val="20"/>
                <w:color w:val="auto"/>
              </w:rPr>
            </w:pPr>
            <w:r>
              <w:rPr>
                <w:rFonts w:ascii="Arial" w:cs="Arial" w:eastAsia="Arial" w:hAnsi="Arial"/>
                <w:sz w:val="18"/>
                <w:szCs w:val="18"/>
                <w:color w:val="auto"/>
              </w:rPr>
              <w:t>Description</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486"/>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7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tcPr>
          <w:p>
            <w:pPr>
              <w:ind w:left="180"/>
              <w:spacing w:after="0"/>
              <w:rPr>
                <w:sz w:val="20"/>
                <w:szCs w:val="20"/>
                <w:color w:val="auto"/>
              </w:rPr>
            </w:pPr>
            <w:r>
              <w:rPr>
                <w:rFonts w:ascii="Arial" w:cs="Arial" w:eastAsia="Arial" w:hAnsi="Arial"/>
                <w:sz w:val="18"/>
                <w:szCs w:val="18"/>
                <w:color w:val="auto"/>
                <w:w w:val="99"/>
              </w:rPr>
              <w:t>Certification pursuant to Section 906 of the Sarbanes-Oxley Act of 2002 (Subsections (a) and (b) of Section 1350, Chapter 63</w:t>
            </w:r>
          </w:p>
        </w:tc>
      </w:tr>
      <w:tr>
        <w:trPr>
          <w:trHeight w:val="217"/>
        </w:trPr>
        <w:tc>
          <w:tcPr>
            <w:tcW w:w="1080" w:type="dxa"/>
            <w:vAlign w:val="bottom"/>
          </w:tcPr>
          <w:p>
            <w:pPr>
              <w:spacing w:after="0"/>
              <w:rPr>
                <w:sz w:val="18"/>
                <w:szCs w:val="18"/>
                <w:color w:val="auto"/>
              </w:rPr>
            </w:pPr>
          </w:p>
        </w:tc>
        <w:tc>
          <w:tcPr>
            <w:tcW w:w="10160" w:type="dxa"/>
            <w:vAlign w:val="bottom"/>
          </w:tcPr>
          <w:p>
            <w:pPr>
              <w:ind w:left="180"/>
              <w:spacing w:after="0"/>
              <w:rPr>
                <w:sz w:val="20"/>
                <w:szCs w:val="20"/>
                <w:color w:val="auto"/>
              </w:rPr>
            </w:pPr>
            <w:r>
              <w:rPr>
                <w:rFonts w:ascii="Arial" w:cs="Arial" w:eastAsia="Arial" w:hAnsi="Arial"/>
                <w:sz w:val="18"/>
                <w:szCs w:val="18"/>
                <w:color w:val="auto"/>
              </w:rPr>
              <w:t>of Title 18, United States Code).</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risks as reported at December 31, 2011.</w:t>
            </w:r>
          </w:p>
        </w:tc>
      </w:tr>
    </w:tbl>
    <w:p>
      <w:pPr>
        <w:spacing w:after="0" w:line="269" w:lineRule="exact"/>
        <w:rPr>
          <w:sz w:val="20"/>
          <w:szCs w:val="20"/>
          <w:color w:val="auto"/>
        </w:rPr>
      </w:pPr>
    </w:p>
    <w:p>
      <w:pPr>
        <w:ind w:left="1260" w:right="180" w:hanging="1252"/>
        <w:spacing w:after="0" w:line="24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2012, formatted in eXtensible Business Reporting Language (XBRL), filed herewith:</w:t>
      </w:r>
    </w:p>
    <w:p>
      <w:pPr>
        <w:spacing w:after="0" w:line="223" w:lineRule="exact"/>
        <w:rPr>
          <w:rFonts w:ascii="Arial" w:cs="Arial" w:eastAsia="Arial" w:hAnsi="Arial"/>
          <w:sz w:val="18"/>
          <w:szCs w:val="18"/>
          <w:color w:val="auto"/>
        </w:rPr>
      </w:pPr>
    </w:p>
    <w:p>
      <w:pPr>
        <w:ind w:left="1720" w:hanging="329"/>
        <w:spacing w:after="0"/>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Balance Sheets at September 30, 2012 and December 31, 2011,</w:t>
      </w:r>
    </w:p>
    <w:p>
      <w:pPr>
        <w:spacing w:after="0" w:line="279" w:lineRule="exact"/>
        <w:rPr>
          <w:rFonts w:ascii="Arial" w:cs="Arial" w:eastAsia="Arial" w:hAnsi="Arial"/>
          <w:sz w:val="18"/>
          <w:szCs w:val="18"/>
          <w:color w:val="auto"/>
        </w:rPr>
      </w:pPr>
    </w:p>
    <w:p>
      <w:pPr>
        <w:ind w:left="1720" w:hanging="369"/>
        <w:spacing w:after="0"/>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nine months ended September 30, 2012 and 2011,</w:t>
      </w:r>
    </w:p>
    <w:p>
      <w:pPr>
        <w:spacing w:after="0" w:line="279" w:lineRule="exact"/>
        <w:rPr>
          <w:rFonts w:ascii="Arial" w:cs="Arial" w:eastAsia="Arial" w:hAnsi="Arial"/>
          <w:sz w:val="18"/>
          <w:szCs w:val="18"/>
          <w:color w:val="auto"/>
        </w:rPr>
      </w:pPr>
    </w:p>
    <w:p>
      <w:pPr>
        <w:ind w:left="1720" w:hanging="409"/>
        <w:spacing w:after="0"/>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nine months ended September 30, 2012 and 2011.</w:t>
      </w:r>
    </w:p>
    <w:p>
      <w:pPr>
        <w:spacing w:after="0" w:line="279" w:lineRule="exact"/>
        <w:rPr>
          <w:rFonts w:ascii="Arial" w:cs="Arial" w:eastAsia="Arial" w:hAnsi="Arial"/>
          <w:sz w:val="18"/>
          <w:szCs w:val="18"/>
          <w:color w:val="auto"/>
        </w:rPr>
      </w:pPr>
    </w:p>
    <w:p>
      <w:pPr>
        <w:ind w:left="1720" w:hanging="419"/>
        <w:spacing w:after="0"/>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44" w:lineRule="exact"/>
        <w:rPr>
          <w:sz w:val="20"/>
          <w:szCs w:val="20"/>
          <w:color w:val="auto"/>
        </w:rPr>
      </w:pPr>
    </w:p>
    <w:p>
      <w:pPr>
        <w:ind w:left="1600"/>
        <w:spacing w:after="0" w:line="275" w:lineRule="auto"/>
        <w:rPr>
          <w:sz w:val="20"/>
          <w:szCs w:val="20"/>
          <w:color w:val="auto"/>
        </w:rPr>
      </w:pPr>
      <w:r>
        <w:rPr>
          <w:rFonts w:ascii="Arial" w:cs="Arial" w:eastAsia="Arial" w:hAnsi="Arial"/>
          <w:sz w:val="17"/>
          <w:szCs w:val="17"/>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47" w:name="page48"/>
    <w:bookmarkEnd w:id="47"/>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left="238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w:t>
      </w:r>
    </w:p>
    <w:p>
      <w:pPr>
        <w:jc w:val="center"/>
        <w:ind w:left="238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2012</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5260"/>
        <w:spacing w:after="0" w:line="234" w:lineRule="auto"/>
        <w:rPr>
          <w:sz w:val="20"/>
          <w:szCs w:val="20"/>
          <w:color w:val="auto"/>
        </w:rPr>
      </w:pPr>
      <w:r>
        <w:rPr>
          <w:rFonts w:ascii="Arial" w:cs="Arial" w:eastAsia="Arial" w:hAnsi="Arial"/>
          <w:sz w:val="18"/>
          <w:szCs w:val="18"/>
          <w:color w:val="auto"/>
        </w:rPr>
        <w:t>John B. Cozzolino</w:t>
      </w:r>
    </w:p>
    <w:p>
      <w:pPr>
        <w:ind w:left="52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20"/>
          </w:cols>
          <w:pgMar w:left="240" w:top="657" w:right="5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225" w:lineRule="exact"/>
        <w:rPr>
          <w:sz w:val="20"/>
          <w:szCs w:val="20"/>
          <w:color w:val="auto"/>
        </w:rPr>
      </w:pPr>
    </w:p>
    <w:p>
      <w:pPr>
        <w:ind w:left="800" w:hanging="22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252" w:lineRule="exact"/>
        <w:rPr>
          <w:rFonts w:ascii="Arial" w:cs="Arial" w:eastAsia="Arial" w:hAnsi="Arial"/>
          <w:sz w:val="18"/>
          <w:szCs w:val="18"/>
          <w:color w:val="auto"/>
        </w:rPr>
      </w:pPr>
    </w:p>
    <w:p>
      <w:pPr>
        <w:jc w:val="both"/>
        <w:ind w:left="800" w:right="140" w:hanging="225"/>
        <w:spacing w:after="0" w:line="264"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00" w:right="100" w:hanging="225"/>
        <w:spacing w:after="0" w:line="308"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800" w:right="20" w:hanging="225"/>
        <w:spacing w:after="0" w:line="264"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08" w:lineRule="exact"/>
        <w:rPr>
          <w:rFonts w:ascii="Arial" w:cs="Arial" w:eastAsia="Arial" w:hAnsi="Arial"/>
          <w:sz w:val="18"/>
          <w:szCs w:val="18"/>
          <w:color w:val="auto"/>
        </w:rPr>
      </w:pPr>
    </w:p>
    <w:p>
      <w:pPr>
        <w:ind w:left="1180" w:hanging="278"/>
        <w:spacing w:after="0" w:line="264"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80" w:right="320" w:hanging="288"/>
        <w:spacing w:after="0" w:line="264"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180" w:right="480" w:hanging="278"/>
        <w:spacing w:after="0" w:line="342" w:lineRule="auto"/>
        <w:tabs>
          <w:tab w:leader="none" w:pos="11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80" w:right="40" w:hanging="288"/>
        <w:spacing w:after="0" w:line="264"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00" w:right="120" w:hanging="225"/>
        <w:spacing w:after="0" w:line="342"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180" w:right="740" w:hanging="278"/>
        <w:spacing w:after="0" w:line="342" w:lineRule="auto"/>
        <w:tabs>
          <w:tab w:leader="none" w:pos="11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80" w:right="440" w:hanging="288"/>
        <w:spacing w:after="0" w:line="277"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2012</w:t>
      </w:r>
    </w:p>
    <w:p>
      <w:pPr>
        <w:ind w:left="4920"/>
        <w:spacing w:after="0" w:line="234"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5260"/>
        <w:spacing w:after="0" w:line="235" w:lineRule="auto"/>
        <w:rPr>
          <w:sz w:val="20"/>
          <w:szCs w:val="20"/>
          <w:color w:val="auto"/>
        </w:rPr>
      </w:pPr>
      <w:r>
        <w:rPr>
          <w:rFonts w:ascii="Arial" w:cs="Arial" w:eastAsia="Arial" w:hAnsi="Arial"/>
          <w:sz w:val="18"/>
          <w:szCs w:val="18"/>
          <w:color w:val="auto"/>
        </w:rPr>
        <w:t>Joseph G. Morone</w:t>
      </w:r>
    </w:p>
    <w:p>
      <w:pPr>
        <w:ind w:left="526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239" w:lineRule="exact"/>
        <w:rPr>
          <w:sz w:val="20"/>
          <w:szCs w:val="20"/>
          <w:color w:val="auto"/>
        </w:rPr>
      </w:pPr>
    </w:p>
    <w:p>
      <w:pPr>
        <w:ind w:left="800" w:hanging="29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279" w:lineRule="exact"/>
        <w:rPr>
          <w:rFonts w:ascii="Arial" w:cs="Arial" w:eastAsia="Arial" w:hAnsi="Arial"/>
          <w:sz w:val="18"/>
          <w:szCs w:val="18"/>
          <w:color w:val="auto"/>
        </w:rPr>
      </w:pPr>
    </w:p>
    <w:p>
      <w:pPr>
        <w:ind w:left="800" w:right="80" w:hanging="29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800" w:right="120" w:hanging="29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Arial" w:cs="Arial" w:eastAsia="Arial" w:hAnsi="Arial"/>
          <w:sz w:val="18"/>
          <w:szCs w:val="18"/>
          <w:color w:val="auto"/>
        </w:rPr>
      </w:pPr>
    </w:p>
    <w:p>
      <w:pPr>
        <w:jc w:val="both"/>
        <w:ind w:left="800" w:right="220" w:hanging="29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ind w:left="1200" w:right="260" w:hanging="36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1200" w:right="260" w:hanging="36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200" w:right="200" w:hanging="35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1200" w:hanging="36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800" w:right="140" w:hanging="29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1200" w:right="180" w:hanging="36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1200" w:right="120" w:hanging="369"/>
        <w:spacing w:after="0" w:line="246" w:lineRule="auto"/>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2012</w:t>
      </w:r>
    </w:p>
    <w:p>
      <w:pPr>
        <w:ind w:left="4920"/>
        <w:spacing w:after="0" w:line="234" w:lineRule="auto"/>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John B. Cozzolino</w:t>
      </w:r>
    </w:p>
    <w:p>
      <w:pPr>
        <w:ind w:left="5260"/>
        <w:spacing w:after="0" w:line="235" w:lineRule="auto"/>
        <w:rPr>
          <w:sz w:val="20"/>
          <w:szCs w:val="20"/>
          <w:color w:val="auto"/>
        </w:rPr>
      </w:pPr>
      <w:r>
        <w:rPr>
          <w:rFonts w:ascii="Arial" w:cs="Arial" w:eastAsia="Arial" w:hAnsi="Arial"/>
          <w:sz w:val="18"/>
          <w:szCs w:val="18"/>
          <w:color w:val="auto"/>
        </w:rPr>
        <w:t>John B. Cozzolino</w:t>
      </w:r>
    </w:p>
    <w:p>
      <w:pPr>
        <w:ind w:left="52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0" w:name="page51"/>
    <w:bookmarkEnd w:id="50"/>
    <w:p>
      <w:pPr>
        <w:jc w:val="center"/>
        <w:ind w:right="-9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jc w:val="center"/>
        <w:ind w:right="-9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9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2012,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98" w:lineRule="exact"/>
        <w:rPr>
          <w:rFonts w:ascii="Arial" w:cs="Arial" w:eastAsia="Arial" w:hAnsi="Arial"/>
          <w:sz w:val="18"/>
          <w:szCs w:val="18"/>
          <w:color w:val="auto"/>
        </w:rPr>
      </w:pPr>
    </w:p>
    <w:p>
      <w:pPr>
        <w:ind w:left="460" w:right="280" w:hanging="452"/>
        <w:spacing w:after="0" w:line="24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2012</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4760"/>
        <w:spacing w:after="0" w:line="234" w:lineRule="auto"/>
        <w:rPr>
          <w:sz w:val="20"/>
          <w:szCs w:val="20"/>
          <w:color w:val="auto"/>
        </w:rPr>
      </w:pPr>
      <w:r>
        <w:rPr>
          <w:rFonts w:ascii="Arial" w:cs="Arial" w:eastAsia="Arial" w:hAnsi="Arial"/>
          <w:sz w:val="18"/>
          <w:szCs w:val="18"/>
          <w:color w:val="auto"/>
        </w:rPr>
        <w:t>Joseph G. Morone</w:t>
      </w:r>
    </w:p>
    <w:p>
      <w:pPr>
        <w:ind w:left="476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4760"/>
        <w:spacing w:after="0" w:line="234" w:lineRule="auto"/>
        <w:rPr>
          <w:sz w:val="20"/>
          <w:szCs w:val="20"/>
          <w:color w:val="auto"/>
        </w:rPr>
      </w:pPr>
      <w:r>
        <w:rPr>
          <w:rFonts w:ascii="Arial" w:cs="Arial" w:eastAsia="Arial" w:hAnsi="Arial"/>
          <w:sz w:val="18"/>
          <w:szCs w:val="18"/>
          <w:color w:val="auto"/>
        </w:rPr>
        <w:t>John B. Cozzolino</w:t>
      </w:r>
    </w:p>
    <w:p>
      <w:pPr>
        <w:ind w:left="47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51" w:name="page52"/>
    <w:bookmarkEnd w:id="51"/>
    <w:p>
      <w:pPr>
        <w:jc w:val="center"/>
        <w:ind w:right="540"/>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MARKET RISK SENSITIVITY – AS OF DECEMBER 31, 2011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firstLine="50"/>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$622.4 million. The potential loss in fair value resulting from a hypothetical 10% adverse change in quoted foreign currency exchange rates amounts to $62.2 million. Furthermore, related to foreign currency transactions, we have exposure to nonfunctional currency balances totaling $142.5 million. This amount includes, on an absolute basis, exposures to assets and liabilities held in currencies other than our local entity’s functional currency. On a net basis, we had approximately $28.7 million of foreign currency liabilities as of December 31, 2011. As currency rates change, these nonfunctional currency balances are revalued, and the corresponding adjustment is recorded in the income statement. A hypothetical change of 10% in currency rates could result in an adjustment to the income statement of approximately $2.9 million. Actual results may differ.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2011, we had the following variable rate debt: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57975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8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800" w:type="dxa"/>
            <w:vAlign w:val="bottom"/>
            <w:tcBorders>
              <w:top w:val="single" w:sz="8" w:color="auto"/>
            </w:tcBorders>
          </w:tcPr>
          <w:p>
            <w:pPr>
              <w:spacing w:after="0"/>
              <w:rPr>
                <w:sz w:val="16"/>
                <w:szCs w:val="16"/>
                <w:color w:val="auto"/>
              </w:rPr>
            </w:pPr>
          </w:p>
        </w:tc>
      </w:tr>
      <w:tr>
        <w:trPr>
          <w:trHeight w:val="181"/>
        </w:trPr>
        <w:tc>
          <w:tcPr>
            <w:tcW w:w="832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1.30%</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$424</w:t>
            </w:r>
          </w:p>
        </w:tc>
      </w:tr>
      <w:tr>
        <w:trPr>
          <w:trHeight w:val="225"/>
        </w:trPr>
        <w:tc>
          <w:tcPr>
            <w:tcW w:w="832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800" w:type="dxa"/>
            <w:vAlign w:val="bottom"/>
          </w:tcPr>
          <w:p>
            <w:pPr>
              <w:spacing w:after="0"/>
              <w:rPr>
                <w:sz w:val="19"/>
                <w:szCs w:val="19"/>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$105.0 million fixed rate portion, at an end of</w:t>
            </w:r>
          </w:p>
        </w:tc>
        <w:tc>
          <w:tcPr>
            <w:tcW w:w="800" w:type="dxa"/>
            <w:vAlign w:val="bottom"/>
          </w:tcPr>
          <w:p>
            <w:pPr>
              <w:spacing w:after="0"/>
              <w:rPr>
                <w:sz w:val="17"/>
                <w:szCs w:val="17"/>
                <w:color w:val="auto"/>
              </w:rPr>
            </w:pPr>
          </w:p>
        </w:tc>
      </w:tr>
      <w:tr>
        <w:trPr>
          <w:trHeight w:val="217"/>
        </w:trPr>
        <w:tc>
          <w:tcPr>
            <w:tcW w:w="8320" w:type="dxa"/>
            <w:vAlign w:val="bottom"/>
          </w:tcPr>
          <w:p>
            <w:pPr>
              <w:spacing w:after="0"/>
              <w:rPr>
                <w:sz w:val="20"/>
                <w:szCs w:val="20"/>
                <w:color w:val="auto"/>
              </w:rPr>
            </w:pPr>
            <w:r>
              <w:rPr>
                <w:rFonts w:ascii="Arial" w:cs="Arial" w:eastAsia="Arial" w:hAnsi="Arial"/>
                <w:sz w:val="18"/>
                <w:szCs w:val="18"/>
                <w:color w:val="auto"/>
              </w:rPr>
              <w:t>period interest rate of 2.75% in 2011, due in 2015</w:t>
            </w:r>
          </w:p>
        </w:tc>
        <w:tc>
          <w:tcPr>
            <w:tcW w:w="800" w:type="dxa"/>
            <w:vAlign w:val="bottom"/>
          </w:tcPr>
          <w:p>
            <w:pPr>
              <w:jc w:val="right"/>
              <w:spacing w:after="0"/>
              <w:rPr>
                <w:sz w:val="20"/>
                <w:szCs w:val="20"/>
                <w:color w:val="auto"/>
              </w:rPr>
            </w:pPr>
            <w:r>
              <w:rPr>
                <w:rFonts w:ascii="Arial" w:cs="Arial" w:eastAsia="Arial" w:hAnsi="Arial"/>
                <w:sz w:val="18"/>
                <w:szCs w:val="18"/>
                <w:color w:val="auto"/>
              </w:rPr>
              <w:t>82,000</w:t>
            </w:r>
          </w:p>
        </w:tc>
      </w:tr>
      <w:tr>
        <w:trPr>
          <w:trHeight w:val="391"/>
        </w:trPr>
        <w:tc>
          <w:tcPr>
            <w:tcW w:w="832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w:t>
            </w:r>
          </w:p>
        </w:tc>
        <w:tc>
          <w:tcPr>
            <w:tcW w:w="800" w:type="dxa"/>
            <w:vAlign w:val="bottom"/>
          </w:tcPr>
          <w:p>
            <w:pPr>
              <w:spacing w:after="0"/>
              <w:rPr>
                <w:sz w:val="24"/>
                <w:szCs w:val="24"/>
                <w:color w:val="auto"/>
              </w:rPr>
            </w:pPr>
          </w:p>
        </w:tc>
      </w:tr>
      <w:tr>
        <w:trPr>
          <w:trHeight w:val="203"/>
        </w:trPr>
        <w:tc>
          <w:tcPr>
            <w:tcW w:w="83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end of period rate of 3.02% in 2011, due in varying amounts through 2014</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10,000</w:t>
            </w:r>
          </w:p>
        </w:tc>
      </w:tr>
      <w:tr>
        <w:trPr>
          <w:trHeight w:val="39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$92,424</w:t>
            </w:r>
          </w:p>
        </w:tc>
      </w:tr>
    </w:tbl>
    <w:p>
      <w:pPr>
        <w:spacing w:after="0" w:line="21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Assuming borrowings were outstanding for an entire year, an increase/decrease of one percentage point in weighted average interest rates would increase/decrease interest expense by $0.9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309245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660"/>
      </w:cols>
      <w:pgMar w:left="90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6"/>
    </w:lvl>
  </w:abstractNum>
  <w:abstractNum w:abstractNumId="3">
    <w:nsid w:val="7FDCC233"/>
    <w:multiLevelType w:val="hybridMultilevel"/>
    <w:lvl w:ilvl="0">
      <w:lvlJc w:val="left"/>
      <w:lvlText w:val="(%1)"/>
      <w:numFmt w:val="decimal"/>
      <w:start w:val="359"/>
    </w:lvl>
  </w:abstractNum>
  <w:abstractNum w:abstractNumId="4">
    <w:nsid w:val="1BEFD79F"/>
    <w:multiLevelType w:val="hybridMultilevel"/>
    <w:lvl w:ilvl="0">
      <w:lvlJc w:val="left"/>
      <w:lvlText w:val="(%1)"/>
      <w:numFmt w:val="decimal"/>
      <w:start w:val="146"/>
    </w:lvl>
  </w:abstractNum>
  <w:abstractNum w:abstractNumId="5">
    <w:nsid w:val="41A7C4C9"/>
    <w:multiLevelType w:val="hybridMultilevel"/>
    <w:lvl w:ilvl="0">
      <w:lvlJc w:val="left"/>
      <w:lvlText w:val="%1"/>
      <w:numFmt w:val="decimal"/>
      <w:start w:val="26"/>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37"/>
    </w:lvl>
  </w:abstractNum>
  <w:abstractNum w:abstractNumId="8">
    <w:nsid w:val="25E45D32"/>
    <w:multiLevelType w:val="hybridMultilevel"/>
    <w:lvl w:ilvl="0">
      <w:lvlJc w:val="left"/>
      <w:lvlText w:val="(%1)"/>
      <w:numFmt w:val="decimal"/>
      <w:start w:val="251"/>
    </w:lvl>
  </w:abstractNum>
  <w:abstractNum w:abstractNumId="9">
    <w:nsid w:val="519B500D"/>
    <w:multiLevelType w:val="hybridMultilevel"/>
    <w:lvl w:ilvl="0">
      <w:lvlJc w:val="left"/>
      <w:lvlText w:val="(%1)"/>
      <w:numFmt w:val="decimal"/>
      <w:start w:val="762"/>
    </w:lvl>
  </w:abstractNum>
  <w:abstractNum w:abstractNumId="10">
    <w:nsid w:val="431BD7B7"/>
    <w:multiLevelType w:val="hybridMultilevel"/>
    <w:lvl w:ilvl="0">
      <w:lvlJc w:val="left"/>
      <w:lvlText w:val="(%1)"/>
      <w:numFmt w:val="decimal"/>
      <w:start w:val="154"/>
    </w:lvl>
    <w:lvl w:ilvl="1">
      <w:lvlJc w:val="left"/>
      <w:lvlText w:val="-"/>
      <w:numFmt w:val="bullet"/>
      <w:start w:val="1"/>
    </w:lvl>
  </w:abstractNum>
  <w:abstractNum w:abstractNumId="11">
    <w:nsid w:val="3F2DBA31"/>
    <w:multiLevelType w:val="hybridMultilevel"/>
    <w:lvl w:ilvl="0">
      <w:lvlJc w:val="left"/>
      <w:lvlText w:val="%1"/>
      <w:numFmt w:val="decimal"/>
      <w:start w:val="37"/>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decimal"/>
      <w:start w:val="101"/>
    </w:lvl>
    <w:lvl w:ilvl="1">
      <w:lvlJc w:val="left"/>
      <w:lvlText w:val="(%2)"/>
      <w:numFmt w:val="lowerRoman"/>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2019-12-09T08:43:10Z</dcterms:created>
  <dcterms:modified xsi:type="dcterms:W3CDTF">2019-12-09T08:43:10Z</dcterms:modified>
</cp:coreProperties>
</file>