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80"/>
        <w:spacing w:after="0"/>
        <w:rPr>
          <w:sz w:val="20"/>
          <w:szCs w:val="20"/>
          <w:color w:val="auto"/>
        </w:rPr>
      </w:pPr>
      <w:r>
        <w:rPr>
          <w:rFonts w:ascii="Arial" w:cs="Arial" w:eastAsia="Arial" w:hAnsi="Arial"/>
          <w:sz w:val="18"/>
          <w:szCs w:val="18"/>
          <w:color w:val="auto"/>
        </w:rPr>
        <w:t>UNITED STATES</w:t>
      </w:r>
    </w:p>
    <w:p>
      <w:pPr>
        <w:spacing w:after="0" w:line="167"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SECURITIES AND EXCHANGE COMMISSION</w:t>
      </w:r>
    </w:p>
    <w:p>
      <w:pPr>
        <w:ind w:left="3700"/>
        <w:spacing w:after="0"/>
        <w:rPr>
          <w:sz w:val="20"/>
          <w:szCs w:val="20"/>
          <w:color w:val="auto"/>
        </w:rPr>
      </w:pPr>
      <w:r>
        <w:rPr>
          <w:rFonts w:ascii="Arial" w:cs="Arial" w:eastAsia="Arial" w:hAnsi="Arial"/>
          <w:sz w:val="18"/>
          <w:szCs w:val="18"/>
          <w:color w:val="auto"/>
        </w:rPr>
        <w:t>Washington, D.C. 20549</w:t>
      </w:r>
    </w:p>
    <w:p>
      <w:pPr>
        <w:spacing w:after="0" w:line="203" w:lineRule="exact"/>
        <w:rPr>
          <w:sz w:val="24"/>
          <w:szCs w:val="24"/>
          <w:color w:val="auto"/>
        </w:rPr>
      </w:pPr>
    </w:p>
    <w:p>
      <w:pPr>
        <w:jc w:val="center"/>
        <w:ind w:right="1040"/>
        <w:spacing w:after="0"/>
        <w:rPr>
          <w:sz w:val="20"/>
          <w:szCs w:val="20"/>
          <w:color w:val="auto"/>
        </w:rPr>
      </w:pPr>
      <w:r>
        <w:rPr>
          <w:rFonts w:ascii="Arial" w:cs="Arial" w:eastAsia="Arial" w:hAnsi="Arial"/>
          <w:sz w:val="32"/>
          <w:szCs w:val="32"/>
          <w:color w:val="auto"/>
        </w:rPr>
        <w:t>FORM 10-K</w:t>
      </w:r>
    </w:p>
    <w:p>
      <w:pPr>
        <w:spacing w:after="0" w:line="19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94"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2014</w:t>
      </w:r>
    </w:p>
    <w:p>
      <w:pPr>
        <w:ind w:left="454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jc w:val="center"/>
        <w:ind w:left="2060" w:right="1060" w:hanging="2028"/>
        <w:spacing w:after="0" w:line="454"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 to _____________</w:t>
      </w:r>
    </w:p>
    <w:p>
      <w:pPr>
        <w:ind w:left="33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3" w:lineRule="exact"/>
        <w:rPr>
          <w:sz w:val="24"/>
          <w:szCs w:val="24"/>
          <w:color w:val="auto"/>
        </w:rPr>
      </w:pPr>
    </w:p>
    <w:p>
      <w:pPr>
        <w:jc w:val="center"/>
        <w:ind w:right="1040"/>
        <w:spacing w:after="0"/>
        <w:rPr>
          <w:sz w:val="20"/>
          <w:szCs w:val="20"/>
          <w:color w:val="auto"/>
        </w:rPr>
      </w:pPr>
      <w:r>
        <w:rPr>
          <w:rFonts w:ascii="Arial" w:cs="Arial" w:eastAsia="Arial" w:hAnsi="Arial"/>
          <w:sz w:val="32"/>
          <w:szCs w:val="32"/>
          <w:u w:val="single" w:color="auto"/>
          <w:color w:val="auto"/>
        </w:rPr>
        <w:t>ALBANY INTERNATIONAL CORP.</w:t>
      </w:r>
    </w:p>
    <w:p>
      <w:pPr>
        <w:spacing w:after="0" w:line="6"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2200" w:type="dxa"/>
            <w:vAlign w:val="bottom"/>
            <w:gridSpan w:val="2"/>
          </w:tcPr>
          <w:p>
            <w:pPr>
              <w:jc w:val="center"/>
              <w:ind w:right="1440"/>
              <w:spacing w:after="0"/>
              <w:rPr>
                <w:sz w:val="20"/>
                <w:szCs w:val="20"/>
                <w:color w:val="auto"/>
              </w:rPr>
            </w:pPr>
            <w:r>
              <w:rPr>
                <w:rFonts w:ascii="Arial" w:cs="Arial" w:eastAsia="Arial" w:hAnsi="Arial"/>
                <w:sz w:val="18"/>
                <w:szCs w:val="18"/>
                <w:color w:val="auto"/>
                <w:w w:val="99"/>
              </w:rPr>
              <w:t>Delaware</w:t>
            </w:r>
          </w:p>
        </w:tc>
        <w:tc>
          <w:tcPr>
            <w:tcW w:w="4540" w:type="dxa"/>
            <w:vAlign w:val="bottom"/>
            <w:gridSpan w:val="5"/>
          </w:tcPr>
          <w:p>
            <w:pPr>
              <w:jc w:val="right"/>
              <w:ind w:right="160"/>
              <w:spacing w:after="0"/>
              <w:rPr>
                <w:sz w:val="20"/>
                <w:szCs w:val="20"/>
                <w:color w:val="auto"/>
              </w:rPr>
            </w:pPr>
            <w:r>
              <w:rPr>
                <w:rFonts w:ascii="Arial" w:cs="Arial" w:eastAsia="Arial" w:hAnsi="Arial"/>
                <w:sz w:val="18"/>
                <w:szCs w:val="18"/>
                <w:color w:val="auto"/>
              </w:rPr>
              <w:t>14-0462060</w:t>
            </w:r>
          </w:p>
        </w:tc>
      </w:tr>
      <w:tr>
        <w:trPr>
          <w:trHeight w:val="20"/>
        </w:trPr>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640" w:type="dxa"/>
            <w:vAlign w:val="bottom"/>
            <w:gridSpan w:val="3"/>
          </w:tcPr>
          <w:p>
            <w:pPr>
              <w:jc w:val="center"/>
              <w:spacing w:after="0"/>
              <w:rPr>
                <w:sz w:val="20"/>
                <w:szCs w:val="20"/>
                <w:color w:val="auto"/>
              </w:rPr>
            </w:pPr>
            <w:r>
              <w:rPr>
                <w:rFonts w:ascii="Arial" w:cs="Arial" w:eastAsia="Arial" w:hAnsi="Arial"/>
                <w:sz w:val="18"/>
                <w:szCs w:val="18"/>
                <w:color w:val="auto"/>
              </w:rPr>
              <w:t>(State or other jurisdiction of</w:t>
            </w:r>
          </w:p>
        </w:tc>
        <w:tc>
          <w:tcPr>
            <w:tcW w:w="4540" w:type="dxa"/>
            <w:vAlign w:val="bottom"/>
            <w:gridSpan w:val="5"/>
          </w:tcPr>
          <w:p>
            <w:pPr>
              <w:ind w:left="3300"/>
              <w:spacing w:after="0"/>
              <w:rPr>
                <w:sz w:val="20"/>
                <w:szCs w:val="20"/>
                <w:color w:val="auto"/>
              </w:rPr>
            </w:pPr>
            <w:r>
              <w:rPr>
                <w:rFonts w:ascii="Arial" w:cs="Arial" w:eastAsia="Arial" w:hAnsi="Arial"/>
                <w:sz w:val="18"/>
                <w:szCs w:val="18"/>
                <w:color w:val="auto"/>
              </w:rPr>
              <w:t>(IRS Employer</w:t>
            </w:r>
          </w:p>
        </w:tc>
      </w:tr>
      <w:tr>
        <w:trPr>
          <w:trHeight w:val="217"/>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4540" w:type="dxa"/>
            <w:vAlign w:val="bottom"/>
            <w:gridSpan w:val="5"/>
          </w:tcPr>
          <w:p>
            <w:pPr>
              <w:ind w:left="3140"/>
              <w:spacing w:after="0"/>
              <w:rPr>
                <w:sz w:val="20"/>
                <w:szCs w:val="20"/>
                <w:color w:val="auto"/>
              </w:rPr>
            </w:pPr>
            <w:r>
              <w:rPr>
                <w:rFonts w:ascii="Arial" w:cs="Arial" w:eastAsia="Arial" w:hAnsi="Arial"/>
                <w:sz w:val="18"/>
                <w:szCs w:val="18"/>
                <w:color w:val="auto"/>
                <w:w w:val="98"/>
              </w:rPr>
              <w:t>Identification No.)</w:t>
            </w:r>
          </w:p>
        </w:tc>
      </w:tr>
      <w:tr>
        <w:trPr>
          <w:trHeight w:val="365"/>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216 Airport Drive, Rochester, New Hampshire</w:t>
            </w:r>
          </w:p>
        </w:tc>
        <w:tc>
          <w:tcPr>
            <w:tcW w:w="3640" w:type="dxa"/>
            <w:vAlign w:val="bottom"/>
            <w:gridSpan w:val="2"/>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03867</w:t>
            </w:r>
          </w:p>
        </w:tc>
        <w:tc>
          <w:tcPr>
            <w:tcW w:w="160" w:type="dxa"/>
            <w:vAlign w:val="bottom"/>
          </w:tcPr>
          <w:p>
            <w:pPr>
              <w:spacing w:after="0"/>
              <w:rPr>
                <w:sz w:val="24"/>
                <w:szCs w:val="24"/>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3"/>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400" w:type="dxa"/>
            <w:vAlign w:val="bottom"/>
          </w:tcPr>
          <w:p>
            <w:pPr>
              <w:spacing w:after="0"/>
              <w:rPr>
                <w:sz w:val="19"/>
                <w:szCs w:val="19"/>
                <w:color w:val="auto"/>
              </w:rPr>
            </w:pPr>
          </w:p>
        </w:tc>
        <w:tc>
          <w:tcPr>
            <w:tcW w:w="1140" w:type="dxa"/>
            <w:vAlign w:val="bottom"/>
            <w:gridSpan w:val="4"/>
          </w:tcPr>
          <w:p>
            <w:pPr>
              <w:ind w:left="100"/>
              <w:spacing w:after="0"/>
              <w:rPr>
                <w:sz w:val="20"/>
                <w:szCs w:val="20"/>
                <w:color w:val="auto"/>
              </w:rPr>
            </w:pPr>
            <w:r>
              <w:rPr>
                <w:rFonts w:ascii="Arial" w:cs="Arial" w:eastAsia="Arial" w:hAnsi="Arial"/>
                <w:sz w:val="18"/>
                <w:szCs w:val="18"/>
                <w:color w:val="auto"/>
              </w:rPr>
              <w:t>(Zip Code)</w:t>
            </w:r>
          </w:p>
        </w:tc>
      </w:tr>
    </w:tbl>
    <w:p>
      <w:pPr>
        <w:spacing w:after="0" w:line="188"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Registrant's telephone number, including area code 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-19050</wp:posOffset>
            </wp:positionV>
            <wp:extent cx="743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151"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43"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4640" w:type="dxa"/>
            <w:vAlign w:val="bottom"/>
            <w:gridSpan w:val="2"/>
          </w:tcPr>
          <w:p>
            <w:pPr>
              <w:jc w:val="center"/>
              <w:ind w:right="3200"/>
              <w:spacing w:after="0"/>
              <w:rPr>
                <w:sz w:val="20"/>
                <w:szCs w:val="20"/>
                <w:color w:val="auto"/>
              </w:rPr>
            </w:pPr>
            <w:r>
              <w:rPr>
                <w:rFonts w:ascii="Arial" w:cs="Arial" w:eastAsia="Arial" w:hAnsi="Arial"/>
                <w:sz w:val="18"/>
                <w:szCs w:val="18"/>
                <w:color w:val="auto"/>
                <w:w w:val="99"/>
              </w:rPr>
              <w:t>Title of each class</w:t>
            </w:r>
          </w:p>
        </w:tc>
        <w:tc>
          <w:tcPr>
            <w:tcW w:w="3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426"/>
        </w:trPr>
        <w:tc>
          <w:tcPr>
            <w:tcW w:w="5620" w:type="dxa"/>
            <w:vAlign w:val="bottom"/>
            <w:gridSpan w:val="3"/>
          </w:tcPr>
          <w:p>
            <w:pPr>
              <w:jc w:val="center"/>
              <w:ind w:right="2200"/>
              <w:spacing w:after="0"/>
              <w:rPr>
                <w:sz w:val="20"/>
                <w:szCs w:val="20"/>
                <w:color w:val="auto"/>
              </w:rPr>
            </w:pPr>
            <w:r>
              <w:rPr>
                <w:rFonts w:ascii="Arial" w:cs="Arial" w:eastAsia="Arial" w:hAnsi="Arial"/>
                <w:sz w:val="18"/>
                <w:szCs w:val="18"/>
                <w:color w:val="auto"/>
              </w:rPr>
              <w:t>Class A Common Stock ($0.001 par value)</w:t>
            </w:r>
          </w:p>
        </w:tc>
        <w:tc>
          <w:tcPr>
            <w:tcW w:w="640" w:type="dxa"/>
            <w:vAlign w:val="bottom"/>
          </w:tcPr>
          <w:p>
            <w:pPr>
              <w:spacing w:after="0"/>
              <w:rPr>
                <w:sz w:val="24"/>
                <w:szCs w:val="24"/>
                <w:color w:val="auto"/>
              </w:rPr>
            </w:pPr>
          </w:p>
        </w:tc>
        <w:tc>
          <w:tcPr>
            <w:tcW w:w="2940" w:type="dxa"/>
            <w:vAlign w:val="bottom"/>
            <w:gridSpan w:val="3"/>
          </w:tcPr>
          <w:p>
            <w:pPr>
              <w:jc w:val="center"/>
              <w:ind w:right="640"/>
              <w:spacing w:after="0"/>
              <w:rPr>
                <w:sz w:val="20"/>
                <w:szCs w:val="20"/>
                <w:color w:val="auto"/>
              </w:rPr>
            </w:pPr>
            <w:r>
              <w:rPr>
                <w:rFonts w:ascii="Arial" w:cs="Arial" w:eastAsia="Arial" w:hAnsi="Arial"/>
                <w:sz w:val="18"/>
                <w:szCs w:val="18"/>
                <w:color w:val="auto"/>
                <w:w w:val="98"/>
              </w:rPr>
              <w:t>New York Stock Exchange</w:t>
            </w:r>
          </w:p>
        </w:tc>
      </w:tr>
      <w:tr>
        <w:trPr>
          <w:trHeight w:val="756"/>
        </w:trPr>
        <w:tc>
          <w:tcPr>
            <w:tcW w:w="980" w:type="dxa"/>
            <w:vAlign w:val="bottom"/>
          </w:tcPr>
          <w:p>
            <w:pPr>
              <w:spacing w:after="0"/>
              <w:rPr>
                <w:sz w:val="24"/>
                <w:szCs w:val="24"/>
                <w:color w:val="auto"/>
              </w:rPr>
            </w:pPr>
          </w:p>
        </w:tc>
        <w:tc>
          <w:tcPr>
            <w:tcW w:w="5280" w:type="dxa"/>
            <w:vAlign w:val="bottom"/>
            <w:gridSpan w:val="3"/>
          </w:tcPr>
          <w:p>
            <w:pPr>
              <w:ind w:left="600"/>
              <w:spacing w:after="0"/>
              <w:rPr>
                <w:sz w:val="20"/>
                <w:szCs w:val="20"/>
                <w:color w:val="auto"/>
              </w:rPr>
            </w:pPr>
            <w:r>
              <w:rPr>
                <w:rFonts w:ascii="Arial" w:cs="Arial" w:eastAsia="Arial" w:hAnsi="Arial"/>
                <w:sz w:val="18"/>
                <w:szCs w:val="18"/>
                <w:color w:val="auto"/>
              </w:rPr>
              <w:t>Securities registered pursuant to Section 12(g) of the Act:</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None</w:t>
            </w:r>
          </w:p>
        </w:tc>
        <w:tc>
          <w:tcPr>
            <w:tcW w:w="226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(Title of Class)</w:t>
            </w:r>
          </w:p>
        </w:tc>
      </w:tr>
    </w:tbl>
    <w:p>
      <w:pPr>
        <w:spacing w:after="0" w:line="200" w:lineRule="exact"/>
        <w:rPr>
          <w:sz w:val="24"/>
          <w:szCs w:val="24"/>
          <w:color w:val="auto"/>
        </w:rPr>
      </w:pPr>
    </w:p>
    <w:p>
      <w:pPr>
        <w:spacing w:after="0" w:line="28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48895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380"/>
          </w:cols>
          <w:pgMar w:left="1280" w:top="247" w:right="239" w:bottom="1440" w:gutter="0" w:footer="0" w:header="0"/>
        </w:sectPr>
      </w:pPr>
    </w:p>
    <w:bookmarkStart w:id="1" w:name="page2"/>
    <w:bookmarkEnd w:id="1"/>
    <w:p>
      <w:pPr>
        <w:ind w:left="660" w:right="420"/>
        <w:spacing w:after="0" w:line="472" w:lineRule="auto"/>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Arial" w:cs="Arial" w:eastAsia="Arial" w:hAnsi="Arial"/>
          <w:sz w:val="17"/>
          <w:szCs w:val="17"/>
          <w:u w:val="single" w:color="auto"/>
          <w:color w:val="auto"/>
        </w:rPr>
        <w:t>X</w:t>
      </w:r>
      <w:r>
        <w:rPr>
          <w:rFonts w:ascii="Arial" w:cs="Arial" w:eastAsia="Arial" w:hAnsi="Arial"/>
          <w:sz w:val="17"/>
          <w:szCs w:val="17"/>
          <w:color w:val="auto"/>
        </w:rPr>
        <w:t xml:space="preserve"> No _ Indicate by check mark if the registrant is not required to file reports pursuant to Section 13 or Section 15(d) of the Act. Yes _ No </w:t>
      </w:r>
      <w:r>
        <w:rPr>
          <w:rFonts w:ascii="Arial" w:cs="Arial" w:eastAsia="Arial" w:hAnsi="Arial"/>
          <w:sz w:val="17"/>
          <w:szCs w:val="17"/>
          <w:u w:val="single" w:color="auto"/>
          <w:color w:val="auto"/>
        </w:rPr>
        <w:t>X</w:t>
      </w:r>
    </w:p>
    <w:p>
      <w:pPr>
        <w:spacing w:after="0" w:line="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ind w:right="700" w:firstLine="648"/>
        <w:spacing w:after="0"/>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76"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w:t>
      </w:r>
    </w:p>
    <w:p>
      <w:pPr>
        <w:spacing w:after="0" w:line="126"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360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3940" w:type="dxa"/>
            <w:vAlign w:val="bottom"/>
          </w:tcPr>
          <w:p>
            <w:pPr>
              <w:ind w:left="1640"/>
              <w:spacing w:after="0"/>
              <w:rPr>
                <w:sz w:val="20"/>
                <w:szCs w:val="20"/>
                <w:color w:val="auto"/>
              </w:rPr>
            </w:pPr>
            <w:r>
              <w:rPr>
                <w:rFonts w:ascii="Arial" w:cs="Arial" w:eastAsia="Arial" w:hAnsi="Arial"/>
                <w:sz w:val="18"/>
                <w:szCs w:val="18"/>
                <w:color w:val="auto"/>
              </w:rPr>
              <w:t>Accelerated filer _</w:t>
            </w:r>
          </w:p>
        </w:tc>
      </w:tr>
      <w:tr>
        <w:trPr>
          <w:trHeight w:val="223"/>
        </w:trPr>
        <w:tc>
          <w:tcPr>
            <w:tcW w:w="1840" w:type="dxa"/>
            <w:vAlign w:val="bottom"/>
          </w:tcPr>
          <w:p>
            <w:pPr>
              <w:spacing w:after="0"/>
              <w:rPr>
                <w:sz w:val="20"/>
                <w:szCs w:val="20"/>
                <w:color w:val="auto"/>
              </w:rPr>
            </w:pPr>
            <w:r>
              <w:rPr>
                <w:rFonts w:ascii="Arial" w:cs="Arial" w:eastAsia="Arial" w:hAnsi="Arial"/>
                <w:sz w:val="18"/>
                <w:szCs w:val="18"/>
                <w:color w:val="auto"/>
              </w:rPr>
              <w:t>Non-accelerated filer _</w:t>
            </w:r>
          </w:p>
        </w:tc>
        <w:tc>
          <w:tcPr>
            <w:tcW w:w="120" w:type="dxa"/>
            <w:vAlign w:val="bottom"/>
            <w:tcBorders>
              <w:top w:val="single" w:sz="8" w:color="auto"/>
            </w:tcBorders>
          </w:tcPr>
          <w:p>
            <w:pPr>
              <w:spacing w:after="0"/>
              <w:rPr>
                <w:sz w:val="19"/>
                <w:szCs w:val="19"/>
                <w:color w:val="auto"/>
              </w:rPr>
            </w:pPr>
          </w:p>
        </w:tc>
        <w:tc>
          <w:tcPr>
            <w:tcW w:w="1640" w:type="dxa"/>
            <w:vAlign w:val="bottom"/>
          </w:tcPr>
          <w:p>
            <w:pPr>
              <w:spacing w:after="0"/>
              <w:rPr>
                <w:sz w:val="19"/>
                <w:szCs w:val="19"/>
                <w:color w:val="auto"/>
              </w:rPr>
            </w:pPr>
          </w:p>
        </w:tc>
        <w:tc>
          <w:tcPr>
            <w:tcW w:w="3940" w:type="dxa"/>
            <w:vAlign w:val="bottom"/>
          </w:tcPr>
          <w:p>
            <w:pPr>
              <w:ind w:left="1640"/>
              <w:spacing w:after="0"/>
              <w:rPr>
                <w:sz w:val="20"/>
                <w:szCs w:val="20"/>
                <w:color w:val="auto"/>
              </w:rPr>
            </w:pPr>
            <w:r>
              <w:rPr>
                <w:rFonts w:ascii="Arial" w:cs="Arial" w:eastAsia="Arial" w:hAnsi="Arial"/>
                <w:sz w:val="18"/>
                <w:szCs w:val="18"/>
                <w:color w:val="auto"/>
                <w:w w:val="99"/>
              </w:rPr>
              <w:t>Smaller reporting company _</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_ No </w:t>
      </w:r>
      <w:r>
        <w:rPr>
          <w:rFonts w:ascii="Arial" w:cs="Arial" w:eastAsia="Arial" w:hAnsi="Arial"/>
          <w:sz w:val="18"/>
          <w:szCs w:val="18"/>
          <w:u w:val="single" w:color="auto"/>
          <w:color w:val="auto"/>
        </w:rPr>
        <w:t>X</w:t>
      </w:r>
    </w:p>
    <w:p>
      <w:pPr>
        <w:spacing w:after="0" w:line="171"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aggregate market value of the Common Stock held by non-affiliates of the registrant on June 27, 2014, the last business day of the registrant’s most recently completed second quarter, computed by reference to the price at which Common Stock was last sold on such a date, was $1,072.4 million.</w:t>
      </w:r>
    </w:p>
    <w:p>
      <w:pPr>
        <w:spacing w:after="0" w:line="17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registrant had 28.6 million shares of Class A Common Stock and 3.2 million shares of Class B Common Stock outstanding as of January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138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PART</w:t>
            </w:r>
          </w:p>
        </w:tc>
      </w:tr>
      <w:tr>
        <w:trPr>
          <w:trHeight w:val="20"/>
        </w:trPr>
        <w:tc>
          <w:tcPr>
            <w:tcW w:w="410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426"/>
        </w:trPr>
        <w:tc>
          <w:tcPr>
            <w:tcW w:w="9880" w:type="dxa"/>
            <w:vAlign w:val="bottom"/>
            <w:gridSpan w:val="2"/>
          </w:tcPr>
          <w:p>
            <w:pPr>
              <w:spacing w:after="0"/>
              <w:rPr>
                <w:sz w:val="20"/>
                <w:szCs w:val="20"/>
                <w:color w:val="auto"/>
              </w:rPr>
            </w:pPr>
            <w:r>
              <w:rPr>
                <w:rFonts w:ascii="Arial" w:cs="Arial" w:eastAsia="Arial" w:hAnsi="Arial"/>
                <w:sz w:val="18"/>
                <w:szCs w:val="18"/>
                <w:color w:val="auto"/>
              </w:rPr>
              <w:t>Portions of the Registrant's Proxy Statement for the Annual Meeting of Shareholders to be held on May 15, 2015</w:t>
            </w:r>
          </w:p>
        </w:tc>
        <w:tc>
          <w:tcPr>
            <w:tcW w:w="9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III</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966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966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24"/>
                <w:szCs w:val="24"/>
                <w:color w:val="auto"/>
              </w:rPr>
            </w:pPr>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240"/>
              <w:spacing w:after="0"/>
              <w:rPr>
                <w:sz w:val="20"/>
                <w:szCs w:val="20"/>
                <w:color w:val="auto"/>
              </w:rPr>
            </w:pPr>
            <w:r>
              <w:rPr>
                <w:rFonts w:ascii="Arial" w:cs="Arial" w:eastAsia="Arial" w:hAnsi="Arial"/>
                <w:sz w:val="18"/>
                <w:szCs w:val="18"/>
                <w:color w:val="auto"/>
              </w:rPr>
              <w:t>Business</w:t>
            </w:r>
          </w:p>
        </w:tc>
        <w:tc>
          <w:tcPr>
            <w:tcW w:w="480" w:type="dxa"/>
            <w:vAlign w:val="bottom"/>
          </w:tcPr>
          <w:p>
            <w:pPr>
              <w:jc w:val="center"/>
              <w:ind w:left="90"/>
              <w:spacing w:after="0"/>
              <w:rPr>
                <w:sz w:val="20"/>
                <w:szCs w:val="20"/>
                <w:color w:val="auto"/>
              </w:rPr>
            </w:pPr>
            <w:r>
              <w:rPr>
                <w:rFonts w:ascii="Arial" w:cs="Arial" w:eastAsia="Arial" w:hAnsi="Arial"/>
                <w:sz w:val="18"/>
                <w:szCs w:val="18"/>
                <w:color w:val="auto"/>
                <w:w w:val="99"/>
              </w:rPr>
              <w:t>5</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66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10</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9660" w:type="dxa"/>
            <w:vAlign w:val="bottom"/>
          </w:tcPr>
          <w:p>
            <w:pPr>
              <w:ind w:left="240"/>
              <w:spacing w:after="0"/>
              <w:rPr>
                <w:sz w:val="20"/>
                <w:szCs w:val="20"/>
                <w:color w:val="auto"/>
              </w:rPr>
            </w:pPr>
            <w:r>
              <w:rPr>
                <w:rFonts w:ascii="Arial" w:cs="Arial" w:eastAsia="Arial" w:hAnsi="Arial"/>
                <w:sz w:val="18"/>
                <w:szCs w:val="18"/>
                <w:color w:val="auto"/>
              </w:rPr>
              <w:t>Unresolved Staff Comments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19</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240"/>
              <w:spacing w:after="0"/>
              <w:rPr>
                <w:sz w:val="20"/>
                <w:szCs w:val="20"/>
                <w:color w:val="auto"/>
              </w:rPr>
            </w:pPr>
            <w:r>
              <w:rPr>
                <w:rFonts w:ascii="Arial" w:cs="Arial" w:eastAsia="Arial" w:hAnsi="Arial"/>
                <w:sz w:val="18"/>
                <w:szCs w:val="18"/>
                <w:color w:val="auto"/>
              </w:rPr>
              <w:t>Properties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19</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19</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19</w:t>
            </w:r>
          </w:p>
        </w:tc>
      </w:tr>
      <w:tr>
        <w:trPr>
          <w:trHeight w:val="284"/>
        </w:trPr>
        <w:tc>
          <w:tcPr>
            <w:tcW w:w="920" w:type="dxa"/>
            <w:vAlign w:val="bottom"/>
          </w:tcPr>
          <w:p>
            <w:pPr>
              <w:spacing w:after="0"/>
              <w:rPr>
                <w:sz w:val="24"/>
                <w:szCs w:val="24"/>
                <w:color w:val="auto"/>
              </w:rPr>
            </w:pPr>
          </w:p>
        </w:tc>
        <w:tc>
          <w:tcPr>
            <w:tcW w:w="9660" w:type="dxa"/>
            <w:vAlign w:val="bottom"/>
          </w:tcPr>
          <w:p>
            <w:pPr>
              <w:jc w:val="center"/>
              <w:spacing w:after="0"/>
              <w:rPr>
                <w:sz w:val="20"/>
                <w:szCs w:val="20"/>
                <w:color w:val="auto"/>
              </w:rPr>
            </w:pPr>
            <w:r>
              <w:rPr>
                <w:rFonts w:ascii="Arial" w:cs="Arial" w:eastAsia="Arial" w:hAnsi="Arial"/>
                <w:sz w:val="18"/>
                <w:szCs w:val="18"/>
                <w:b w:val="1"/>
                <w:bCs w:val="1"/>
                <w:color w:val="auto"/>
                <w:w w:val="96"/>
              </w:rPr>
              <w:t>PART II</w:t>
            </w:r>
          </w:p>
        </w:tc>
        <w:tc>
          <w:tcPr>
            <w:tcW w:w="480" w:type="dxa"/>
            <w:vAlign w:val="bottom"/>
          </w:tcPr>
          <w:p>
            <w:pPr>
              <w:spacing w:after="0"/>
              <w:rPr>
                <w:sz w:val="24"/>
                <w:szCs w:val="24"/>
                <w:color w:val="auto"/>
              </w:rPr>
            </w:pP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tcPr>
          <w:p>
            <w:pPr>
              <w:ind w:left="240"/>
              <w:spacing w:after="0"/>
              <w:rPr>
                <w:sz w:val="20"/>
                <w:szCs w:val="20"/>
                <w:color w:val="auto"/>
              </w:rPr>
            </w:pPr>
            <w:r>
              <w:rPr>
                <w:rFonts w:ascii="Arial" w:cs="Arial" w:eastAsia="Arial" w:hAnsi="Arial"/>
                <w:sz w:val="18"/>
                <w:szCs w:val="18"/>
                <w:color w:val="auto"/>
              </w:rPr>
              <w:t>Market for the Registrant’s Common Equity, Related Stockholder Matters, and Issuer Purchases of Equity Securities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20</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tcPr>
          <w:p>
            <w:pPr>
              <w:ind w:left="240"/>
              <w:spacing w:after="0"/>
              <w:rPr>
                <w:sz w:val="20"/>
                <w:szCs w:val="20"/>
                <w:color w:val="auto"/>
              </w:rPr>
            </w:pPr>
            <w:r>
              <w:rPr>
                <w:rFonts w:ascii="Arial" w:cs="Arial" w:eastAsia="Arial" w:hAnsi="Arial"/>
                <w:sz w:val="18"/>
                <w:szCs w:val="18"/>
                <w:color w:val="auto"/>
              </w:rPr>
              <w:t>Selected Financial Data</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21</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966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23</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66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43</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9660" w:type="dxa"/>
            <w:vAlign w:val="bottom"/>
          </w:tcPr>
          <w:p>
            <w:pPr>
              <w:ind w:left="240"/>
              <w:spacing w:after="0"/>
              <w:rPr>
                <w:sz w:val="20"/>
                <w:szCs w:val="20"/>
                <w:color w:val="auto"/>
              </w:rPr>
            </w:pPr>
            <w:r>
              <w:rPr>
                <w:rFonts w:ascii="Arial" w:cs="Arial" w:eastAsia="Arial" w:hAnsi="Arial"/>
                <w:sz w:val="18"/>
                <w:szCs w:val="18"/>
                <w:color w:val="auto"/>
              </w:rPr>
              <w:t>Financial Statements and Supplementary Data</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45</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660" w:type="dxa"/>
            <w:vAlign w:val="bottom"/>
          </w:tcPr>
          <w:p>
            <w:pPr>
              <w:ind w:left="2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97</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966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97</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966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98</w:t>
            </w:r>
          </w:p>
        </w:tc>
      </w:tr>
      <w:tr>
        <w:trPr>
          <w:trHeight w:val="284"/>
        </w:trPr>
        <w:tc>
          <w:tcPr>
            <w:tcW w:w="920" w:type="dxa"/>
            <w:vAlign w:val="bottom"/>
          </w:tcPr>
          <w:p>
            <w:pPr>
              <w:spacing w:after="0"/>
              <w:rPr>
                <w:sz w:val="24"/>
                <w:szCs w:val="24"/>
                <w:color w:val="auto"/>
              </w:rPr>
            </w:pPr>
          </w:p>
        </w:tc>
        <w:tc>
          <w:tcPr>
            <w:tcW w:w="9660" w:type="dxa"/>
            <w:vAlign w:val="bottom"/>
          </w:tcPr>
          <w:p>
            <w:pPr>
              <w:jc w:val="center"/>
              <w:spacing w:after="0"/>
              <w:rPr>
                <w:sz w:val="20"/>
                <w:szCs w:val="20"/>
                <w:color w:val="auto"/>
              </w:rPr>
            </w:pPr>
            <w:r>
              <w:rPr>
                <w:rFonts w:ascii="Arial" w:cs="Arial" w:eastAsia="Arial" w:hAnsi="Arial"/>
                <w:sz w:val="18"/>
                <w:szCs w:val="18"/>
                <w:b w:val="1"/>
                <w:bCs w:val="1"/>
                <w:color w:val="auto"/>
                <w:w w:val="98"/>
              </w:rPr>
              <w:t>PART III</w:t>
            </w:r>
          </w:p>
        </w:tc>
        <w:tc>
          <w:tcPr>
            <w:tcW w:w="480" w:type="dxa"/>
            <w:vAlign w:val="bottom"/>
          </w:tcPr>
          <w:p>
            <w:pPr>
              <w:spacing w:after="0"/>
              <w:rPr>
                <w:sz w:val="24"/>
                <w:szCs w:val="24"/>
                <w:color w:val="auto"/>
              </w:rPr>
            </w:pP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660" w:type="dxa"/>
            <w:vAlign w:val="bottom"/>
          </w:tcPr>
          <w:p>
            <w:pPr>
              <w:ind w:left="240"/>
              <w:spacing w:after="0"/>
              <w:rPr>
                <w:sz w:val="20"/>
                <w:szCs w:val="20"/>
                <w:color w:val="auto"/>
              </w:rPr>
            </w:pPr>
            <w:r>
              <w:rPr>
                <w:rFonts w:ascii="Arial" w:cs="Arial" w:eastAsia="Arial" w:hAnsi="Arial"/>
                <w:sz w:val="18"/>
                <w:szCs w:val="18"/>
                <w:color w:val="auto"/>
              </w:rPr>
              <w:t>Directors, Executive Officers and Corporate Governance</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99</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9660" w:type="dxa"/>
            <w:vAlign w:val="bottom"/>
          </w:tcPr>
          <w:p>
            <w:pPr>
              <w:ind w:left="24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w w:val="99"/>
              </w:rPr>
              <w:t>99</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660" w:type="dxa"/>
            <w:vAlign w:val="bottom"/>
          </w:tcPr>
          <w:p>
            <w:pPr>
              <w:ind w:left="2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480" w:type="dxa"/>
            <w:vAlign w:val="bottom"/>
          </w:tcPr>
          <w:p>
            <w:pPr>
              <w:jc w:val="center"/>
              <w:ind w:left="90"/>
              <w:spacing w:after="0"/>
              <w:rPr>
                <w:sz w:val="20"/>
                <w:szCs w:val="20"/>
                <w:color w:val="auto"/>
              </w:rPr>
            </w:pPr>
            <w:r>
              <w:rPr>
                <w:rFonts w:ascii="Arial" w:cs="Arial" w:eastAsia="Arial" w:hAnsi="Arial"/>
                <w:sz w:val="18"/>
                <w:szCs w:val="18"/>
                <w:color w:val="auto"/>
                <w:w w:val="99"/>
              </w:rPr>
              <w:t>100</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9660" w:type="dxa"/>
            <w:vAlign w:val="bottom"/>
          </w:tcPr>
          <w:p>
            <w:pPr>
              <w:ind w:left="240"/>
              <w:spacing w:after="0"/>
              <w:rPr>
                <w:sz w:val="20"/>
                <w:szCs w:val="20"/>
                <w:color w:val="auto"/>
              </w:rPr>
            </w:pPr>
            <w:r>
              <w:rPr>
                <w:rFonts w:ascii="Arial" w:cs="Arial" w:eastAsia="Arial" w:hAnsi="Arial"/>
                <w:sz w:val="18"/>
                <w:szCs w:val="18"/>
                <w:color w:val="auto"/>
              </w:rPr>
              <w:t>Certain Relationships, Related Transactions and Director Independence</w:t>
            </w:r>
          </w:p>
        </w:tc>
        <w:tc>
          <w:tcPr>
            <w:tcW w:w="480" w:type="dxa"/>
            <w:vAlign w:val="bottom"/>
          </w:tcPr>
          <w:p>
            <w:pPr>
              <w:jc w:val="center"/>
              <w:ind w:left="90"/>
              <w:spacing w:after="0"/>
              <w:rPr>
                <w:sz w:val="20"/>
                <w:szCs w:val="20"/>
                <w:color w:val="auto"/>
              </w:rPr>
            </w:pPr>
            <w:r>
              <w:rPr>
                <w:rFonts w:ascii="Arial" w:cs="Arial" w:eastAsia="Arial" w:hAnsi="Arial"/>
                <w:sz w:val="18"/>
                <w:szCs w:val="18"/>
                <w:color w:val="auto"/>
                <w:w w:val="99"/>
              </w:rPr>
              <w:t>101</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9660" w:type="dxa"/>
            <w:vAlign w:val="bottom"/>
          </w:tcPr>
          <w:p>
            <w:pPr>
              <w:ind w:left="240"/>
              <w:spacing w:after="0"/>
              <w:rPr>
                <w:sz w:val="20"/>
                <w:szCs w:val="20"/>
                <w:color w:val="auto"/>
              </w:rPr>
            </w:pPr>
            <w:r>
              <w:rPr>
                <w:rFonts w:ascii="Arial" w:cs="Arial" w:eastAsia="Arial" w:hAnsi="Arial"/>
                <w:sz w:val="18"/>
                <w:szCs w:val="18"/>
                <w:color w:val="auto"/>
              </w:rPr>
              <w:t>Principal Accountant Fees and Services</w:t>
            </w:r>
          </w:p>
        </w:tc>
        <w:tc>
          <w:tcPr>
            <w:tcW w:w="480" w:type="dxa"/>
            <w:vAlign w:val="bottom"/>
          </w:tcPr>
          <w:p>
            <w:pPr>
              <w:jc w:val="center"/>
              <w:ind w:left="90"/>
              <w:spacing w:after="0"/>
              <w:rPr>
                <w:sz w:val="20"/>
                <w:szCs w:val="20"/>
                <w:color w:val="auto"/>
              </w:rPr>
            </w:pPr>
            <w:r>
              <w:rPr>
                <w:rFonts w:ascii="Arial" w:cs="Arial" w:eastAsia="Arial" w:hAnsi="Arial"/>
                <w:sz w:val="18"/>
                <w:szCs w:val="18"/>
                <w:color w:val="auto"/>
                <w:w w:val="99"/>
              </w:rPr>
              <w:t>101</w:t>
            </w:r>
          </w:p>
        </w:tc>
      </w:tr>
      <w:tr>
        <w:trPr>
          <w:trHeight w:val="567"/>
        </w:trPr>
        <w:tc>
          <w:tcPr>
            <w:tcW w:w="920" w:type="dxa"/>
            <w:vAlign w:val="bottom"/>
          </w:tcPr>
          <w:p>
            <w:pPr>
              <w:spacing w:after="0"/>
              <w:rPr>
                <w:sz w:val="24"/>
                <w:szCs w:val="24"/>
                <w:color w:val="auto"/>
              </w:rPr>
            </w:pPr>
          </w:p>
        </w:tc>
        <w:tc>
          <w:tcPr>
            <w:tcW w:w="9660" w:type="dxa"/>
            <w:vAlign w:val="bottom"/>
          </w:tcPr>
          <w:p>
            <w:pPr>
              <w:jc w:val="center"/>
              <w:spacing w:after="0"/>
              <w:rPr>
                <w:sz w:val="20"/>
                <w:szCs w:val="20"/>
                <w:color w:val="auto"/>
              </w:rPr>
            </w:pPr>
            <w:r>
              <w:rPr>
                <w:rFonts w:ascii="Arial" w:cs="Arial" w:eastAsia="Arial" w:hAnsi="Arial"/>
                <w:sz w:val="18"/>
                <w:szCs w:val="18"/>
                <w:b w:val="1"/>
                <w:bCs w:val="1"/>
                <w:color w:val="auto"/>
                <w:w w:val="98"/>
              </w:rPr>
              <w:t>PART IV</w:t>
            </w:r>
          </w:p>
        </w:tc>
        <w:tc>
          <w:tcPr>
            <w:tcW w:w="480" w:type="dxa"/>
            <w:vAlign w:val="bottom"/>
          </w:tcPr>
          <w:p>
            <w:pPr>
              <w:spacing w:after="0"/>
              <w:rPr>
                <w:sz w:val="24"/>
                <w:szCs w:val="24"/>
                <w:color w:val="auto"/>
              </w:rPr>
            </w:pP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9660" w:type="dxa"/>
            <w:vAlign w:val="bottom"/>
          </w:tcPr>
          <w:p>
            <w:pPr>
              <w:ind w:left="240"/>
              <w:spacing w:after="0"/>
              <w:rPr>
                <w:sz w:val="20"/>
                <w:szCs w:val="20"/>
                <w:color w:val="auto"/>
              </w:rPr>
            </w:pPr>
            <w:r>
              <w:rPr>
                <w:rFonts w:ascii="Arial" w:cs="Arial" w:eastAsia="Arial" w:hAnsi="Arial"/>
                <w:sz w:val="18"/>
                <w:szCs w:val="18"/>
                <w:color w:val="auto"/>
              </w:rPr>
              <w:t>Exhibits and Financial Statement Schedules</w:t>
            </w:r>
          </w:p>
        </w:tc>
        <w:tc>
          <w:tcPr>
            <w:tcW w:w="480" w:type="dxa"/>
            <w:vAlign w:val="bottom"/>
          </w:tcPr>
          <w:p>
            <w:pPr>
              <w:jc w:val="center"/>
              <w:ind w:left="90"/>
              <w:spacing w:after="0"/>
              <w:rPr>
                <w:sz w:val="20"/>
                <w:szCs w:val="20"/>
                <w:color w:val="auto"/>
              </w:rPr>
            </w:pPr>
            <w:r>
              <w:rPr>
                <w:rFonts w:ascii="Arial" w:cs="Arial" w:eastAsia="Arial" w:hAnsi="Arial"/>
                <w:sz w:val="18"/>
                <w:szCs w:val="18"/>
                <w:color w:val="auto"/>
                <w:w w:val="99"/>
              </w:rPr>
              <w:t>102</w:t>
            </w: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65"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1000" w:right="400" w:hanging="344"/>
        <w:spacing w:after="0" w:line="246"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102" w:lineRule="exact"/>
        <w:rPr>
          <w:rFonts w:ascii="Arial" w:cs="Arial" w:eastAsia="Arial" w:hAnsi="Arial"/>
          <w:sz w:val="18"/>
          <w:szCs w:val="18"/>
          <w:color w:val="auto"/>
        </w:rPr>
      </w:pPr>
    </w:p>
    <w:p>
      <w:pPr>
        <w:ind w:left="1000" w:right="820" w:hanging="344"/>
        <w:spacing w:after="0" w:line="246"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declines in demand for paper in certain regions and market segments could continue at a rate that is greater than anticipated, and growth in demand in other segments or regions could be lower or slower than anticipated;</w:t>
      </w:r>
    </w:p>
    <w:p>
      <w:pPr>
        <w:spacing w:after="0" w:line="102"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Item 1A - “Risk Factors”, as well as in the “Business Environment and Trends” sections in the business segment discussions in Item 7 of this annual report.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7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 Business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71"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nonwovens, fiber cement and several other industrial applications.</w:t>
      </w:r>
    </w:p>
    <w:p>
      <w:pPr>
        <w:spacing w:after="0" w:line="17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We design, manufacture, and market paper machine clothing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products in the paper machine clothing segment include forming, pressing, and dryer fabrics, and process belts. A forming fabric assists in paper sheet formation and conveys the very wet sheet (more than 75% water) through the forming section. Press fabrics are designed to carry the sheet through the press section, where water is pressed from the sheet as it passes through the press nip. In the dryer section, dryer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166" w:lineRule="exact"/>
        <w:rPr>
          <w:sz w:val="20"/>
          <w:szCs w:val="20"/>
          <w:color w:val="auto"/>
        </w:rPr>
      </w:pPr>
    </w:p>
    <w:p>
      <w:pPr>
        <w:ind w:right="840" w:firstLine="648"/>
        <w:spacing w:after="0" w:line="246" w:lineRule="auto"/>
        <w:rPr>
          <w:sz w:val="20"/>
          <w:szCs w:val="20"/>
          <w:color w:val="auto"/>
        </w:rPr>
      </w:pPr>
      <w:r>
        <w:rPr>
          <w:rFonts w:ascii="Arial" w:cs="Arial" w:eastAsia="Arial" w:hAnsi="Arial"/>
          <w:sz w:val="18"/>
          <w:szCs w:val="18"/>
          <w:color w:val="auto"/>
        </w:rPr>
        <w:t>The Machine Clothing segment also supplies customized, consumable fabrics used in the manufacturing process in the pulp, corrugator, nonwovens, fiber cement, building products, tannery and textile industries.</w:t>
      </w:r>
    </w:p>
    <w:p>
      <w:pPr>
        <w:spacing w:after="0" w:line="15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sell our Machine Clothing products directly to customer end-users. Our products, manufacturing processes, and distribution channels for Machine Clothing are substantially the same in each region of the world in which we operate. The sales of paper machine clothing forming, pressing, and dryer fabrics, individually and in the aggregate, accounted for more than 10 percent of our consolidated net sales during one or more of the last three years.</w:t>
      </w:r>
    </w:p>
    <w:p>
      <w:pPr>
        <w:spacing w:after="0" w:line="17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in the aerospace and defense industries. AEC’s largest program relates to CFM International’s LEAP engine, which is scheduled to enter into service in 2016. AEC, through ASC, is the exclusive supplier to this program of advanced composite fan blades and cases under a long-term supply contract. In 2014, approximately 20 percent of this segment’s sales were related to U.S. government contracts or programs.</w:t>
      </w:r>
    </w:p>
    <w:p>
      <w:pPr>
        <w:spacing w:after="0" w:line="16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See “Business Environment and Trends” under Item 7, Management’s Discussion and Analysis of Financial Condition and Results of Operations, for a discussion of general segment developments in recent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Pr>
          <w:p>
            <w:pPr>
              <w:ind w:left="660"/>
              <w:spacing w:after="0"/>
              <w:rPr>
                <w:sz w:val="20"/>
                <w:szCs w:val="20"/>
                <w:color w:val="auto"/>
              </w:rPr>
            </w:pPr>
            <w:r>
              <w:rPr>
                <w:rFonts w:ascii="Arial" w:cs="Arial" w:eastAsia="Arial" w:hAnsi="Arial"/>
                <w:sz w:val="18"/>
                <w:szCs w:val="18"/>
                <w:color w:val="auto"/>
              </w:rPr>
              <w:t>Following is a table of net sales by segment for 2014, 2013, and 2012.</w:t>
            </w:r>
          </w:p>
        </w:tc>
        <w:tc>
          <w:tcPr>
            <w:tcW w:w="1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8"/>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2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r>
      <w:tr>
        <w:trPr>
          <w:trHeight w:val="173"/>
        </w:trPr>
        <w:tc>
          <w:tcPr>
            <w:tcW w:w="6400" w:type="dxa"/>
            <w:vAlign w:val="bottom"/>
          </w:tcPr>
          <w:p>
            <w:pPr>
              <w:ind w:left="60"/>
              <w:spacing w:after="0" w:line="173" w:lineRule="exact"/>
              <w:rPr>
                <w:sz w:val="20"/>
                <w:szCs w:val="20"/>
                <w:color w:val="auto"/>
              </w:rPr>
            </w:pPr>
            <w:r>
              <w:rPr>
                <w:rFonts w:ascii="Arial" w:cs="Arial" w:eastAsia="Arial" w:hAnsi="Arial"/>
                <w:sz w:val="18"/>
                <w:szCs w:val="18"/>
                <w:color w:val="auto"/>
              </w:rPr>
              <w:t>Machine Clothing</w:t>
            </w:r>
          </w:p>
        </w:tc>
        <w:tc>
          <w:tcPr>
            <w:tcW w:w="156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$655,026</w:t>
            </w:r>
          </w:p>
        </w:tc>
        <w:tc>
          <w:tcPr>
            <w:tcW w:w="2060" w:type="dxa"/>
            <w:vAlign w:val="bottom"/>
          </w:tcPr>
          <w:p>
            <w:pPr>
              <w:jc w:val="right"/>
              <w:ind w:right="570"/>
              <w:spacing w:after="0" w:line="173" w:lineRule="exact"/>
              <w:rPr>
                <w:sz w:val="20"/>
                <w:szCs w:val="20"/>
                <w:color w:val="auto"/>
              </w:rPr>
            </w:pPr>
            <w:r>
              <w:rPr>
                <w:rFonts w:ascii="Arial" w:cs="Arial" w:eastAsia="Arial" w:hAnsi="Arial"/>
                <w:sz w:val="18"/>
                <w:szCs w:val="18"/>
                <w:color w:val="auto"/>
              </w:rPr>
              <w:t>$674,747</w:t>
            </w:r>
          </w:p>
        </w:tc>
        <w:tc>
          <w:tcPr>
            <w:tcW w:w="1400" w:type="dxa"/>
            <w:vAlign w:val="bottom"/>
          </w:tcPr>
          <w:p>
            <w:pPr>
              <w:jc w:val="right"/>
              <w:spacing w:after="0" w:line="173" w:lineRule="exact"/>
              <w:rPr>
                <w:sz w:val="20"/>
                <w:szCs w:val="20"/>
                <w:color w:val="auto"/>
              </w:rPr>
            </w:pPr>
            <w:r>
              <w:rPr>
                <w:rFonts w:ascii="Arial" w:cs="Arial" w:eastAsia="Arial" w:hAnsi="Arial"/>
                <w:sz w:val="18"/>
                <w:szCs w:val="18"/>
                <w:color w:val="auto"/>
              </w:rPr>
              <w:t>$693,176</w:t>
            </w:r>
          </w:p>
        </w:tc>
        <w:tc>
          <w:tcPr>
            <w:tcW w:w="20" w:type="dxa"/>
            <w:vAlign w:val="bottom"/>
          </w:tcPr>
          <w:p>
            <w:pPr>
              <w:spacing w:after="0"/>
              <w:rPr>
                <w:sz w:val="15"/>
                <w:szCs w:val="15"/>
                <w:color w:val="auto"/>
              </w:rPr>
            </w:pPr>
          </w:p>
        </w:tc>
      </w:tr>
      <w:tr>
        <w:trPr>
          <w:trHeight w:val="225"/>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Albany Engineered Composites</w:t>
            </w:r>
          </w:p>
        </w:tc>
        <w:tc>
          <w:tcPr>
            <w:tcW w:w="15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90,319</w:t>
            </w:r>
          </w:p>
        </w:tc>
        <w:tc>
          <w:tcPr>
            <w:tcW w:w="2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82,667</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67,765</w:t>
            </w:r>
          </w:p>
        </w:tc>
      </w:tr>
      <w:tr>
        <w:trPr>
          <w:trHeight w:val="196"/>
        </w:trPr>
        <w:tc>
          <w:tcPr>
            <w:tcW w:w="6400" w:type="dxa"/>
            <w:vAlign w:val="bottom"/>
          </w:tcPr>
          <w:p>
            <w:pPr>
              <w:ind w:left="60"/>
              <w:spacing w:after="0" w:line="196" w:lineRule="exact"/>
              <w:rPr>
                <w:sz w:val="20"/>
                <w:szCs w:val="20"/>
                <w:color w:val="auto"/>
              </w:rPr>
            </w:pPr>
            <w:r>
              <w:rPr>
                <w:rFonts w:ascii="Arial" w:cs="Arial" w:eastAsia="Arial" w:hAnsi="Arial"/>
                <w:sz w:val="18"/>
                <w:szCs w:val="18"/>
                <w:color w:val="auto"/>
              </w:rPr>
              <w:t>Consolidated total</w:t>
            </w:r>
          </w:p>
        </w:tc>
        <w:tc>
          <w:tcPr>
            <w:tcW w:w="156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$745,345</w:t>
            </w:r>
          </w:p>
        </w:tc>
        <w:tc>
          <w:tcPr>
            <w:tcW w:w="206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$757,414</w:t>
            </w:r>
          </w:p>
        </w:tc>
        <w:tc>
          <w:tcPr>
            <w:tcW w:w="1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$760,941</w:t>
            </w:r>
          </w:p>
        </w:tc>
      </w:tr>
      <w:tr>
        <w:trPr>
          <w:trHeight w:val="709"/>
        </w:trPr>
        <w:tc>
          <w:tcPr>
            <w:tcW w:w="64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68"/>
        </w:trPr>
        <w:tc>
          <w:tcPr>
            <w:tcW w:w="64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68"/>
        </w:trPr>
        <w:tc>
          <w:tcPr>
            <w:tcW w:w="640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20"/>
          </w:cols>
          <w:pgMar w:left="240" w:top="1049" w:right="239" w:bottom="1440" w:gutter="0" w:footer="0" w:header="0"/>
        </w:sectPr>
      </w:pPr>
    </w:p>
    <w:bookmarkStart w:id="5" w:name="page6"/>
    <w:bookmarkEnd w:id="5"/>
    <w:p>
      <w:pPr>
        <w:ind w:right="440" w:firstLine="648"/>
        <w:spacing w:after="0" w:line="24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4, “Reportable Segments and Geographic Data,” of the Consolidated Financial Statements, included under Item 8 of this Form 10-K, is incorporated herein.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93"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We maintain manufacturing facilities in Brazil, Canada, China, France, Germany, Italy, Mexico, South Korea, Sweden, the United Kingdom, and the United States. We also have a 50% interest in a company in Russia (see Note 1 of Notes to Consolidated Financial Statements).</w:t>
      </w:r>
    </w:p>
    <w:p>
      <w:pPr>
        <w:spacing w:after="0" w:line="162" w:lineRule="exact"/>
        <w:rPr>
          <w:sz w:val="20"/>
          <w:szCs w:val="20"/>
          <w:color w:val="auto"/>
        </w:rPr>
      </w:pPr>
    </w:p>
    <w:p>
      <w:pPr>
        <w:jc w:val="both"/>
        <w:ind w:right="340" w:firstLine="648"/>
        <w:spacing w:after="0"/>
        <w:rPr>
          <w:sz w:val="20"/>
          <w:szCs w:val="20"/>
          <w:color w:val="auto"/>
        </w:rPr>
      </w:pPr>
      <w:r>
        <w:rPr>
          <w:rFonts w:ascii="Arial" w:cs="Arial" w:eastAsia="Arial" w:hAnsi="Arial"/>
          <w:sz w:val="18"/>
          <w:szCs w:val="18"/>
          <w:color w:val="auto"/>
        </w:rPr>
        <w:t>Our geographically diversified operations allow us to serve our markets efficiently and to provide extensive technical services to our customers. We benefit from the transfer of research and development and product innovations between geographic regions. The worldwide scope of our manufacturing and marketing efforts helps to mitigate the impact of regional economic downturns.</w:t>
      </w:r>
    </w:p>
    <w:p>
      <w:pPr>
        <w:spacing w:after="0" w:line="17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We have a cash repatriation strategy that targets a certain amount of foreign current year earnings that are not permanently reinvested. To date, we have been able to make such repatriations without substantial governmental restrictions and do not foresee any material changes in our ability to continue to do so in the future. In addition, we believe that the risks associated with our operations outside the United States are no greater than those normally associated with doing business in those locations.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Customers, Seasonality, and Backlog</w:t>
      </w:r>
    </w:p>
    <w:p>
      <w:pPr>
        <w:spacing w:after="0" w:line="193"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inventories to assure continuous availability of our products.</w:t>
      </w:r>
    </w:p>
    <w:p>
      <w:pPr>
        <w:spacing w:after="0" w:line="176"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In addition to supplying paper companies, the Machine Clothing segment is a leading supplier to the nonwovens industry (which includes the manufacture of products such as diapers, personal care and household wipes, and fiberglass-reinforced roofing shingles), the wood and cement-based building products industry, and the pulp industry. These non-paper industries have a wide range of customers, with markets that vary from industrial applications to consumer use.</w:t>
      </w:r>
    </w:p>
    <w:p>
      <w:pPr>
        <w:spacing w:after="0" w:line="16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Albany Engineered Composites segment primarily serves customers in commercial and military aircraft engine and airframe markets. Sales and Accounts receivable rose sharply in the last couple years in this segment. Additionally, we anticipate intensive growth in the future which could lead to further increases in working capital levels.</w:t>
      </w:r>
    </w:p>
    <w:p>
      <w:pPr>
        <w:spacing w:after="0" w:line="16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the Machine Clothing segment, the summer months and the end of the year are common periods of downtime for our customers, which can lead to weak sales periods for the Company. In recent years, broad industry ramp-ups or slowdowns have resulted in sales being distributed unevenly throughout the year. These combined factors make seasonal trends less predictable. Seasonality is not a significant factor in the Albany Engineered Composites segment.</w:t>
      </w:r>
    </w:p>
    <w:p>
      <w:pPr>
        <w:spacing w:after="0" w:line="175"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Backlog in the Machine Clothing segment was $195.5 million at December 31, 2014, compared to $225.6 million at December 31, 2013. The decrease reflects a trend toward shorter order-to-delivery times. Backlog in the Albany Engineered Composites segment was $22.8 million at December 31, 2014, compared to $21.7 million at December 31, 2013. The backlog in each segment is generally expected to be invoiced during the next 12 months.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207"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62"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Machine Clothing is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we employ highly skilled sales and technical service personnel who work directly with each customer’s plant operating management. Our technical service programs give our service engineers field access to the measurement and analysis equipment needed for troubleshooting and application engineering in many areas. Sales, service, and technical expenses are major cost components of the Company. Many employees in sales and technical functions have engineering degrees, paper mill experience, or other manufacturing experience in the markets in which they operate. Our market leadership position reflects our commitment to technological innovation. This innovation has resulted in a stream of new Machine Clothing products and enhancements, including the INLINE forming fabric family including KRAFTLINE and PRINTLINE; press fabrics such as HYDROCROSS, SEAM HYDROCROSS, SEAMPLANE, Seam KMX, and SPRING; process belts such as VENTABELT EVM, VENTABELT XTS and TRANSBELT GX; dryer fabrics such as SPIRALTOP, AEROPULSE and AEROPOINT; DURASPIRAL corrugator belts; and TOPSTAT, SUPRASTAT and NOVALACE fabrics for the nonwovens industry.</w:t>
      </w:r>
    </w:p>
    <w:p>
      <w:pPr>
        <w:spacing w:after="0" w:line="16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Albany Engineered Composites designs, develops and manufactures advanced composite parts for complex aerospace and other high-performance applications, using a range of core technologies, including its proprietary 3D woven reinforced composites technology. AEC is capable of designing and manufacturing 3D composite structures that are reinforced in multiple directions. By controlling the fiber and matrix materials, as well as the weaving architecture, it is able to engineer components that meet specific performance goals while also meeting cost, qualification, certification and production needs. AEC’s other core technologies include traditional and non-traditional 2D laminated composite structures, contour weaving, steered weaving, discrete through-thickness reinforcement technologies (such as Z-fiber™ reinforcements), and sandwich structures (X_COR™, K_COR™ and Ceramic Truss Core or CTC™). AEC’s research and technology team also works actively with existing and potential customers on applications involving other emerging technologies, such as ceramic matrix composites, pin insertion and 3D fiber placement.</w:t>
      </w:r>
    </w:p>
    <w:p>
      <w:pPr>
        <w:spacing w:after="0" w:line="180"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Company-funded research expenses totaled $ 32.4 million in 2014, $30.2 million in 2013, and $27.6 million in 2012. In 2014, these costs were 4.3% of total Company net sales, including $11.0 million or 12.2% of net sales spent in our AEC segment. Research and development in the AEC segment includes both Company-sponsored and customer-funded activities. Some customer-funded research and development may be on a cost-sharing basis, in which case amounts charged to the customer are credited against research and development expense. Expenses were reduced by $0.4 million in 2014, $1.4 million in 2013, and $0.8 million in 2012 as a result of such arrangements. For customer-funded research and development in which we anticipate funding to exceed expenses, we include amounts charged to the customer in net sales. Cost of sales associated with customer-funded research was $3.6 million in 2014, $2.8 million in 2013, and $1.5 million in 2012.</w:t>
      </w:r>
    </w:p>
    <w:p>
      <w:pPr>
        <w:spacing w:after="0" w:line="163"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conduct our major research and development in Halmstad, Sweden; Manchester, England; Kaukauna, Wisconsin and Rochester, New Hampshire. Additionally, we conduct process and product design development activities at locations in Quebec, Canada; Kaukauna, Wisconsin; and St. Stephen, South Carolina.</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7" w:name="page8"/>
    <w:bookmarkEnd w:id="7"/>
    <w:p>
      <w:pPr>
        <w:ind w:right="100" w:firstLine="648"/>
        <w:spacing w:after="0" w:line="236"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well over 1,900 patents, and more than 200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9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Primary raw materials for our Machine Clothing products are polymer monofilaments and fibers, which have generally been available from a number of suppliers. Therefore, we have not needed to maintain raw material inventories in excess of our current needs to assure availability. In addition, we manufacture polymer monofilaments, a basic raw material for all types of Machine Clothing, at our facility in Homer, New York, which supplies approximately 50%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Currently, the primary raw materials used in each segment are derived from petroleum, and are therefore sensitive to changes in the price of petroleum and petroleum intermediates.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In the paper machine clothing market, we believe that we had a worldwide market share of approximately 30% in 2014, while the two largest competitors each had a market share of approximately half of ours.</w:t>
      </w:r>
    </w:p>
    <w:p>
      <w:pPr>
        <w:spacing w:after="0" w:line="15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While some competitors in the Machine Clothing segment tend to compete more on the basis of price, and others attempt to compete more on the basis of technology, both are significant competitive factors in this industry. Some of the Company’s paper machine clothing competitors also supply paper machines and papermaking equipment, and endeavor to compete by bundling clothing and equipment sales. We, like our competitors, provide technical support to customers through our sales and technical service personnel, including (1) consulting on performance of the machine, (2) consulting on machine configurations, both new and rebuilt, (3) selection and custom manufacture of the appropriate machine clothing, and (4) storing fabrics for delivery to the user. Revenues earned from these services are reflected in the prices charged for our products.</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primary competitive factor in the markets in which our Albany Engineered Composites segment competes is product performance. Achieving lower weight without sacrificing strength is the key to improving fuel efficiency, and is a critical performance requirement in the aerospace industry. Our unique, proprietary capabilities in composites enable us to offer customers the opportunity to displace metal components and, in some cases, conventional composites with lower-weight, high-strength, and potentially high-temperature composites. The dominant competitive factor is how the customer weighs these performance benefits, which include fuel savings due to lower weight, against the possible cost advantage of more traditional metal and composite components.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w:t>
      </w:r>
    </w:p>
    <w:p>
      <w:pPr>
        <w:spacing w:after="0" w:line="207"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employ approximately 4,000 persons, of whom 66% are engaged in manufacturing our products. Wages and benefits are competitive with those of other manufacturers in the geographic areas in which our facilities are located. In general, we consider our relations with employees to be excellent.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hourly employees outside of the United States are members of various unions.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February 27, 2015:</w:t>
      </w:r>
    </w:p>
    <w:p>
      <w:pPr>
        <w:spacing w:after="0" w:line="153"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i w:val="1"/>
          <w:iCs w:val="1"/>
          <w:color w:val="auto"/>
        </w:rPr>
        <w:t xml:space="preserve">Joseph G. Morone, 61, President and Chief Executive Officer, </w:t>
      </w:r>
      <w:r>
        <w:rPr>
          <w:rFonts w:ascii="Arial" w:cs="Arial" w:eastAsia="Arial" w:hAnsi="Arial"/>
          <w:sz w:val="18"/>
          <w:szCs w:val="18"/>
          <w:color w:val="auto"/>
        </w:rPr>
        <w:t>joined the Company in 2005. He has served the Company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since January 1, 2006, and President since August 1, 2005. He has been a director of the Company since 1996. From 1997 to July 2005, he served as President of Bentley University in Waltham, Massachusetts. Prior to joining Bentley, he served as the Dean of the Lally School of Management and Technology at Rensselaer Polytechnic Institute, where he also held the Andersen Consulting Professorship of Management. He currently serves as the Presiding Director of Transworld Entertainment Corporation.</w:t>
      </w:r>
    </w:p>
    <w:p>
      <w:pPr>
        <w:spacing w:after="0" w:line="145" w:lineRule="exact"/>
        <w:rPr>
          <w:sz w:val="20"/>
          <w:szCs w:val="20"/>
          <w:color w:val="auto"/>
        </w:rPr>
      </w:pPr>
    </w:p>
    <w:p>
      <w:pPr>
        <w:ind w:right="520" w:firstLine="648"/>
        <w:spacing w:after="0" w:line="241" w:lineRule="auto"/>
        <w:rPr>
          <w:sz w:val="20"/>
          <w:szCs w:val="20"/>
          <w:color w:val="auto"/>
        </w:rPr>
      </w:pPr>
      <w:r>
        <w:rPr>
          <w:rFonts w:ascii="Arial" w:cs="Arial" w:eastAsia="Arial" w:hAnsi="Arial"/>
          <w:sz w:val="18"/>
          <w:szCs w:val="18"/>
          <w:i w:val="1"/>
          <w:iCs w:val="1"/>
          <w:color w:val="auto"/>
        </w:rPr>
        <w:t xml:space="preserve">John B. Cozzolino, 48, Chief Financial Officer and Treasurer, </w:t>
      </w:r>
      <w:r>
        <w:rPr>
          <w:rFonts w:ascii="Arial" w:cs="Arial" w:eastAsia="Arial" w:hAnsi="Arial"/>
          <w:sz w:val="18"/>
          <w:szCs w:val="18"/>
          <w:color w:val="auto"/>
        </w:rPr>
        <w:t>joined the Company in 1994. He has served the Company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Treasurer since February 2011. From September 2010 to February 2011, he served as Vice President – Corporate Treasurer and Strategic Planning/Acting Chief Financial Officer, from February 2009 to September 2010, he served as Vice President – Corporate Treasurer and Strategic Planning, and from 2007 to February 2009, and he served the Company as Vice President – Strategic Planning. From 2000 until 2007 he served as Director – Strategic Planning, and from 1994 to 2000 he served as Manager – Corporate Accounting.</w:t>
      </w:r>
    </w:p>
    <w:p>
      <w:pPr>
        <w:spacing w:after="0" w:line="157"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Daniel A. Halftermeyer, 53,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Machine Clothing, </w:t>
      </w:r>
      <w:r>
        <w:rPr>
          <w:rFonts w:ascii="Arial" w:cs="Arial" w:eastAsia="Arial" w:hAnsi="Arial"/>
          <w:sz w:val="18"/>
          <w:szCs w:val="18"/>
          <w:color w:val="auto"/>
        </w:rPr>
        <w:t>joined the Company in 1987.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44"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Ralph M. Polumbo, 63,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Albany Engineered Composites</w:t>
      </w:r>
      <w:r>
        <w:rPr>
          <w:rFonts w:ascii="Arial" w:cs="Arial" w:eastAsia="Arial" w:hAnsi="Arial"/>
          <w:sz w:val="18"/>
          <w:szCs w:val="18"/>
          <w:color w:val="auto"/>
        </w:rPr>
        <w:t>, joined the Company in 2006.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Albany Engineered Composites since November 2013. Prior to that, he served as Chief Operating Officer, Albany Engineered Composites, from December 2010 to November 2013. He previously served the Company as Chief Administrative Officer from September 2008 to December 2010, and as Senior Vice President – Human Resources from 2006 to 2008. From 2004 to April 2006 he served as Head of Human Capital for Deephaven Capital Management. From 1999 to 2004 he served as Vice President – Human Resources and Business Integration for MedSource Technologies. Prior to MedSource, he held the positions of Vice President – Integration and Vice President – Human Resources for Rubbermaid. From 1974 to 1994, he held various management and executive positions for The Stanley Works.</w:t>
      </w:r>
    </w:p>
    <w:p>
      <w:pPr>
        <w:spacing w:after="0" w:line="145" w:lineRule="exact"/>
        <w:rPr>
          <w:sz w:val="20"/>
          <w:szCs w:val="20"/>
          <w:color w:val="auto"/>
        </w:rPr>
      </w:pPr>
    </w:p>
    <w:p>
      <w:pPr>
        <w:jc w:val="both"/>
        <w:ind w:right="40" w:firstLine="648"/>
        <w:spacing w:after="0" w:line="245" w:lineRule="auto"/>
        <w:rPr>
          <w:sz w:val="20"/>
          <w:szCs w:val="20"/>
          <w:color w:val="auto"/>
        </w:rPr>
      </w:pPr>
      <w:r>
        <w:rPr>
          <w:rFonts w:ascii="Arial" w:cs="Arial" w:eastAsia="Arial" w:hAnsi="Arial"/>
          <w:sz w:val="18"/>
          <w:szCs w:val="18"/>
          <w:i w:val="1"/>
          <w:iCs w:val="1"/>
          <w:color w:val="auto"/>
        </w:rPr>
        <w:t xml:space="preserve">Robert A. Hansen, 57, Senior Vice President and Chief Technology Officer, </w:t>
      </w:r>
      <w:r>
        <w:rPr>
          <w:rFonts w:ascii="Arial" w:cs="Arial" w:eastAsia="Arial" w:hAnsi="Arial"/>
          <w:sz w:val="18"/>
          <w:szCs w:val="18"/>
          <w:color w:val="auto"/>
        </w:rPr>
        <w:t>joined the Company in 1981.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Chief Technology Officer since January 2010, Vice President – Corporate Research and Development from April 2006 to January 2010, and Director of Technical and Marketing – Europe Press Fabrics from 2004 to April 2006. From 2000 to 2004, he served as Technical</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9" w:name="page10"/>
    <w:bookmarkEnd w:id="9"/>
    <w:p>
      <w:pPr>
        <w:ind w:right="160"/>
        <w:spacing w:after="0" w:line="275" w:lineRule="auto"/>
        <w:rPr>
          <w:sz w:val="20"/>
          <w:szCs w:val="20"/>
          <w:color w:val="auto"/>
        </w:rPr>
      </w:pPr>
      <w:r>
        <w:rPr>
          <w:rFonts w:ascii="Arial" w:cs="Arial" w:eastAsia="Arial" w:hAnsi="Arial"/>
          <w:sz w:val="17"/>
          <w:szCs w:val="17"/>
          <w:color w:val="auto"/>
        </w:rPr>
        <w:t>Director – Press Fabrics, Göppingen, Germany. Previously he had the position of Technical Director in Dieren, The Netherlands, and had also held technical management and research and development positions in the Company’s Järvenpää, Finland, and Albany, New York facilities.</w:t>
      </w:r>
    </w:p>
    <w:p>
      <w:pPr>
        <w:spacing w:after="0" w:line="128"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 xml:space="preserve">David M. Pawlick, 53,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Controller, </w:t>
      </w:r>
      <w:r>
        <w:rPr>
          <w:rFonts w:ascii="Arial" w:cs="Arial" w:eastAsia="Arial" w:hAnsi="Arial"/>
          <w:sz w:val="18"/>
          <w:szCs w:val="18"/>
          <w:color w:val="auto"/>
        </w:rPr>
        <w:t>joined the Company in 2000. He has served the Company as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since March 2008, and as Director of Corporate Accounting from 2000 to 2008. From 1994 to 2000 he served as Director of Finance and Controller for Ahlstrom Machinery, Inc. in Glens Falls, New York. Prior to 1994, he was employed as an Audit Manager for Coopers &amp; Lybrand.</w:t>
      </w:r>
    </w:p>
    <w:p>
      <w:pPr>
        <w:spacing w:after="0" w:line="141"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i w:val="1"/>
          <w:iCs w:val="1"/>
          <w:color w:val="auto"/>
        </w:rPr>
        <w:t xml:space="preserve">Charles J. Silva Jr., 55,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General Counsel and Secretary, </w:t>
      </w:r>
      <w:r>
        <w:rPr>
          <w:rFonts w:ascii="Arial" w:cs="Arial" w:eastAsia="Arial" w:hAnsi="Arial"/>
          <w:sz w:val="18"/>
          <w:szCs w:val="18"/>
          <w:color w:val="auto"/>
        </w:rPr>
        <w:t>joined the Company in 1994.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 General Counsel and Secretary since 2002. He served as Assistant General Counsel from 1994 until 2002. Prior to 1994, he was an associate with Cleary, Gottlieb, Steen and Hamilton, an international law firm with headquarters in New York City.</w:t>
      </w:r>
    </w:p>
    <w:p>
      <w:pPr>
        <w:spacing w:after="0" w:line="134"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i w:val="1"/>
          <w:iCs w:val="1"/>
          <w:color w:val="auto"/>
        </w:rPr>
        <w:t xml:space="preserve">Dawne H. Wimbrow, 57,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Global Information Services and Chief Information Officer, </w:t>
      </w:r>
      <w:r>
        <w:rPr>
          <w:rFonts w:ascii="Arial" w:cs="Arial" w:eastAsia="Arial" w:hAnsi="Arial"/>
          <w:sz w:val="18"/>
          <w:szCs w:val="18"/>
          <w:color w:val="auto"/>
        </w:rPr>
        <w:t>joined the Company in 1993.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the Company as Vice President – Global Information Services and Chief Information Officer since September 2005. She previously served the Company in various management positions in the Global Information Systems organization. From 1980 to 1993, she worked as a consultant supporting the design, development, and implementation of computer systems for various textile, real estate, insurance, and law firms.</w:t>
      </w:r>
    </w:p>
    <w:p>
      <w:pPr>
        <w:spacing w:after="0" w:line="158" w:lineRule="exact"/>
        <w:rPr>
          <w:sz w:val="20"/>
          <w:szCs w:val="20"/>
          <w:color w:val="auto"/>
        </w:rPr>
      </w:pPr>
    </w:p>
    <w:p>
      <w:pPr>
        <w:jc w:val="both"/>
        <w:ind w:right="200" w:firstLine="648"/>
        <w:spacing w:after="0" w:line="251" w:lineRule="auto"/>
        <w:rPr>
          <w:sz w:val="20"/>
          <w:szCs w:val="20"/>
          <w:color w:val="auto"/>
        </w:rPr>
      </w:pPr>
      <w:r>
        <w:rPr>
          <w:rFonts w:ascii="Arial" w:cs="Arial" w:eastAsia="Arial" w:hAnsi="Arial"/>
          <w:sz w:val="18"/>
          <w:szCs w:val="18"/>
          <w:i w:val="1"/>
          <w:iCs w:val="1"/>
          <w:color w:val="auto"/>
        </w:rPr>
        <w:t xml:space="preserve">Joseph M. Gaug, 51, Associate General Counsel and Assistant Secretary, </w:t>
      </w:r>
      <w:r>
        <w:rPr>
          <w:rFonts w:ascii="Arial" w:cs="Arial" w:eastAsia="Arial" w:hAnsi="Arial"/>
          <w:sz w:val="18"/>
          <w:szCs w:val="18"/>
          <w:color w:val="auto"/>
        </w:rPr>
        <w:t>joined the Company in 2004.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Associate General Counsel since 2004 and as Assistant Secretary since 2006. Prior to 2004, he was a principal with McNamee, Lochner, Titus &amp; Williams, P.C., a law firm located in Albany, New York.</w:t>
      </w:r>
    </w:p>
    <w:p>
      <w:pPr>
        <w:spacing w:after="0" w:line="15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6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 calling the SEC at 1-800-SEC0330. The SEC maintains a website (www.sec.gov) that contains reports, proxy, information statements, and other information regarding issuers that file electronically with the SEC.</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18"/>
          <w:szCs w:val="18"/>
          <w:i w:val="1"/>
          <w:iCs w:val="1"/>
          <w:color w:val="auto"/>
        </w:rPr>
        <w:t>The Company’s business, operations, and financial condition are subject to various risks. Some of these risks are described below and in the documents incorporated by reference, and investors should take these risks into account in evaluating any investment decision involving the Company. This section does not describe all risks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applicable to the Company, its industry or business, and it is intended only as a summary of certain material factors.</w:t>
      </w:r>
    </w:p>
    <w:p>
      <w:pPr>
        <w:spacing w:after="0" w:line="18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A number of factors have had, and in future periods could have, an adverse impact on sales, profitability and cash flow in the Company’s Machine Clothing segment</w:t>
      </w:r>
    </w:p>
    <w:p>
      <w:pPr>
        <w:spacing w:after="0" w:line="13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Significant consolidation and rationalization in the paper industry in recent years has reduced global consumption of paper machine clothing in certain markets.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future are likely to have, an adverse effect on paper machine clothing sales.</w:t>
      </w:r>
    </w:p>
    <w:p>
      <w:pPr>
        <w:spacing w:after="0" w:line="16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market for paper machine clothing in recent years has been characterized by increased price competition, especially in Europe and Asia, which has negatively affected our net sales and operating results. Increased competition in Europe has been due mainly due to decreases in demand, while new market entrants in the Asian market have increased competition in that region. We expect price competition to remain intense in all paper machine clothing markets, especially during periods of customer consolidation, plant closures, or when major contracts are being renegotiated. The emergence of new market entrants in China is likely to exacerbate this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execution risk related to the LEAP program in the short and medium term</w:t>
      </w:r>
    </w:p>
    <w:p>
      <w:pPr>
        <w:spacing w:after="0" w:line="19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expected size and steep growth rate of the market for LEAP engines continues to put significant pressure on AEC to execute in the short- and medium-term. In the short term, AEC must continue to fulfill critical program schedule and production-readiness milestones at its LEAP facilities in Rochester, New Hampshire and Commercy, France. In the medium-term, AEC will be required to continue to ramp up its LEAP plants to full production. AEC’s ability to realize the full growth potential of the LEAP program will depend on how effectively it accomplishes these goals. Failure to accomplish these goals could have a material adverse impact on the amount and timing of anticipated LEAP program revenues, income, and cash flows, which could in turn have a material adverse impact on our consolidated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growth prospects of AEC are subject to a number of risks</w:t>
      </w:r>
    </w:p>
    <w:p>
      <w:pPr>
        <w:spacing w:after="0" w:line="20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prospect of future growth and long-term success of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military aircraft programs, are subject to the same curtailment or cancellation risks as the programs they support.</w:t>
      </w:r>
    </w:p>
    <w:p>
      <w:pPr>
        <w:spacing w:after="0" w:line="161"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AEC is currently working on a broad portfolio of potential new product applications, in aerospace and other industries.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the LEAP program, and may or may not be successful in meeting its obligations under these contracts. Failure to manage these development, commercialization and execution risks could have a material adverse impact on AEC’s growth.</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11" w:name="page12"/>
    <w:bookmarkEnd w:id="11"/>
    <w:p>
      <w:pPr>
        <w:ind w:right="60" w:firstLine="648"/>
        <w:spacing w:after="0" w:line="238" w:lineRule="auto"/>
        <w:rPr>
          <w:sz w:val="20"/>
          <w:szCs w:val="20"/>
          <w:color w:val="auto"/>
        </w:rPr>
      </w:pPr>
      <w:r>
        <w:rPr>
          <w:rFonts w:ascii="Arial" w:cs="Arial" w:eastAsia="Arial" w:hAnsi="Arial"/>
          <w:sz w:val="18"/>
          <w:szCs w:val="18"/>
          <w:color w:val="auto"/>
        </w:rPr>
        <w:t>In addition to dealing with these development and manufacturing execution risks, future AEC growth will likely require increasingly larger amounts of cash to fund the investments in equipment, capital, and development efforts needed to achieve this growth. While AEC is starting to generate increasing amounts of cash, it is likely to be some time before AEC generates sufficient cash to fund, this growth. Until that time, it will remain dependent on the Machine Clothing segment’s ability to generate cash, and a significant decline in Machine Clothing sales, operating income or cash flows could therefore have a material adverse impact on AEC’s growth.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supply contracts in our Albany Engineered Composites segment pose certain risks</w:t>
      </w:r>
    </w:p>
    <w:p>
      <w:pPr>
        <w:spacing w:after="0" w:line="193"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AEC has a number of long-term or life-of-program contracts, including a number with fixed pricing, and is likely to enter into similar contracts in future. While long-term or life-of-program contracts provide an opportunity to realize steady and reliable revenues for extended periods, program cancellations, reductions or delays in orders by AEC’s customers under these contracts, the termination of such contracts or orders, or the occurrence of similar events over which AEC has no or limited control, could have a material adverse effect on AEC revenues and earnings in any period. Such events could also result in the write-off of deferred charges that have been accumulated in anticipation of future revenues.</w:t>
      </w:r>
    </w:p>
    <w:p>
      <w:pPr>
        <w:spacing w:after="0" w:line="19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While long-term fixed-price contracts enable AEC to enjoy increased profits as the result of cost reductions and efficiencies, estimations of contract costs and profitability over a long period of time are subject to many variables, and may prove to be inaccurate. Additionally, many of the parts AEC agrees to develop and produce have highly complex designs, and technical or quality issues may arise during development or production that result in higher costs, or an inability to achieve required technical specifications. If actual production and/or development costs should prove higher, or revenues prove lower, than AEC’s estimates, our expected profits may be reduced, or if such costs should exceed contract prices, we may be required to recognize losses for future periods, and potentially for the remaining life of the program, which could have a material adverse effect on our operating results.</w:t>
      </w:r>
    </w:p>
    <w:p>
      <w:pPr>
        <w:spacing w:after="0" w:line="168"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Deterioration of current global economic conditions could have an adverse impact on the Company’s business and results of operations</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unfavorable global economic and paper industry conditions may lead to greater consolidation and rationalization within the paper industry, further reducing global consumption of paper machine clothing. Reduced consumption of paper machine clothing could in turn increase the risk of greater price competition within the paper machine clothing industry, and greater efforts by competitors to gain market share at the expense of the Company. Sales of the Company’s other Machine Clothing products may also be adversely affected by unfavorable economic conditions. 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w:t>
      </w:r>
    </w:p>
    <w:p>
      <w:pPr>
        <w:spacing w:after="0" w:line="18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operating results, financial condition, and/or liquidity. Furthermore, both the Machine Clothing and AEC business segments manufacture products that are custom-designed for a specific customer application. In the event of a customer liquidity issue, the Company could also be required to write off amounts that are included in inventories. In the case of AEC, such write-offs could also</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include investments in equipment, tooling, and non-recurring engineering, some of which could be significant depending on the program.</w:t>
      </w:r>
    </w:p>
    <w:p>
      <w:pPr>
        <w:spacing w:after="0" w:line="16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The loss of one or more major customers or the closure of one or more customer mills could have a material adverse effect on sales and profitability in our Machine Clothing segment</w:t>
      </w:r>
    </w:p>
    <w:p>
      <w:pPr>
        <w:spacing w:after="0" w:line="13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Our top ten customers in the Machine Clothing segment accounted for 33% of our net sales in 2014. The loss of one or more of these customers, or a significant decrease in the amount of Machine Clothing they purchase from us, could have a material adverse impact on segment sales and profitability. We could also be subject to similar impacts if one or more such customers were to suffer financial difficulties and be unable to pay us for products they have purchased. While we normally enter into long-term supply agreements with significant Machine Clothing customers, they generally do not obligate the customer to purchase any products from us, and may be terminated by the customer at any time with appropriate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experience supply constraints due to a limited number of suppliers of certain raw materials and equipment</w:t>
      </w:r>
    </w:p>
    <w:p>
      <w:pPr>
        <w:spacing w:after="0" w:line="20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There are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Machine Clothing and AEC segments. While we have always been able to meet our raw material and equipment needs, the limited number of suppliers of these items creates the potential for disruptions in supply. AEC currently relies on single suppliers to meet the carbon fiber and carbon resin requirements for the LEAP program. Lack of supply, delivery delays, or quality problems relating to supplied raw materials or for our key manufacturing equipment could harm our production capacity, and could require the Company to attempt to qualify one or more additional suppliers, which could be a lengthy, expensive and uncertain process. Such disruptions could make it difficult to supply our customers with products on time, which could have a negative impact on our business, financial condition, and results of operations.</w:t>
      </w:r>
    </w:p>
    <w:p>
      <w:pPr>
        <w:spacing w:after="0" w:line="14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Some of the Company’s competitors in the Machine Clothing segment have the capability to make and sell paper machines and papermaking equipment as well as other engineered fabrics</w:t>
      </w:r>
    </w:p>
    <w:p>
      <w:pPr>
        <w:spacing w:after="0" w:line="13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coordinate research and development efforts, and to market machines and fabrics together, could provide a competitive advantage.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75"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3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35"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a number of manufacturing operations in North America, Europe, and Australia.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3" w:name="page14"/>
    <w:bookmarkEnd w:id="13"/>
    <w:p>
      <w:pPr>
        <w:ind w:right="120"/>
        <w:spacing w:after="0" w:line="237" w:lineRule="auto"/>
        <w:rPr>
          <w:sz w:val="20"/>
          <w:szCs w:val="20"/>
          <w:color w:val="auto"/>
        </w:rPr>
      </w:pPr>
      <w:r>
        <w:rPr>
          <w:rFonts w:ascii="Arial" w:cs="Arial" w:eastAsia="Arial" w:hAnsi="Arial"/>
          <w:sz w:val="18"/>
          <w:szCs w:val="18"/>
          <w:color w:val="auto"/>
        </w:rPr>
        <w:t>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consider these risks, we plan each step of the process carefully, and work to reassure customers who could be affected by any such matters that their requirements will continue to be met, we could lose customers and associated revenues if we fail to plan properly, or if the foregoing tactics are ineffective.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at one or more of our facilities could make it difficult for us to meet our supply obligations to our customers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Significant consolidation of manufacturing operations in our Machine Clothing segment has reduced the number of facilities available to produce our products, and increased utilization significantly at remaining facilities. Not all product lines are produced at, or capable of being produced at, all facilities. A significant interruption in the operation of any one or more of our Machine Clothing plants, whether as a result of a natural disaster or other causes, could significantly impair our ability to meet our supply obligations to customers being supplied from an affected facility on a timely basis. We have Machine Clothing facilities located near Mexico City, which has been identified as an area vulnerable to flood, storm surge and earthquake risks, and in the Pearl River Delta area of China, which has been identified as vulnerable to flood, storm and storm surge risks.</w:t>
      </w:r>
    </w:p>
    <w:p>
      <w:pPr>
        <w:spacing w:after="0" w:line="163"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Moreover, AEC’s production of LEAP engine components is located in two facilities. An interruption at either of these locations could have a significant adverse effect on AEC’s ability to timely satisfy orders for LEAP components.</w:t>
      </w:r>
    </w:p>
    <w:p>
      <w:pPr>
        <w:spacing w:after="0" w:line="17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The Standish family has a significant influence on our Company and could prevent transactions that might be in the best interests of our other stockholders</w:t>
      </w:r>
    </w:p>
    <w:p>
      <w:pPr>
        <w:spacing w:after="0" w:line="135"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As of December 31, 2014, J. Spencer Standish and related persons (including Christine L. Standish and John C. Standish, both directors of the Company) held in the aggregate shares entitling them to cast approximately 53% of the combined votes entitled to be cast by all stockholders of the Company. The Standish family has significant influence over the management and affairs of the Company and matters requiring stockholder approval, including the election of directors and approval of significant corporate transactions. The Standish family currently has, in the aggregate, sufficient voting power to elect all of our directors and determine the outcome of any shareholder action requiring a majority vote. This could have the effect of delaying or preventing a change in control or a merger, consolidation, or other business combination at a premium price, even if such transaction were favored by our other stockholders.</w:t>
      </w:r>
    </w:p>
    <w:p>
      <w:pPr>
        <w:spacing w:after="0" w:line="154" w:lineRule="exact"/>
        <w:rPr>
          <w:sz w:val="20"/>
          <w:szCs w:val="20"/>
          <w:color w:val="auto"/>
        </w:rPr>
      </w:pPr>
    </w:p>
    <w:p>
      <w:pPr>
        <w:jc w:val="both"/>
        <w:ind w:right="7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Rules of the New York Stock Exchange (the “NYSE”) and qualify for, and rely on, certain exemptions from corporate governance requirements applicable to other listed companies</w:t>
      </w:r>
    </w:p>
    <w:p>
      <w:pPr>
        <w:spacing w:after="0" w:line="151"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As a result of the greater than 50% voting power of the Standish family described above, we are a “controlled company” within the meaning of the rules of the NYSE. Therefore, we are not required to comply with</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4" w:name="page15"/>
    <w:bookmarkEnd w:id="14"/>
    <w:p>
      <w:pPr>
        <w:spacing w:after="0" w:line="237" w:lineRule="auto"/>
        <w:rPr>
          <w:sz w:val="20"/>
          <w:szCs w:val="20"/>
          <w:color w:val="auto"/>
        </w:rPr>
      </w:pPr>
      <w:r>
        <w:rPr>
          <w:rFonts w:ascii="Arial" w:cs="Arial" w:eastAsia="Arial" w:hAnsi="Arial"/>
          <w:sz w:val="18"/>
          <w:szCs w:val="18"/>
          <w:color w:val="auto"/>
        </w:rPr>
        <w:t>certain corporate governance rules that would otherwise apply to us as a listed company on the NYSE, including the requirement that the Compensation and Governance Committees be composed entirely of “independent” directors (as defined by the NYSE rules). In addition, although we believe that a majority of our current directors may be deemed independent under the NYSE rules, as a controlled company our Board of Directors is not required to include a majority of “independent” directors. Should the interests of the Standish family differ from those of other stockholders, the other stockholders might not be afforded such protections as might exist if our Board of Directors, or these Committees, were required to have a majority, or be composed exclusively, of directors who were independent of the Standish family or our management.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193" w:lineRule="exact"/>
        <w:rPr>
          <w:sz w:val="20"/>
          <w:szCs w:val="20"/>
          <w:color w:val="auto"/>
        </w:rPr>
      </w:pPr>
    </w:p>
    <w:p>
      <w:pPr>
        <w:jc w:val="both"/>
        <w:ind w:right="40" w:firstLine="648"/>
        <w:spacing w:after="0" w:line="239" w:lineRule="auto"/>
        <w:rPr>
          <w:sz w:val="20"/>
          <w:szCs w:val="20"/>
          <w:color w:val="auto"/>
        </w:rPr>
      </w:pPr>
      <w:r>
        <w:rPr>
          <w:rFonts w:ascii="Arial" w:cs="Arial" w:eastAsia="Arial" w:hAnsi="Arial"/>
          <w:sz w:val="18"/>
          <w:szCs w:val="18"/>
          <w:color w:val="auto"/>
        </w:rPr>
        <w:t>The Company is a significant user of petroleum-based products required for the manufacture of our products. The Company also relies on the labor market in many regions of the world to meet our operational requirements. Increases in the prices of such commodities or in labor costs, particularly in regions that are experiencing higher-levels of inflation, could increase our costs, and we may not be able to fully offset the effects through price increases, productivity improvements, and cost-reduction programs.</w:t>
      </w:r>
    </w:p>
    <w:p>
      <w:pPr>
        <w:spacing w:after="0" w:line="161"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In the AEC segment, demand for its light-weight composite aircraft components is driven by demand for the lighter, more fuel-efficient aircraft engine and other applications into which they are incorporated, such as the CFM LEAP engine. Fuel costs are a significant part of airlines’ overall operating costs,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These actions could reduce or postpone AEC’s anticipated revenues, and reduce profitability.</w:t>
      </w:r>
    </w:p>
    <w:p>
      <w:pPr>
        <w:spacing w:after="0" w:line="156"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1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Changes in exchange rates can result in revaluation gains and losses that are recorded in Selling, Technical, General and Research expenses or Other (income)/expense, net. Revaluation gains and losses occur when our business units have cash,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4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14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5" w:name="page16"/>
    <w:bookmarkEnd w:id="15"/>
    <w:p>
      <w:pPr>
        <w:ind w:right="500"/>
        <w:spacing w:after="0" w:line="246" w:lineRule="auto"/>
        <w:rPr>
          <w:sz w:val="20"/>
          <w:szCs w:val="20"/>
          <w:color w:val="auto"/>
        </w:rPr>
      </w:pPr>
      <w:r>
        <w:rPr>
          <w:rFonts w:ascii="Arial" w:cs="Arial" w:eastAsia="Arial" w:hAnsi="Arial"/>
          <w:sz w:val="18"/>
          <w:szCs w:val="18"/>
          <w:color w:val="auto"/>
        </w:rPr>
        <w:t>may breach their obligations not to reveal such information, and any legal remedies available to us may be insufficient to compensate our damages.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December 31, 2014, the Company had outstanding short-term debt of $50 million and long-term debt of $222.1 million.</w:t>
      </w:r>
    </w:p>
    <w:p>
      <w:pPr>
        <w:spacing w:after="0" w:line="193"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Existing borrowing agreements contain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agreements that would permit the lenders to declare all borrowings under such agreements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on attractive terms, or at all.</w:t>
      </w:r>
    </w:p>
    <w:p>
      <w:pPr>
        <w:spacing w:after="0" w:line="165"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We may incur a substantial amount of additional indebtedness in the future. As of December 31, 2014, we had borrowed $172 million under our $ 330 million revolving credit facility. Incurrence of additional indebtedness could increase the risks associated with higher leverage. These risks include limiting our ability to make acquisitions or capital expenditures to grow our business, limiting our ability to withstand business and economic downturns, limiting our ability to invest operating cash flow in our business, and limiting our ability to pay dividends. In addition, any such indebtedness could contain terms that are more restrictive than our current facilities.</w:t>
      </w:r>
    </w:p>
    <w:p>
      <w:pPr>
        <w:spacing w:after="0" w:line="154"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b w:val="1"/>
          <w:bCs w:val="1"/>
          <w:i w:val="1"/>
          <w:iCs w:val="1"/>
          <w:color w:val="auto"/>
        </w:rPr>
        <w:t>The Company is increasingly dependent on information technology and our business, systems, assets and infrastructure face certain risks, including cybersecurity and data leakage risks. The failure to prevent attacks on our operational systems or infrastructure could result in disruptions to our businesses, or the loss or disclosure of confidential and proprietary intellectual property or other assets.</w:t>
      </w:r>
    </w:p>
    <w:p>
      <w:pPr>
        <w:spacing w:after="0" w:line="156"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We are increasingly dependent on information technology and communication systems and infrastructure. As our dependence has increased, so have the risks associated with cyber-attacks from third parties attempting to gain access to our systems, data, or assets using varied means, from electronic “hacking” to traditional social engineering aimed at our employees. The Company has been, and will likely continue to be, the target of such attacks, none of which have, individually or in the aggregate, been material to the Company.</w:t>
      </w:r>
    </w:p>
    <w:p>
      <w:pPr>
        <w:spacing w:after="0" w:line="161"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Any significant breakdown, invasion, destruction or interruption of our business systems by employees, others with authorized access to our systems, or unauthorized persons could negatively impact operations. There is also a risk that we could experience a business interruption, theft of information or other assets, or reputational damage. While we have made, and will continue to make, significant investments in business systems, information technology infrastructure, internal controls systems and employee training to attempt to reduce these risks, there can be no assurance that our efforts will prevent breakdowns, losses or breaches that could have a material adverse effect on our business, financial position and results of operations.</w:t>
      </w:r>
    </w:p>
    <w:p>
      <w:pPr>
        <w:spacing w:after="0" w:line="15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Company is subject to legal proceedings and legal compliance risks, and has been named as defendant in a large number of suits relating to the actual or alleged exposure to asbestos-containing products</w:t>
      </w:r>
    </w:p>
    <w:p>
      <w:pPr>
        <w:spacing w:after="0" w:line="68"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Note 17, to the Consolidated Financial Statements in Item 8, which is incorporated herein by reference. Litigation is an inherently unpredictable process and unanticipated negative outcomes are</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always possible. An adverse outcome in any period could have an adverse impact on the Company’s operating results for that period.</w:t>
      </w:r>
    </w:p>
    <w:p>
      <w:pPr>
        <w:spacing w:after="0" w:line="185"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3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Changes in actuarial assumptions and differences between actual experience and assumptions could adversely affect our pension and postretirement benefit costs and liabilities</w:t>
      </w:r>
    </w:p>
    <w:p>
      <w:pPr>
        <w:spacing w:after="0" w:line="13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Although we have reduced pension liabilities by a significant amount during the past few years, as of December 31, 2014, remaining net liabilities under our defined benefit pension plans exceeded plan assets by $29.9 million ($8.5 million for the U.S. plan, $21.4 million for non-U.S. plans). Additionally, the liability for unfunded postretirement welfare benefits, principally in the United States, totaled $65.0 million. Annual expense associated with these plans, as well as annual cash contributions, are subject to a number of variables, including discount rates, return on plan assets, mortality, and differences between actuarial assumptions and actual experience. In 2014, we settled certain pension obligations as part of a de-risking strategy in the United States which led to charges totaling $8.2 million. In 2012, we settled certain pension obligations in the United States, Canada and Sweden, which led to charges totaling $119.7 million. If we were to take actions to settle additional pension or postretirement plan liabilities in the future, we could incur similar charges in the periods in which such actions were taken, which charges could be significant.</w:t>
      </w:r>
    </w:p>
    <w:p>
      <w:pPr>
        <w:spacing w:after="0" w:line="180" w:lineRule="exact"/>
        <w:rPr>
          <w:sz w:val="20"/>
          <w:szCs w:val="20"/>
          <w:color w:val="auto"/>
        </w:rPr>
      </w:pPr>
    </w:p>
    <w:p>
      <w:pPr>
        <w:ind w:right="440" w:firstLine="648"/>
        <w:spacing w:after="0"/>
        <w:rPr>
          <w:sz w:val="20"/>
          <w:szCs w:val="20"/>
          <w:color w:val="auto"/>
        </w:rPr>
      </w:pPr>
      <w:r>
        <w:rPr>
          <w:rFonts w:ascii="Arial" w:cs="Arial" w:eastAsia="Arial" w:hAnsi="Arial"/>
          <w:sz w:val="18"/>
          <w:szCs w:val="18"/>
          <w:color w:val="auto"/>
        </w:rPr>
        <w:t>Although the Company has taken actions to hedge certain pension plan assets to the pension liabilities, weakness in investment returns on plan assets, changes in discount rates or actuarial assumptions, and actual future experience could result in higher benefit plan expense and the need to increase pension plan contributions in future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193"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rates</w:t>
      </w:r>
    </w:p>
    <w:p>
      <w:pPr>
        <w:spacing w:after="0" w:line="135"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our tax rates, or tax policies of the countries in which we operate, could affect our future results of operations. Our future effective tax rates could be unfavorably affected by changes in or interpretation of tax rules and regulations in the jurisdictions in which we do business, by structural changes in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7" w:name="page18"/>
    <w:bookmarkEnd w:id="17"/>
    <w:p>
      <w:pPr>
        <w:ind w:right="340"/>
        <w:spacing w:after="0" w:line="246" w:lineRule="auto"/>
        <w:rPr>
          <w:sz w:val="20"/>
          <w:szCs w:val="20"/>
          <w:color w:val="auto"/>
        </w:rPr>
      </w:pPr>
      <w:r>
        <w:rPr>
          <w:rFonts w:ascii="Arial" w:cs="Arial" w:eastAsia="Arial" w:hAnsi="Arial"/>
          <w:sz w:val="18"/>
          <w:szCs w:val="18"/>
          <w:color w:val="auto"/>
        </w:rPr>
        <w:t>the Company’s businesses, by unanticipated decreases in the amount of revenue or earnings in countries with low statutory tax rates, or by changes in the valuation of our deferred tax assets and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and result in a charge to earnings</w:t>
      </w:r>
    </w:p>
    <w:p>
      <w:pPr>
        <w:spacing w:after="0" w:line="193"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The Company has substantial deferred tax assets in several tax jurisdictions, including the U.S. Realization of deferred tax assets is dependent upon many factors, including generation of future income in specific countries. (See Note 8 to the Consolidated Financial Statements in Item 8, which is incorporated herein by reference, for a discussion of this matter.) Lower than expected operating results, organizational changes, or changes in tax laws could result in those deferred tax assets becoming impaired, thus resulting in a charge to earnings.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tax matters</w:t>
      </w:r>
    </w:p>
    <w:p>
      <w:pPr>
        <w:spacing w:after="0" w:line="207"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is currently under audit in certain jurisdictions and could be audited in other jurisdictions in the future. In addition, tax authorities in Germany are challenging certain tax benefits related to a 1999 reorganization. (See Note 8 to the Consolidated Financial Statements in Item 8, which is incorporated herein by reference, for a discussion of this matter.) While the Company believes that its position is correct, a final adverse outcome with respect to this matter could have a material adverse impact on the Company’s results in any period in which it occurs.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significant manufacturing operations outside of the U.S., which could involve many uncertainties</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currently have manufacturing facilities outside the U.S. In 2014, 56%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6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8" w:name="page19"/>
    <w:bookmarkEnd w:id="18"/>
    <w:p>
      <w:pPr>
        <w:ind w:right="120"/>
        <w:spacing w:after="0" w:line="271"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149"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162" w:lineRule="exact"/>
        <w:rPr>
          <w:sz w:val="20"/>
          <w:szCs w:val="20"/>
          <w:color w:val="auto"/>
        </w:rPr>
      </w:pPr>
    </w:p>
    <w:p>
      <w:pPr>
        <w:ind w:right="520" w:firstLine="648"/>
        <w:spacing w:after="0" w:line="239" w:lineRule="auto"/>
        <w:rPr>
          <w:sz w:val="20"/>
          <w:szCs w:val="20"/>
          <w:color w:val="auto"/>
        </w:rPr>
      </w:pPr>
      <w:r>
        <w:rPr>
          <w:rFonts w:ascii="Arial" w:cs="Arial" w:eastAsia="Arial" w:hAnsi="Arial"/>
          <w:sz w:val="18"/>
          <w:szCs w:val="18"/>
          <w:color w:val="auto"/>
        </w:rPr>
        <w:t>We incur significant expenses to comply with laws and regulations. Changes or additions to laws and regulations, including those related to climate change,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16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PROPERTIES</w:t>
      </w:r>
    </w:p>
    <w:p>
      <w:pPr>
        <w:spacing w:after="0" w:line="207"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Our principal manufacturing facilities are located in Brazil, Canada, China, France, Germany, Italy, Mexico, South Korea, Sweden, the United Kingdom, and the United States. The aggregate square footage of our operating facilities in the United States and Canada is approximately 2.2 million square feet, of which 1.6 million square feet are owned and 0.6 million square feet are leased. Our facilities located outside the United States and Canada comprise approximately 3.1 million square feet, of which 2.9 million square feet are owned and 0.2 million square feet are leased. We consider these facilities to be in good condition and suitable for our purpose. The capacity associated with these facilities is adequate to meet production levels required and anticipated through 2015.</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LEGAL PROCEEDINGS</w:t>
      </w:r>
    </w:p>
    <w:p>
      <w:pPr>
        <w:spacing w:after="0" w:line="234" w:lineRule="exact"/>
        <w:rPr>
          <w:sz w:val="20"/>
          <w:szCs w:val="20"/>
          <w:color w:val="auto"/>
        </w:rPr>
      </w:pPr>
    </w:p>
    <w:p>
      <w:pPr>
        <w:ind w:left="660" w:right="20" w:firstLine="648"/>
        <w:spacing w:after="0" w:line="246" w:lineRule="auto"/>
        <w:rPr>
          <w:sz w:val="20"/>
          <w:szCs w:val="20"/>
          <w:color w:val="auto"/>
        </w:rPr>
      </w:pPr>
      <w:r>
        <w:rPr>
          <w:rFonts w:ascii="Arial" w:cs="Arial" w:eastAsia="Arial" w:hAnsi="Arial"/>
          <w:sz w:val="18"/>
          <w:szCs w:val="18"/>
          <w:color w:val="auto"/>
        </w:rPr>
        <w:t>The information set forth above under Note 17 to the Consolidated Financial Statements in Item 8, which is incorporated herein by reference.</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640" w:right="240" w:hanging="629"/>
        <w:spacing w:after="0" w:line="271"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As of December 31, 2014, we estimate that there were 7,000 beneficial owners of our Class A Common Stock, including employees owning shares through our 401(k) defined contribution plan. Our Class B Common Stock does not trade publicly. As of December 31, 2014, there were 16 holders of Class B Common Stock. Dividends are paid equally on shares of each class. Our cash dividends, and the high and low prices per share of our Class A Common Stock, were as follows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Quarter Ended</w:t>
            </w:r>
          </w:p>
        </w:tc>
        <w:tc>
          <w:tcPr>
            <w:tcW w:w="2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5"/>
        </w:trPr>
        <w:tc>
          <w:tcPr>
            <w:tcW w:w="37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2014</w:t>
            </w:r>
          </w:p>
        </w:tc>
        <w:tc>
          <w:tcPr>
            <w:tcW w:w="2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25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$0.15</w:t>
            </w:r>
          </w:p>
        </w:tc>
        <w:tc>
          <w:tcPr>
            <w:tcW w:w="16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$0.16</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$0.16</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2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High</w:t>
            </w:r>
          </w:p>
        </w:tc>
        <w:tc>
          <w:tcPr>
            <w:tcW w:w="25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$37.59</w:t>
            </w:r>
          </w:p>
        </w:tc>
        <w:tc>
          <w:tcPr>
            <w:tcW w:w="16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$38.01</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$38.53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Low</w:t>
            </w:r>
          </w:p>
        </w:tc>
        <w:tc>
          <w:tcPr>
            <w:tcW w:w="2560" w:type="dxa"/>
            <w:vAlign w:val="bottom"/>
          </w:tcPr>
          <w:p>
            <w:pPr>
              <w:jc w:val="right"/>
              <w:ind w:right="490"/>
              <w:spacing w:after="0"/>
              <w:rPr>
                <w:sz w:val="20"/>
                <w:szCs w:val="20"/>
                <w:color w:val="auto"/>
              </w:rPr>
            </w:pPr>
            <w:r>
              <w:rPr>
                <w:rFonts w:ascii="Arial" w:cs="Arial" w:eastAsia="Arial" w:hAnsi="Arial"/>
                <w:sz w:val="18"/>
                <w:szCs w:val="18"/>
                <w:color w:val="auto"/>
              </w:rPr>
              <w:t>$32.85</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$33.67</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$34.04</w:t>
            </w:r>
          </w:p>
        </w:tc>
        <w:tc>
          <w:tcPr>
            <w:tcW w:w="1480" w:type="dxa"/>
            <w:vAlign w:val="bottom"/>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720" w:type="dxa"/>
            <w:vAlign w:val="bottom"/>
          </w:tcPr>
          <w:p>
            <w:pPr>
              <w:spacing w:after="0" w:line="195" w:lineRule="exact"/>
              <w:rPr>
                <w:sz w:val="20"/>
                <w:szCs w:val="20"/>
                <w:color w:val="auto"/>
              </w:rPr>
            </w:pPr>
            <w:r>
              <w:rPr>
                <w:rFonts w:ascii="Arial" w:cs="Arial" w:eastAsia="Arial" w:hAnsi="Arial"/>
                <w:sz w:val="18"/>
                <w:szCs w:val="18"/>
                <w:b w:val="1"/>
                <w:bCs w:val="1"/>
                <w:color w:val="auto"/>
              </w:rPr>
              <w:t>2013</w:t>
            </w:r>
          </w:p>
        </w:tc>
        <w:tc>
          <w:tcPr>
            <w:tcW w:w="2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25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$0.14</w:t>
            </w:r>
          </w:p>
        </w:tc>
        <w:tc>
          <w:tcPr>
            <w:tcW w:w="16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$0.15</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2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High</w:t>
            </w:r>
          </w:p>
        </w:tc>
        <w:tc>
          <w:tcPr>
            <w:tcW w:w="25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$29.87</w:t>
            </w:r>
          </w:p>
        </w:tc>
        <w:tc>
          <w:tcPr>
            <w:tcW w:w="16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$33.90</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$36.53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Low</w:t>
            </w:r>
          </w:p>
        </w:tc>
        <w:tc>
          <w:tcPr>
            <w:tcW w:w="2560" w:type="dxa"/>
            <w:vAlign w:val="bottom"/>
          </w:tcPr>
          <w:p>
            <w:pPr>
              <w:jc w:val="right"/>
              <w:ind w:right="490"/>
              <w:spacing w:after="0"/>
              <w:rPr>
                <w:sz w:val="20"/>
                <w:szCs w:val="20"/>
                <w:color w:val="auto"/>
              </w:rPr>
            </w:pPr>
            <w:r>
              <w:rPr>
                <w:rFonts w:ascii="Arial" w:cs="Arial" w:eastAsia="Arial" w:hAnsi="Arial"/>
                <w:sz w:val="18"/>
                <w:szCs w:val="18"/>
                <w:color w:val="auto"/>
              </w:rPr>
              <w:t>$23.21</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$27.48</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$32.27</w:t>
            </w:r>
          </w:p>
        </w:tc>
        <w:tc>
          <w:tcPr>
            <w:tcW w:w="1480" w:type="dxa"/>
            <w:vAlign w:val="bottom"/>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Restrictions on dividends and other distributions are described in Note 14 of the Consolidated Financial Statements in Item 8, which is incorporated herein by reference.</w:t>
      </w:r>
    </w:p>
    <w:p>
      <w:pPr>
        <w:spacing w:after="0" w:line="15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Disclosures of securities authorized for issuance under equity compensation plans and the performance graph are included under Item 12 of this Form 10-K.</w:t>
      </w:r>
    </w:p>
    <w:p>
      <w:pPr>
        <w:spacing w:after="0" w:line="17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August 2006, we announced that the Board of Directors had authorized management to purchase up to 2 million additional shares of our Class A Common Stock. The Board’s action authorized management to purchase shares from time to time, in the open market or otherwise, whenever it believes such purchase to be advantageous to our shareholders, and it is otherwise legally permitted to do so. Management has made no share purchases under this authorization.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7"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 which is incorporated herein by reference.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6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13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3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8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5"/>
        </w:trPr>
        <w:tc>
          <w:tcPr>
            <w:tcW w:w="464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Summary of Operations</w:t>
            </w: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$745,345</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60"/>
              <w:spacing w:after="0" w:line="181" w:lineRule="exact"/>
              <w:rPr>
                <w:sz w:val="20"/>
                <w:szCs w:val="20"/>
                <w:color w:val="auto"/>
              </w:rPr>
            </w:pPr>
            <w:r>
              <w:rPr>
                <w:rFonts w:ascii="Arial" w:cs="Arial" w:eastAsia="Arial" w:hAnsi="Arial"/>
                <w:sz w:val="18"/>
                <w:szCs w:val="18"/>
                <w:color w:val="auto"/>
              </w:rPr>
              <w:t>Net sales (5)</w:t>
            </w:r>
          </w:p>
        </w:tc>
        <w:tc>
          <w:tcPr>
            <w:tcW w:w="1680" w:type="dxa"/>
            <w:vAlign w:val="bottom"/>
            <w:vMerge w:val="continue"/>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757,414</w:t>
            </w: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760,941</w:t>
            </w:r>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787,287</w:t>
            </w:r>
          </w:p>
        </w:tc>
        <w:tc>
          <w:tcPr>
            <w:tcW w:w="340" w:type="dxa"/>
            <w:vAlign w:val="bottom"/>
          </w:tcPr>
          <w:p>
            <w:pPr>
              <w:ind w:left="240"/>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742,887</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Cost of goods sold (5)</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453,710</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466,860</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455,545</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473,121</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460,914</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(3)</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5,759</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25,108</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7,061</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9,317</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Pension settlement charges (2)</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8,190</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119,735</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Operating income/(loss) (5)</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71,360</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52,091</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(44,136)</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74,608</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64,709</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Interest expense, net</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10,713</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13,759</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16,601</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18,121</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17,240</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Income/(loss) from continuing operations (6)</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41,749</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17,704</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(40,843)</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21,266</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27,423</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Income/(loss) from discontinued operations (5)</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(46)</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71,820</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13,672</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25"/>
        </w:trPr>
        <w:tc>
          <w:tcPr>
            <w:tcW w:w="4640" w:type="dxa"/>
            <w:vAlign w:val="bottom"/>
          </w:tcPr>
          <w:p>
            <w:pPr>
              <w:ind w:left="60"/>
              <w:spacing w:after="0"/>
              <w:rPr>
                <w:sz w:val="20"/>
                <w:szCs w:val="20"/>
                <w:color w:val="auto"/>
              </w:rPr>
            </w:pPr>
            <w:r>
              <w:rPr>
                <w:rFonts w:ascii="Arial" w:cs="Arial" w:eastAsia="Arial" w:hAnsi="Arial"/>
                <w:sz w:val="18"/>
                <w:szCs w:val="18"/>
                <w:color w:val="auto"/>
              </w:rPr>
              <w:t>Net income attributable to the Company</w:t>
            </w: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41,569</w:t>
            </w:r>
          </w:p>
        </w:tc>
        <w:tc>
          <w:tcPr>
            <w:tcW w:w="42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17,517</w:t>
            </w:r>
          </w:p>
        </w:tc>
        <w:tc>
          <w:tcPr>
            <w:tcW w:w="4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30,977</w:t>
            </w:r>
          </w:p>
        </w:tc>
        <w:tc>
          <w:tcPr>
            <w:tcW w:w="3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34,938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37,636</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Basic income/(loss) from continuing operations per</w:t>
            </w: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1.31</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share</w:t>
            </w:r>
          </w:p>
        </w:tc>
        <w:tc>
          <w:tcPr>
            <w:tcW w:w="16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0.55</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(1.30)</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0.68</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Diluted income/(loss) from continuing operations per</w:t>
            </w: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1.30</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200"/>
              <w:spacing w:after="0" w:line="181" w:lineRule="exact"/>
              <w:rPr>
                <w:sz w:val="20"/>
                <w:szCs w:val="20"/>
                <w:color w:val="auto"/>
              </w:rPr>
            </w:pPr>
            <w:r>
              <w:rPr>
                <w:rFonts w:ascii="Arial" w:cs="Arial" w:eastAsia="Arial" w:hAnsi="Arial"/>
                <w:sz w:val="18"/>
                <w:szCs w:val="18"/>
                <w:color w:val="auto"/>
              </w:rPr>
              <w:t>share</w:t>
            </w:r>
          </w:p>
        </w:tc>
        <w:tc>
          <w:tcPr>
            <w:tcW w:w="16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0.55</w:t>
            </w:r>
          </w:p>
        </w:tc>
        <w:tc>
          <w:tcPr>
            <w:tcW w:w="400" w:type="dxa"/>
            <w:vAlign w:val="bottom"/>
          </w:tcPr>
          <w:p>
            <w:pPr>
              <w:spacing w:after="0"/>
              <w:rPr>
                <w:sz w:val="15"/>
                <w:szCs w:val="15"/>
                <w:color w:val="auto"/>
              </w:rPr>
            </w:pPr>
          </w:p>
        </w:tc>
        <w:tc>
          <w:tcPr>
            <w:tcW w:w="9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(1.30)</w:t>
            </w:r>
          </w:p>
        </w:tc>
        <w:tc>
          <w:tcPr>
            <w:tcW w:w="360" w:type="dxa"/>
            <w:vAlign w:val="bottom"/>
          </w:tcPr>
          <w:p>
            <w:pPr>
              <w:spacing w:after="0"/>
              <w:rPr>
                <w:sz w:val="15"/>
                <w:szCs w:val="15"/>
                <w:color w:val="auto"/>
              </w:rPr>
            </w:pPr>
          </w:p>
        </w:tc>
        <w:tc>
          <w:tcPr>
            <w:tcW w:w="9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0.67</w:t>
            </w:r>
          </w:p>
        </w:tc>
        <w:tc>
          <w:tcPr>
            <w:tcW w:w="3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5"/>
        </w:trPr>
        <w:tc>
          <w:tcPr>
            <w:tcW w:w="4640" w:type="dxa"/>
            <w:vAlign w:val="bottom"/>
          </w:tcPr>
          <w:p>
            <w:pPr>
              <w:ind w:left="60"/>
              <w:spacing w:after="0"/>
              <w:rPr>
                <w:sz w:val="20"/>
                <w:szCs w:val="20"/>
                <w:color w:val="auto"/>
              </w:rPr>
            </w:pPr>
            <w:r>
              <w:rPr>
                <w:rFonts w:ascii="Arial" w:cs="Arial" w:eastAsia="Arial" w:hAnsi="Arial"/>
                <w:sz w:val="18"/>
                <w:szCs w:val="18"/>
                <w:color w:val="auto"/>
              </w:rPr>
              <w:t>Dividends declared per share</w:t>
            </w: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0.63</w:t>
            </w:r>
          </w:p>
        </w:tc>
        <w:tc>
          <w:tcPr>
            <w:tcW w:w="42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0.59</w:t>
            </w:r>
          </w:p>
        </w:tc>
        <w:tc>
          <w:tcPr>
            <w:tcW w:w="4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0.55</w:t>
            </w:r>
          </w:p>
        </w:tc>
        <w:tc>
          <w:tcPr>
            <w:tcW w:w="3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Weighted average number of shares</w:t>
            </w: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31,832</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200"/>
              <w:spacing w:after="0" w:line="181" w:lineRule="exact"/>
              <w:rPr>
                <w:sz w:val="20"/>
                <w:szCs w:val="20"/>
                <w:color w:val="auto"/>
              </w:rPr>
            </w:pPr>
            <w:r>
              <w:rPr>
                <w:rFonts w:ascii="Arial" w:cs="Arial" w:eastAsia="Arial" w:hAnsi="Arial"/>
                <w:sz w:val="18"/>
                <w:szCs w:val="18"/>
                <w:color w:val="auto"/>
              </w:rPr>
              <w:t>outstanding - basic</w:t>
            </w:r>
          </w:p>
        </w:tc>
        <w:tc>
          <w:tcPr>
            <w:tcW w:w="16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31,649</w:t>
            </w:r>
          </w:p>
        </w:tc>
        <w:tc>
          <w:tcPr>
            <w:tcW w:w="400" w:type="dxa"/>
            <w:vAlign w:val="bottom"/>
          </w:tcPr>
          <w:p>
            <w:pPr>
              <w:spacing w:after="0"/>
              <w:rPr>
                <w:sz w:val="15"/>
                <w:szCs w:val="15"/>
                <w:color w:val="auto"/>
              </w:rPr>
            </w:pPr>
          </w:p>
        </w:tc>
        <w:tc>
          <w:tcPr>
            <w:tcW w:w="9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31,356</w:t>
            </w:r>
          </w:p>
        </w:tc>
        <w:tc>
          <w:tcPr>
            <w:tcW w:w="360" w:type="dxa"/>
            <w:vAlign w:val="bottom"/>
          </w:tcPr>
          <w:p>
            <w:pPr>
              <w:spacing w:after="0"/>
              <w:rPr>
                <w:sz w:val="15"/>
                <w:szCs w:val="15"/>
                <w:color w:val="auto"/>
              </w:rPr>
            </w:pPr>
          </w:p>
        </w:tc>
        <w:tc>
          <w:tcPr>
            <w:tcW w:w="9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31,262</w:t>
            </w:r>
          </w:p>
        </w:tc>
        <w:tc>
          <w:tcPr>
            <w:tcW w:w="3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31,072</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Capital expenditures, including software</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58,873</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64,457</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37,207</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27,428</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30,957</w:t>
            </w:r>
          </w:p>
        </w:tc>
        <w:tc>
          <w:tcPr>
            <w:tcW w:w="0" w:type="dxa"/>
            <w:vAlign w:val="bottom"/>
          </w:tcPr>
          <w:p>
            <w:pPr>
              <w:spacing w:after="0"/>
              <w:rPr>
                <w:sz w:val="1"/>
                <w:szCs w:val="1"/>
                <w:color w:val="auto"/>
              </w:rPr>
            </w:pPr>
          </w:p>
        </w:tc>
      </w:tr>
      <w:tr>
        <w:trPr>
          <w:trHeight w:val="225"/>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Financial position</w:t>
            </w: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$179,802</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60"/>
              <w:spacing w:after="0" w:line="181" w:lineRule="exact"/>
              <w:rPr>
                <w:sz w:val="20"/>
                <w:szCs w:val="20"/>
                <w:color w:val="auto"/>
              </w:rPr>
            </w:pPr>
            <w:r>
              <w:rPr>
                <w:rFonts w:ascii="Arial" w:cs="Arial" w:eastAsia="Arial" w:hAnsi="Arial"/>
                <w:sz w:val="18"/>
                <w:szCs w:val="18"/>
                <w:color w:val="auto"/>
              </w:rPr>
              <w:t>Cash</w:t>
            </w:r>
          </w:p>
        </w:tc>
        <w:tc>
          <w:tcPr>
            <w:tcW w:w="1680" w:type="dxa"/>
            <w:vAlign w:val="bottom"/>
            <w:vMerge w:val="continue"/>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222,666</w:t>
            </w: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190,718</w:t>
            </w:r>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118,909</w:t>
            </w:r>
          </w:p>
        </w:tc>
        <w:tc>
          <w:tcPr>
            <w:tcW w:w="340" w:type="dxa"/>
            <w:vAlign w:val="bottom"/>
          </w:tcPr>
          <w:p>
            <w:pPr>
              <w:ind w:left="240"/>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117,925</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Property, plant and equipment, net</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395,113</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418,830</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420,154</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438,953</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480,711</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Total assets (1) (5)</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1,029,304</w:t>
            </w:r>
          </w:p>
        </w:tc>
        <w:tc>
          <w:tcPr>
            <w:tcW w:w="13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1,126,157</w:t>
            </w:r>
          </w:p>
        </w:tc>
        <w:tc>
          <w:tcPr>
            <w:tcW w:w="13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1,117,691</w:t>
            </w:r>
          </w:p>
        </w:tc>
        <w:tc>
          <w:tcPr>
            <w:tcW w:w="12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1,189,570</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1,238,564</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Current liabilities (1)</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183,398</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157,546</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234,120</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167,012</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162,417</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Long-term debt</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222,096</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300,111</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235,877</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373,125</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423,634</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Total noncurrent liabilities (1)</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332,338</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420,832</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390,060</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606,708</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649,888</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line="202" w:lineRule="exact"/>
              <w:rPr>
                <w:sz w:val="20"/>
                <w:szCs w:val="20"/>
                <w:color w:val="auto"/>
              </w:rPr>
            </w:pPr>
            <w:r>
              <w:rPr>
                <w:rFonts w:ascii="Arial" w:cs="Arial" w:eastAsia="Arial" w:hAnsi="Arial"/>
                <w:sz w:val="18"/>
                <w:szCs w:val="18"/>
                <w:color w:val="auto"/>
              </w:rPr>
              <w:t>Total liabilities (1) (5)</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515,736</w:t>
            </w:r>
          </w:p>
        </w:tc>
        <w:tc>
          <w:tcPr>
            <w:tcW w:w="420" w:type="dxa"/>
            <w:vAlign w:val="bottom"/>
          </w:tcPr>
          <w:p>
            <w:pPr>
              <w:spacing w:after="0"/>
              <w:rPr>
                <w:sz w:val="17"/>
                <w:szCs w:val="17"/>
                <w:color w:val="auto"/>
              </w:rPr>
            </w:pPr>
          </w:p>
        </w:tc>
        <w:tc>
          <w:tcPr>
            <w:tcW w:w="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578,378</w:t>
            </w:r>
          </w:p>
        </w:tc>
        <w:tc>
          <w:tcPr>
            <w:tcW w:w="40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624,180</w:t>
            </w:r>
          </w:p>
        </w:tc>
        <w:tc>
          <w:tcPr>
            <w:tcW w:w="360" w:type="dxa"/>
            <w:vAlign w:val="bottom"/>
          </w:tcPr>
          <w:p>
            <w:pPr>
              <w:spacing w:after="0"/>
              <w:rPr>
                <w:sz w:val="17"/>
                <w:szCs w:val="17"/>
                <w:color w:val="auto"/>
              </w:rPr>
            </w:pP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773,720</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812,305</w:t>
            </w:r>
          </w:p>
        </w:tc>
        <w:tc>
          <w:tcPr>
            <w:tcW w:w="0" w:type="dxa"/>
            <w:vAlign w:val="bottom"/>
          </w:tcPr>
          <w:p>
            <w:pPr>
              <w:spacing w:after="0"/>
              <w:rPr>
                <w:sz w:val="1"/>
                <w:szCs w:val="1"/>
                <w:color w:val="auto"/>
              </w:rPr>
            </w:pPr>
          </w:p>
        </w:tc>
      </w:tr>
      <w:tr>
        <w:trPr>
          <w:trHeight w:val="239"/>
        </w:trPr>
        <w:tc>
          <w:tcPr>
            <w:tcW w:w="4640" w:type="dxa"/>
            <w:vAlign w:val="bottom"/>
          </w:tcPr>
          <w:p>
            <w:pPr>
              <w:ind w:left="60"/>
              <w:spacing w:after="0"/>
              <w:rPr>
                <w:sz w:val="20"/>
                <w:szCs w:val="20"/>
                <w:color w:val="auto"/>
              </w:rPr>
            </w:pPr>
            <w:r>
              <w:rPr>
                <w:rFonts w:ascii="Arial" w:cs="Arial" w:eastAsia="Arial" w:hAnsi="Arial"/>
                <w:sz w:val="18"/>
                <w:szCs w:val="18"/>
                <w:color w:val="auto"/>
              </w:rPr>
              <w:t>Shareholders’ equity (4)</w:t>
            </w: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513,568</w:t>
            </w:r>
          </w:p>
        </w:tc>
        <w:tc>
          <w:tcPr>
            <w:tcW w:w="42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547,779</w:t>
            </w:r>
          </w:p>
        </w:tc>
        <w:tc>
          <w:tcPr>
            <w:tcW w:w="40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493,511</w:t>
            </w:r>
          </w:p>
        </w:tc>
        <w:tc>
          <w:tcPr>
            <w:tcW w:w="3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415,850</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426,259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660" w:right="140" w:hanging="652"/>
        <w:spacing w:after="0" w:line="23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for each of 2010, 2011, 2012 and 2013 reflect a revision from previously reported amounts to correct an error in the presentation of deferred tax assets and liabilities. The amounts previously reported presented deferred tax assets and liabilities on a gross basis instead of a net basis as required under U.S. GAAP. The error had no impact on Shareholders’ equity, the Consolidated Statements of Income, or the Consolidated Statements of Cash Flows. The Company concluded that the error is immaterial to any previously filed Consolidated Balance Sheet and, accordingly, the correction is being handled as a revision to previously filed financial statements. The table below presents the amount of the revision on various lines of the Consolidated Balance Sheet.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5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Overstatement of deferred taxes (000's):</w:t>
            </w:r>
          </w:p>
        </w:tc>
        <w:tc>
          <w:tcPr>
            <w:tcW w:w="2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195"/>
        </w:trPr>
        <w:tc>
          <w:tcPr>
            <w:tcW w:w="5300" w:type="dxa"/>
            <w:vAlign w:val="bottom"/>
          </w:tcPr>
          <w:p>
            <w:pPr>
              <w:spacing w:after="0" w:line="195" w:lineRule="exact"/>
              <w:rPr>
                <w:sz w:val="20"/>
                <w:szCs w:val="20"/>
                <w:color w:val="auto"/>
              </w:rPr>
            </w:pPr>
            <w:r>
              <w:rPr>
                <w:rFonts w:ascii="Arial" w:cs="Arial" w:eastAsia="Arial" w:hAnsi="Arial"/>
                <w:sz w:val="18"/>
                <w:szCs w:val="18"/>
                <w:color w:val="auto"/>
              </w:rPr>
              <w:t>Current assets</w:t>
            </w:r>
          </w:p>
        </w:tc>
        <w:tc>
          <w:tcPr>
            <w:tcW w:w="2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   968</w:t>
            </w:r>
          </w:p>
        </w:tc>
        <w:tc>
          <w:tcPr>
            <w:tcW w:w="11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$ 1,668</w:t>
            </w: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$ 3,699</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$ 3,439</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2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39,763</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37,338</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37,659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36,290</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962</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1,668</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3,699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3,439</w:t>
            </w:r>
          </w:p>
        </w:tc>
      </w:tr>
      <w:tr>
        <w:trPr>
          <w:trHeight w:val="203"/>
        </w:trPr>
        <w:tc>
          <w:tcPr>
            <w:tcW w:w="53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Noncurrent liabilities</w:t>
            </w:r>
          </w:p>
        </w:tc>
        <w:tc>
          <w:tcPr>
            <w:tcW w:w="29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39,769</w:t>
            </w:r>
          </w:p>
        </w:tc>
        <w:tc>
          <w:tcPr>
            <w:tcW w:w="11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37,338</w:t>
            </w:r>
          </w:p>
        </w:tc>
        <w:tc>
          <w:tcPr>
            <w:tcW w:w="11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37,659</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36,290</w:t>
            </w:r>
          </w:p>
        </w:tc>
      </w:tr>
      <w:tr>
        <w:trPr>
          <w:trHeight w:val="196"/>
        </w:trPr>
        <w:tc>
          <w:tcPr>
            <w:tcW w:w="5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impact</w:t>
            </w:r>
          </w:p>
        </w:tc>
        <w:tc>
          <w:tcPr>
            <w:tcW w:w="29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on this matter, see Note 8 to the Consolidated Financial Statements in Item 8.</w:t>
      </w:r>
    </w:p>
    <w:p>
      <w:pPr>
        <w:jc w:val="both"/>
        <w:ind w:left="660" w:right="1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2014, we took action to settle certain pension plan liabilities in the United States which led to charges totaling $8.2 million. In 2012, we took action to settle certain pension plan liabilities in the United States, Canada, and Sweden which led to charges totaling $119.7 million.</w:t>
      </w:r>
    </w:p>
    <w:p>
      <w:pPr>
        <w:spacing w:after="0" w:line="2" w:lineRule="exact"/>
        <w:rPr>
          <w:rFonts w:ascii="Arial" w:cs="Arial" w:eastAsia="Arial" w:hAnsi="Arial"/>
          <w:sz w:val="18"/>
          <w:szCs w:val="18"/>
          <w:color w:val="auto"/>
        </w:rPr>
      </w:pPr>
    </w:p>
    <w:p>
      <w:pPr>
        <w:ind w:left="660" w:right="7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period 2010 through 2014, we recorded restructuring charges related to organizational changes and cost reduction initiatives.</w:t>
      </w:r>
    </w:p>
    <w:p>
      <w:pPr>
        <w:spacing w:after="0" w:line="1" w:lineRule="exact"/>
        <w:rPr>
          <w:rFonts w:ascii="Arial" w:cs="Arial" w:eastAsia="Arial" w:hAnsi="Arial"/>
          <w:sz w:val="18"/>
          <w:szCs w:val="18"/>
          <w:color w:val="auto"/>
        </w:rPr>
      </w:pPr>
    </w:p>
    <w:p>
      <w:pPr>
        <w:ind w:left="660" w:right="48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2013, Safran S.A. obtained a 10% noncontrolling equity interest in Albany Safran Composites, LLC (ASC) resulting in an $18.9 million increase in Shareholders’ equity.</w:t>
      </w:r>
    </w:p>
    <w:p>
      <w:pPr>
        <w:spacing w:after="0" w:line="1" w:lineRule="exact"/>
        <w:rPr>
          <w:rFonts w:ascii="Arial" w:cs="Arial" w:eastAsia="Arial" w:hAnsi="Arial"/>
          <w:sz w:val="18"/>
          <w:szCs w:val="18"/>
          <w:color w:val="auto"/>
        </w:rPr>
      </w:pPr>
    </w:p>
    <w:p>
      <w:pPr>
        <w:ind w:left="660" w:right="22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2012, we sold our Albany Door Systems and PrimaLoft Products businesses resulting in a pre-tax gain of $92.3 million. Previously reported data for net sales, cost of goods sold, operating income, assets and liabilities for years prior to 2012 have been adjusted to reflect only the activity from continuing operations.</w:t>
      </w:r>
    </w:p>
    <w:p>
      <w:pPr>
        <w:spacing w:after="0" w:line="2" w:lineRule="exact"/>
        <w:rPr>
          <w:rFonts w:ascii="Arial" w:cs="Arial" w:eastAsia="Arial" w:hAnsi="Arial"/>
          <w:sz w:val="18"/>
          <w:szCs w:val="18"/>
          <w:color w:val="auto"/>
        </w:rPr>
      </w:pPr>
    </w:p>
    <w:p>
      <w:pPr>
        <w:jc w:val="both"/>
        <w:ind w:left="660" w:right="10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in 2011 includes a favorable adjustment of $3.5 million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22" w:name="page23"/>
    <w:bookmarkEnd w:id="22"/>
    <w:p>
      <w:pPr>
        <w:ind w:left="60"/>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8"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reportable segments: Machine Clothing (MC) and Albany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62"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8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believe that the AEC segment provides the greatest growth potential, both near and long term, for our Company. Our strategy is to grow organically by focusing our proprietary technology on high-value aerospace and defense applications that cannot be served effectively by conventional composites.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4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2014</w:t>
            </w:r>
          </w:p>
        </w:tc>
        <w:tc>
          <w:tcPr>
            <w:tcW w:w="19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2013</w:t>
            </w: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r>
      <w:tr>
        <w:trPr>
          <w:trHeight w:val="195"/>
        </w:trPr>
        <w:tc>
          <w:tcPr>
            <w:tcW w:w="446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34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$655,026</w:t>
            </w:r>
          </w:p>
        </w:tc>
        <w:tc>
          <w:tcPr>
            <w:tcW w:w="194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$674,747</w:t>
            </w:r>
          </w:p>
        </w:tc>
        <w:tc>
          <w:tcPr>
            <w:tcW w:w="1540" w:type="dxa"/>
            <w:vAlign w:val="bottom"/>
          </w:tcPr>
          <w:p>
            <w:pPr>
              <w:jc w:val="right"/>
              <w:spacing w:after="0" w:line="195" w:lineRule="exact"/>
              <w:rPr>
                <w:sz w:val="20"/>
                <w:szCs w:val="20"/>
                <w:color w:val="auto"/>
              </w:rPr>
            </w:pPr>
            <w:r>
              <w:rPr>
                <w:rFonts w:ascii="Arial" w:cs="Arial" w:eastAsia="Arial" w:hAnsi="Arial"/>
                <w:sz w:val="18"/>
                <w:szCs w:val="18"/>
                <w:color w:val="auto"/>
              </w:rPr>
              <w:t>$693,176</w:t>
            </w:r>
          </w:p>
        </w:tc>
        <w:tc>
          <w:tcPr>
            <w:tcW w:w="20" w:type="dxa"/>
            <w:vAlign w:val="bottom"/>
          </w:tcPr>
          <w:p>
            <w:pPr>
              <w:spacing w:after="0"/>
              <w:rPr>
                <w:sz w:val="16"/>
                <w:szCs w:val="16"/>
                <w:color w:val="auto"/>
              </w:rPr>
            </w:pPr>
          </w:p>
        </w:tc>
      </w:tr>
      <w:tr>
        <w:trPr>
          <w:trHeight w:val="203"/>
        </w:trPr>
        <w:tc>
          <w:tcPr>
            <w:tcW w:w="44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3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90,319</w:t>
            </w:r>
          </w:p>
        </w:tc>
        <w:tc>
          <w:tcPr>
            <w:tcW w:w="19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82,667</w:t>
            </w:r>
          </w:p>
        </w:tc>
        <w:tc>
          <w:tcPr>
            <w:tcW w:w="15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67,765</w:t>
            </w:r>
          </w:p>
        </w:tc>
      </w:tr>
      <w:tr>
        <w:trPr>
          <w:trHeight w:val="196"/>
        </w:trPr>
        <w:tc>
          <w:tcPr>
            <w:tcW w:w="44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48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$745,345</w:t>
            </w:r>
          </w:p>
        </w:tc>
        <w:tc>
          <w:tcPr>
            <w:tcW w:w="19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$757,414</w:t>
            </w:r>
          </w:p>
        </w:tc>
        <w:tc>
          <w:tcPr>
            <w:tcW w:w="1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$760,941</w:t>
            </w:r>
          </w:p>
        </w:tc>
      </w:tr>
      <w:tr>
        <w:trPr>
          <w:trHeight w:val="196"/>
        </w:trPr>
        <w:tc>
          <w:tcPr>
            <w:tcW w:w="44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 change</w:t>
            </w:r>
          </w:p>
        </w:tc>
        <w:tc>
          <w:tcPr>
            <w:tcW w:w="3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-1.6%</w:t>
            </w:r>
          </w:p>
        </w:tc>
        <w:tc>
          <w:tcPr>
            <w:tcW w:w="1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-0.5%</w:t>
            </w:r>
          </w:p>
        </w:tc>
        <w:tc>
          <w:tcPr>
            <w:tcW w:w="15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709"/>
        </w:trPr>
        <w:tc>
          <w:tcPr>
            <w:tcW w:w="4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81"/>
        </w:trPr>
        <w:tc>
          <w:tcPr>
            <w:tcW w:w="44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8"/>
        </w:trPr>
        <w:tc>
          <w:tcPr>
            <w:tcW w:w="4460" w:type="dxa"/>
            <w:vAlign w:val="bottom"/>
            <w:shd w:val="clear" w:color="auto" w:fill="000000"/>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0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2014 vs. 2013</w:t>
      </w:r>
    </w:p>
    <w:p>
      <w:pPr>
        <w:spacing w:after="0" w:line="207"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$3.6 million during 2014 as compared to 2013.</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were down 1.1% compared to 2013.</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MC decreased 2.4%.</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AEC increased 9.3%.</w:t>
      </w:r>
    </w:p>
    <w:p>
      <w:pPr>
        <w:spacing w:after="0" w:line="9" w:lineRule="exact"/>
        <w:rPr>
          <w:rFonts w:ascii="Arial" w:cs="Arial" w:eastAsia="Arial" w:hAnsi="Arial"/>
          <w:sz w:val="18"/>
          <w:szCs w:val="18"/>
          <w:color w:val="auto"/>
        </w:rPr>
      </w:pPr>
    </w:p>
    <w:p>
      <w:pPr>
        <w:ind w:left="900" w:right="300" w:hanging="244"/>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year-over year decline in MC segment sales was primarily attributable to lower sales in the Americas, which were negatively impacted by certain mill closures by key customers.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AEC segment sales increase was due to higher sales related to the LEAP and JSF LiftFan® programs.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vs. 2012</w:t>
      </w:r>
    </w:p>
    <w:p>
      <w:pPr>
        <w:spacing w:after="0" w:line="193"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$1.6 million during 2013 as compared to 2012.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were down 0.7% compared to 2012.</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MC decreased 2.9%.</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AEC increased 22.0%.</w:t>
      </w:r>
    </w:p>
    <w:p>
      <w:pPr>
        <w:spacing w:after="0" w:line="211"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included a change in contract terms with a North American MC customer that increased sales by $8.0 million.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AEC sales was principally due to LEAP program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Backlog in the Machine Clothing segment was $195.5 million at December 31, 2014, compared to $225.6 million at December 31, 2013. The decrease reflects a trend toward shorter order-to-delivery times. Backlog in the Albany Engineered Composites segment was $22.8 million at December 31, 2014 compared to $21.7 million at December 31, 2013. The backlog in each segment is generally expected to be invoiced during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 except percentages)</w:t>
            </w: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9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5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214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r>
      <w:tr>
        <w:trPr>
          <w:trHeight w:val="173"/>
        </w:trPr>
        <w:tc>
          <w:tcPr>
            <w:tcW w:w="44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54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$282,300</w:t>
            </w:r>
          </w:p>
        </w:tc>
        <w:tc>
          <w:tcPr>
            <w:tcW w:w="21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$289,100</w:t>
            </w:r>
          </w:p>
        </w:tc>
        <w:tc>
          <w:tcPr>
            <w:tcW w:w="1340" w:type="dxa"/>
            <w:vAlign w:val="bottom"/>
          </w:tcPr>
          <w:p>
            <w:pPr>
              <w:jc w:val="right"/>
              <w:spacing w:after="0" w:line="173" w:lineRule="exact"/>
              <w:rPr>
                <w:sz w:val="20"/>
                <w:szCs w:val="20"/>
                <w:color w:val="auto"/>
              </w:rPr>
            </w:pPr>
            <w:r>
              <w:rPr>
                <w:rFonts w:ascii="Arial" w:cs="Arial" w:eastAsia="Arial" w:hAnsi="Arial"/>
                <w:sz w:val="18"/>
                <w:szCs w:val="18"/>
                <w:color w:val="auto"/>
              </w:rPr>
              <w:t>$303,801</w:t>
            </w:r>
          </w:p>
        </w:tc>
        <w:tc>
          <w:tcPr>
            <w:tcW w:w="20" w:type="dxa"/>
            <w:vAlign w:val="bottom"/>
          </w:tcPr>
          <w:p>
            <w:pPr>
              <w:spacing w:after="0"/>
              <w:rPr>
                <w:sz w:val="15"/>
                <w:szCs w:val="15"/>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5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10,750</w:t>
            </w:r>
          </w:p>
        </w:tc>
        <w:tc>
          <w:tcPr>
            <w:tcW w:w="21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4,799</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5,627</w:t>
            </w:r>
          </w:p>
        </w:tc>
        <w:tc>
          <w:tcPr>
            <w:tcW w:w="20" w:type="dxa"/>
            <w:vAlign w:val="bottom"/>
          </w:tcPr>
          <w:p>
            <w:pPr>
              <w:spacing w:after="0"/>
              <w:rPr>
                <w:sz w:val="17"/>
                <w:szCs w:val="17"/>
                <w:color w:val="auto"/>
              </w:rPr>
            </w:pPr>
          </w:p>
        </w:tc>
      </w:tr>
      <w:tr>
        <w:trPr>
          <w:trHeight w:val="2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(1,415)</w:t>
            </w:r>
          </w:p>
        </w:tc>
        <w:tc>
          <w:tcPr>
            <w:tcW w:w="2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(3,345)</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(4,032)</w:t>
            </w:r>
          </w:p>
        </w:tc>
      </w:tr>
      <w:tr>
        <w:trPr>
          <w:trHeight w:val="196"/>
        </w:trPr>
        <w:tc>
          <w:tcPr>
            <w:tcW w:w="4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$291,635</w:t>
            </w:r>
          </w:p>
        </w:tc>
        <w:tc>
          <w:tcPr>
            <w:tcW w:w="21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$290,554</w:t>
            </w:r>
          </w:p>
        </w:tc>
        <w:tc>
          <w:tcPr>
            <w:tcW w:w="13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$305,396</w:t>
            </w:r>
          </w:p>
        </w:tc>
      </w:tr>
      <w:tr>
        <w:trPr>
          <w:trHeight w:val="196"/>
        </w:trPr>
        <w:tc>
          <w:tcPr>
            <w:tcW w:w="4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35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39.1%</w:t>
            </w:r>
          </w:p>
        </w:tc>
        <w:tc>
          <w:tcPr>
            <w:tcW w:w="21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38.4%</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w:t>
            </w:r>
          </w:p>
        </w:tc>
        <w:tc>
          <w:tcPr>
            <w:tcW w:w="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gross profit during 2014 was principally due to the net effect of the following:</w:t>
      </w:r>
    </w:p>
    <w:p>
      <w:pPr>
        <w:spacing w:after="0" w:line="171" w:lineRule="exact"/>
        <w:rPr>
          <w:sz w:val="20"/>
          <w:szCs w:val="20"/>
          <w:color w:val="auto"/>
        </w:rPr>
      </w:pPr>
    </w:p>
    <w:p>
      <w:pPr>
        <w:ind w:left="980" w:right="320" w:hanging="324"/>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improvement in gross profit margin in the AEC segment from 5.8 percent to 11.9 percent, principally due to improvements in profitability at AEC’s Boerne, Texas operation.</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24" w:name="page25"/>
    <w:bookmarkEnd w:id="24"/>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reduction of $8.5 million in the MC segment due to lower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MC gross profit margin improvement, principally due to the effect of restructuring in France and productivity improvement.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charge of $1.6 million in 2014 to correct an error in the value of Machine Clothing inventories reported in prior periods.</w:t>
      </w:r>
    </w:p>
    <w:p>
      <w:pPr>
        <w:spacing w:after="0" w:line="9" w:lineRule="exact"/>
        <w:rPr>
          <w:rFonts w:ascii="Arial" w:cs="Arial" w:eastAsia="Arial" w:hAnsi="Arial"/>
          <w:sz w:val="18"/>
          <w:szCs w:val="18"/>
          <w:color w:val="auto"/>
        </w:rPr>
      </w:pPr>
    </w:p>
    <w:p>
      <w:pPr>
        <w:ind w:left="980" w:right="320" w:hanging="32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$1.9 million reduction in cost associated with the Company’s U.S. postretirement plan, principally resulting from plan changes 2013.</w:t>
      </w:r>
    </w:p>
    <w:p>
      <w:pPr>
        <w:spacing w:after="0" w:line="3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gross profit during 2013 was principally due to the net effect of the following:</w:t>
      </w:r>
    </w:p>
    <w:p>
      <w:pPr>
        <w:spacing w:after="0" w:line="171" w:lineRule="exact"/>
        <w:rPr>
          <w:sz w:val="20"/>
          <w:szCs w:val="20"/>
          <w:color w:val="auto"/>
        </w:rPr>
      </w:pPr>
    </w:p>
    <w:p>
      <w:pPr>
        <w:ind w:left="980" w:right="100" w:hanging="324"/>
        <w:spacing w:after="0" w:line="23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$8.1 million decrease due to lower sales in North America in the MC segment, principally due to 2012 change in contract terms with a key customer.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$6.8 million decrease due to lower gross profit margin in the MC segment resulting from lower sales volume.</w:t>
      </w:r>
    </w:p>
    <w:p>
      <w:pPr>
        <w:spacing w:after="0" w:line="9" w:lineRule="exact"/>
        <w:rPr>
          <w:rFonts w:ascii="Arial" w:cs="Arial" w:eastAsia="Arial" w:hAnsi="Arial"/>
          <w:sz w:val="18"/>
          <w:szCs w:val="18"/>
          <w:color w:val="auto"/>
        </w:rPr>
      </w:pPr>
    </w:p>
    <w:p>
      <w:pPr>
        <w:ind w:left="980" w:right="44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changes in contract accounting estimates associated with legacy programs at the Boerne, Texas facility results in gross profit loss of $2.3 million in 2013. Those losses were partially offset by increased revenue associated with the LEAP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(in thousands, except percentages)</w:t>
            </w:r>
          </w:p>
        </w:tc>
        <w:tc>
          <w:tcPr>
            <w:tcW w:w="1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99"/>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6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2014</w:t>
            </w:r>
          </w:p>
        </w:tc>
        <w:tc>
          <w:tcPr>
            <w:tcW w:w="20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2013</w:t>
            </w: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r>
      <w:tr>
        <w:trPr>
          <w:trHeight w:val="173"/>
        </w:trPr>
        <w:tc>
          <w:tcPr>
            <w:tcW w:w="4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6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$141,023</w:t>
            </w:r>
          </w:p>
        </w:tc>
        <w:tc>
          <w:tcPr>
            <w:tcW w:w="20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$150,164</w:t>
            </w:r>
          </w:p>
        </w:tc>
        <w:tc>
          <w:tcPr>
            <w:tcW w:w="1260" w:type="dxa"/>
            <w:vAlign w:val="bottom"/>
          </w:tcPr>
          <w:p>
            <w:pPr>
              <w:jc w:val="right"/>
              <w:spacing w:after="0" w:line="173" w:lineRule="exact"/>
              <w:rPr>
                <w:sz w:val="20"/>
                <w:szCs w:val="20"/>
                <w:color w:val="auto"/>
              </w:rPr>
            </w:pPr>
            <w:r>
              <w:rPr>
                <w:rFonts w:ascii="Arial" w:cs="Arial" w:eastAsia="Arial" w:hAnsi="Arial"/>
                <w:sz w:val="18"/>
                <w:szCs w:val="18"/>
                <w:color w:val="auto"/>
              </w:rPr>
              <w:t>$153,058</w:t>
            </w:r>
          </w:p>
        </w:tc>
        <w:tc>
          <w:tcPr>
            <w:tcW w:w="20" w:type="dxa"/>
            <w:vAlign w:val="bottom"/>
          </w:tcPr>
          <w:p>
            <w:pPr>
              <w:spacing w:after="0"/>
              <w:rPr>
                <w:sz w:val="15"/>
                <w:szCs w:val="15"/>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6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20,301</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18,663</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16,545</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45,002</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44,528</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53,133</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6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$206,326</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$213,355</w:t>
            </w:r>
          </w:p>
        </w:tc>
        <w:tc>
          <w:tcPr>
            <w:tcW w:w="12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$222,736</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36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27.7%</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28.2%</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w:t>
            </w:r>
          </w:p>
        </w:tc>
        <w:tc>
          <w:tcPr>
            <w:tcW w:w="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STG&amp;R expenses decreased $7.0 million, compared to 2013, principally due to the net effect of the following:</w:t>
      </w:r>
    </w:p>
    <w:p>
      <w:pPr>
        <w:spacing w:after="0" w:line="185" w:lineRule="exact"/>
        <w:rPr>
          <w:sz w:val="20"/>
          <w:szCs w:val="20"/>
          <w:color w:val="auto"/>
        </w:rPr>
      </w:pPr>
    </w:p>
    <w:p>
      <w:pPr>
        <w:ind w:left="980" w:right="360" w:hanging="324"/>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primarily in the MC segment, which resulted in gains of $3.9 million during 2014 and losses of $0.3 million in 2013.</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translation effects, primarily in the MC segment, which decreased STG&amp;R, by $2.8 million as compared to 2013.</w:t>
      </w:r>
    </w:p>
    <w:p>
      <w:pPr>
        <w:spacing w:after="0" w:line="9" w:lineRule="exact"/>
        <w:rPr>
          <w:rFonts w:ascii="Arial" w:cs="Arial" w:eastAsia="Arial" w:hAnsi="Arial"/>
          <w:sz w:val="18"/>
          <w:szCs w:val="18"/>
          <w:color w:val="auto"/>
        </w:rPr>
      </w:pPr>
    </w:p>
    <w:p>
      <w:pPr>
        <w:ind w:left="980" w:right="660" w:hanging="324"/>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$2.2 million due to research and development activities associated with new technology platforms in the MC segment.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reduction of approximately $1.8 million in 2014 due to reduced travel and lower costs for pensions in the MC segment.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$1.6 million in the AEC segment, principally due to increased research activities.</w:t>
      </w:r>
    </w:p>
    <w:p>
      <w:pPr>
        <w:spacing w:after="0" w:line="9" w:lineRule="exact"/>
        <w:rPr>
          <w:rFonts w:ascii="Arial" w:cs="Arial" w:eastAsia="Arial" w:hAnsi="Arial"/>
          <w:sz w:val="18"/>
          <w:szCs w:val="18"/>
          <w:color w:val="auto"/>
        </w:rPr>
      </w:pPr>
    </w:p>
    <w:p>
      <w:pPr>
        <w:ind w:left="980" w:right="4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gain on the sale of former manufacturing facility in Australia, which reduced 2013 Corporate expenses by $3.8 million, which was mostly offset by reductions in Corporate expenses for research, professional fees, health care expenses and incentive compensation in 2014.</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STG&amp;R expenses for 2013 decreased $9.4 million in comparison with 2012, principally due to the net effect of the following:</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25" w:name="page26"/>
    <w:bookmarkEnd w:id="25"/>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gain on the sale of a former manufacturing facility in Australia, which reduced 2013 expenses by $3.8 million.</w:t>
      </w:r>
    </w:p>
    <w:p>
      <w:pPr>
        <w:spacing w:after="0" w:line="9" w:lineRule="exact"/>
        <w:rPr>
          <w:rFonts w:ascii="Arial" w:cs="Arial" w:eastAsia="Arial" w:hAnsi="Arial"/>
          <w:sz w:val="18"/>
          <w:szCs w:val="18"/>
          <w:color w:val="auto"/>
        </w:rPr>
      </w:pPr>
    </w:p>
    <w:p>
      <w:pPr>
        <w:ind w:left="980" w:right="120" w:hanging="324"/>
        <w:spacing w:after="0" w:line="23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which resulted in losses of $0.3 million during 2013 and $1.6 million in 2012.</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U.S. pension expense of $1.7 million, principally due to the settlement in 2012 of certain pension plan liabilities.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Years ended December 31,</w:t>
            </w:r>
          </w:p>
        </w:tc>
        <w:tc>
          <w:tcPr>
            <w:tcW w:w="3740" w:type="dxa"/>
            <w:vAlign w:val="bottom"/>
            <w:tcBorders>
              <w:bottom w:val="single" w:sz="8" w:color="auto"/>
            </w:tcBorders>
          </w:tcPr>
          <w:p>
            <w:pPr>
              <w:jc w:val="right"/>
              <w:ind w:right="1270"/>
              <w:spacing w:after="0" w:line="196" w:lineRule="exact"/>
              <w:rPr>
                <w:sz w:val="20"/>
                <w:szCs w:val="20"/>
                <w:color w:val="auto"/>
              </w:rPr>
            </w:pPr>
            <w:r>
              <w:rPr>
                <w:rFonts w:ascii="Arial" w:cs="Arial" w:eastAsia="Arial" w:hAnsi="Arial"/>
                <w:sz w:val="18"/>
                <w:szCs w:val="18"/>
                <w:b w:val="1"/>
                <w:bCs w:val="1"/>
                <w:color w:val="auto"/>
              </w:rPr>
              <w:t>2014</w:t>
            </w:r>
          </w:p>
        </w:tc>
        <w:tc>
          <w:tcPr>
            <w:tcW w:w="178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b w:val="1"/>
                <w:bCs w:val="1"/>
                <w:color w:val="auto"/>
              </w:rPr>
              <w:t>2013</w:t>
            </w:r>
          </w:p>
        </w:tc>
        <w:tc>
          <w:tcPr>
            <w:tcW w:w="13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7"/>
                <w:szCs w:val="17"/>
                <w:color w:val="auto"/>
              </w:rPr>
            </w:pPr>
          </w:p>
        </w:tc>
      </w:tr>
      <w:tr>
        <w:trPr>
          <w:trHeight w:val="173"/>
        </w:trPr>
        <w:tc>
          <w:tcPr>
            <w:tcW w:w="4520" w:type="dxa"/>
            <w:vAlign w:val="bottom"/>
            <w:gridSpan w:val="2"/>
          </w:tcPr>
          <w:p>
            <w:pPr>
              <w:spacing w:after="0" w:line="173" w:lineRule="exact"/>
              <w:rPr>
                <w:sz w:val="20"/>
                <w:szCs w:val="20"/>
                <w:color w:val="auto"/>
              </w:rPr>
            </w:pPr>
            <w:r>
              <w:rPr>
                <w:rFonts w:ascii="Arial" w:cs="Arial" w:eastAsia="Arial" w:hAnsi="Arial"/>
                <w:sz w:val="18"/>
                <w:szCs w:val="18"/>
                <w:color w:val="auto"/>
              </w:rPr>
              <w:t>Machine Clothing</w:t>
            </w:r>
          </w:p>
        </w:tc>
        <w:tc>
          <w:tcPr>
            <w:tcW w:w="374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$20,575</w:t>
            </w:r>
          </w:p>
        </w:tc>
        <w:tc>
          <w:tcPr>
            <w:tcW w:w="178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$18,335</w:t>
            </w:r>
          </w:p>
        </w:tc>
        <w:tc>
          <w:tcPr>
            <w:tcW w:w="1380" w:type="dxa"/>
            <w:vAlign w:val="bottom"/>
          </w:tcPr>
          <w:p>
            <w:pPr>
              <w:jc w:val="right"/>
              <w:spacing w:after="0" w:line="173" w:lineRule="exact"/>
              <w:rPr>
                <w:sz w:val="20"/>
                <w:szCs w:val="20"/>
                <w:color w:val="auto"/>
              </w:rPr>
            </w:pPr>
            <w:r>
              <w:rPr>
                <w:rFonts w:ascii="Arial" w:cs="Arial" w:eastAsia="Arial" w:hAnsi="Arial"/>
                <w:sz w:val="18"/>
                <w:szCs w:val="18"/>
                <w:color w:val="auto"/>
              </w:rPr>
              <w:t>$17,685</w:t>
            </w:r>
          </w:p>
        </w:tc>
        <w:tc>
          <w:tcPr>
            <w:tcW w:w="20" w:type="dxa"/>
            <w:vAlign w:val="bottom"/>
          </w:tcPr>
          <w:p>
            <w:pPr>
              <w:spacing w:after="0"/>
              <w:rPr>
                <w:sz w:val="15"/>
                <w:szCs w:val="15"/>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7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11,050</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10,065</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8,689</w:t>
            </w:r>
          </w:p>
        </w:tc>
      </w:tr>
      <w:tr>
        <w:trPr>
          <w:trHeight w:val="225"/>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745</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1,820</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1,242</w:t>
            </w:r>
          </w:p>
        </w:tc>
      </w:tr>
      <w:tr>
        <w:trPr>
          <w:trHeight w:val="196"/>
        </w:trPr>
        <w:tc>
          <w:tcPr>
            <w:tcW w:w="4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37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$32,370</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$30,220</w:t>
            </w:r>
          </w:p>
        </w:tc>
        <w:tc>
          <w:tcPr>
            <w:tcW w:w="14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$27,616</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Settlement Charges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2014, certain participants of the U.S. pension plan were notified of a limited-time opportunity whereby they could elect to receive the</w:t>
      </w:r>
    </w:p>
    <w:p>
      <w:pPr>
        <w:spacing w:after="0" w:line="234" w:lineRule="auto"/>
        <w:rPr>
          <w:sz w:val="20"/>
          <w:szCs w:val="20"/>
          <w:color w:val="auto"/>
        </w:rPr>
      </w:pPr>
      <w:r>
        <w:rPr>
          <w:rFonts w:ascii="Arial" w:cs="Arial" w:eastAsia="Arial" w:hAnsi="Arial"/>
          <w:sz w:val="18"/>
          <w:szCs w:val="18"/>
          <w:color w:val="auto"/>
        </w:rPr>
        <w:t>value of their pension benefit in a lump-sum payment. All lump-sum payments were funded from pension plan assets and were paid during</w:t>
      </w:r>
    </w:p>
    <w:p>
      <w:pPr>
        <w:spacing w:after="0" w:line="235" w:lineRule="auto"/>
        <w:rPr>
          <w:sz w:val="20"/>
          <w:szCs w:val="20"/>
          <w:color w:val="auto"/>
        </w:rPr>
      </w:pPr>
      <w:r>
        <w:rPr>
          <w:rFonts w:ascii="Arial" w:cs="Arial" w:eastAsia="Arial" w:hAnsi="Arial"/>
          <w:sz w:val="18"/>
          <w:szCs w:val="18"/>
          <w:color w:val="auto"/>
        </w:rPr>
        <w:t>2014. The initiative was part of the Company’s pension plan de-risking strategy, and resulted in a non-cash settlement charge of $8.2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2014. The payments did not have a significant impact on the plan’s funded status.</w:t>
      </w:r>
    </w:p>
    <w:p>
      <w:pPr>
        <w:spacing w:after="0" w:line="171"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In 2012, we took actions to settle certain pension plan liabilities in the U.S., Canada, and Sweden leading to charges totaling $119.7 million. No similar charges were incurred in 2013.</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93"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income/(loss) was affected by restructuring costs of $5.8 million in 2014, $25.1 million in 2013, and $7.1 million in 2012.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Years ended December 31,</w:t>
            </w:r>
          </w:p>
        </w:tc>
        <w:tc>
          <w:tcPr>
            <w:tcW w:w="3760" w:type="dxa"/>
            <w:vAlign w:val="bottom"/>
            <w:tcBorders>
              <w:bottom w:val="single" w:sz="8" w:color="auto"/>
            </w:tcBorders>
          </w:tcPr>
          <w:p>
            <w:pPr>
              <w:jc w:val="right"/>
              <w:ind w:right="1230"/>
              <w:spacing w:after="0" w:line="196" w:lineRule="exact"/>
              <w:rPr>
                <w:sz w:val="20"/>
                <w:szCs w:val="20"/>
                <w:color w:val="auto"/>
              </w:rPr>
            </w:pPr>
            <w:r>
              <w:rPr>
                <w:rFonts w:ascii="Arial" w:cs="Arial" w:eastAsia="Arial" w:hAnsi="Arial"/>
                <w:sz w:val="18"/>
                <w:szCs w:val="18"/>
                <w:b w:val="1"/>
                <w:bCs w:val="1"/>
                <w:color w:val="auto"/>
              </w:rPr>
              <w:t>2014</w:t>
            </w:r>
          </w:p>
        </w:tc>
        <w:tc>
          <w:tcPr>
            <w:tcW w:w="1700" w:type="dxa"/>
            <w:vAlign w:val="bottom"/>
            <w:tcBorders>
              <w:bottom w:val="single" w:sz="8" w:color="auto"/>
            </w:tcBorders>
          </w:tcPr>
          <w:p>
            <w:pPr>
              <w:jc w:val="right"/>
              <w:ind w:right="890"/>
              <w:spacing w:after="0" w:line="196" w:lineRule="exact"/>
              <w:rPr>
                <w:sz w:val="20"/>
                <w:szCs w:val="20"/>
                <w:color w:val="auto"/>
              </w:rPr>
            </w:pPr>
            <w:r>
              <w:rPr>
                <w:rFonts w:ascii="Arial" w:cs="Arial" w:eastAsia="Arial" w:hAnsi="Arial"/>
                <w:sz w:val="18"/>
                <w:szCs w:val="18"/>
                <w:b w:val="1"/>
                <w:bCs w:val="1"/>
                <w:color w:val="auto"/>
              </w:rPr>
              <w:t>2013</w:t>
            </w:r>
          </w:p>
        </w:tc>
        <w:tc>
          <w:tcPr>
            <w:tcW w:w="13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3"/>
        </w:trPr>
        <w:tc>
          <w:tcPr>
            <w:tcW w:w="4580" w:type="dxa"/>
            <w:vAlign w:val="bottom"/>
            <w:gridSpan w:val="2"/>
          </w:tcPr>
          <w:p>
            <w:pPr>
              <w:spacing w:after="0" w:line="173" w:lineRule="exact"/>
              <w:rPr>
                <w:sz w:val="20"/>
                <w:szCs w:val="20"/>
                <w:color w:val="auto"/>
              </w:rPr>
            </w:pPr>
            <w:r>
              <w:rPr>
                <w:rFonts w:ascii="Arial" w:cs="Arial" w:eastAsia="Arial" w:hAnsi="Arial"/>
                <w:sz w:val="18"/>
                <w:szCs w:val="18"/>
                <w:color w:val="auto"/>
              </w:rPr>
              <w:t>Machine Clothing</w:t>
            </w:r>
          </w:p>
        </w:tc>
        <w:tc>
          <w:tcPr>
            <w:tcW w:w="376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$4,828</w:t>
            </w:r>
          </w:p>
        </w:tc>
        <w:tc>
          <w:tcPr>
            <w:tcW w:w="17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$24,568</w:t>
            </w:r>
          </w:p>
        </w:tc>
        <w:tc>
          <w:tcPr>
            <w:tcW w:w="1380" w:type="dxa"/>
            <w:vAlign w:val="bottom"/>
          </w:tcPr>
          <w:p>
            <w:pPr>
              <w:jc w:val="right"/>
              <w:spacing w:after="0" w:line="173" w:lineRule="exact"/>
              <w:rPr>
                <w:sz w:val="20"/>
                <w:szCs w:val="20"/>
                <w:color w:val="auto"/>
              </w:rPr>
            </w:pPr>
            <w:r>
              <w:rPr>
                <w:rFonts w:ascii="Arial" w:cs="Arial" w:eastAsia="Arial" w:hAnsi="Arial"/>
                <w:sz w:val="18"/>
                <w:szCs w:val="18"/>
                <w:color w:val="auto"/>
              </w:rPr>
              <w:t>$7,386</w:t>
            </w:r>
          </w:p>
        </w:tc>
        <w:tc>
          <w:tcPr>
            <w:tcW w:w="40" w:type="dxa"/>
            <w:vAlign w:val="bottom"/>
            <w:gridSpan w:val="2"/>
          </w:tcPr>
          <w:p>
            <w:pPr>
              <w:spacing w:after="0"/>
              <w:rPr>
                <w:sz w:val="15"/>
                <w:szCs w:val="15"/>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7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931</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540</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9"/>
                <w:szCs w:val="19"/>
                <w:color w:val="auto"/>
              </w:rPr>
            </w:pPr>
          </w:p>
        </w:tc>
      </w:tr>
      <w:tr>
        <w:trPr>
          <w:trHeight w:val="196"/>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376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$5,759</w:t>
            </w:r>
          </w:p>
        </w:tc>
        <w:tc>
          <w:tcPr>
            <w:tcW w:w="17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$25,108</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$7,061</w:t>
            </w:r>
          </w:p>
        </w:tc>
        <w:tc>
          <w:tcPr>
            <w:tcW w:w="20" w:type="dxa"/>
            <w:vAlign w:val="bottom"/>
          </w:tcPr>
          <w:p>
            <w:pPr>
              <w:spacing w:after="0"/>
              <w:rPr>
                <w:sz w:val="17"/>
                <w:szCs w:val="17"/>
                <w:color w:val="auto"/>
              </w:rPr>
            </w:pPr>
          </w:p>
        </w:tc>
      </w:tr>
      <w:tr>
        <w:trPr>
          <w:trHeight w:val="709"/>
        </w:trPr>
        <w:tc>
          <w:tcPr>
            <w:tcW w:w="20" w:type="dxa"/>
            <w:vAlign w:val="bottom"/>
          </w:tcPr>
          <w:p>
            <w:pPr>
              <w:spacing w:after="0"/>
              <w:rPr>
                <w:sz w:val="24"/>
                <w:szCs w:val="24"/>
                <w:color w:val="auto"/>
              </w:rPr>
            </w:pPr>
          </w:p>
        </w:tc>
        <w:tc>
          <w:tcPr>
            <w:tcW w:w="456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68"/>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68"/>
        </w:trPr>
        <w:tc>
          <w:tcPr>
            <w:tcW w:w="20" w:type="dxa"/>
            <w:vAlign w:val="bottom"/>
          </w:tcPr>
          <w:p>
            <w:pPr>
              <w:spacing w:after="0"/>
              <w:rPr>
                <w:sz w:val="5"/>
                <w:szCs w:val="5"/>
                <w:color w:val="auto"/>
              </w:rPr>
            </w:pPr>
          </w:p>
        </w:tc>
        <w:tc>
          <w:tcPr>
            <w:tcW w:w="45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26" w:name="page27"/>
    <w:bookmarkEnd w:id="26"/>
    <w:p>
      <w:pPr>
        <w:ind w:right="40" w:firstLine="648"/>
        <w:spacing w:after="0" w:line="239" w:lineRule="auto"/>
        <w:rPr>
          <w:sz w:val="20"/>
          <w:szCs w:val="20"/>
          <w:color w:val="auto"/>
        </w:rPr>
      </w:pPr>
      <w:r>
        <w:rPr>
          <w:rFonts w:ascii="Arial" w:cs="Arial" w:eastAsia="Arial" w:hAnsi="Arial"/>
          <w:sz w:val="18"/>
          <w:szCs w:val="18"/>
          <w:color w:val="auto"/>
        </w:rPr>
        <w:t>Machine Clothing restructuring expense in 2013 and 2014 was principally related to the reduction in manufacturing capacity at production facilities in France, while 2012 expense principally resulted from work force reductions in Sweden, and U.S. operations in Wisconsin and New York. Restructuring expenses in the Albany Engineered Composites segment were principally related to organization changes and exiting certain aerospace programs.</w:t>
      </w:r>
    </w:p>
    <w:p>
      <w:pPr>
        <w:spacing w:after="0" w:line="18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reduced employment by approximately 200 positions at these locations. Under the terms of the restructuring plan, the Company provides training, outplacement and other benefits, the costs of which are recorded as restructuring when they are incurred. The restructuring resulted in cost savings of approximately $10 million per year, almost all of which was realized in 2014, primarily in the form of lower manufacturing costs.</w:t>
      </w:r>
    </w:p>
    <w:p>
      <w:pPr>
        <w:spacing w:after="0" w:line="18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February 20, 2015, the Company announced plans to discontinue manufacturing operations at its press fabric manufacturing facility in Göppingen, Germany. This planned action is driven by the continuing consolidation of paper industry customers in Europe, and the continuous need to match the Company’s paper machine clothing manufacturing capacity in Europe with the demands of our customers, so that customer sourcing is optimized. The Göppingen plan would be subject to applicable local law and would be implemented in accordance with such law and in consultation with the Works Council. The Company is presently unable to determine the restructuring costs associated with this plan.</w:t>
      </w:r>
    </w:p>
    <w:p>
      <w:pPr>
        <w:spacing w:after="0" w:line="381"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6 to the Consolidated Financial Statements in Item 8, which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3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Years ended December 31,</w:t>
            </w:r>
          </w:p>
        </w:tc>
        <w:tc>
          <w:tcPr>
            <w:tcW w:w="31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2014</w:t>
            </w:r>
          </w:p>
        </w:tc>
        <w:tc>
          <w:tcPr>
            <w:tcW w:w="170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2013</w:t>
            </w:r>
          </w:p>
        </w:tc>
        <w:tc>
          <w:tcPr>
            <w:tcW w:w="12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7"/>
                <w:szCs w:val="17"/>
                <w:color w:val="auto"/>
              </w:rPr>
            </w:pPr>
          </w:p>
        </w:tc>
      </w:tr>
      <w:tr>
        <w:trPr>
          <w:trHeight w:val="173"/>
        </w:trPr>
        <w:tc>
          <w:tcPr>
            <w:tcW w:w="5360" w:type="dxa"/>
            <w:vAlign w:val="bottom"/>
            <w:gridSpan w:val="2"/>
          </w:tcPr>
          <w:p>
            <w:pPr>
              <w:spacing w:after="0" w:line="173" w:lineRule="exact"/>
              <w:rPr>
                <w:sz w:val="20"/>
                <w:szCs w:val="20"/>
                <w:color w:val="auto"/>
              </w:rPr>
            </w:pPr>
            <w:r>
              <w:rPr>
                <w:rFonts w:ascii="Arial" w:cs="Arial" w:eastAsia="Arial" w:hAnsi="Arial"/>
                <w:sz w:val="18"/>
                <w:szCs w:val="18"/>
                <w:color w:val="auto"/>
              </w:rPr>
              <w:t>Machine Clothing</w:t>
            </w:r>
          </w:p>
        </w:tc>
        <w:tc>
          <w:tcPr>
            <w:tcW w:w="31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$136,450</w:t>
            </w:r>
          </w:p>
        </w:tc>
        <w:tc>
          <w:tcPr>
            <w:tcW w:w="170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$114,370</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$143,358</w:t>
            </w:r>
          </w:p>
        </w:tc>
        <w:tc>
          <w:tcPr>
            <w:tcW w:w="20" w:type="dxa"/>
            <w:vAlign w:val="bottom"/>
          </w:tcPr>
          <w:p>
            <w:pPr>
              <w:spacing w:after="0"/>
              <w:rPr>
                <w:sz w:val="15"/>
                <w:szCs w:val="15"/>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(10,483)</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(14,404)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(10,918)</w:t>
            </w:r>
          </w:p>
        </w:tc>
        <w:tc>
          <w:tcPr>
            <w:tcW w:w="20" w:type="dxa"/>
            <w:vAlign w:val="bottom"/>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Corporate expenses-pension settlement</w:t>
            </w:r>
          </w:p>
        </w:tc>
        <w:tc>
          <w:tcPr>
            <w:tcW w:w="3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(8,190)</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(119,735)</w:t>
            </w:r>
          </w:p>
        </w:tc>
        <w:tc>
          <w:tcPr>
            <w:tcW w:w="20" w:type="dxa"/>
            <w:vAlign w:val="bottom"/>
          </w:tcPr>
          <w:p>
            <w:pPr>
              <w:spacing w:after="0"/>
              <w:rPr>
                <w:sz w:val="17"/>
                <w:szCs w:val="17"/>
                <w:color w:val="auto"/>
              </w:rPr>
            </w:pPr>
          </w:p>
        </w:tc>
      </w:tr>
      <w:tr>
        <w:trPr>
          <w:trHeight w:val="225"/>
        </w:trPr>
        <w:tc>
          <w:tcPr>
            <w:tcW w:w="5360" w:type="dxa"/>
            <w:vAlign w:val="bottom"/>
            <w:gridSpan w:val="2"/>
          </w:tcPr>
          <w:p>
            <w:pPr>
              <w:spacing w:after="0"/>
              <w:rPr>
                <w:sz w:val="20"/>
                <w:szCs w:val="20"/>
                <w:color w:val="auto"/>
              </w:rPr>
            </w:pPr>
            <w:r>
              <w:rPr>
                <w:rFonts w:ascii="Arial" w:cs="Arial" w:eastAsia="Arial" w:hAnsi="Arial"/>
                <w:sz w:val="18"/>
                <w:szCs w:val="18"/>
                <w:color w:val="auto"/>
              </w:rPr>
              <w:t>Corporate expenses-other</w:t>
            </w: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(46,417)</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(47,875)</w:t>
            </w:r>
          </w:p>
        </w:tc>
        <w:tc>
          <w:tcPr>
            <w:tcW w:w="1200" w:type="dxa"/>
            <w:vAlign w:val="bottom"/>
          </w:tcPr>
          <w:p>
            <w:pPr>
              <w:jc w:val="right"/>
              <w:spacing w:after="0"/>
              <w:rPr>
                <w:sz w:val="20"/>
                <w:szCs w:val="20"/>
                <w:color w:val="auto"/>
              </w:rPr>
            </w:pPr>
            <w:r>
              <w:rPr>
                <w:rFonts w:ascii="Arial" w:cs="Arial" w:eastAsia="Arial" w:hAnsi="Arial"/>
                <w:sz w:val="18"/>
                <w:szCs w:val="18"/>
                <w:color w:val="auto"/>
              </w:rPr>
              <w:t>(56,841)</w:t>
            </w:r>
          </w:p>
        </w:tc>
        <w:tc>
          <w:tcPr>
            <w:tcW w:w="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$71,360</w:t>
            </w:r>
          </w:p>
        </w:tc>
        <w:tc>
          <w:tcPr>
            <w:tcW w:w="17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$52,091</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($44,136)</w:t>
            </w:r>
          </w:p>
        </w:tc>
        <w:tc>
          <w:tcPr>
            <w:tcW w:w="2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Other Earnings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Borders>
              <w:bottom w:val="single" w:sz="8" w:color="auto"/>
            </w:tcBorders>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Years ended December 31,</w:t>
            </w:r>
          </w:p>
        </w:tc>
        <w:tc>
          <w:tcPr>
            <w:tcW w:w="29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2014</w:t>
            </w:r>
          </w:p>
        </w:tc>
        <w:tc>
          <w:tcPr>
            <w:tcW w:w="12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2012</w:t>
            </w:r>
          </w:p>
        </w:tc>
      </w:tr>
      <w:tr>
        <w:trPr>
          <w:trHeight w:val="173"/>
        </w:trPr>
        <w:tc>
          <w:tcPr>
            <w:tcW w:w="6160" w:type="dxa"/>
            <w:vAlign w:val="bottom"/>
            <w:gridSpan w:val="2"/>
          </w:tcPr>
          <w:p>
            <w:pPr>
              <w:spacing w:after="0" w:line="173" w:lineRule="exact"/>
              <w:rPr>
                <w:sz w:val="20"/>
                <w:szCs w:val="20"/>
                <w:color w:val="auto"/>
              </w:rPr>
            </w:pPr>
            <w:r>
              <w:rPr>
                <w:rFonts w:ascii="Arial" w:cs="Arial" w:eastAsia="Arial" w:hAnsi="Arial"/>
                <w:sz w:val="18"/>
                <w:szCs w:val="18"/>
                <w:color w:val="auto"/>
              </w:rPr>
              <w:t>Interest expense, net</w:t>
            </w:r>
          </w:p>
        </w:tc>
        <w:tc>
          <w:tcPr>
            <w:tcW w:w="298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$10,713</w:t>
            </w:r>
          </w:p>
        </w:tc>
        <w:tc>
          <w:tcPr>
            <w:tcW w:w="124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$13,759</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$16,601</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(income)/expenses, net</w:t>
            </w:r>
          </w:p>
        </w:tc>
        <w:tc>
          <w:tcPr>
            <w:tcW w:w="29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(6,853)</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7,256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7,629</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expense/(benefit)</w:t>
            </w:r>
          </w:p>
        </w:tc>
        <w:tc>
          <w:tcPr>
            <w:tcW w:w="29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25,751</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13,372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(27,523)</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Income/(loss) from discontinued operations, net of tax</w:t>
            </w:r>
          </w:p>
        </w:tc>
        <w:tc>
          <w:tcPr>
            <w:tcW w:w="29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71,820</w:t>
            </w:r>
          </w:p>
        </w:tc>
      </w:tr>
      <w:tr>
        <w:trPr>
          <w:trHeight w:val="225"/>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180</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93"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Interest expense, net, decreased $3.0 million in 2014 and $2.8 million in 2013 principally due to lower interest rates. See the Capital Resources section below for further discussion of borrowings and interest rates.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(Income)/Expenses,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(income)/expenses, net included the following:</w:t>
      </w:r>
    </w:p>
    <w:p>
      <w:pPr>
        <w:spacing w:after="0" w:line="171" w:lineRule="exact"/>
        <w:rPr>
          <w:sz w:val="20"/>
          <w:szCs w:val="20"/>
          <w:color w:val="auto"/>
        </w:rPr>
      </w:pPr>
    </w:p>
    <w:p>
      <w:pPr>
        <w:ind w:left="900" w:right="14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revaluations of cash and intercompany balances resulted in gains of $6.4 million in 2014, losses of $5.2 million in 2013, and losses of $5.7 million in 2012. The 2014 revaluation effects were principally due to the weakening of the euro against a basket of currencies, including the Swedish Krona and the Australian, Canadian and U.S. dollars.</w:t>
      </w:r>
    </w:p>
    <w:p>
      <w:pPr>
        <w:spacing w:after="0" w:line="175" w:lineRule="exact"/>
        <w:rPr>
          <w:rFonts w:ascii="Arial" w:cs="Arial" w:eastAsia="Arial" w:hAnsi="Arial"/>
          <w:sz w:val="18"/>
          <w:szCs w:val="18"/>
          <w:color w:val="auto"/>
        </w:rPr>
      </w:pPr>
    </w:p>
    <w:p>
      <w:pPr>
        <w:ind w:left="900" w:right="700" w:hanging="244"/>
        <w:spacing w:after="0" w:line="24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 fees and amortization of debt issuance costs were $1.2 million, $1.5 million, and $2.4 million in 2014, 2013, and 2012, respectively.</w:t>
      </w:r>
    </w:p>
    <w:p>
      <w:pPr>
        <w:spacing w:after="0" w:line="156" w:lineRule="exact"/>
        <w:rPr>
          <w:rFonts w:ascii="Arial" w:cs="Arial" w:eastAsia="Arial" w:hAnsi="Arial"/>
          <w:sz w:val="18"/>
          <w:szCs w:val="18"/>
          <w:color w:val="auto"/>
        </w:rPr>
      </w:pPr>
    </w:p>
    <w:p>
      <w:pPr>
        <w:ind w:left="900" w:right="140" w:hanging="244"/>
        <w:spacing w:after="0" w:line="24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2013, the Company’s MC manufacturing facility in Germany was damaged by severe weather. The insurance recovery gain resulted in income of $1.1 million in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16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Company’s effective tax rate for fiscal years 2014, 2013 and 2012 was 38.1%, 43.0%, and 40.3%,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discrete items that may occur in any given year but are not consistent from year to year.</w:t>
      </w:r>
    </w:p>
    <w:p>
      <w:pPr>
        <w:spacing w:after="0" w:line="161"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Significant items that impacted the 2014 tax rate included the following (percentages reflect the effect of each item as a percentage of income before income taxes):</w:t>
      </w:r>
    </w:p>
    <w:p>
      <w:pPr>
        <w:spacing w:after="0" w:line="170" w:lineRule="exact"/>
        <w:rPr>
          <w:sz w:val="20"/>
          <w:szCs w:val="20"/>
          <w:color w:val="auto"/>
        </w:rPr>
      </w:pPr>
    </w:p>
    <w:p>
      <w:pPr>
        <w:ind w:left="660" w:right="440" w:hanging="328"/>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charge of $7.5 million (11.1%), primarily related to an unfavorable outcome in the tax court pertaining to another taxpayer with similar facts to the Company.</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tax benefit was recognized in the amount of $6.8 million (-10.0%) primarily due to the lapse in a tax statute.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$0.3 million (0.3%) net tax expense related to other discrete items.</w:t>
      </w:r>
    </w:p>
    <w:p>
      <w:pPr>
        <w:spacing w:after="0" w:line="171" w:lineRule="exact"/>
        <w:rPr>
          <w:rFonts w:ascii="Arial" w:cs="Arial" w:eastAsia="Arial" w:hAnsi="Arial"/>
          <w:sz w:val="18"/>
          <w:szCs w:val="18"/>
          <w:color w:val="auto"/>
        </w:rPr>
      </w:pPr>
    </w:p>
    <w:p>
      <w:pPr>
        <w:ind w:left="660" w:right="20" w:hanging="328"/>
        <w:spacing w:after="0" w:line="23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tax reduction of 10.2% was recognized from rate differences between non-U.S. and U.S. jurisdictions. Earnings in Brazil, Switzerland, and China, where tax rates are lower than the U.S. notional rate of 35%, contributed to the majority of the reduction noted. U.S. tax costs on foreign earnings and foreign withholdings offset the tax rate benefits gained from operating in low tax jurisdictions by 8%. Included in the U.S. tax costs on foreign earnings is a $2.2 million (3.3%) expense recognized for the future repatriation of prior year earnings.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rate on continuing operations, excluding discrete items, was 34%.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Significant items that impacted the 2013 tax rate included the following:</w:t>
      </w:r>
    </w:p>
    <w:p>
      <w:pPr>
        <w:spacing w:after="0" w:line="18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discrete charge of $1.8 million (5.7%) related to the settlement of a competent authority claim with U.S. and France.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discrete tax benefit of $3.7 million (-12.0%) related to the release of a valuation allowance on deferred tax assets.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$0.1 million (0.6%) net tax benefit related to other discrete items.</w:t>
      </w:r>
    </w:p>
    <w:p>
      <w:pPr>
        <w:spacing w:after="0" w:line="198" w:lineRule="exact"/>
        <w:rPr>
          <w:rFonts w:ascii="Arial" w:cs="Arial" w:eastAsia="Arial" w:hAnsi="Arial"/>
          <w:sz w:val="18"/>
          <w:szCs w:val="18"/>
          <w:color w:val="auto"/>
        </w:rPr>
      </w:pPr>
    </w:p>
    <w:p>
      <w:pPr>
        <w:ind w:left="660" w:right="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tax rate increase of 0.2% was recognized in 2013 from rate differences between non-U.S. and U.S. jurisdictions. Lesser earnings in jurisdictions where tax rates differ substantially from the U.S. tax rate coupled with lower tax benefits on non-U.S. restructuring charges contributed to net tax rate increase.</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that impacted the 2012 tax rate included the following:</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$39.5 million (57.7%) discrete income tax benefit related to pension settlements in the U.S., Canada and Sweden.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discrete tax benefit of $7.1 million (10.3%) related to the settlement of a tax audit in Canada.</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$0.8 million (1.1%) net tax benefit related to other discrete items.</w:t>
      </w:r>
    </w:p>
    <w:p>
      <w:pPr>
        <w:spacing w:after="0" w:line="198"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tax rate reduction of 1.7% was recognized in 2012 from rate differences between non-U.S. and U.S. jurisdictions. The tax rate benefit from earnings in Switzerland and Brazil that are taxed at lower rates was offset by pension settlement and restructuring charges recognized outside the U.S. that resulted in a lower tax benefit, as compared to the benefit calculated using the U.S. notional tax rate of 35%.</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193"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(ADS) business to Assa Abloy AB for $130 million. In January 2012, the Company completed the sale of Albany Door Systems, and in March 2012, we finalized certain post-closing adjustments that increased the sale price by $5 million. As of December 31, 2012, $ 122 million of the total $135 million sale price had been received, with the remainder received in July 2013. In 2012, the Company recorded a pre-tax gain of $57.4 million as a result of that sale.</w:t>
      </w:r>
    </w:p>
    <w:p>
      <w:pPr>
        <w:spacing w:after="0" w:line="161"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In May 2012, we announced an agreement to sell our PrimaLoft Products business and that transaction closed on June 29, 2012. The purchase price of $38.0 million included $ 3.8 million held in escrow accounts, and which was received in 2013. In 2012, the Company recorded a pre-tax gain of $34.9 million as result of that sale.</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29" w:name="page30"/>
    <w:bookmarkEnd w:id="29"/>
    <w:p>
      <w:pPr>
        <w:ind w:right="60" w:firstLine="648"/>
        <w:spacing w:after="0" w:line="246" w:lineRule="auto"/>
        <w:rPr>
          <w:sz w:val="20"/>
          <w:szCs w:val="20"/>
          <w:color w:val="auto"/>
        </w:rPr>
      </w:pPr>
      <w:r>
        <w:rPr>
          <w:rFonts w:ascii="Arial" w:cs="Arial" w:eastAsia="Arial" w:hAnsi="Arial"/>
          <w:sz w:val="18"/>
          <w:szCs w:val="18"/>
          <w:color w:val="auto"/>
        </w:rPr>
        <w:t>For more information on discontinued operations, see Note 2 to the Consolidated Financial Statements in Item 8, which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8"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88% of our consolidated revenues during 2014. Machine Clothing products are purchased primarily by manufacturers of paper and paperboard.</w:t>
      </w:r>
    </w:p>
    <w:p>
      <w:pPr>
        <w:spacing w:after="0" w:line="15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61"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in the United States, Canada, Germany, France, Sweden, and Australia.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 except percentages)</w:t>
            </w: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99"/>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6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214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r>
      <w:tr>
        <w:trPr>
          <w:trHeight w:val="173"/>
        </w:trPr>
        <w:tc>
          <w:tcPr>
            <w:tcW w:w="428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66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$655,026</w:t>
            </w:r>
          </w:p>
        </w:tc>
        <w:tc>
          <w:tcPr>
            <w:tcW w:w="21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$674,747</w:t>
            </w:r>
          </w:p>
        </w:tc>
        <w:tc>
          <w:tcPr>
            <w:tcW w:w="1340" w:type="dxa"/>
            <w:vAlign w:val="bottom"/>
          </w:tcPr>
          <w:p>
            <w:pPr>
              <w:jc w:val="right"/>
              <w:spacing w:after="0" w:line="173" w:lineRule="exact"/>
              <w:rPr>
                <w:sz w:val="20"/>
                <w:szCs w:val="20"/>
                <w:color w:val="auto"/>
              </w:rPr>
            </w:pPr>
            <w:r>
              <w:rPr>
                <w:rFonts w:ascii="Arial" w:cs="Arial" w:eastAsia="Arial" w:hAnsi="Arial"/>
                <w:sz w:val="18"/>
                <w:szCs w:val="18"/>
                <w:color w:val="auto"/>
              </w:rPr>
              <w:t>$693,176</w:t>
            </w:r>
          </w:p>
        </w:tc>
        <w:tc>
          <w:tcPr>
            <w:tcW w:w="20" w:type="dxa"/>
            <w:vAlign w:val="bottom"/>
          </w:tcPr>
          <w:p>
            <w:pPr>
              <w:spacing w:after="0"/>
              <w:rPr>
                <w:sz w:val="15"/>
                <w:szCs w:val="15"/>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36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-2.9%</w:t>
            </w:r>
          </w:p>
        </w:tc>
        <w:tc>
          <w:tcPr>
            <w:tcW w:w="21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-2.7%</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6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282,300</w:t>
            </w:r>
          </w:p>
        </w:tc>
        <w:tc>
          <w:tcPr>
            <w:tcW w:w="21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289,100</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303,801</w:t>
            </w:r>
          </w:p>
        </w:tc>
        <w:tc>
          <w:tcPr>
            <w:tcW w:w="20" w:type="dxa"/>
            <w:vAlign w:val="bottom"/>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6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43.1%</w:t>
            </w:r>
          </w:p>
        </w:tc>
        <w:tc>
          <w:tcPr>
            <w:tcW w:w="21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42.8%</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20" w:type="dxa"/>
            <w:vAlign w:val="bottom"/>
          </w:tcPr>
          <w:p>
            <w:pPr>
              <w:spacing w:after="0"/>
              <w:rPr>
                <w:sz w:val="17"/>
                <w:szCs w:val="17"/>
                <w:color w:val="auto"/>
              </w:rPr>
            </w:pPr>
          </w:p>
        </w:tc>
      </w:tr>
      <w:tr>
        <w:trPr>
          <w:trHeight w:val="2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3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136,450</w:t>
            </w:r>
          </w:p>
        </w:tc>
        <w:tc>
          <w:tcPr>
            <w:tcW w:w="2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114,370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143,358</w:t>
            </w:r>
          </w:p>
        </w:tc>
        <w:tc>
          <w:tcPr>
            <w:tcW w:w="20" w:type="dxa"/>
            <w:vAlign w:val="bottom"/>
            <w:tcBorders>
              <w:bottom w:val="single" w:sz="8" w:color="auto"/>
            </w:tcBorders>
          </w:tcPr>
          <w:p>
            <w:pPr>
              <w:spacing w:after="0"/>
              <w:rPr>
                <w:sz w:val="19"/>
                <w:szCs w:val="19"/>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900" w:right="460" w:hanging="244"/>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2014 sales by $3.6 million compared to 2013. Excluding the effect of changes in currency translation rates, sales decreased 2.4%.</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0" w:name="page31"/>
    <w:bookmarkEnd w:id="30"/>
    <w:p>
      <w:pPr>
        <w:ind w:left="900" w:right="200" w:hanging="244"/>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year-over year decline in MC sales was primarily attributable to lower sales in the Americas, reflecting certain mill closures by key customers. Sales in other regions were relatively flat compared to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vs. 2012</w:t>
      </w:r>
    </w:p>
    <w:p>
      <w:pPr>
        <w:spacing w:after="0" w:line="207" w:lineRule="exact"/>
        <w:rPr>
          <w:sz w:val="20"/>
          <w:szCs w:val="20"/>
          <w:color w:val="auto"/>
        </w:rPr>
      </w:pPr>
    </w:p>
    <w:p>
      <w:pPr>
        <w:ind w:left="980" w:right="140" w:hanging="324"/>
        <w:spacing w:after="0" w:line="24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2013 net sales by $1.6 million compared to 2012. Excluding the effect of changes in currency translation rates, 2013 sales decreased 2.9% compared to 2012.</w:t>
      </w:r>
    </w:p>
    <w:p>
      <w:pPr>
        <w:spacing w:after="0" w:line="156" w:lineRule="exact"/>
        <w:rPr>
          <w:rFonts w:ascii="Arial" w:cs="Arial" w:eastAsia="Arial" w:hAnsi="Arial"/>
          <w:sz w:val="18"/>
          <w:szCs w:val="18"/>
          <w:color w:val="auto"/>
        </w:rPr>
      </w:pPr>
    </w:p>
    <w:p>
      <w:pPr>
        <w:ind w:left="980" w:right="180" w:hanging="324"/>
        <w:spacing w:after="0" w:line="24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principally resulted from a change in contract terms with a North American MC customer that increased 2012 sales by $8.0 million, and from lower 2013 sales in Asia, where sales were very strong in the first half of 2012.</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2014 gross profit was principally due to the net effect of the following:</w:t>
      </w:r>
    </w:p>
    <w:p>
      <w:pPr>
        <w:spacing w:after="0" w:line="171"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$8.5 million decrease due to lower sales.</w:t>
      </w:r>
    </w:p>
    <w:p>
      <w:pPr>
        <w:spacing w:after="0" w:line="211" w:lineRule="exact"/>
        <w:rPr>
          <w:rFonts w:ascii="Arial" w:cs="Arial" w:eastAsia="Arial" w:hAnsi="Arial"/>
          <w:sz w:val="18"/>
          <w:szCs w:val="18"/>
          <w:color w:val="auto"/>
        </w:rPr>
      </w:pPr>
    </w:p>
    <w:p>
      <w:pPr>
        <w:ind w:left="900" w:right="34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$1.7 million increase due to improved gross margin, offset by a $1.6 million charge for the correction of the inventory valuation error during 2014. The improvement in gross profit percentage in 2014 was principally due to cost savings from restructuring activities, partially offset by inflation on wages and other manufacturing costs.</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2013 gross profit was principally due to the net effect of the following:</w:t>
      </w:r>
    </w:p>
    <w:p>
      <w:pPr>
        <w:spacing w:after="0" w:line="185"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$8.1 million decrease due to lower sales.</w:t>
      </w:r>
    </w:p>
    <w:p>
      <w:pPr>
        <w:spacing w:after="0" w:line="211"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$6.8 million decrease due to lower gross profit margin, resulting from lower sales volume.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2014 operating income was principally due to the net effect of the following:</w:t>
      </w:r>
    </w:p>
    <w:p>
      <w:pPr>
        <w:spacing w:after="0" w:line="17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charges of $4.8 million in 2014, compared to $24.6 million in 2013.</w:t>
      </w:r>
    </w:p>
    <w:p>
      <w:pPr>
        <w:spacing w:after="0" w:line="211" w:lineRule="exact"/>
        <w:rPr>
          <w:rFonts w:ascii="Arial" w:cs="Arial" w:eastAsia="Arial" w:hAnsi="Arial"/>
          <w:sz w:val="18"/>
          <w:szCs w:val="18"/>
          <w:color w:val="auto"/>
        </w:rPr>
      </w:pPr>
    </w:p>
    <w:p>
      <w:pPr>
        <w:ind w:left="980" w:right="240" w:hanging="324"/>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which resulted in gains of $3.9 million in 2014 compared to losses of $0.3 million in 2013.</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2013 operating income was principally due to the net effect of the following:</w:t>
      </w:r>
    </w:p>
    <w:p>
      <w:pPr>
        <w:spacing w:after="0" w:line="18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charges of $24.6 million in 2013 compared to $7.4 million in 2012.</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gross profit, as described above.</w:t>
      </w:r>
    </w:p>
    <w:p>
      <w:pPr>
        <w:spacing w:after="0" w:line="211" w:lineRule="exact"/>
        <w:rPr>
          <w:rFonts w:ascii="Arial" w:cs="Arial" w:eastAsia="Arial" w:hAnsi="Arial"/>
          <w:sz w:val="18"/>
          <w:szCs w:val="18"/>
          <w:color w:val="auto"/>
        </w:rPr>
      </w:pPr>
    </w:p>
    <w:p>
      <w:pPr>
        <w:ind w:left="980" w:right="520" w:hanging="324"/>
        <w:spacing w:after="0" w:line="24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which resulted in losses of $0.3 million in 2013 compared to $1.6 million in 2012.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in the aerospace and defense industries. AEC’s largest program relates to CFM International’s LEAP engine, which is scheduled to enter into service in 2016. AEC, through ASC, is the exclusive supplier of advanced composite fan blades and cases for this program under a long-term supply contract. In 2014, approximately 20% of this segment’s sales were related to U.S. government contracts or programs.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Borders>
              <w:bottom w:val="single" w:sz="8" w:color="auto"/>
            </w:tcBorders>
          </w:tcPr>
          <w:p>
            <w:pPr>
              <w:spacing w:after="0"/>
              <w:rPr>
                <w:sz w:val="19"/>
                <w:szCs w:val="19"/>
                <w:color w:val="auto"/>
              </w:rPr>
            </w:pPr>
          </w:p>
        </w:tc>
        <w:tc>
          <w:tcPr>
            <w:tcW w:w="5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(in thousands, except percentages)</w:t>
            </w: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99"/>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70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2014</w:t>
            </w:r>
          </w:p>
        </w:tc>
        <w:tc>
          <w:tcPr>
            <w:tcW w:w="218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r>
      <w:tr>
        <w:trPr>
          <w:trHeight w:val="173"/>
        </w:trPr>
        <w:tc>
          <w:tcPr>
            <w:tcW w:w="420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70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$90,319</w:t>
            </w:r>
          </w:p>
        </w:tc>
        <w:tc>
          <w:tcPr>
            <w:tcW w:w="218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$82,667</w:t>
            </w:r>
          </w:p>
        </w:tc>
        <w:tc>
          <w:tcPr>
            <w:tcW w:w="1340" w:type="dxa"/>
            <w:vAlign w:val="bottom"/>
          </w:tcPr>
          <w:p>
            <w:pPr>
              <w:jc w:val="right"/>
              <w:spacing w:after="0" w:line="173" w:lineRule="exact"/>
              <w:rPr>
                <w:sz w:val="20"/>
                <w:szCs w:val="20"/>
                <w:color w:val="auto"/>
              </w:rPr>
            </w:pPr>
            <w:r>
              <w:rPr>
                <w:rFonts w:ascii="Arial" w:cs="Arial" w:eastAsia="Arial" w:hAnsi="Arial"/>
                <w:sz w:val="18"/>
                <w:szCs w:val="18"/>
                <w:color w:val="auto"/>
              </w:rPr>
              <w:t>$67,765</w:t>
            </w:r>
          </w:p>
        </w:tc>
        <w:tc>
          <w:tcPr>
            <w:tcW w:w="20" w:type="dxa"/>
            <w:vAlign w:val="bottom"/>
          </w:tcPr>
          <w:p>
            <w:pPr>
              <w:spacing w:after="0"/>
              <w:rPr>
                <w:sz w:val="15"/>
                <w:szCs w:val="15"/>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37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9.3%</w:t>
            </w:r>
          </w:p>
        </w:tc>
        <w:tc>
          <w:tcPr>
            <w:tcW w:w="21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22.0%</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7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10,750</w:t>
            </w:r>
          </w:p>
        </w:tc>
        <w:tc>
          <w:tcPr>
            <w:tcW w:w="21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4,799</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5,627</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7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11.9%</w:t>
            </w:r>
          </w:p>
        </w:tc>
        <w:tc>
          <w:tcPr>
            <w:tcW w:w="21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5.8%</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w:t>
            </w:r>
          </w:p>
        </w:tc>
      </w:tr>
      <w:tr>
        <w:trPr>
          <w:trHeight w:val="225"/>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w:t>
            </w:r>
          </w:p>
        </w:tc>
        <w:tc>
          <w:tcPr>
            <w:tcW w:w="3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(10,483)</w:t>
            </w:r>
          </w:p>
        </w:tc>
        <w:tc>
          <w:tcPr>
            <w:tcW w:w="2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(14,404)</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(10,918)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increase in 2014 sales was principally due to higher sales in the LEAP and JSF LiftFan®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vs. 2012</w:t>
      </w:r>
    </w:p>
    <w:p>
      <w:pPr>
        <w:spacing w:after="0" w:line="207"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in 2013 sales over 2012 was principally due to LEAP program activities.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vs. 2013</w:t>
      </w:r>
    </w:p>
    <w:p>
      <w:pPr>
        <w:spacing w:after="0" w:line="193" w:lineRule="exact"/>
        <w:rPr>
          <w:sz w:val="20"/>
          <w:szCs w:val="20"/>
          <w:color w:val="auto"/>
        </w:rPr>
      </w:pPr>
    </w:p>
    <w:p>
      <w:pPr>
        <w:ind w:left="980" w:right="380" w:hanging="324"/>
        <w:spacing w:after="0" w:line="24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gross profit margin due to improvements in profitability at AEC’s Boerne, Texas operation increased gross profit by $5.0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vs. 2012</w:t>
      </w:r>
    </w:p>
    <w:p>
      <w:pPr>
        <w:spacing w:after="0" w:line="207" w:lineRule="exact"/>
        <w:rPr>
          <w:sz w:val="20"/>
          <w:szCs w:val="20"/>
          <w:color w:val="auto"/>
        </w:rPr>
      </w:pPr>
    </w:p>
    <w:p>
      <w:pPr>
        <w:ind w:left="900" w:right="4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changes in contract accounting estimates associated with legacy programs at the Boerne, Texas facility resulted in gross profit losses of $2.3 million in 2013. Those losses were partially offset by increased revenue associated with the LEAP program.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Long-term contracts</w:t>
      </w:r>
    </w:p>
    <w:p>
      <w:pPr>
        <w:spacing w:after="0" w:line="207"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54 percent, 48 percent and 39 percent of segment revenue for 2014, 2013 and 2012 respectively.</w:t>
      </w:r>
    </w:p>
    <w:p>
      <w:pPr>
        <w:spacing w:after="0" w:line="189"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In addition, AEC has long-term fixed price contracts.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Changes in estimates had the effect of reducing gross profit by $0.6 million in 2014 and $2.3 million in 2013, while the impact on 2012 was insignificant.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long-term fixed price contracts that were in process at the end of each year.</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(in thousands)</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99"/>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3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r>
      <w:tr>
        <w:trPr>
          <w:trHeight w:val="232"/>
        </w:trPr>
        <w:tc>
          <w:tcPr>
            <w:tcW w:w="5600" w:type="dxa"/>
            <w:vAlign w:val="bottom"/>
          </w:tcPr>
          <w:p>
            <w:pPr>
              <w:spacing w:after="0"/>
              <w:rPr>
                <w:sz w:val="20"/>
                <w:szCs w:val="20"/>
                <w:color w:val="auto"/>
              </w:rPr>
            </w:pPr>
            <w:r>
              <w:rPr>
                <w:rFonts w:ascii="Arial" w:cs="Arial" w:eastAsia="Arial" w:hAnsi="Arial"/>
                <w:sz w:val="18"/>
                <w:szCs w:val="18"/>
                <w:color w:val="auto"/>
              </w:rPr>
              <w:t>Revenue earned during year</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$15,439</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$10,366</w:t>
            </w:r>
          </w:p>
        </w:tc>
        <w:tc>
          <w:tcPr>
            <w:tcW w:w="1120" w:type="dxa"/>
            <w:vAlign w:val="bottom"/>
          </w:tcPr>
          <w:p>
            <w:pPr>
              <w:jc w:val="right"/>
              <w:spacing w:after="0"/>
              <w:rPr>
                <w:sz w:val="20"/>
                <w:szCs w:val="20"/>
                <w:color w:val="auto"/>
              </w:rPr>
            </w:pPr>
            <w:r>
              <w:rPr>
                <w:rFonts w:ascii="Arial" w:cs="Arial" w:eastAsia="Arial" w:hAnsi="Arial"/>
                <w:sz w:val="18"/>
                <w:szCs w:val="18"/>
                <w:color w:val="auto"/>
              </w:rPr>
              <w:t>$19,647</w:t>
            </w:r>
          </w:p>
        </w:tc>
        <w:tc>
          <w:tcPr>
            <w:tcW w:w="20" w:type="dxa"/>
            <w:vAlign w:val="bottom"/>
          </w:tcPr>
          <w:p>
            <w:pPr>
              <w:spacing w:after="0"/>
              <w:rPr>
                <w:sz w:val="20"/>
                <w:szCs w:val="20"/>
                <w:color w:val="auto"/>
              </w:rPr>
            </w:pPr>
          </w:p>
        </w:tc>
      </w:tr>
      <w:tr>
        <w:trPr>
          <w:trHeight w:val="346"/>
        </w:trPr>
        <w:tc>
          <w:tcPr>
            <w:tcW w:w="5600" w:type="dxa"/>
            <w:vAlign w:val="bottom"/>
          </w:tcPr>
          <w:p>
            <w:pPr>
              <w:spacing w:after="0"/>
              <w:rPr>
                <w:sz w:val="20"/>
                <w:szCs w:val="20"/>
                <w:color w:val="auto"/>
              </w:rPr>
            </w:pPr>
            <w:r>
              <w:rPr>
                <w:rFonts w:ascii="Arial" w:cs="Arial" w:eastAsia="Arial" w:hAnsi="Arial"/>
                <w:sz w:val="18"/>
                <w:szCs w:val="18"/>
                <w:color w:val="auto"/>
              </w:rPr>
              <w:t>Total value of contracts in process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27,541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9,690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37,937</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Revenue recognized to date</w:t>
            </w:r>
          </w:p>
        </w:tc>
        <w:tc>
          <w:tcPr>
            <w:tcW w:w="3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20,360</w:t>
            </w: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7,776</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26,319</w:t>
            </w:r>
          </w:p>
        </w:tc>
      </w:tr>
      <w:tr>
        <w:trPr>
          <w:trHeight w:val="225"/>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to be recognized in future periods</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7,181</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1,914</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11,618</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19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2014 operating income improved due to higher sales and improved gross profit margin, as described above.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2013 operating income/(loss) decreased principally due to the decrease in gross profit as described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3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w w:val="99"/>
              </w:rPr>
              <w:t>(in thousands)</w:t>
            </w: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For the years ended December 31,</w:t>
            </w:r>
          </w:p>
        </w:tc>
        <w:tc>
          <w:tcPr>
            <w:tcW w:w="2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636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2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$41,749</w:t>
            </w:r>
          </w:p>
        </w:tc>
        <w:tc>
          <w:tcPr>
            <w:tcW w:w="172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$17,658</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$30,977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64,292</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63,789</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63,235</w:t>
            </w:r>
          </w:p>
        </w:tc>
      </w:tr>
      <w:tr>
        <w:trPr>
          <w:trHeight w:val="203"/>
        </w:trPr>
        <w:tc>
          <w:tcPr>
            <w:tcW w:w="20" w:type="dxa"/>
            <w:vAlign w:val="bottom"/>
          </w:tcPr>
          <w:p>
            <w:pPr>
              <w:spacing w:after="0"/>
              <w:rPr>
                <w:sz w:val="17"/>
                <w:szCs w:val="17"/>
                <w:color w:val="auto"/>
              </w:rPr>
            </w:pPr>
          </w:p>
        </w:tc>
        <w:tc>
          <w:tcPr>
            <w:tcW w:w="6340" w:type="dxa"/>
            <w:vAlign w:val="bottom"/>
          </w:tcPr>
          <w:p>
            <w:pPr>
              <w:ind w:left="140"/>
              <w:spacing w:after="0" w:line="202" w:lineRule="exact"/>
              <w:rPr>
                <w:sz w:val="20"/>
                <w:szCs w:val="20"/>
                <w:color w:val="auto"/>
              </w:rPr>
            </w:pPr>
            <w:r>
              <w:rPr>
                <w:rFonts w:ascii="Arial" w:cs="Arial" w:eastAsia="Arial" w:hAnsi="Arial"/>
                <w:sz w:val="18"/>
                <w:szCs w:val="18"/>
                <w:color w:val="auto"/>
              </w:rPr>
              <w:t>Changes in working capital</w:t>
            </w:r>
          </w:p>
        </w:tc>
        <w:tc>
          <w:tcPr>
            <w:tcW w:w="2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(21,423)</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(1,511)</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34,085</w:t>
            </w:r>
          </w:p>
        </w:tc>
      </w:tr>
      <w:tr>
        <w:trPr>
          <w:trHeight w:val="203"/>
        </w:trPr>
        <w:tc>
          <w:tcPr>
            <w:tcW w:w="20" w:type="dxa"/>
            <w:vAlign w:val="bottom"/>
          </w:tcPr>
          <w:p>
            <w:pPr>
              <w:spacing w:after="0"/>
              <w:rPr>
                <w:sz w:val="17"/>
                <w:szCs w:val="17"/>
                <w:color w:val="auto"/>
              </w:rPr>
            </w:pPr>
          </w:p>
        </w:tc>
        <w:tc>
          <w:tcPr>
            <w:tcW w:w="6340" w:type="dxa"/>
            <w:vAlign w:val="bottom"/>
          </w:tcPr>
          <w:p>
            <w:pPr>
              <w:ind w:left="140"/>
              <w:spacing w:after="0" w:line="202" w:lineRule="exact"/>
              <w:rPr>
                <w:sz w:val="20"/>
                <w:szCs w:val="20"/>
                <w:color w:val="auto"/>
              </w:rPr>
            </w:pPr>
            <w:r>
              <w:rPr>
                <w:rFonts w:ascii="Arial" w:cs="Arial" w:eastAsia="Arial" w:hAnsi="Arial"/>
                <w:sz w:val="18"/>
                <w:szCs w:val="18"/>
                <w:color w:val="auto"/>
              </w:rPr>
              <w:t>Gain on disposition of assets</w:t>
            </w:r>
          </w:p>
        </w:tc>
        <w:tc>
          <w:tcPr>
            <w:tcW w:w="2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(1,126)</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(3,763)</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(92,457)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14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2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(10,725)</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(12,261)</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(123,887)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140"/>
              <w:spacing w:after="0" w:line="202" w:lineRule="exact"/>
              <w:rPr>
                <w:sz w:val="20"/>
                <w:szCs w:val="20"/>
                <w:color w:val="auto"/>
              </w:rPr>
            </w:pPr>
            <w:r>
              <w:rPr>
                <w:rFonts w:ascii="Arial" w:cs="Arial" w:eastAsia="Arial" w:hAnsi="Arial"/>
                <w:sz w:val="18"/>
                <w:szCs w:val="18"/>
                <w:color w:val="auto"/>
              </w:rPr>
              <w:t>Write-off of pension liability adjustment</w:t>
            </w:r>
          </w:p>
        </w:tc>
        <w:tc>
          <w:tcPr>
            <w:tcW w:w="2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8,331</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118,350</w:t>
            </w: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items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3,098</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(1,281)</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2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84,196</w:t>
            </w:r>
          </w:p>
        </w:tc>
        <w:tc>
          <w:tcPr>
            <w:tcW w:w="172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62,631</w:t>
            </w:r>
          </w:p>
        </w:tc>
        <w:tc>
          <w:tcPr>
            <w:tcW w:w="122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34,507</w:t>
            </w:r>
          </w:p>
        </w:tc>
        <w:tc>
          <w:tcPr>
            <w:tcW w:w="20" w:type="dxa"/>
            <w:vAlign w:val="bottom"/>
          </w:tcPr>
          <w:p>
            <w:pPr>
              <w:spacing w:after="0"/>
              <w:rPr>
                <w:sz w:val="15"/>
                <w:szCs w:val="15"/>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2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(57,747)</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(41,392)</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113,447</w:t>
            </w:r>
          </w:p>
        </w:tc>
        <w:tc>
          <w:tcPr>
            <w:tcW w:w="20" w:type="dxa"/>
            <w:vAlign w:val="bottom"/>
          </w:tcPr>
          <w:p>
            <w:pPr>
              <w:spacing w:after="0"/>
              <w:rPr>
                <w:sz w:val="17"/>
                <w:szCs w:val="17"/>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financing activities</w:t>
            </w:r>
          </w:p>
        </w:tc>
        <w:tc>
          <w:tcPr>
            <w:tcW w:w="2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(50,483)</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3,865</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(76,064)</w:t>
            </w:r>
          </w:p>
        </w:tc>
        <w:tc>
          <w:tcPr>
            <w:tcW w:w="20" w:type="dxa"/>
            <w:vAlign w:val="bottom"/>
          </w:tcPr>
          <w:p>
            <w:pPr>
              <w:spacing w:after="0"/>
              <w:rPr>
                <w:sz w:val="17"/>
                <w:szCs w:val="17"/>
                <w:color w:val="auto"/>
              </w:rPr>
            </w:pP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(18,830)</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6,844</w:t>
            </w: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(81)</w:t>
            </w:r>
          </w:p>
        </w:tc>
      </w:tr>
      <w:tr>
        <w:trPr>
          <w:trHeight w:val="173"/>
        </w:trPr>
        <w:tc>
          <w:tcPr>
            <w:tcW w:w="6360" w:type="dxa"/>
            <w:vAlign w:val="bottom"/>
            <w:gridSpan w:val="2"/>
          </w:tcPr>
          <w:p>
            <w:pPr>
              <w:spacing w:after="0" w:line="173" w:lineRule="exact"/>
              <w:rPr>
                <w:sz w:val="20"/>
                <w:szCs w:val="20"/>
                <w:color w:val="auto"/>
              </w:rPr>
            </w:pPr>
            <w:r>
              <w:rPr>
                <w:rFonts w:ascii="Arial" w:cs="Arial" w:eastAsia="Arial" w:hAnsi="Arial"/>
                <w:sz w:val="18"/>
                <w:szCs w:val="18"/>
                <w:color w:val="auto"/>
              </w:rPr>
              <w:t>(Decrease)/increase in cash and cash equivalents</w:t>
            </w:r>
          </w:p>
        </w:tc>
        <w:tc>
          <w:tcPr>
            <w:tcW w:w="2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(42,864)</w:t>
            </w:r>
          </w:p>
        </w:tc>
        <w:tc>
          <w:tcPr>
            <w:tcW w:w="172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31,948</w:t>
            </w:r>
          </w:p>
        </w:tc>
        <w:tc>
          <w:tcPr>
            <w:tcW w:w="1240" w:type="dxa"/>
            <w:vAlign w:val="bottom"/>
            <w:gridSpan w:val="3"/>
          </w:tcPr>
          <w:p>
            <w:pPr>
              <w:jc w:val="right"/>
              <w:ind w:right="40"/>
              <w:spacing w:after="0" w:line="173" w:lineRule="exact"/>
              <w:rPr>
                <w:sz w:val="20"/>
                <w:szCs w:val="20"/>
                <w:color w:val="auto"/>
              </w:rPr>
            </w:pPr>
            <w:r>
              <w:rPr>
                <w:rFonts w:ascii="Arial" w:cs="Arial" w:eastAsia="Arial" w:hAnsi="Arial"/>
                <w:sz w:val="18"/>
                <w:szCs w:val="18"/>
                <w:color w:val="auto"/>
              </w:rPr>
              <w:t>71,809</w:t>
            </w: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222,666</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190,718</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118,909</w:t>
            </w:r>
          </w:p>
        </w:tc>
        <w:tc>
          <w:tcPr>
            <w:tcW w:w="20" w:type="dxa"/>
            <w:vAlign w:val="bottom"/>
          </w:tcPr>
          <w:p>
            <w:pPr>
              <w:spacing w:after="0"/>
              <w:rPr>
                <w:sz w:val="19"/>
                <w:szCs w:val="19"/>
                <w:color w:val="auto"/>
              </w:rPr>
            </w:pPr>
          </w:p>
        </w:tc>
      </w:tr>
      <w:tr>
        <w:trPr>
          <w:trHeight w:val="196"/>
        </w:trPr>
        <w:tc>
          <w:tcPr>
            <w:tcW w:w="6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2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$179,802</w:t>
            </w:r>
          </w:p>
        </w:tc>
        <w:tc>
          <w:tcPr>
            <w:tcW w:w="1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$222,666</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$190,718</w:t>
            </w:r>
          </w:p>
        </w:tc>
        <w:tc>
          <w:tcPr>
            <w:tcW w:w="20" w:type="dxa"/>
            <w:vAlign w:val="bottom"/>
            <w:tcBorders>
              <w:bottom w:val="single" w:sz="8" w:color="auto"/>
            </w:tcBorders>
          </w:tcPr>
          <w:p>
            <w:pPr>
              <w:spacing w:after="0"/>
              <w:rPr>
                <w:sz w:val="17"/>
                <w:szCs w:val="17"/>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Cash provided by operating activities was $84.2 million in 2014 compared to $62.6 million in 2013, and $34.5 million in 2012. Cash flows from operating activities in 2012 were unusually low due to significant pension contributions that were part of our pension settlement activity. Significant changes in working capital in 2014 include an $ 11.0 million decrease in Accrued liabilities principally due to restructuring activities in France. Cash paid for income taxes was $ 17.6 million, $29.4 million, and $15.1 million in 2014, 2013 and 2012, respectively. Cash paid for restructuring was $13.2 million, $22.4 million, and $9.7 million in 2014, 2013 and 2012, respectively.</w:t>
      </w:r>
    </w:p>
    <w:p>
      <w:pPr>
        <w:spacing w:after="0" w:line="18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At December 31, 2014, the Company had $179.8 million of cash and cash equivalents, of which $161.1 million was held by subsidiaries outside of the United States. As disclosed in Note 8 of the Notes to Consolidated Financial Statements in Item 8, which is incorporated herein by reference, we determined that all but $59.4 million of this amount (which represents the amount of cumulative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Total capital expenditures for continuing operations, including purchased software, were $58.9 million in 2014, compared to $64.4 million in 2013, and $37.2 million in 2012. The decrease in 2014 reflects investments in new LEAP plants in 2013 in the AEC segment, for which capital expenditures were $32.1 million in 2014, compared to $36.9 million in 2013, and $19.0 million in 2012. We currently estimate full-year spending in 2015 to be $65-$75 million, and an average of $70 million for the balance of the decade. During 2013, the Company completed the sale of its production facility in Gosford, Australia, resulting in net proceeds of $6.3 million.</w:t>
      </w:r>
    </w:p>
    <w:p>
      <w:pPr>
        <w:spacing w:after="0" w:line="162"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 January 2012, the Company completed the sale of its Albany Door Systems business, and in March 2012, we finalized certain post-closing adjustments that increased the sale price by $5 million. As of December 31, 2012, $122 million of the total $135 million sale price had been received, and the remaining $13 million was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4" w:name="page35"/>
    <w:bookmarkEnd w:id="34"/>
    <w:p>
      <w:pPr>
        <w:ind w:right="120"/>
        <w:spacing w:after="0" w:line="246" w:lineRule="auto"/>
        <w:rPr>
          <w:sz w:val="20"/>
          <w:szCs w:val="20"/>
          <w:color w:val="auto"/>
        </w:rPr>
      </w:pPr>
      <w:r>
        <w:rPr>
          <w:rFonts w:ascii="Arial" w:cs="Arial" w:eastAsia="Arial" w:hAnsi="Arial"/>
          <w:sz w:val="18"/>
          <w:szCs w:val="18"/>
          <w:color w:val="auto"/>
        </w:rPr>
        <w:t>received in July 2013. During Q2 2012, the Company completed the sale of its PrimaLoft Products business. Of the $38 million sale price, $34 million was received in June 2012, with the remainder received in December 2013.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our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 AEC remains free to develop and supply parts other than advanced 3D-woven composite parts for all aerospace applications, as well as advanced 3D-woven composite parts for any aerospace applications that are not Safran Applications (such as airframe applications) and any non-aerospace applications. AEC contributed to ASC its existing assets and operations currently dedicated to the development and production of LEAP components, and Safran contributed $28 million in cash.</w:t>
      </w:r>
    </w:p>
    <w:p>
      <w:pPr>
        <w:spacing w:after="0" w:line="163"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five dividend payments during 2012 and three dividend payments in 2013. Cash dividends paid were $19.7 million, $13.9 million, and $21.3 million, in 2014, 2013, and 2012, respectively.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93"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December 31, 2014 was held by non-U.S. subsidiaries. Based on cash on hand and credit facilities, we anticipate that the Company has sufficient capital resources to operate for the foreseeable future. We were in compliance with all debt covenants as of December 31, 2014.</w:t>
      </w:r>
    </w:p>
    <w:p>
      <w:pPr>
        <w:spacing w:after="0" w:line="162"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$172 million of borrowings were outstanding as of December 31, 2014. The Credit Agreement replaced an earlier $390 million five-year credit facility entered into in 2010. The applicable interest rate for borrowings under the Credit Agreement is LIBOR plus a spread, based on our leverage ratio at the time of borrowing, as it was under the prior facility. At the time of the last borrowing on December 22, 2014, the spread was 1.375%. The spread is based on a pricing grid, which ranges from 1.25% to 1.875%, based on our leverage ratio. The Company also amended its note agreement with Prudential in 2013 to substantially conform the financial and other covenants to those in the Credit Agreement. The total cost for the amendments was $1.6 million. For more information on our borrowings, see Note 14 to the Consolidated Financial Statements in Item 8, which is incorporated herein by reference.</w:t>
      </w:r>
    </w:p>
    <w:p>
      <w:pPr>
        <w:spacing w:after="0" w:line="181"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October 16, 2014 was 0.23%. The net effect is to fix the effective interest rate on $105 million of indebtedness at 2.04%, plus the applicable spread, until these swap agreements expire. On December 31, 2014, the all-in rate on the $105 million of debt was 3.415%.</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5" w:name="page36"/>
    <w:bookmarkEnd w:id="35"/>
    <w:p>
      <w:pPr>
        <w:ind w:right="40" w:firstLine="648"/>
        <w:spacing w:after="0" w:line="234"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December 31, 2014 was 0.17%. The net effect is to fix the effective interest rate on $110 million of indebtedness at 1.414%, plus the applicable spread, during the swap period. As of December 31, 2014, our leverage ratio was 1.30 to 1.00 and our interest coverage ratio was 13.01 to</w:t>
      </w:r>
    </w:p>
    <w:p>
      <w:pPr>
        <w:spacing w:after="0" w:line="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7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to the Consolidated Financial Statements in Item 8, which is incorporated herein by reference.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820" w:firstLine="648"/>
        <w:spacing w:after="0" w:line="246" w:lineRule="auto"/>
        <w:rPr>
          <w:sz w:val="20"/>
          <w:szCs w:val="20"/>
          <w:color w:val="auto"/>
        </w:rPr>
      </w:pPr>
      <w:r>
        <w:rPr>
          <w:rFonts w:ascii="Arial" w:cs="Arial" w:eastAsia="Arial" w:hAnsi="Arial"/>
          <w:sz w:val="18"/>
          <w:szCs w:val="18"/>
          <w:color w:val="auto"/>
        </w:rPr>
        <w:t>As of December 31, 2014, we have no off-balance sheet arrangements required to be disclosed pursuant to Item 303(a)(4) of Regulation S-K.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we have the following cash flow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Payments Due by Period</w:t>
            </w:r>
          </w:p>
        </w:tc>
        <w:tc>
          <w:tcPr>
            <w:tcW w:w="12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37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Less than</w:t>
            </w:r>
          </w:p>
        </w:tc>
        <w:tc>
          <w:tcPr>
            <w:tcW w:w="166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One to three</w:t>
            </w:r>
          </w:p>
        </w:tc>
        <w:tc>
          <w:tcPr>
            <w:tcW w:w="136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Three to</w:t>
            </w:r>
          </w:p>
        </w:tc>
        <w:tc>
          <w:tcPr>
            <w:tcW w:w="124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After</w:t>
            </w:r>
          </w:p>
        </w:tc>
        <w:tc>
          <w:tcPr>
            <w:tcW w:w="20" w:type="dxa"/>
            <w:vAlign w:val="bottom"/>
          </w:tcPr>
          <w:p>
            <w:pPr>
              <w:spacing w:after="0"/>
              <w:rPr>
                <w:sz w:val="15"/>
                <w:szCs w:val="15"/>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8"/>
                <w:szCs w:val="18"/>
                <w:b w:val="1"/>
                <w:bCs w:val="1"/>
                <w:color w:val="auto"/>
              </w:rPr>
              <w:t>(in millions)</w:t>
            </w:r>
          </w:p>
        </w:tc>
        <w:tc>
          <w:tcPr>
            <w:tcW w:w="2000" w:type="dxa"/>
            <w:vAlign w:val="bottom"/>
            <w:gridSpan w:val="2"/>
          </w:tcPr>
          <w:p>
            <w:pPr>
              <w:ind w:left="110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one year</w:t>
            </w:r>
          </w:p>
        </w:tc>
        <w:tc>
          <w:tcPr>
            <w:tcW w:w="1660" w:type="dxa"/>
            <w:vAlign w:val="bottom"/>
          </w:tcPr>
          <w:p>
            <w:pPr>
              <w:jc w:val="right"/>
              <w:ind w:right="650"/>
              <w:spacing w:after="0"/>
              <w:rPr>
                <w:sz w:val="20"/>
                <w:szCs w:val="20"/>
                <w:color w:val="auto"/>
              </w:rPr>
            </w:pPr>
            <w:r>
              <w:rPr>
                <w:rFonts w:ascii="Arial" w:cs="Arial" w:eastAsia="Arial" w:hAnsi="Arial"/>
                <w:sz w:val="18"/>
                <w:szCs w:val="18"/>
                <w:b w:val="1"/>
                <w:bCs w:val="1"/>
                <w:color w:val="auto"/>
              </w:rPr>
              <w:t>years</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five years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five years</w:t>
            </w:r>
          </w:p>
        </w:tc>
      </w:tr>
      <w:tr>
        <w:trPr>
          <w:trHeight w:val="195"/>
        </w:trPr>
        <w:tc>
          <w:tcPr>
            <w:tcW w:w="3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Total debt</w:t>
            </w:r>
          </w:p>
        </w:tc>
        <w:tc>
          <w:tcPr>
            <w:tcW w:w="200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$272.8</w:t>
            </w:r>
          </w:p>
        </w:tc>
        <w:tc>
          <w:tcPr>
            <w:tcW w:w="14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$50.7</w:t>
            </w:r>
          </w:p>
        </w:tc>
        <w:tc>
          <w:tcPr>
            <w:tcW w:w="16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$50.0</w:t>
            </w:r>
          </w:p>
        </w:tc>
        <w:tc>
          <w:tcPr>
            <w:tcW w:w="13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$172.1</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03"/>
        </w:trPr>
        <w:tc>
          <w:tcPr>
            <w:tcW w:w="3740" w:type="dxa"/>
            <w:vAlign w:val="bottom"/>
          </w:tcPr>
          <w:p>
            <w:pPr>
              <w:ind w:left="60"/>
              <w:spacing w:after="0" w:line="202" w:lineRule="exact"/>
              <w:rPr>
                <w:sz w:val="20"/>
                <w:szCs w:val="20"/>
                <w:color w:val="auto"/>
              </w:rPr>
            </w:pPr>
            <w:r>
              <w:rPr>
                <w:rFonts w:ascii="Arial" w:cs="Arial" w:eastAsia="Arial" w:hAnsi="Arial"/>
                <w:sz w:val="18"/>
                <w:szCs w:val="18"/>
                <w:color w:val="auto"/>
              </w:rPr>
              <w:t>Interest payments (a)</w:t>
            </w: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10.4</w:t>
            </w:r>
          </w:p>
        </w:tc>
        <w:tc>
          <w:tcPr>
            <w:tcW w:w="1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14.2</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40" w:type="dxa"/>
            <w:vAlign w:val="bottom"/>
          </w:tcPr>
          <w:p>
            <w:pPr>
              <w:ind w:left="60"/>
              <w:spacing w:after="0" w:line="202" w:lineRule="exact"/>
              <w:rPr>
                <w:sz w:val="20"/>
                <w:szCs w:val="20"/>
                <w:color w:val="auto"/>
              </w:rPr>
            </w:pPr>
            <w:r>
              <w:rPr>
                <w:rFonts w:ascii="Arial" w:cs="Arial" w:eastAsia="Arial" w:hAnsi="Arial"/>
                <w:sz w:val="18"/>
                <w:szCs w:val="18"/>
                <w:color w:val="auto"/>
              </w:rPr>
              <w:t>Pension plan contributions (b)</w:t>
            </w: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5.3</w:t>
            </w:r>
          </w:p>
        </w:tc>
        <w:tc>
          <w:tcPr>
            <w:tcW w:w="1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40" w:type="dxa"/>
            <w:vAlign w:val="bottom"/>
          </w:tcPr>
          <w:p>
            <w:pPr>
              <w:ind w:left="60"/>
              <w:spacing w:after="0" w:line="202" w:lineRule="exact"/>
              <w:rPr>
                <w:sz w:val="20"/>
                <w:szCs w:val="20"/>
                <w:color w:val="auto"/>
              </w:rPr>
            </w:pPr>
            <w:r>
              <w:rPr>
                <w:rFonts w:ascii="Arial" w:cs="Arial" w:eastAsia="Arial" w:hAnsi="Arial"/>
                <w:sz w:val="18"/>
                <w:szCs w:val="18"/>
                <w:color w:val="auto"/>
              </w:rPr>
              <w:t>Other postretirement benefits (c)</w:t>
            </w: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65.0</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4.8</w:t>
            </w:r>
          </w:p>
        </w:tc>
        <w:tc>
          <w:tcPr>
            <w:tcW w:w="1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20" w:type="dxa"/>
            <w:vAlign w:val="bottom"/>
          </w:tcPr>
          <w:p>
            <w:pPr>
              <w:spacing w:after="0"/>
              <w:rPr>
                <w:sz w:val="17"/>
                <w:szCs w:val="17"/>
                <w:color w:val="auto"/>
              </w:rPr>
            </w:pPr>
          </w:p>
        </w:tc>
      </w:tr>
      <w:tr>
        <w:trPr>
          <w:trHeight w:val="203"/>
        </w:trPr>
        <w:tc>
          <w:tcPr>
            <w:tcW w:w="3740" w:type="dxa"/>
            <w:vAlign w:val="bottom"/>
          </w:tcPr>
          <w:p>
            <w:pPr>
              <w:ind w:left="60"/>
              <w:spacing w:after="0" w:line="202" w:lineRule="exact"/>
              <w:rPr>
                <w:sz w:val="20"/>
                <w:szCs w:val="20"/>
                <w:color w:val="auto"/>
              </w:rPr>
            </w:pPr>
            <w:r>
              <w:rPr>
                <w:rFonts w:ascii="Arial" w:cs="Arial" w:eastAsia="Arial" w:hAnsi="Arial"/>
                <w:sz w:val="18"/>
                <w:szCs w:val="18"/>
                <w:color w:val="auto"/>
              </w:rPr>
              <w:t>Restructuring accruals</w:t>
            </w: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1.9</w:t>
            </w:r>
          </w:p>
        </w:tc>
        <w:tc>
          <w:tcPr>
            <w:tcW w:w="1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40" w:type="dxa"/>
            <w:vAlign w:val="bottom"/>
          </w:tcPr>
          <w:p>
            <w:pPr>
              <w:ind w:left="60"/>
              <w:spacing w:after="0" w:line="202" w:lineRule="exact"/>
              <w:rPr>
                <w:sz w:val="20"/>
                <w:szCs w:val="20"/>
                <w:color w:val="auto"/>
              </w:rPr>
            </w:pPr>
            <w:r>
              <w:rPr>
                <w:rFonts w:ascii="Arial" w:cs="Arial" w:eastAsia="Arial" w:hAnsi="Arial"/>
                <w:sz w:val="18"/>
                <w:szCs w:val="18"/>
                <w:color w:val="auto"/>
              </w:rPr>
              <w:t>Other noncurrent liabilities (d)</w:t>
            </w: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4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Operating leases</w:t>
            </w:r>
          </w:p>
        </w:tc>
        <w:tc>
          <w:tcPr>
            <w:tcW w:w="2000" w:type="dxa"/>
            <w:vAlign w:val="bottom"/>
            <w:tcBorders>
              <w:bottom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rPr>
              <w:t>9.9</w:t>
            </w:r>
          </w:p>
        </w:tc>
        <w:tc>
          <w:tcPr>
            <w:tcW w:w="14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3.5</w:t>
            </w:r>
          </w:p>
        </w:tc>
        <w:tc>
          <w:tcPr>
            <w:tcW w:w="16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4.0</w:t>
            </w:r>
          </w:p>
        </w:tc>
        <w:tc>
          <w:tcPr>
            <w:tcW w:w="13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1.5</w:t>
            </w:r>
          </w:p>
        </w:tc>
        <w:tc>
          <w:tcPr>
            <w:tcW w:w="12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0.9</w:t>
            </w:r>
          </w:p>
        </w:tc>
      </w:tr>
      <w:tr>
        <w:trPr>
          <w:trHeight w:val="196"/>
        </w:trPr>
        <w:tc>
          <w:tcPr>
            <w:tcW w:w="37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Totals</w:t>
            </w:r>
          </w:p>
        </w:tc>
        <w:tc>
          <w:tcPr>
            <w:tcW w:w="200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$380.5</w:t>
            </w:r>
          </w:p>
        </w:tc>
        <w:tc>
          <w:tcPr>
            <w:tcW w:w="14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$76.6</w:t>
            </w:r>
          </w:p>
        </w:tc>
        <w:tc>
          <w:tcPr>
            <w:tcW w:w="16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$77.2</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$183.1</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$43.6</w:t>
            </w:r>
          </w:p>
        </w:tc>
        <w:tc>
          <w:tcPr>
            <w:tcW w:w="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left="1060" w:right="440" w:hanging="404"/>
        <w:spacing w:after="0" w:line="23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variable-rate debt arrangements, including interest rates and maturities, are included in Note 14 of Notes to Consolidated Financial Statements. The interest payments are based on the assumption that we maintain $172.0 million of variable rate debt until the March 2013 Credit Agreement matures on March 26, 2018, and the rate as of December 31, 2014</w:t>
      </w:r>
    </w:p>
    <w:p>
      <w:pPr>
        <w:spacing w:after="0" w:line="2" w:lineRule="exact"/>
        <w:rPr>
          <w:rFonts w:ascii="Arial" w:cs="Arial" w:eastAsia="Arial" w:hAnsi="Arial"/>
          <w:sz w:val="18"/>
          <w:szCs w:val="18"/>
          <w:color w:val="auto"/>
        </w:rPr>
      </w:pPr>
    </w:p>
    <w:p>
      <w:pPr>
        <w:ind w:left="1060"/>
        <w:spacing w:after="0" w:line="234" w:lineRule="auto"/>
        <w:rPr>
          <w:rFonts w:ascii="Arial" w:cs="Arial" w:eastAsia="Arial" w:hAnsi="Arial"/>
          <w:sz w:val="18"/>
          <w:szCs w:val="18"/>
          <w:color w:val="auto"/>
        </w:rPr>
      </w:pPr>
      <w:r>
        <w:rPr>
          <w:rFonts w:ascii="Arial" w:cs="Arial" w:eastAsia="Arial" w:hAnsi="Arial"/>
          <w:sz w:val="18"/>
          <w:szCs w:val="18"/>
          <w:color w:val="auto"/>
        </w:rPr>
        <w:t>(2.69%) continues until July 16, 2015, then continues at 2.34% until maturity. Both rates include the effects of interest rate hedging transactions.</w:t>
      </w:r>
    </w:p>
    <w:p>
      <w:pPr>
        <w:spacing w:after="0" w:line="1" w:lineRule="exact"/>
        <w:rPr>
          <w:rFonts w:ascii="Arial" w:cs="Arial" w:eastAsia="Arial" w:hAnsi="Arial"/>
          <w:sz w:val="18"/>
          <w:szCs w:val="18"/>
          <w:color w:val="auto"/>
        </w:rPr>
      </w:pPr>
    </w:p>
    <w:p>
      <w:pPr>
        <w:ind w:left="1060" w:right="60" w:hanging="404"/>
        <w:spacing w:after="0" w:line="23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estimate that our 2015 contributions to defined benefit pension plans and pension benefits to be paid directly by the Company to be $5.3 million. However, that estimate is subject to revision based on many factors. The amount of contributions after 2015 is subject to many variables, including return of pension plan assets, interest rates, and tax and employee benefit laws. Therefore, contributions beyond 2015 are not included in this schedule.</w:t>
      </w:r>
    </w:p>
    <w:p>
      <w:pPr>
        <w:spacing w:after="0" w:line="3" w:lineRule="exact"/>
        <w:rPr>
          <w:rFonts w:ascii="Arial" w:cs="Arial" w:eastAsia="Arial" w:hAnsi="Arial"/>
          <w:sz w:val="18"/>
          <w:szCs w:val="18"/>
          <w:color w:val="auto"/>
        </w:rPr>
      </w:pPr>
    </w:p>
    <w:p>
      <w:pPr>
        <w:ind w:left="1060" w:right="140" w:hanging="404"/>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cash outflow for other postretirement benefits is consistent with the expected benefit payments as presented in Note 5 of Notes to Consolidated Financial Statements in Item 8.</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6" w:name="page37"/>
    <w:bookmarkEnd w:id="36"/>
    <w:p>
      <w:pPr>
        <w:ind w:left="1060" w:right="180" w:hanging="404"/>
        <w:spacing w:after="0" w:line="23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Estimated payments for deferred compensation, taxes, and other noncurrent liabilities are not included in this table due to the uncertain timing of the ultimate cash settlement. Also, this table does not reflect unrecognized tax benefits, the timing of which is uncertain. Refer to Note 8 of the Consolidated Financial Statements in Item 8, which is incorporated herein by reference, for additional discussion on unrecognized tax benefits.</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17 of Notes to Consolidated Financial Statements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information set forth above may be found under Item 8. Financial Statements and Supplementary Data, Note 1, which is incorporated herein by reference.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07"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For the discussion on our accounting policies, see Item 8. Financial Statements and Supplementary Data, Note 1, which is incorporated herein by reference.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can affect our results of operations. In addition to the accounting policies stated in Item 8. Financial Statements and Supplementary Data, Note 1, financial statement amounts and disclosures are significantly influenced by market factors, judgments and estimates as described below.</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 plus fixed fee arrangement.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78"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 xml:space="preserve">The Albany Engineered Composites segment also has some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(units of delivery) method. Accumulated capitalized costs are written-off when those costs are determined to be unrecoverable. Also, refer to information under </w:t>
      </w:r>
      <w:r>
        <w:rPr>
          <w:rFonts w:ascii="Arial" w:cs="Arial" w:eastAsia="Arial" w:hAnsi="Arial"/>
          <w:sz w:val="18"/>
          <w:szCs w:val="18"/>
          <w:i w:val="1"/>
          <w:iCs w:val="1"/>
          <w:color w:val="auto"/>
        </w:rPr>
        <w:t>Long-term Contracts</w:t>
      </w:r>
      <w:r>
        <w:rPr>
          <w:rFonts w:ascii="Arial" w:cs="Arial" w:eastAsia="Arial" w:hAnsi="Arial"/>
          <w:sz w:val="18"/>
          <w:szCs w:val="18"/>
          <w:color w:val="auto"/>
        </w:rPr>
        <w:t xml:space="preserve"> in Item 7,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of this Form 10-K, which is incorporated herein by reference.</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Health Care Liabilities</w:t>
      </w:r>
    </w:p>
    <w:p>
      <w:pPr>
        <w:spacing w:after="0" w:line="207"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is self-insured for some employee and business risks, including health care and workers’ compensation programs in the United States. Losses under all of these programs are accrued based 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If actual results significantly differ from estimates used to calculate the liability, the Company’s financial condition, results of operations and cash flows could be materially impacted by losses under these programs, as well as higher stop-loss premiums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2014, total liabilities under our defined benefit pension plans (including unfunded plans) exceeded plan assets by $29.9 million, of which $21.4 million was for plans outside of the U.S. Additionally, at December 31, 2014, other postretirement liabilities totaled $65.0 million, substantially all of which related to our U.S plan. The liabilities for our U.S. plans were increased in 2014 as a result of adopting new mortality tables. As of December 31, 2014, we have unrecognized net losses of $72.4 million for pension plans and $4.3 million for other postretirement benefit plans that will be amortized in future periods. The unrecognized net loss in pension plans is primarily attributable to past changes in interest rates and unfavorable investment returns in 2008.</w:t>
      </w:r>
    </w:p>
    <w:p>
      <w:pPr>
        <w:spacing w:after="0" w:line="181"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For 2015, we anticipate pension contributions and direct payments to retirees to total $5.3 million, and payments for other postretirement benefit plans to be $4.8 million. Changes in the related pension and other postretirement benefit costs or credits may occur in the future due to changes in the assumptions. The amount of annual pension plan funding and annual expense is subject to many variables, including the investment return on pension plan assets and interest rates, and actual contributions could vary significantly. Assumptions used for determining pension plan liabilities and expenses are evaluated and updated at least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the ordinary course of business there is inherent uncertainty in determining assets and liabilities related to income tax balances. We exercise significant judgment in order to estimate taxes payable or receivable in future periods. Tax-related balances may also be impacted by organizational changes or changes in the tax laws of any country in which we operate. We assess our income tax positions and record tax assets and liabilities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Deferred tax assets are expected to be realized through the reversal of existing temporary differences and future taxable income. A tax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Contingencies</w:t>
      </w:r>
    </w:p>
    <w:p>
      <w:pPr>
        <w:spacing w:after="0" w:line="20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have contingent liabilities for litigation, claims, and assessments that result from the ordinary course of business. These matters are more fully described in Note 17 of the Consolidated Financial Statements in Item 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19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have certain financial assets and liabilities that are measured at fair value on a recurring basis, in accordance with the applicable accounting guidance. Fair values are based on assumptions that market participants would use in pricing an asset or liability, which include review of observable inputs, market quotes, and assumptions of expected cash flows. In certain cases this determination of value may require some level of valuation analysis, interpretation of information, and judgment. As these key observable inputs and assumptions change in future periods, the Company will update its valuation to reflect market conditions.</w:t>
      </w:r>
    </w:p>
    <w:p>
      <w:pPr>
        <w:spacing w:after="0" w:line="17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may enter into hedging transactions from time to time in order to mitigate volatility in cash flows, which can be caused by changes in currency exchange rates. To qualify for hedge accounting under the applicable accounting guidance, the hedging relationship between the hedging instrument and the hedged item must be effective in achieving the offset of changes that are attributable to the hedged risk, both at the inception of the hedge and on a continuing basis until maturity or settlement of the hedging instrument. Hedge effectiveness, which would be tested by the Company periodically, is dependent upon market factors and changes in currency exchange rates, which are unpredictable. Any gains or losses related to the ineffective portion of the hedge will be recognized in the current period in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Form 10-K contains certain items, such as earnings before interest, taxes, depreciation and amortization (EBITDA), Adjusted EBITDA, sales excluding currency effects, income tax rate excluding adjustments, net debt, net income attributable to the Company, excluding adjustments (on an absolute and per-share basis), and certain income and expense items on a per-share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period performance, especially when compared to periods in which such items had a greater or lesser effect, or no effect. All non-GAAP financial measures in this document relate to the Company’s continuing operations.</w:t>
      </w:r>
    </w:p>
    <w:p>
      <w:pPr>
        <w:spacing w:after="0" w:line="180"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Depreciation and amortization, and Income or loss from Discontinued Operations. Adjusted EBITDA is calculated by adding to EBITDA, costs associated with restructuring and pension settlement charges, adding or subtracting revaluation losses or gains, subtracting building sale and insurance-recovery gains, and subtracting Income attributable to the noncontrolling interest in Albany Safran Composites, LLC (ASC).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39" w:name="page40"/>
    <w:bookmarkEnd w:id="39"/>
    <w:p>
      <w:pPr>
        <w:ind w:right="60"/>
        <w:spacing w:after="0" w:line="236" w:lineRule="auto"/>
        <w:rPr>
          <w:sz w:val="20"/>
          <w:szCs w:val="20"/>
          <w:color w:val="auto"/>
        </w:rPr>
      </w:pPr>
      <w:r>
        <w:rPr>
          <w:rFonts w:ascii="Arial" w:cs="Arial" w:eastAsia="Arial" w:hAnsi="Arial"/>
          <w:sz w:val="18"/>
          <w:szCs w:val="18"/>
          <w:color w:val="auto"/>
        </w:rPr>
        <w:t>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and insurance-recovery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Consolidated Statements of Income.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9"/>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18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2014</w:t>
            </w:r>
          </w:p>
        </w:tc>
        <w:tc>
          <w:tcPr>
            <w:tcW w:w="16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5360" w:type="dxa"/>
            <w:vAlign w:val="bottom"/>
          </w:tcPr>
          <w:p>
            <w:pPr>
              <w:spacing w:after="0" w:line="173" w:lineRule="exact"/>
              <w:rPr>
                <w:sz w:val="20"/>
                <w:szCs w:val="20"/>
                <w:color w:val="auto"/>
              </w:rPr>
            </w:pPr>
            <w:r>
              <w:rPr>
                <w:rFonts w:ascii="Arial" w:cs="Arial" w:eastAsia="Arial" w:hAnsi="Arial"/>
                <w:sz w:val="18"/>
                <w:szCs w:val="18"/>
                <w:color w:val="auto"/>
              </w:rPr>
              <w:t>Net income</w:t>
            </w:r>
          </w:p>
        </w:tc>
        <w:tc>
          <w:tcPr>
            <w:tcW w:w="1800" w:type="dxa"/>
            <w:vAlign w:val="bottom"/>
          </w:tcPr>
          <w:p>
            <w:pPr>
              <w:spacing w:after="0"/>
              <w:rPr>
                <w:sz w:val="15"/>
                <w:szCs w:val="15"/>
                <w:color w:val="auto"/>
              </w:rPr>
            </w:pPr>
          </w:p>
        </w:tc>
        <w:tc>
          <w:tcPr>
            <w:tcW w:w="152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$41,749</w:t>
            </w:r>
          </w:p>
        </w:tc>
        <w:tc>
          <w:tcPr>
            <w:tcW w:w="160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$17,658</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$30,977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Loss/(income) from discontinued operations</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(71,820)</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10,713</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13,759</w:t>
            </w:r>
          </w:p>
        </w:tc>
        <w:tc>
          <w:tcPr>
            <w:tcW w:w="11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16,601</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Income tax expense/(benefit)</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25,751</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13,372</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(27,523)</w:t>
            </w:r>
          </w:p>
        </w:tc>
        <w:tc>
          <w:tcPr>
            <w:tcW w:w="20" w:type="dxa"/>
            <w:vAlign w:val="bottom"/>
          </w:tcPr>
          <w:p>
            <w:pPr>
              <w:spacing w:after="0"/>
              <w:rPr>
                <w:sz w:val="17"/>
                <w:szCs w:val="17"/>
                <w:color w:val="auto"/>
              </w:rPr>
            </w:pPr>
          </w:p>
        </w:tc>
      </w:tr>
      <w:tr>
        <w:trPr>
          <w:trHeight w:val="225"/>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64,292</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63,789</w:t>
            </w: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63,067</w:t>
            </w:r>
          </w:p>
        </w:tc>
      </w:tr>
      <w:tr>
        <w:trPr>
          <w:trHeight w:val="173"/>
        </w:trPr>
        <w:tc>
          <w:tcPr>
            <w:tcW w:w="5360" w:type="dxa"/>
            <w:vAlign w:val="bottom"/>
          </w:tcPr>
          <w:p>
            <w:pPr>
              <w:spacing w:after="0" w:line="173" w:lineRule="exact"/>
              <w:rPr>
                <w:sz w:val="20"/>
                <w:szCs w:val="20"/>
                <w:color w:val="auto"/>
              </w:rPr>
            </w:pPr>
            <w:r>
              <w:rPr>
                <w:rFonts w:ascii="Arial" w:cs="Arial" w:eastAsia="Arial" w:hAnsi="Arial"/>
                <w:sz w:val="18"/>
                <w:szCs w:val="18"/>
                <w:color w:val="auto"/>
              </w:rPr>
              <w:t>EBITDA</w:t>
            </w:r>
          </w:p>
        </w:tc>
        <w:tc>
          <w:tcPr>
            <w:tcW w:w="1800" w:type="dxa"/>
            <w:vAlign w:val="bottom"/>
          </w:tcPr>
          <w:p>
            <w:pPr>
              <w:spacing w:after="0"/>
              <w:rPr>
                <w:sz w:val="15"/>
                <w:szCs w:val="15"/>
                <w:color w:val="auto"/>
              </w:rPr>
            </w:pPr>
          </w:p>
        </w:tc>
        <w:tc>
          <w:tcPr>
            <w:tcW w:w="152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142,505</w:t>
            </w:r>
          </w:p>
        </w:tc>
        <w:tc>
          <w:tcPr>
            <w:tcW w:w="160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108,624</w:t>
            </w:r>
          </w:p>
        </w:tc>
        <w:tc>
          <w:tcPr>
            <w:tcW w:w="1180" w:type="dxa"/>
            <w:vAlign w:val="bottom"/>
            <w:gridSpan w:val="3"/>
          </w:tcPr>
          <w:p>
            <w:pPr>
              <w:jc w:val="right"/>
              <w:ind w:right="40"/>
              <w:spacing w:after="0" w:line="173" w:lineRule="exact"/>
              <w:rPr>
                <w:sz w:val="20"/>
                <w:szCs w:val="20"/>
                <w:color w:val="auto"/>
              </w:rPr>
            </w:pPr>
            <w:r>
              <w:rPr>
                <w:rFonts w:ascii="Arial" w:cs="Arial" w:eastAsia="Arial" w:hAnsi="Arial"/>
                <w:sz w:val="18"/>
                <w:szCs w:val="18"/>
                <w:color w:val="auto"/>
              </w:rPr>
              <w:t>11,302</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5,759</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25,108</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7,061</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(10,310)</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5,567</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7,350</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facilities</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(3,763)</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(1,126)</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180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8,190</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119,735</w:t>
            </w:r>
          </w:p>
        </w:tc>
        <w:tc>
          <w:tcPr>
            <w:tcW w:w="20" w:type="dxa"/>
            <w:vAlign w:val="bottom"/>
          </w:tcPr>
          <w:p>
            <w:pPr>
              <w:spacing w:after="0"/>
              <w:rPr>
                <w:sz w:val="17"/>
                <w:szCs w:val="17"/>
                <w:color w:val="auto"/>
              </w:rPr>
            </w:pPr>
          </w:p>
        </w:tc>
      </w:tr>
      <w:tr>
        <w:trPr>
          <w:trHeight w:val="225"/>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Pretax income attributable to noncontrolling interest in ASC</w:t>
            </w:r>
          </w:p>
        </w:tc>
        <w:tc>
          <w:tcPr>
            <w:tcW w:w="1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(211)</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(141)</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536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1800" w:type="dxa"/>
            <w:vAlign w:val="bottom"/>
          </w:tcPr>
          <w:p>
            <w:pPr>
              <w:spacing w:after="0"/>
              <w:rPr>
                <w:sz w:val="17"/>
                <w:szCs w:val="17"/>
                <w:color w:val="auto"/>
              </w:rPr>
            </w:pPr>
          </w:p>
        </w:tc>
        <w:tc>
          <w:tcPr>
            <w:tcW w:w="152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$144,807</w:t>
            </w:r>
          </w:p>
        </w:tc>
        <w:tc>
          <w:tcPr>
            <w:tcW w:w="160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$135,395</w:t>
            </w: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$145,448</w:t>
            </w:r>
          </w:p>
        </w:tc>
        <w:tc>
          <w:tcPr>
            <w:tcW w:w="20" w:type="dxa"/>
            <w:vAlign w:val="bottom"/>
          </w:tcPr>
          <w:p>
            <w:pPr>
              <w:spacing w:after="0"/>
              <w:rPr>
                <w:sz w:val="17"/>
                <w:szCs w:val="17"/>
                <w:color w:val="auto"/>
              </w:rPr>
            </w:pPr>
          </w:p>
        </w:tc>
      </w:tr>
      <w:tr>
        <w:trPr>
          <w:trHeight w:val="574"/>
        </w:trPr>
        <w:tc>
          <w:tcPr>
            <w:tcW w:w="536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3120" w:type="dxa"/>
            <w:vAlign w:val="bottom"/>
            <w:tcBorders>
              <w:top w:val="single" w:sz="8" w:color="auto"/>
              <w:bottom w:val="single" w:sz="8" w:color="auto"/>
            </w:tcBorders>
            <w:gridSpan w:val="2"/>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6"/>
        </w:trPr>
        <w:tc>
          <w:tcPr>
            <w:tcW w:w="5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Albany</w:t>
            </w:r>
          </w:p>
        </w:tc>
        <w:tc>
          <w:tcPr>
            <w:tcW w:w="16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Corporate</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360" w:type="dxa"/>
            <w:vAlign w:val="bottom"/>
          </w:tcPr>
          <w:p>
            <w:pPr>
              <w:spacing w:after="0"/>
              <w:rPr>
                <w:sz w:val="17"/>
                <w:szCs w:val="17"/>
                <w:color w:val="auto"/>
              </w:rPr>
            </w:pP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Machine</w:t>
            </w:r>
          </w:p>
        </w:tc>
        <w:tc>
          <w:tcPr>
            <w:tcW w:w="15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6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expenses and</w:t>
            </w:r>
          </w:p>
        </w:tc>
        <w:tc>
          <w:tcPr>
            <w:tcW w:w="118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2"/>
              </w:rPr>
              <w:t>Total</w:t>
            </w:r>
          </w:p>
        </w:tc>
      </w:tr>
      <w:tr>
        <w:trPr>
          <w:trHeight w:val="225"/>
        </w:trPr>
        <w:tc>
          <w:tcPr>
            <w:tcW w:w="5360" w:type="dxa"/>
            <w:vAlign w:val="bottom"/>
          </w:tcPr>
          <w:p>
            <w:pPr>
              <w:spacing w:after="0"/>
              <w:rPr>
                <w:sz w:val="20"/>
                <w:szCs w:val="20"/>
                <w:color w:val="auto"/>
              </w:rPr>
            </w:pPr>
            <w:r>
              <w:rPr>
                <w:rFonts w:ascii="Arial" w:cs="Arial" w:eastAsia="Arial" w:hAnsi="Arial"/>
                <w:sz w:val="18"/>
                <w:szCs w:val="18"/>
                <w:b w:val="1"/>
                <w:bCs w:val="1"/>
                <w:color w:val="auto"/>
              </w:rPr>
              <w:t>Year ended December 31, 2014</w:t>
            </w:r>
          </w:p>
        </w:tc>
        <w:tc>
          <w:tcPr>
            <w:tcW w:w="1800" w:type="dxa"/>
            <w:vAlign w:val="bottom"/>
          </w:tcPr>
          <w:p>
            <w:pPr>
              <w:jc w:val="right"/>
              <w:ind w:right="350"/>
              <w:spacing w:after="0"/>
              <w:rPr>
                <w:sz w:val="20"/>
                <w:szCs w:val="20"/>
                <w:color w:val="auto"/>
              </w:rPr>
            </w:pPr>
            <w:r>
              <w:rPr>
                <w:rFonts w:ascii="Arial" w:cs="Arial" w:eastAsia="Arial" w:hAnsi="Arial"/>
                <w:sz w:val="18"/>
                <w:szCs w:val="18"/>
                <w:b w:val="1"/>
                <w:bCs w:val="1"/>
                <w:color w:val="auto"/>
              </w:rPr>
              <w:t>Clothing</w:t>
            </w: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Composites</w:t>
            </w: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other</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income</w:t>
            </w:r>
          </w:p>
        </w:tc>
        <w:tc>
          <w:tcPr>
            <w:tcW w:w="1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$136,450</w:t>
            </w:r>
          </w:p>
        </w:tc>
        <w:tc>
          <w:tcPr>
            <w:tcW w:w="15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($10,483)</w:t>
            </w:r>
          </w:p>
        </w:tc>
        <w:tc>
          <w:tcPr>
            <w:tcW w:w="16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($84,218)</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$41,749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10,713</w:t>
            </w:r>
          </w:p>
        </w:tc>
        <w:tc>
          <w:tcPr>
            <w:tcW w:w="11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10,713</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25,751</w:t>
            </w:r>
          </w:p>
        </w:tc>
        <w:tc>
          <w:tcPr>
            <w:tcW w:w="11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25,751</w:t>
            </w:r>
          </w:p>
        </w:tc>
      </w:tr>
      <w:tr>
        <w:trPr>
          <w:trHeight w:val="203"/>
        </w:trPr>
        <w:tc>
          <w:tcPr>
            <w:tcW w:w="5360" w:type="dxa"/>
            <w:vAlign w:val="bottom"/>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45,066</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10,880</w:t>
            </w:r>
          </w:p>
        </w:tc>
        <w:tc>
          <w:tcPr>
            <w:tcW w:w="16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8,346</w:t>
            </w:r>
          </w:p>
        </w:tc>
        <w:tc>
          <w:tcPr>
            <w:tcW w:w="118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64,292</w:t>
            </w:r>
          </w:p>
        </w:tc>
      </w:tr>
      <w:tr>
        <w:trPr>
          <w:trHeight w:val="195"/>
        </w:trPr>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EBITDA</w:t>
            </w:r>
          </w:p>
        </w:tc>
        <w:tc>
          <w:tcPr>
            <w:tcW w:w="1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181,516</w:t>
            </w:r>
          </w:p>
        </w:tc>
        <w:tc>
          <w:tcPr>
            <w:tcW w:w="15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397</w:t>
            </w:r>
          </w:p>
        </w:tc>
        <w:tc>
          <w:tcPr>
            <w:tcW w:w="16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(39,408)</w:t>
            </w:r>
          </w:p>
        </w:tc>
        <w:tc>
          <w:tcPr>
            <w:tcW w:w="11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142,505</w:t>
            </w:r>
          </w:p>
        </w:tc>
        <w:tc>
          <w:tcPr>
            <w:tcW w:w="20" w:type="dxa"/>
            <w:vAlign w:val="bottom"/>
          </w:tcPr>
          <w:p>
            <w:pPr>
              <w:spacing w:after="0"/>
              <w:rPr>
                <w:sz w:val="16"/>
                <w:szCs w:val="16"/>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4,828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5,759</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(3,921)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(6,374)</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(10,310)</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(1,126)</w:t>
            </w:r>
          </w:p>
        </w:tc>
        <w:tc>
          <w:tcPr>
            <w:tcW w:w="11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(1,126)</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8,190</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8,190</w:t>
            </w:r>
          </w:p>
        </w:tc>
        <w:tc>
          <w:tcPr>
            <w:tcW w:w="20" w:type="dxa"/>
            <w:vAlign w:val="bottom"/>
          </w:tcPr>
          <w:p>
            <w:pPr>
              <w:spacing w:after="0"/>
              <w:rPr>
                <w:sz w:val="17"/>
                <w:szCs w:val="17"/>
                <w:color w:val="auto"/>
              </w:rPr>
            </w:pP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(211)</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r>
      <w:tr>
        <w:trPr>
          <w:trHeight w:val="196"/>
        </w:trPr>
        <w:tc>
          <w:tcPr>
            <w:tcW w:w="5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$182,423</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$1,102</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($38,718)</w:t>
            </w:r>
          </w:p>
        </w:tc>
        <w:tc>
          <w:tcPr>
            <w:tcW w:w="11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$144,807</w:t>
            </w:r>
          </w:p>
        </w:tc>
        <w:tc>
          <w:tcPr>
            <w:tcW w:w="20" w:type="dxa"/>
            <w:vAlign w:val="bottom"/>
            <w:tcBorders>
              <w:bottom w:val="single" w:sz="8" w:color="auto"/>
            </w:tcBorders>
          </w:tcPr>
          <w:p>
            <w:pPr>
              <w:spacing w:after="0"/>
              <w:rPr>
                <w:sz w:val="17"/>
                <w:szCs w:val="17"/>
                <w:color w:val="auto"/>
              </w:rPr>
            </w:pPr>
          </w:p>
        </w:tc>
      </w:tr>
      <w:tr>
        <w:trPr>
          <w:trHeight w:val="709"/>
        </w:trPr>
        <w:tc>
          <w:tcPr>
            <w:tcW w:w="5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68"/>
        </w:trPr>
        <w:tc>
          <w:tcPr>
            <w:tcW w:w="53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68"/>
        </w:trPr>
        <w:tc>
          <w:tcPr>
            <w:tcW w:w="536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057"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(in thousands)</w:t>
            </w: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6"/>
        </w:trPr>
        <w:tc>
          <w:tcPr>
            <w:tcW w:w="5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Albany</w:t>
            </w: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3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expenses and</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b w:val="1"/>
                <w:bCs w:val="1"/>
                <w:color w:val="auto"/>
              </w:rPr>
              <w:t>Year ended December 31, 2013</w:t>
            </w:r>
          </w:p>
        </w:tc>
        <w:tc>
          <w:tcPr>
            <w:tcW w:w="2160" w:type="dxa"/>
            <w:vAlign w:val="bottom"/>
          </w:tcPr>
          <w:p>
            <w:pPr>
              <w:jc w:val="right"/>
              <w:ind w:right="110"/>
              <w:spacing w:after="0"/>
              <w:rPr>
                <w:sz w:val="20"/>
                <w:szCs w:val="20"/>
                <w:color w:val="auto"/>
              </w:rPr>
            </w:pPr>
            <w:r>
              <w:rPr>
                <w:rFonts w:ascii="Arial" w:cs="Arial" w:eastAsia="Arial" w:hAnsi="Arial"/>
                <w:sz w:val="18"/>
                <w:szCs w:val="18"/>
                <w:b w:val="1"/>
                <w:bCs w:val="1"/>
                <w:color w:val="auto"/>
              </w:rPr>
              <w:t>Machine Clothing</w:t>
            </w: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rPr>
              <w:t>Composites</w:t>
            </w: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other</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Company</w:t>
            </w:r>
          </w:p>
        </w:tc>
      </w:tr>
      <w:tr>
        <w:trPr>
          <w:trHeight w:val="195"/>
        </w:trPr>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income</w:t>
            </w:r>
          </w:p>
        </w:tc>
        <w:tc>
          <w:tcPr>
            <w:tcW w:w="21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$114,370</w:t>
            </w:r>
          </w:p>
        </w:tc>
        <w:tc>
          <w:tcPr>
            <w:tcW w:w="13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($14,404)</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($82,308)</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$17,658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46</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13,759</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13,759</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13,372</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13,372</w:t>
            </w: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1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46,521</w:t>
            </w:r>
          </w:p>
        </w:tc>
        <w:tc>
          <w:tcPr>
            <w:tcW w:w="13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8,460</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8,808</w:t>
            </w:r>
          </w:p>
        </w:tc>
        <w:tc>
          <w:tcPr>
            <w:tcW w:w="138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63,789</w:t>
            </w:r>
          </w:p>
        </w:tc>
      </w:tr>
      <w:tr>
        <w:trPr>
          <w:trHeight w:val="195"/>
        </w:trPr>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EBITDA</w:t>
            </w:r>
          </w:p>
        </w:tc>
        <w:tc>
          <w:tcPr>
            <w:tcW w:w="21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160,891</w:t>
            </w:r>
          </w:p>
        </w:tc>
        <w:tc>
          <w:tcPr>
            <w:tcW w:w="13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(5,944)</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(46,323)</w:t>
            </w:r>
          </w:p>
        </w:tc>
        <w:tc>
          <w:tcPr>
            <w:tcW w:w="13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108,624</w:t>
            </w:r>
          </w:p>
        </w:tc>
        <w:tc>
          <w:tcPr>
            <w:tcW w:w="20" w:type="dxa"/>
            <w:vAlign w:val="bottom"/>
          </w:tcPr>
          <w:p>
            <w:pPr>
              <w:spacing w:after="0"/>
              <w:rPr>
                <w:sz w:val="16"/>
                <w:szCs w:val="16"/>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24,568</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540</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25,108</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296</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5,230</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5,567</w:t>
            </w: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facilities</w:t>
            </w:r>
          </w:p>
        </w:tc>
        <w:tc>
          <w:tcPr>
            <w:tcW w:w="2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(3,763)</w:t>
            </w:r>
          </w:p>
        </w:tc>
      </w:tr>
      <w:tr>
        <w:trPr>
          <w:trHeight w:val="203"/>
        </w:trPr>
        <w:tc>
          <w:tcPr>
            <w:tcW w:w="5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21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(141)</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2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$185,755</w:t>
            </w:r>
          </w:p>
        </w:tc>
        <w:tc>
          <w:tcPr>
            <w:tcW w:w="13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($5,504)</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($44,856)</w:t>
            </w:r>
          </w:p>
        </w:tc>
        <w:tc>
          <w:tcPr>
            <w:tcW w:w="1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$135,395</w:t>
            </w:r>
          </w:p>
        </w:tc>
        <w:tc>
          <w:tcPr>
            <w:tcW w:w="20" w:type="dxa"/>
            <w:vAlign w:val="bottom"/>
          </w:tcPr>
          <w:p>
            <w:pPr>
              <w:spacing w:after="0"/>
              <w:rPr>
                <w:sz w:val="17"/>
                <w:szCs w:val="17"/>
                <w:color w:val="auto"/>
              </w:rPr>
            </w:pPr>
          </w:p>
        </w:tc>
      </w:tr>
      <w:tr>
        <w:trPr>
          <w:trHeight w:val="588"/>
        </w:trPr>
        <w:tc>
          <w:tcPr>
            <w:tcW w:w="520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272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(in thousands)</w:t>
            </w:r>
          </w:p>
        </w:tc>
        <w:tc>
          <w:tcPr>
            <w:tcW w:w="13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6"/>
        </w:trPr>
        <w:tc>
          <w:tcPr>
            <w:tcW w:w="5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Albany</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Engineered</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expenses and</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Machine Clothing</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Composites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other</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Company</w:t>
            </w:r>
          </w:p>
        </w:tc>
      </w:tr>
      <w:tr>
        <w:trPr>
          <w:trHeight w:val="195"/>
        </w:trPr>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income</w:t>
            </w:r>
          </w:p>
        </w:tc>
        <w:tc>
          <w:tcPr>
            <w:tcW w:w="2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$143,358</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($10,918)</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($101,463)</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$30,977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2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(71,820)</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(71,820)</w:t>
            </w: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16,601</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16,601</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(27,523)</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(27,523)</w:t>
            </w:r>
          </w:p>
        </w:tc>
        <w:tc>
          <w:tcPr>
            <w:tcW w:w="20" w:type="dxa"/>
            <w:vAlign w:val="bottom"/>
          </w:tcPr>
          <w:p>
            <w:pPr>
              <w:spacing w:after="0"/>
              <w:rPr>
                <w:sz w:val="17"/>
                <w:szCs w:val="17"/>
                <w:color w:val="auto"/>
              </w:rPr>
            </w:pPr>
          </w:p>
        </w:tc>
      </w:tr>
      <w:tr>
        <w:trPr>
          <w:trHeight w:val="203"/>
        </w:trPr>
        <w:tc>
          <w:tcPr>
            <w:tcW w:w="5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48,052</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5,963</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9,052</w:t>
            </w:r>
          </w:p>
        </w:tc>
        <w:tc>
          <w:tcPr>
            <w:tcW w:w="1380" w:type="dxa"/>
            <w:vAlign w:val="bottom"/>
            <w:tcBorders>
              <w:bottom w:val="single" w:sz="8" w:color="auto"/>
            </w:tcBorders>
            <w:gridSpan w:val="3"/>
          </w:tcPr>
          <w:p>
            <w:pPr>
              <w:jc w:val="right"/>
              <w:ind w:right="40"/>
              <w:spacing w:after="0" w:line="203" w:lineRule="exact"/>
              <w:rPr>
                <w:sz w:val="20"/>
                <w:szCs w:val="20"/>
                <w:color w:val="auto"/>
              </w:rPr>
            </w:pPr>
            <w:r>
              <w:rPr>
                <w:rFonts w:ascii="Arial" w:cs="Arial" w:eastAsia="Arial" w:hAnsi="Arial"/>
                <w:sz w:val="18"/>
                <w:szCs w:val="18"/>
                <w:color w:val="auto"/>
              </w:rPr>
              <w:t>63,067</w:t>
            </w:r>
          </w:p>
        </w:tc>
      </w:tr>
      <w:tr>
        <w:trPr>
          <w:trHeight w:val="195"/>
        </w:trPr>
        <w:tc>
          <w:tcPr>
            <w:tcW w:w="520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2160" w:type="dxa"/>
            <w:vAlign w:val="bottom"/>
          </w:tcPr>
          <w:p>
            <w:pPr>
              <w:jc w:val="right"/>
              <w:spacing w:after="0" w:line="195" w:lineRule="exact"/>
              <w:rPr>
                <w:sz w:val="20"/>
                <w:szCs w:val="20"/>
                <w:color w:val="auto"/>
              </w:rPr>
            </w:pPr>
            <w:r>
              <w:rPr>
                <w:rFonts w:ascii="Arial" w:cs="Arial" w:eastAsia="Arial" w:hAnsi="Arial"/>
                <w:sz w:val="18"/>
                <w:szCs w:val="18"/>
                <w:color w:val="auto"/>
              </w:rPr>
              <w:t>191,410</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(4,955)</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(175,153)</w:t>
            </w:r>
          </w:p>
        </w:tc>
        <w:tc>
          <w:tcPr>
            <w:tcW w:w="138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11,302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7,386</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7,061</w:t>
            </w: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1,633</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5,715</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7,350</w:t>
            </w:r>
          </w:p>
        </w:tc>
        <w:tc>
          <w:tcPr>
            <w:tcW w:w="20" w:type="dxa"/>
            <w:vAlign w:val="bottom"/>
          </w:tcPr>
          <w:p>
            <w:pPr>
              <w:spacing w:after="0"/>
              <w:rPr>
                <w:sz w:val="17"/>
                <w:szCs w:val="17"/>
                <w:color w:val="auto"/>
              </w:rPr>
            </w:pPr>
          </w:p>
        </w:tc>
      </w:tr>
      <w:tr>
        <w:trPr>
          <w:trHeight w:val="203"/>
        </w:trPr>
        <w:tc>
          <w:tcPr>
            <w:tcW w:w="5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Pension settlement charge</w:t>
            </w:r>
          </w:p>
        </w:tc>
        <w:tc>
          <w:tcPr>
            <w:tcW w:w="2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119,735</w:t>
            </w:r>
          </w:p>
        </w:tc>
        <w:tc>
          <w:tcPr>
            <w:tcW w:w="13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119,735</w:t>
            </w:r>
          </w:p>
        </w:tc>
        <w:tc>
          <w:tcPr>
            <w:tcW w:w="20" w:type="dxa"/>
            <w:vAlign w:val="bottom"/>
          </w:tcPr>
          <w:p>
            <w:pPr>
              <w:spacing w:after="0"/>
              <w:rPr>
                <w:sz w:val="17"/>
                <w:szCs w:val="17"/>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$200,429</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($5,278)</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($49,703)</w:t>
            </w:r>
          </w:p>
        </w:tc>
        <w:tc>
          <w:tcPr>
            <w:tcW w:w="13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$145,448</w:t>
            </w:r>
          </w:p>
        </w:tc>
        <w:tc>
          <w:tcPr>
            <w:tcW w:w="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effective tax rate utilized in that reporting period and the weighted average number of shares outstanding for each period. Starting in 2014, the full year earnings per share effects were determined by adding the amounts calculated at each quarterly reporting period. The earnings per share effects for 2013 and 2012 have been recalculated using that same methodology.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41" w:name="page42"/>
    <w:bookmarkEnd w:id="41"/>
    <w:p>
      <w:pPr>
        <w:ind w:left="69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jc w:val="center"/>
              <w:ind w:left="750"/>
              <w:spacing w:after="0" w:line="173" w:lineRule="exact"/>
              <w:rPr>
                <w:sz w:val="20"/>
                <w:szCs w:val="20"/>
                <w:color w:val="auto"/>
              </w:rPr>
            </w:pPr>
            <w:r>
              <w:rPr>
                <w:rFonts w:ascii="Arial" w:cs="Arial" w:eastAsia="Arial" w:hAnsi="Arial"/>
                <w:sz w:val="18"/>
                <w:szCs w:val="18"/>
                <w:b w:val="1"/>
                <w:bCs w:val="1"/>
                <w:color w:val="auto"/>
                <w:w w:val="99"/>
              </w:rPr>
              <w:t>Pre tax</w:t>
            </w:r>
          </w:p>
        </w:tc>
        <w:tc>
          <w:tcPr>
            <w:tcW w:w="1320" w:type="dxa"/>
            <w:vAlign w:val="bottom"/>
            <w:tcBorders>
              <w:top w:val="single" w:sz="8" w:color="auto"/>
            </w:tcBorders>
          </w:tcPr>
          <w:p>
            <w:pPr>
              <w:jc w:val="center"/>
              <w:ind w:right="290"/>
              <w:spacing w:after="0" w:line="173" w:lineRule="exact"/>
              <w:rPr>
                <w:sz w:val="20"/>
                <w:szCs w:val="20"/>
                <w:color w:val="auto"/>
              </w:rPr>
            </w:pPr>
            <w:r>
              <w:rPr>
                <w:rFonts w:ascii="Arial" w:cs="Arial" w:eastAsia="Arial" w:hAnsi="Arial"/>
                <w:sz w:val="18"/>
                <w:szCs w:val="18"/>
                <w:b w:val="1"/>
                <w:bCs w:val="1"/>
                <w:color w:val="auto"/>
                <w:w w:val="96"/>
              </w:rPr>
              <w:t>Tax</w:t>
            </w:r>
          </w:p>
        </w:tc>
        <w:tc>
          <w:tcPr>
            <w:tcW w:w="1320" w:type="dxa"/>
            <w:vAlign w:val="bottom"/>
            <w:tcBorders>
              <w:top w:val="single" w:sz="8" w:color="auto"/>
            </w:tcBorders>
          </w:tcPr>
          <w:p>
            <w:pPr>
              <w:jc w:val="center"/>
              <w:ind w:right="210"/>
              <w:spacing w:after="0" w:line="173"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center"/>
              <w:ind w:right="30"/>
              <w:spacing w:after="0" w:line="173" w:lineRule="exact"/>
              <w:rPr>
                <w:sz w:val="20"/>
                <w:szCs w:val="20"/>
                <w:color w:val="auto"/>
              </w:rPr>
            </w:pPr>
            <w:r>
              <w:rPr>
                <w:rFonts w:ascii="Arial" w:cs="Arial" w:eastAsia="Arial" w:hAnsi="Arial"/>
                <w:sz w:val="18"/>
                <w:szCs w:val="18"/>
                <w:b w:val="1"/>
                <w:bCs w:val="1"/>
                <w:color w:val="auto"/>
                <w:w w:val="99"/>
              </w:rPr>
              <w:t>Per Share</w:t>
            </w:r>
          </w:p>
        </w:tc>
        <w:tc>
          <w:tcPr>
            <w:tcW w:w="20" w:type="dxa"/>
            <w:vAlign w:val="bottom"/>
          </w:tcPr>
          <w:p>
            <w:pPr>
              <w:spacing w:after="0"/>
              <w:rPr>
                <w:sz w:val="15"/>
                <w:szCs w:val="15"/>
                <w:color w:val="auto"/>
              </w:rPr>
            </w:pPr>
          </w:p>
        </w:tc>
      </w:tr>
      <w:tr>
        <w:trPr>
          <w:trHeight w:val="225"/>
        </w:trPr>
        <w:tc>
          <w:tcPr>
            <w:tcW w:w="4900" w:type="dxa"/>
            <w:vAlign w:val="bottom"/>
          </w:tcPr>
          <w:p>
            <w:pPr>
              <w:spacing w:after="0"/>
              <w:rPr>
                <w:sz w:val="20"/>
                <w:szCs w:val="20"/>
                <w:color w:val="auto"/>
              </w:rPr>
            </w:pPr>
            <w:r>
              <w:rPr>
                <w:rFonts w:ascii="Arial" w:cs="Arial" w:eastAsia="Arial" w:hAnsi="Arial"/>
                <w:sz w:val="18"/>
                <w:szCs w:val="18"/>
                <w:b w:val="1"/>
                <w:bCs w:val="1"/>
                <w:color w:val="auto"/>
              </w:rPr>
              <w:t>Year ended December 31, 2014</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99"/>
              </w:rPr>
              <w:t>Amounts</w:t>
            </w:r>
          </w:p>
        </w:tc>
        <w:tc>
          <w:tcPr>
            <w:tcW w:w="1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Effect</w:t>
            </w: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Effect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Effect</w:t>
            </w:r>
          </w:p>
        </w:tc>
      </w:tr>
      <w:tr>
        <w:trPr>
          <w:trHeight w:val="173"/>
        </w:trPr>
        <w:tc>
          <w:tcPr>
            <w:tcW w:w="49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Restructuring and other, net</w:t>
            </w:r>
          </w:p>
        </w:tc>
        <w:tc>
          <w:tcPr>
            <w:tcW w:w="264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b w:val="1"/>
                <w:bCs w:val="1"/>
                <w:color w:val="auto"/>
              </w:rPr>
              <w:t>$5,759</w:t>
            </w:r>
          </w:p>
        </w:tc>
        <w:tc>
          <w:tcPr>
            <w:tcW w:w="132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b w:val="1"/>
                <w:bCs w:val="1"/>
                <w:color w:val="auto"/>
              </w:rPr>
              <w:t>$2,015</w:t>
            </w:r>
          </w:p>
        </w:tc>
        <w:tc>
          <w:tcPr>
            <w:tcW w:w="132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b w:val="1"/>
                <w:bCs w:val="1"/>
                <w:color w:val="auto"/>
              </w:rPr>
              <w:t>$3,744</w:t>
            </w:r>
          </w:p>
        </w:tc>
        <w:tc>
          <w:tcPr>
            <w:tcW w:w="12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$0.12</w:t>
            </w:r>
          </w:p>
        </w:tc>
        <w:tc>
          <w:tcPr>
            <w:tcW w:w="20" w:type="dxa"/>
            <w:vAlign w:val="bottom"/>
          </w:tcPr>
          <w:p>
            <w:pPr>
              <w:spacing w:after="0"/>
              <w:rPr>
                <w:sz w:val="15"/>
                <w:szCs w:val="15"/>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w:t>
            </w:r>
          </w:p>
        </w:tc>
        <w:tc>
          <w:tcPr>
            <w:tcW w:w="2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10,310</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3,535</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6,775</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0.21</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1,126</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1,126</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0.04</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2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8,190</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3,194</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4,996</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0.16</w:t>
            </w: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discrete income tax charges</w:t>
            </w:r>
          </w:p>
        </w:tc>
        <w:tc>
          <w:tcPr>
            <w:tcW w:w="2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3,242</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3,242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20" w:type="dxa"/>
            <w:vAlign w:val="bottom"/>
          </w:tcPr>
          <w:p>
            <w:pPr>
              <w:spacing w:after="0"/>
              <w:rPr>
                <w:sz w:val="19"/>
                <w:szCs w:val="19"/>
                <w:color w:val="auto"/>
              </w:rPr>
            </w:pPr>
          </w:p>
        </w:tc>
      </w:tr>
      <w:tr>
        <w:trPr>
          <w:trHeight w:val="439"/>
        </w:trPr>
        <w:tc>
          <w:tcPr>
            <w:tcW w:w="4900" w:type="dxa"/>
            <w:vAlign w:val="bottom"/>
          </w:tcPr>
          <w:p>
            <w:pPr>
              <w:spacing w:after="0"/>
              <w:rPr>
                <w:sz w:val="24"/>
                <w:szCs w:val="24"/>
                <w:color w:val="auto"/>
              </w:rPr>
            </w:pPr>
          </w:p>
        </w:tc>
        <w:tc>
          <w:tcPr>
            <w:tcW w:w="65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(in thousands, except per share amounts)</w:t>
            </w:r>
          </w:p>
        </w:tc>
      </w:tr>
      <w:tr>
        <w:trPr>
          <w:trHeight w:val="173"/>
        </w:trPr>
        <w:tc>
          <w:tcPr>
            <w:tcW w:w="490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jc w:val="center"/>
              <w:ind w:left="750"/>
              <w:spacing w:after="0" w:line="173" w:lineRule="exact"/>
              <w:rPr>
                <w:sz w:val="20"/>
                <w:szCs w:val="20"/>
                <w:color w:val="auto"/>
              </w:rPr>
            </w:pPr>
            <w:r>
              <w:rPr>
                <w:rFonts w:ascii="Arial" w:cs="Arial" w:eastAsia="Arial" w:hAnsi="Arial"/>
                <w:sz w:val="18"/>
                <w:szCs w:val="18"/>
                <w:b w:val="1"/>
                <w:bCs w:val="1"/>
                <w:color w:val="auto"/>
                <w:w w:val="99"/>
              </w:rPr>
              <w:t>Pre tax</w:t>
            </w:r>
          </w:p>
        </w:tc>
        <w:tc>
          <w:tcPr>
            <w:tcW w:w="1320" w:type="dxa"/>
            <w:vAlign w:val="bottom"/>
            <w:tcBorders>
              <w:top w:val="single" w:sz="8" w:color="auto"/>
            </w:tcBorders>
          </w:tcPr>
          <w:p>
            <w:pPr>
              <w:jc w:val="center"/>
              <w:ind w:right="290"/>
              <w:spacing w:after="0" w:line="173" w:lineRule="exact"/>
              <w:rPr>
                <w:sz w:val="20"/>
                <w:szCs w:val="20"/>
                <w:color w:val="auto"/>
              </w:rPr>
            </w:pPr>
            <w:r>
              <w:rPr>
                <w:rFonts w:ascii="Arial" w:cs="Arial" w:eastAsia="Arial" w:hAnsi="Arial"/>
                <w:sz w:val="18"/>
                <w:szCs w:val="18"/>
                <w:b w:val="1"/>
                <w:bCs w:val="1"/>
                <w:color w:val="auto"/>
                <w:w w:val="96"/>
              </w:rPr>
              <w:t>Tax</w:t>
            </w:r>
          </w:p>
        </w:tc>
        <w:tc>
          <w:tcPr>
            <w:tcW w:w="1320" w:type="dxa"/>
            <w:vAlign w:val="bottom"/>
            <w:tcBorders>
              <w:top w:val="single" w:sz="8" w:color="auto"/>
            </w:tcBorders>
          </w:tcPr>
          <w:p>
            <w:pPr>
              <w:jc w:val="center"/>
              <w:ind w:right="210"/>
              <w:spacing w:after="0" w:line="173"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center"/>
              <w:ind w:right="30"/>
              <w:spacing w:after="0" w:line="173" w:lineRule="exact"/>
              <w:rPr>
                <w:sz w:val="20"/>
                <w:szCs w:val="20"/>
                <w:color w:val="auto"/>
              </w:rPr>
            </w:pPr>
            <w:r>
              <w:rPr>
                <w:rFonts w:ascii="Arial" w:cs="Arial" w:eastAsia="Arial" w:hAnsi="Arial"/>
                <w:sz w:val="18"/>
                <w:szCs w:val="18"/>
                <w:b w:val="1"/>
                <w:bCs w:val="1"/>
                <w:color w:val="auto"/>
                <w:w w:val="99"/>
              </w:rPr>
              <w:t>Per Share</w:t>
            </w:r>
          </w:p>
        </w:tc>
        <w:tc>
          <w:tcPr>
            <w:tcW w:w="20" w:type="dxa"/>
            <w:vAlign w:val="bottom"/>
          </w:tcPr>
          <w:p>
            <w:pPr>
              <w:spacing w:after="0"/>
              <w:rPr>
                <w:sz w:val="15"/>
                <w:szCs w:val="15"/>
                <w:color w:val="auto"/>
              </w:rPr>
            </w:pPr>
          </w:p>
        </w:tc>
      </w:tr>
      <w:tr>
        <w:trPr>
          <w:trHeight w:val="225"/>
        </w:trPr>
        <w:tc>
          <w:tcPr>
            <w:tcW w:w="4900" w:type="dxa"/>
            <w:vAlign w:val="bottom"/>
          </w:tcPr>
          <w:p>
            <w:pPr>
              <w:spacing w:after="0"/>
              <w:rPr>
                <w:sz w:val="20"/>
                <w:szCs w:val="20"/>
                <w:color w:val="auto"/>
              </w:rPr>
            </w:pPr>
            <w:r>
              <w:rPr>
                <w:rFonts w:ascii="Arial" w:cs="Arial" w:eastAsia="Arial" w:hAnsi="Arial"/>
                <w:sz w:val="18"/>
                <w:szCs w:val="18"/>
                <w:b w:val="1"/>
                <w:bCs w:val="1"/>
                <w:color w:val="auto"/>
              </w:rPr>
              <w:t>Year ended December 31, 2013</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99"/>
              </w:rPr>
              <w:t>Amounts</w:t>
            </w:r>
          </w:p>
        </w:tc>
        <w:tc>
          <w:tcPr>
            <w:tcW w:w="1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Effect</w:t>
            </w: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Effect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Effect</w:t>
            </w:r>
          </w:p>
        </w:tc>
      </w:tr>
      <w:tr>
        <w:trPr>
          <w:trHeight w:val="173"/>
        </w:trPr>
        <w:tc>
          <w:tcPr>
            <w:tcW w:w="49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Restructuring and other, net</w:t>
            </w:r>
          </w:p>
        </w:tc>
        <w:tc>
          <w:tcPr>
            <w:tcW w:w="264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b w:val="1"/>
                <w:bCs w:val="1"/>
                <w:color w:val="auto"/>
              </w:rPr>
              <w:t>$25,108</w:t>
            </w:r>
          </w:p>
        </w:tc>
        <w:tc>
          <w:tcPr>
            <w:tcW w:w="132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b w:val="1"/>
                <w:bCs w:val="1"/>
                <w:color w:val="auto"/>
              </w:rPr>
              <w:t>$9,599</w:t>
            </w:r>
          </w:p>
        </w:tc>
        <w:tc>
          <w:tcPr>
            <w:tcW w:w="132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b w:val="1"/>
                <w:bCs w:val="1"/>
                <w:color w:val="auto"/>
              </w:rPr>
              <w:t>$15,509</w:t>
            </w:r>
          </w:p>
        </w:tc>
        <w:tc>
          <w:tcPr>
            <w:tcW w:w="12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$0.49</w:t>
            </w:r>
          </w:p>
        </w:tc>
        <w:tc>
          <w:tcPr>
            <w:tcW w:w="20" w:type="dxa"/>
            <w:vAlign w:val="bottom"/>
          </w:tcPr>
          <w:p>
            <w:pPr>
              <w:spacing w:after="0"/>
              <w:rPr>
                <w:sz w:val="15"/>
                <w:szCs w:val="15"/>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5,567</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2,425</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3,142</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0.10</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2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3,763</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1,279</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2,484</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0.08</w:t>
            </w: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discrete income tax benefit</w:t>
            </w:r>
          </w:p>
        </w:tc>
        <w:tc>
          <w:tcPr>
            <w:tcW w:w="2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1,800</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tcPr>
          <w:p>
            <w:pPr>
              <w:spacing w:after="0"/>
              <w:rPr>
                <w:sz w:val="19"/>
                <w:szCs w:val="19"/>
                <w:color w:val="auto"/>
              </w:rPr>
            </w:pPr>
          </w:p>
        </w:tc>
      </w:tr>
      <w:tr>
        <w:trPr>
          <w:trHeight w:val="439"/>
        </w:trPr>
        <w:tc>
          <w:tcPr>
            <w:tcW w:w="4900" w:type="dxa"/>
            <w:vAlign w:val="bottom"/>
          </w:tcPr>
          <w:p>
            <w:pPr>
              <w:spacing w:after="0"/>
              <w:rPr>
                <w:sz w:val="24"/>
                <w:szCs w:val="24"/>
                <w:color w:val="auto"/>
              </w:rPr>
            </w:pPr>
          </w:p>
        </w:tc>
        <w:tc>
          <w:tcPr>
            <w:tcW w:w="65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(in thousands, except per share amounts)</w:t>
            </w:r>
          </w:p>
        </w:tc>
      </w:tr>
      <w:tr>
        <w:trPr>
          <w:trHeight w:val="173"/>
        </w:trPr>
        <w:tc>
          <w:tcPr>
            <w:tcW w:w="490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jc w:val="center"/>
              <w:ind w:left="750"/>
              <w:spacing w:after="0" w:line="173" w:lineRule="exact"/>
              <w:rPr>
                <w:sz w:val="20"/>
                <w:szCs w:val="20"/>
                <w:color w:val="auto"/>
              </w:rPr>
            </w:pPr>
            <w:r>
              <w:rPr>
                <w:rFonts w:ascii="Arial" w:cs="Arial" w:eastAsia="Arial" w:hAnsi="Arial"/>
                <w:sz w:val="18"/>
                <w:szCs w:val="18"/>
                <w:b w:val="1"/>
                <w:bCs w:val="1"/>
                <w:color w:val="auto"/>
                <w:w w:val="99"/>
              </w:rPr>
              <w:t>Pre tax</w:t>
            </w:r>
          </w:p>
        </w:tc>
        <w:tc>
          <w:tcPr>
            <w:tcW w:w="1320" w:type="dxa"/>
            <w:vAlign w:val="bottom"/>
            <w:tcBorders>
              <w:top w:val="single" w:sz="8" w:color="auto"/>
            </w:tcBorders>
          </w:tcPr>
          <w:p>
            <w:pPr>
              <w:jc w:val="center"/>
              <w:ind w:right="290"/>
              <w:spacing w:after="0" w:line="173" w:lineRule="exact"/>
              <w:rPr>
                <w:sz w:val="20"/>
                <w:szCs w:val="20"/>
                <w:color w:val="auto"/>
              </w:rPr>
            </w:pPr>
            <w:r>
              <w:rPr>
                <w:rFonts w:ascii="Arial" w:cs="Arial" w:eastAsia="Arial" w:hAnsi="Arial"/>
                <w:sz w:val="18"/>
                <w:szCs w:val="18"/>
                <w:b w:val="1"/>
                <w:bCs w:val="1"/>
                <w:color w:val="auto"/>
                <w:w w:val="96"/>
              </w:rPr>
              <w:t>Tax</w:t>
            </w:r>
          </w:p>
        </w:tc>
        <w:tc>
          <w:tcPr>
            <w:tcW w:w="1320" w:type="dxa"/>
            <w:vAlign w:val="bottom"/>
            <w:tcBorders>
              <w:top w:val="single" w:sz="8" w:color="auto"/>
            </w:tcBorders>
          </w:tcPr>
          <w:p>
            <w:pPr>
              <w:jc w:val="center"/>
              <w:ind w:right="210"/>
              <w:spacing w:after="0" w:line="173"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center"/>
              <w:ind w:right="30"/>
              <w:spacing w:after="0" w:line="173" w:lineRule="exact"/>
              <w:rPr>
                <w:sz w:val="20"/>
                <w:szCs w:val="20"/>
                <w:color w:val="auto"/>
              </w:rPr>
            </w:pPr>
            <w:r>
              <w:rPr>
                <w:rFonts w:ascii="Arial" w:cs="Arial" w:eastAsia="Arial" w:hAnsi="Arial"/>
                <w:sz w:val="18"/>
                <w:szCs w:val="18"/>
                <w:b w:val="1"/>
                <w:bCs w:val="1"/>
                <w:color w:val="auto"/>
                <w:w w:val="99"/>
              </w:rPr>
              <w:t>Per Share</w:t>
            </w:r>
          </w:p>
        </w:tc>
        <w:tc>
          <w:tcPr>
            <w:tcW w:w="20" w:type="dxa"/>
            <w:vAlign w:val="bottom"/>
          </w:tcPr>
          <w:p>
            <w:pPr>
              <w:spacing w:after="0"/>
              <w:rPr>
                <w:sz w:val="15"/>
                <w:szCs w:val="15"/>
                <w:color w:val="auto"/>
              </w:rPr>
            </w:pPr>
          </w:p>
        </w:tc>
      </w:tr>
      <w:tr>
        <w:trPr>
          <w:trHeight w:val="225"/>
        </w:trPr>
        <w:tc>
          <w:tcPr>
            <w:tcW w:w="490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99"/>
              </w:rPr>
              <w:t>Amounts</w:t>
            </w:r>
          </w:p>
        </w:tc>
        <w:tc>
          <w:tcPr>
            <w:tcW w:w="1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Effect</w:t>
            </w: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Effect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Effect</w:t>
            </w:r>
          </w:p>
        </w:tc>
      </w:tr>
      <w:tr>
        <w:trPr>
          <w:trHeight w:val="173"/>
        </w:trPr>
        <w:tc>
          <w:tcPr>
            <w:tcW w:w="49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Restructuring and other, net</w:t>
            </w:r>
          </w:p>
        </w:tc>
        <w:tc>
          <w:tcPr>
            <w:tcW w:w="264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b w:val="1"/>
                <w:bCs w:val="1"/>
                <w:color w:val="auto"/>
              </w:rPr>
              <w:t>$7,061</w:t>
            </w:r>
          </w:p>
        </w:tc>
        <w:tc>
          <w:tcPr>
            <w:tcW w:w="132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b w:val="1"/>
                <w:bCs w:val="1"/>
                <w:color w:val="auto"/>
              </w:rPr>
              <w:t>$2,236</w:t>
            </w:r>
          </w:p>
        </w:tc>
        <w:tc>
          <w:tcPr>
            <w:tcW w:w="132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b w:val="1"/>
                <w:bCs w:val="1"/>
                <w:color w:val="auto"/>
              </w:rPr>
              <w:t>$4,825</w:t>
            </w:r>
          </w:p>
        </w:tc>
        <w:tc>
          <w:tcPr>
            <w:tcW w:w="12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$0.16</w:t>
            </w:r>
          </w:p>
        </w:tc>
        <w:tc>
          <w:tcPr>
            <w:tcW w:w="20" w:type="dxa"/>
            <w:vAlign w:val="bottom"/>
          </w:tcPr>
          <w:p>
            <w:pPr>
              <w:spacing w:after="0"/>
              <w:rPr>
                <w:sz w:val="15"/>
                <w:szCs w:val="15"/>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7,348</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3,000</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4,348</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0.13</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2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119,735</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39,460</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80,275</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2.56</w:t>
            </w: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discrete income tax benefit</w:t>
            </w:r>
          </w:p>
        </w:tc>
        <w:tc>
          <w:tcPr>
            <w:tcW w:w="2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7,833</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7,833</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0.25</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Borders>
              <w:top w:val="single" w:sz="8" w:color="auto"/>
            </w:tcBorders>
          </w:tcPr>
          <w:p>
            <w:pPr>
              <w:spacing w:after="0"/>
              <w:rPr>
                <w:sz w:val="16"/>
                <w:szCs w:val="16"/>
                <w:color w:val="auto"/>
              </w:rPr>
            </w:pPr>
          </w:p>
        </w:tc>
        <w:tc>
          <w:tcPr>
            <w:tcW w:w="4940" w:type="dxa"/>
            <w:vAlign w:val="bottom"/>
            <w:tcBorders>
              <w:top w:val="single" w:sz="8" w:color="auto"/>
            </w:tcBorders>
            <w:gridSpan w:val="3"/>
          </w:tcPr>
          <w:p>
            <w:pPr>
              <w:jc w:val="right"/>
              <w:ind w:right="770"/>
              <w:spacing w:after="0" w:line="194" w:lineRule="exact"/>
              <w:rPr>
                <w:sz w:val="20"/>
                <w:szCs w:val="20"/>
                <w:color w:val="auto"/>
              </w:rPr>
            </w:pPr>
            <w:r>
              <w:rPr>
                <w:rFonts w:ascii="Arial" w:cs="Arial" w:eastAsia="Arial" w:hAnsi="Arial"/>
                <w:sz w:val="18"/>
                <w:szCs w:val="18"/>
                <w:b w:val="1"/>
                <w:bCs w:val="1"/>
                <w:color w:val="auto"/>
              </w:rPr>
              <w:t>Per share amounts (Basic)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2013</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48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254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$1.31</w:t>
            </w:r>
          </w:p>
        </w:tc>
        <w:tc>
          <w:tcPr>
            <w:tcW w:w="12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$0.55</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$0.99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5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480" w:type="dxa"/>
            <w:vAlign w:val="bottom"/>
          </w:tcPr>
          <w:p>
            <w:pPr>
              <w:spacing w:after="0" w:line="181" w:lineRule="exact"/>
              <w:rPr>
                <w:sz w:val="20"/>
                <w:szCs w:val="20"/>
                <w:color w:val="auto"/>
              </w:rPr>
            </w:pPr>
            <w:r>
              <w:rPr>
                <w:rFonts w:ascii="Arial" w:cs="Arial" w:eastAsia="Arial" w:hAnsi="Arial"/>
                <w:sz w:val="18"/>
                <w:szCs w:val="18"/>
                <w:color w:val="auto"/>
              </w:rPr>
              <w:t>Income from discontinued operations</w:t>
            </w:r>
          </w:p>
        </w:tc>
        <w:tc>
          <w:tcPr>
            <w:tcW w:w="2540" w:type="dxa"/>
            <w:vAlign w:val="bottom"/>
            <w:vMerge w:val="continue"/>
          </w:tcPr>
          <w:p>
            <w:pPr>
              <w:spacing w:after="0"/>
              <w:rPr>
                <w:sz w:val="15"/>
                <w:szCs w:val="15"/>
                <w:color w:val="auto"/>
              </w:rPr>
            </w:pPr>
          </w:p>
        </w:tc>
        <w:tc>
          <w:tcPr>
            <w:tcW w:w="12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5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0.12</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0.49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Discrete tax charges/(benefits)</w:t>
            </w:r>
          </w:p>
        </w:tc>
        <w:tc>
          <w:tcPr>
            <w:tcW w:w="25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0.10</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(0.05)</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5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(0.21)</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0.10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5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(0.04)</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25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0.16</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former manufacturing facility</w:t>
            </w:r>
          </w:p>
        </w:tc>
        <w:tc>
          <w:tcPr>
            <w:tcW w:w="2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25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$1.44</w:t>
            </w:r>
          </w:p>
        </w:tc>
        <w:tc>
          <w:tcPr>
            <w:tcW w:w="12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$1.01</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25"/>
        </w:trPr>
        <w:tc>
          <w:tcPr>
            <w:tcW w:w="57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(in thousands)</w:t>
            </w:r>
          </w:p>
        </w:tc>
        <w:tc>
          <w:tcPr>
            <w:tcW w:w="1820" w:type="dxa"/>
            <w:vAlign w:val="bottom"/>
            <w:tcBorders>
              <w:bottom w:val="single" w:sz="8" w:color="auto"/>
            </w:tcBorders>
          </w:tcPr>
          <w:p>
            <w:pPr>
              <w:spacing w:after="0"/>
              <w:rPr>
                <w:sz w:val="19"/>
                <w:szCs w:val="19"/>
                <w:color w:val="auto"/>
              </w:rPr>
            </w:pPr>
          </w:p>
        </w:tc>
      </w:tr>
      <w:tr>
        <w:trPr>
          <w:trHeight w:val="196"/>
        </w:trPr>
        <w:tc>
          <w:tcPr>
            <w:tcW w:w="5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w:t>
            </w:r>
          </w:p>
        </w:tc>
        <w:tc>
          <w:tcPr>
            <w:tcW w:w="1940" w:type="dxa"/>
            <w:vAlign w:val="bottom"/>
            <w:tcBorders>
              <w:bottom w:val="single" w:sz="8" w:color="auto"/>
              <w:right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2014</w:t>
            </w:r>
          </w:p>
        </w:tc>
        <w:tc>
          <w:tcPr>
            <w:tcW w:w="1940" w:type="dxa"/>
            <w:vAlign w:val="bottom"/>
            <w:tcBorders>
              <w:bottom w:val="single" w:sz="8" w:color="auto"/>
              <w:right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2013</w:t>
            </w:r>
          </w:p>
        </w:tc>
        <w:tc>
          <w:tcPr>
            <w:tcW w:w="1820" w:type="dxa"/>
            <w:vAlign w:val="bottom"/>
            <w:tcBorders>
              <w:bottom w:val="single" w:sz="8" w:color="auto"/>
              <w:right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2012</w:t>
            </w:r>
          </w:p>
        </w:tc>
      </w:tr>
      <w:tr>
        <w:trPr>
          <w:trHeight w:val="196"/>
        </w:trPr>
        <w:tc>
          <w:tcPr>
            <w:tcW w:w="57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Notes and loans payable</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$661</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$586</w:t>
            </w:r>
          </w:p>
        </w:tc>
      </w:tr>
      <w:tr>
        <w:trPr>
          <w:trHeight w:val="196"/>
        </w:trPr>
        <w:tc>
          <w:tcPr>
            <w:tcW w:w="57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Current maturities of long-term debt</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50,015</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3,764</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83,276</w:t>
            </w:r>
          </w:p>
        </w:tc>
      </w:tr>
      <w:tr>
        <w:trPr>
          <w:trHeight w:val="196"/>
        </w:trPr>
        <w:tc>
          <w:tcPr>
            <w:tcW w:w="57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222,096</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300,111</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235,877</w:t>
            </w:r>
          </w:p>
        </w:tc>
      </w:tr>
      <w:tr>
        <w:trPr>
          <w:trHeight w:val="196"/>
        </w:trPr>
        <w:tc>
          <w:tcPr>
            <w:tcW w:w="57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debt</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272,772</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304,500</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319,739</w:t>
            </w:r>
          </w:p>
        </w:tc>
      </w:tr>
      <w:tr>
        <w:trPr>
          <w:trHeight w:val="196"/>
        </w:trPr>
        <w:tc>
          <w:tcPr>
            <w:tcW w:w="57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Cash</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179,802</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222,666</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190,718</w:t>
            </w:r>
          </w:p>
        </w:tc>
      </w:tr>
      <w:tr>
        <w:trPr>
          <w:trHeight w:val="196"/>
        </w:trPr>
        <w:tc>
          <w:tcPr>
            <w:tcW w:w="57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debt</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$92,970</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$81,834</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$129,021</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$563.3 million. The potential loss in fair value resulting from a hypothetical 10% adverse change in quoted foreign currency exchange rates amounts to $ 56.3 million. Furthermore, related to foreign currency transactions, we have exposure to various nonfunctional currency balances totaling $97.5 million. This amount includes, on an absolute basis, exposures to assets and liabilities held in currencies other than our local entity’s functional currency. On a net basis, we had $20.7 million of foreign currency liabilities as of December 31, 2014. As currency rates change, these nonfunctional currency balances are revalued, and the corresponding adjustment is recorded in the income statement. A hypothetical change of 10% in currency rates could result in an adjustment to the income statement of approximately $2.1 million. Actual results may differ.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2014, we had the following variable rate debt:</w:t>
      </w:r>
    </w:p>
    <w:p>
      <w:pPr>
        <w:spacing w:after="0" w:line="29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1035" w:right="2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 thousands, except interest rates)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1440" w:type="dxa"/>
            <w:vAlign w:val="bottom"/>
            <w:tcBorders>
              <w:top w:val="single" w:sz="8" w:color="auto"/>
            </w:tcBorders>
          </w:tcPr>
          <w:p>
            <w:pPr>
              <w:spacing w:after="0"/>
              <w:rPr>
                <w:sz w:val="16"/>
                <w:szCs w:val="16"/>
                <w:color w:val="auto"/>
              </w:rPr>
            </w:pPr>
          </w:p>
        </w:tc>
      </w:tr>
      <w:tr>
        <w:trPr>
          <w:trHeight w:val="181"/>
        </w:trPr>
        <w:tc>
          <w:tcPr>
            <w:tcW w:w="998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1.27%</w:t>
            </w:r>
          </w:p>
        </w:tc>
        <w:tc>
          <w:tcPr>
            <w:tcW w:w="1440" w:type="dxa"/>
            <w:vAlign w:val="bottom"/>
          </w:tcPr>
          <w:p>
            <w:pPr>
              <w:jc w:val="right"/>
              <w:spacing w:after="0" w:line="181" w:lineRule="exact"/>
              <w:rPr>
                <w:sz w:val="20"/>
                <w:szCs w:val="20"/>
                <w:color w:val="auto"/>
              </w:rPr>
            </w:pPr>
            <w:r>
              <w:rPr>
                <w:rFonts w:ascii="Arial" w:cs="Arial" w:eastAsia="Arial" w:hAnsi="Arial"/>
                <w:sz w:val="18"/>
                <w:szCs w:val="18"/>
                <w:color w:val="auto"/>
              </w:rPr>
              <w:t>$661</w:t>
            </w:r>
          </w:p>
        </w:tc>
      </w:tr>
      <w:tr>
        <w:trPr>
          <w:trHeight w:val="225"/>
        </w:trPr>
        <w:tc>
          <w:tcPr>
            <w:tcW w:w="99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440" w:type="dxa"/>
            <w:vAlign w:val="bottom"/>
          </w:tcPr>
          <w:p>
            <w:pPr>
              <w:spacing w:after="0"/>
              <w:rPr>
                <w:sz w:val="19"/>
                <w:szCs w:val="19"/>
                <w:color w:val="auto"/>
              </w:rPr>
            </w:pPr>
          </w:p>
        </w:tc>
      </w:tr>
      <w:tr>
        <w:trPr>
          <w:trHeight w:val="203"/>
        </w:trPr>
        <w:tc>
          <w:tcPr>
            <w:tcW w:w="998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 1.54% in</w:t>
            </w:r>
          </w:p>
        </w:tc>
        <w:tc>
          <w:tcPr>
            <w:tcW w:w="1440" w:type="dxa"/>
            <w:vAlign w:val="bottom"/>
          </w:tcPr>
          <w:p>
            <w:pPr>
              <w:spacing w:after="0"/>
              <w:rPr>
                <w:sz w:val="17"/>
                <w:szCs w:val="17"/>
                <w:color w:val="auto"/>
              </w:rPr>
            </w:pPr>
          </w:p>
        </w:tc>
      </w:tr>
      <w:tr>
        <w:trPr>
          <w:trHeight w:val="203"/>
        </w:trPr>
        <w:tc>
          <w:tcPr>
            <w:tcW w:w="9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2014, due in 2018</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67,000</w:t>
            </w:r>
          </w:p>
        </w:tc>
      </w:tr>
      <w:tr>
        <w:trPr>
          <w:trHeight w:val="399"/>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$67,661</w:t>
            </w:r>
          </w:p>
        </w:tc>
      </w:tr>
    </w:tbl>
    <w:p>
      <w:pPr>
        <w:spacing w:after="0" w:line="39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increase/decrease interest expense by $0.7 million. To manage interest rate risk, we may periodically enter into interest rate swap agreements to effectively fix the interest rates on variable debt to a specific rate for a period of time. (See Note 15 to the Consolidated Financial Statements in Item 8, which is incorporated herein by reference).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60" w:type="dxa"/>
            <w:vAlign w:val="bottom"/>
          </w:tcPr>
          <w:p>
            <w:pPr>
              <w:spacing w:after="0"/>
              <w:rPr>
                <w:sz w:val="20"/>
                <w:szCs w:val="20"/>
                <w:color w:val="auto"/>
              </w:rPr>
            </w:pPr>
          </w:p>
        </w:tc>
      </w:tr>
      <w:tr>
        <w:trPr>
          <w:trHeight w:val="392"/>
        </w:trPr>
        <w:tc>
          <w:tcPr>
            <w:tcW w:w="8220" w:type="dxa"/>
            <w:vAlign w:val="bottom"/>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160" w:type="dxa"/>
            <w:vAlign w:val="bottom"/>
          </w:tcPr>
          <w:p>
            <w:pPr>
              <w:spacing w:after="0"/>
              <w:rPr>
                <w:sz w:val="24"/>
                <w:szCs w:val="24"/>
                <w:color w:val="auto"/>
              </w:rPr>
            </w:pPr>
          </w:p>
        </w:tc>
      </w:tr>
      <w:tr>
        <w:trPr>
          <w:trHeight w:val="378"/>
        </w:trPr>
        <w:tc>
          <w:tcPr>
            <w:tcW w:w="82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8"/>
        </w:trPr>
        <w:tc>
          <w:tcPr>
            <w:tcW w:w="8220" w:type="dxa"/>
            <w:vAlign w:val="bottom"/>
          </w:tcPr>
          <w:p>
            <w:pPr>
              <w:ind w:left="200"/>
              <w:spacing w:after="0"/>
              <w:rPr>
                <w:sz w:val="20"/>
                <w:szCs w:val="20"/>
                <w:color w:val="auto"/>
              </w:rPr>
            </w:pPr>
            <w:r>
              <w:rPr>
                <w:rFonts w:ascii="Arial" w:cs="Arial" w:eastAsia="Arial" w:hAnsi="Arial"/>
                <w:sz w:val="18"/>
                <w:szCs w:val="18"/>
                <w:color w:val="auto"/>
              </w:rPr>
              <w:t>Report of KPMG LLP</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8"/>
        </w:trPr>
        <w:tc>
          <w:tcPr>
            <w:tcW w:w="8220" w:type="dxa"/>
            <w:vAlign w:val="bottom"/>
          </w:tcPr>
          <w:p>
            <w:pPr>
              <w:ind w:left="200"/>
              <w:spacing w:after="0"/>
              <w:rPr>
                <w:sz w:val="20"/>
                <w:szCs w:val="20"/>
                <w:color w:val="auto"/>
              </w:rPr>
            </w:pPr>
            <w:r>
              <w:rPr>
                <w:rFonts w:ascii="Arial" w:cs="Arial" w:eastAsia="Arial" w:hAnsi="Arial"/>
                <w:sz w:val="18"/>
                <w:szCs w:val="18"/>
                <w:color w:val="auto"/>
              </w:rPr>
              <w:t>Report of PricewaterhouseCoopers LLP</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8"/>
        </w:trPr>
        <w:tc>
          <w:tcPr>
            <w:tcW w:w="822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w:t>
            </w:r>
          </w:p>
        </w:tc>
        <w:tc>
          <w:tcPr>
            <w:tcW w:w="2160" w:type="dxa"/>
            <w:vAlign w:val="bottom"/>
          </w:tcPr>
          <w:p>
            <w:pPr>
              <w:spacing w:after="0"/>
              <w:rPr>
                <w:sz w:val="24"/>
                <w:szCs w:val="24"/>
                <w:color w:val="auto"/>
              </w:rPr>
            </w:pPr>
          </w:p>
        </w:tc>
      </w:tr>
      <w:tr>
        <w:trPr>
          <w:trHeight w:val="378"/>
        </w:trPr>
        <w:tc>
          <w:tcPr>
            <w:tcW w:w="8220" w:type="dxa"/>
            <w:vAlign w:val="bottom"/>
          </w:tcPr>
          <w:p>
            <w:pPr>
              <w:ind w:left="200"/>
              <w:spacing w:after="0"/>
              <w:rPr>
                <w:sz w:val="20"/>
                <w:szCs w:val="20"/>
                <w:color w:val="auto"/>
              </w:rPr>
            </w:pPr>
            <w:r>
              <w:rPr>
                <w:rFonts w:ascii="Arial" w:cs="Arial" w:eastAsia="Arial" w:hAnsi="Arial"/>
                <w:sz w:val="18"/>
                <w:szCs w:val="18"/>
                <w:color w:val="auto"/>
              </w:rPr>
              <w:t>December 31, 2014, 2013, and 2012</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78"/>
        </w:trPr>
        <w:tc>
          <w:tcPr>
            <w:tcW w:w="8220" w:type="dxa"/>
            <w:vAlign w:val="bottom"/>
          </w:tcPr>
          <w:p>
            <w:pPr>
              <w:spacing w:after="0"/>
              <w:rPr>
                <w:sz w:val="20"/>
                <w:szCs w:val="20"/>
                <w:color w:val="auto"/>
              </w:rPr>
            </w:pPr>
            <w:r>
              <w:rPr>
                <w:rFonts w:ascii="Arial" w:cs="Arial" w:eastAsia="Arial" w:hAnsi="Arial"/>
                <w:sz w:val="18"/>
                <w:szCs w:val="18"/>
                <w:color w:val="auto"/>
              </w:rPr>
              <w:t>Consolidated Statements of Comprehensive Income/(loss) for the years ended</w:t>
            </w:r>
          </w:p>
        </w:tc>
        <w:tc>
          <w:tcPr>
            <w:tcW w:w="2160" w:type="dxa"/>
            <w:vAlign w:val="bottom"/>
          </w:tcPr>
          <w:p>
            <w:pPr>
              <w:spacing w:after="0"/>
              <w:rPr>
                <w:sz w:val="24"/>
                <w:szCs w:val="24"/>
                <w:color w:val="auto"/>
              </w:rPr>
            </w:pPr>
          </w:p>
        </w:tc>
      </w:tr>
      <w:tr>
        <w:trPr>
          <w:trHeight w:val="378"/>
        </w:trPr>
        <w:tc>
          <w:tcPr>
            <w:tcW w:w="8220" w:type="dxa"/>
            <w:vAlign w:val="bottom"/>
          </w:tcPr>
          <w:p>
            <w:pPr>
              <w:ind w:left="200"/>
              <w:spacing w:after="0"/>
              <w:rPr>
                <w:sz w:val="20"/>
                <w:szCs w:val="20"/>
                <w:color w:val="auto"/>
              </w:rPr>
            </w:pPr>
            <w:r>
              <w:rPr>
                <w:rFonts w:ascii="Arial" w:cs="Arial" w:eastAsia="Arial" w:hAnsi="Arial"/>
                <w:sz w:val="18"/>
                <w:szCs w:val="18"/>
                <w:color w:val="auto"/>
              </w:rPr>
              <w:t>December 31, 2014, 2013, and 2012</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8"/>
        </w:trPr>
        <w:tc>
          <w:tcPr>
            <w:tcW w:w="8220" w:type="dxa"/>
            <w:vAlign w:val="bottom"/>
          </w:tcPr>
          <w:p>
            <w:pPr>
              <w:spacing w:after="0"/>
              <w:rPr>
                <w:sz w:val="20"/>
                <w:szCs w:val="20"/>
                <w:color w:val="auto"/>
              </w:rPr>
            </w:pPr>
            <w:r>
              <w:rPr>
                <w:rFonts w:ascii="Arial" w:cs="Arial" w:eastAsia="Arial" w:hAnsi="Arial"/>
                <w:sz w:val="18"/>
                <w:szCs w:val="18"/>
                <w:color w:val="auto"/>
              </w:rPr>
              <w:t>Consolidated Balance Sheets as of December 31, 2014 and 2013</w:t>
            </w:r>
          </w:p>
        </w:tc>
        <w:tc>
          <w:tcPr>
            <w:tcW w:w="2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78"/>
        </w:trPr>
        <w:tc>
          <w:tcPr>
            <w:tcW w:w="82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w:t>
            </w:r>
          </w:p>
        </w:tc>
        <w:tc>
          <w:tcPr>
            <w:tcW w:w="2160" w:type="dxa"/>
            <w:vAlign w:val="bottom"/>
          </w:tcPr>
          <w:p>
            <w:pPr>
              <w:spacing w:after="0"/>
              <w:rPr>
                <w:sz w:val="24"/>
                <w:szCs w:val="24"/>
                <w:color w:val="auto"/>
              </w:rPr>
            </w:pPr>
          </w:p>
        </w:tc>
      </w:tr>
      <w:tr>
        <w:trPr>
          <w:trHeight w:val="378"/>
        </w:trPr>
        <w:tc>
          <w:tcPr>
            <w:tcW w:w="8220" w:type="dxa"/>
            <w:vAlign w:val="bottom"/>
          </w:tcPr>
          <w:p>
            <w:pPr>
              <w:spacing w:after="0"/>
              <w:rPr>
                <w:sz w:val="20"/>
                <w:szCs w:val="20"/>
                <w:color w:val="auto"/>
              </w:rPr>
            </w:pPr>
            <w:r>
              <w:rPr>
                <w:rFonts w:ascii="Arial" w:cs="Arial" w:eastAsia="Arial" w:hAnsi="Arial"/>
                <w:sz w:val="18"/>
                <w:szCs w:val="18"/>
                <w:color w:val="auto"/>
              </w:rPr>
              <w:t>December 31, 2014, 2013, and 2012</w:t>
            </w:r>
          </w:p>
        </w:tc>
        <w:tc>
          <w:tcPr>
            <w:tcW w:w="2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8"/>
        </w:trPr>
        <w:tc>
          <w:tcPr>
            <w:tcW w:w="82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45" w:name="page46"/>
    <w:bookmarkEnd w:id="45"/>
    <w:p>
      <w:pPr>
        <w:ind w:right="3220" w:firstLine="3224"/>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Albany International Corp.:</w:t>
      </w:r>
    </w:p>
    <w:p>
      <w:pPr>
        <w:jc w:val="both"/>
        <w:ind w:firstLine="648"/>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 of Albany International Corp. and subsidiaries as of December 31, 2014, and the related consolidated statements of income, comprehensive income/(loss), and cash flows for the year then ended. In connection with our audit of the consolidated financial statements, we also have audited the financial statement schedule of valuation and qualifying accounts. We also have audited Albany International Corp.’s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Albany International Corp.’s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these consolidated financial statements and an opinion on the Albany International Corp.’s internal control over financial reporting based on our audits.</w:t>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Albany International Corp. and subsidiaries as of December 31, 2014, and the results of their operations and their cash flows for the year then ended, in conformity with U.S. generally accepted accounting principles. In our opinion, the related financial statement schedule, when considered in relation to the basic consolidated financial statements taken as a whole, presents fairly, in all material respects, the information set forth therein. Also in our opinion, Albany International Corp.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34" w:lineRule="auto"/>
        <w:rPr>
          <w:sz w:val="20"/>
          <w:szCs w:val="20"/>
          <w:color w:val="auto"/>
        </w:rPr>
      </w:pPr>
      <w:r>
        <w:rPr>
          <w:rFonts w:ascii="Arial" w:cs="Arial" w:eastAsia="Arial" w:hAnsi="Arial"/>
          <w:sz w:val="18"/>
          <w:szCs w:val="18"/>
          <w:color w:val="auto"/>
        </w:rPr>
        <w:t>Albany,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46" w:name="page47"/>
    <w:bookmarkEnd w:id="46"/>
    <w:p>
      <w:pPr>
        <w:ind w:right="3220" w:firstLine="3224"/>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Albany International Corp.:</w:t>
      </w:r>
    </w:p>
    <w:p>
      <w:pPr>
        <w:ind w:firstLine="648"/>
        <w:spacing w:after="0" w:line="236" w:lineRule="auto"/>
        <w:rPr>
          <w:sz w:val="20"/>
          <w:szCs w:val="20"/>
          <w:color w:val="auto"/>
        </w:rPr>
      </w:pPr>
      <w:r>
        <w:rPr>
          <w:rFonts w:ascii="Arial" w:cs="Arial" w:eastAsia="Arial" w:hAnsi="Arial"/>
          <w:sz w:val="18"/>
          <w:szCs w:val="18"/>
          <w:color w:val="auto"/>
        </w:rPr>
        <w:t>In our opinion, the consolidated balance sheet as of December 31, 2013 and the related consolidated statements of income, comprehensive income/(loss) and cash flows for each of two years in the period ended December 31, 2013 present fairly, in all material respects, the financial position of Albany International Corp. and its subsidiaries at December 31, 2013, and the results of their operations and their cash flows for each of the two years in the period ended December 31, 2013, in conformity with accounting principles generally accepted in the United States of America. In addition, in our opinion, the financial statement schedule for each of the two years in the period ended December 31, 2013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February 26, 2014, except for the effects of the revisions discussed in Notes 5, 8 and 11 to the consolidated financial statements, as to which the date is February 27, 2015</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ind w:left="4240"/>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14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382"/>
        </w:trPr>
        <w:tc>
          <w:tcPr>
            <w:tcW w:w="700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$745,345</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$757,414</w:t>
            </w:r>
          </w:p>
        </w:tc>
        <w:tc>
          <w:tcPr>
            <w:tcW w:w="1200" w:type="dxa"/>
            <w:vAlign w:val="bottom"/>
          </w:tcPr>
          <w:p>
            <w:pPr>
              <w:jc w:val="right"/>
              <w:spacing w:after="0"/>
              <w:rPr>
                <w:sz w:val="20"/>
                <w:szCs w:val="20"/>
                <w:color w:val="auto"/>
              </w:rPr>
            </w:pPr>
            <w:r>
              <w:rPr>
                <w:rFonts w:ascii="Arial" w:cs="Arial" w:eastAsia="Arial" w:hAnsi="Arial"/>
                <w:sz w:val="18"/>
                <w:szCs w:val="18"/>
                <w:color w:val="auto"/>
              </w:rPr>
              <w:t>$760,941</w:t>
            </w:r>
          </w:p>
        </w:tc>
      </w:tr>
      <w:tr>
        <w:trPr>
          <w:trHeight w:val="225"/>
        </w:trPr>
        <w:tc>
          <w:tcPr>
            <w:tcW w:w="700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453,710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466,860</w:t>
            </w:r>
          </w:p>
        </w:tc>
        <w:tc>
          <w:tcPr>
            <w:tcW w:w="1200" w:type="dxa"/>
            <w:vAlign w:val="bottom"/>
          </w:tcPr>
          <w:p>
            <w:pPr>
              <w:jc w:val="right"/>
              <w:spacing w:after="0"/>
              <w:rPr>
                <w:sz w:val="20"/>
                <w:szCs w:val="20"/>
                <w:color w:val="auto"/>
              </w:rPr>
            </w:pPr>
            <w:r>
              <w:rPr>
                <w:rFonts w:ascii="Arial" w:cs="Arial" w:eastAsia="Arial" w:hAnsi="Arial"/>
                <w:sz w:val="18"/>
                <w:szCs w:val="18"/>
                <w:color w:val="auto"/>
              </w:rPr>
              <w:t>455,545</w:t>
            </w:r>
          </w:p>
        </w:tc>
      </w:tr>
      <w:tr>
        <w:trPr>
          <w:trHeight w:val="232"/>
        </w:trPr>
        <w:tc>
          <w:tcPr>
            <w:tcW w:w="20" w:type="dxa"/>
            <w:vAlign w:val="bottom"/>
          </w:tcPr>
          <w:p>
            <w:pPr>
              <w:spacing w:after="0"/>
              <w:rPr>
                <w:sz w:val="20"/>
                <w:szCs w:val="20"/>
                <w:color w:val="auto"/>
              </w:rPr>
            </w:pPr>
          </w:p>
        </w:tc>
        <w:tc>
          <w:tcPr>
            <w:tcW w:w="68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291,635</w:t>
            </w: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290,554</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305,396</w:t>
            </w:r>
          </w:p>
        </w:tc>
      </w:tr>
      <w:tr>
        <w:trPr>
          <w:trHeight w:val="346"/>
        </w:trPr>
        <w:tc>
          <w:tcPr>
            <w:tcW w:w="700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147,198</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157,688</w:t>
            </w:r>
          </w:p>
        </w:tc>
        <w:tc>
          <w:tcPr>
            <w:tcW w:w="1200" w:type="dxa"/>
            <w:vAlign w:val="bottom"/>
          </w:tcPr>
          <w:p>
            <w:pPr>
              <w:jc w:val="right"/>
              <w:spacing w:after="0"/>
              <w:rPr>
                <w:sz w:val="20"/>
                <w:szCs w:val="20"/>
                <w:color w:val="auto"/>
              </w:rPr>
            </w:pPr>
            <w:r>
              <w:rPr>
                <w:rFonts w:ascii="Arial" w:cs="Arial" w:eastAsia="Arial" w:hAnsi="Arial"/>
                <w:sz w:val="18"/>
                <w:szCs w:val="18"/>
                <w:color w:val="auto"/>
              </w:rPr>
              <w:t>169,774</w:t>
            </w:r>
          </w:p>
        </w:tc>
      </w:tr>
      <w:tr>
        <w:trPr>
          <w:trHeight w:val="203"/>
        </w:trPr>
        <w:tc>
          <w:tcPr>
            <w:tcW w:w="7000" w:type="dxa"/>
            <w:vAlign w:val="bottom"/>
            <w:gridSpan w:val="3"/>
          </w:tcPr>
          <w:p>
            <w:pPr>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7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59,128</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55,667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52,962</w:t>
            </w:r>
          </w:p>
        </w:tc>
      </w:tr>
      <w:tr>
        <w:trPr>
          <w:trHeight w:val="203"/>
        </w:trPr>
        <w:tc>
          <w:tcPr>
            <w:tcW w:w="7000" w:type="dxa"/>
            <w:vAlign w:val="bottom"/>
            <w:gridSpan w:val="3"/>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7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5,759</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25,108</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7,061</w:t>
            </w:r>
          </w:p>
        </w:tc>
      </w:tr>
      <w:tr>
        <w:trPr>
          <w:trHeight w:val="225"/>
        </w:trPr>
        <w:tc>
          <w:tcPr>
            <w:tcW w:w="7000" w:type="dxa"/>
            <w:vAlign w:val="bottom"/>
            <w:gridSpan w:val="3"/>
          </w:tcPr>
          <w:p>
            <w:pPr>
              <w:spacing w:after="0"/>
              <w:rPr>
                <w:sz w:val="20"/>
                <w:szCs w:val="20"/>
                <w:color w:val="auto"/>
              </w:rPr>
            </w:pPr>
            <w:r>
              <w:rPr>
                <w:rFonts w:ascii="Arial" w:cs="Arial" w:eastAsia="Arial" w:hAnsi="Arial"/>
                <w:sz w:val="18"/>
                <w:szCs w:val="18"/>
                <w:color w:val="auto"/>
              </w:rPr>
              <w:t>Pension settlement expense</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8,190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119,735</w:t>
            </w:r>
          </w:p>
        </w:tc>
      </w:tr>
      <w:tr>
        <w:trPr>
          <w:trHeight w:val="232"/>
        </w:trPr>
        <w:tc>
          <w:tcPr>
            <w:tcW w:w="20" w:type="dxa"/>
            <w:vAlign w:val="bottom"/>
          </w:tcPr>
          <w:p>
            <w:pPr>
              <w:spacing w:after="0"/>
              <w:rPr>
                <w:sz w:val="20"/>
                <w:szCs w:val="20"/>
                <w:color w:val="auto"/>
              </w:rPr>
            </w:pPr>
          </w:p>
        </w:tc>
        <w:tc>
          <w:tcPr>
            <w:tcW w:w="68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income/(loss)</w:t>
            </w:r>
          </w:p>
        </w:tc>
        <w:tc>
          <w:tcPr>
            <w:tcW w:w="160" w:type="dxa"/>
            <w:vAlign w:val="bottom"/>
          </w:tcPr>
          <w:p>
            <w:pPr>
              <w:spacing w:after="0"/>
              <w:rPr>
                <w:sz w:val="20"/>
                <w:szCs w:val="20"/>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71,360</w:t>
            </w: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52,091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(44,136)</w:t>
            </w:r>
          </w:p>
        </w:tc>
      </w:tr>
      <w:tr>
        <w:trPr>
          <w:trHeight w:val="346"/>
        </w:trPr>
        <w:tc>
          <w:tcPr>
            <w:tcW w:w="70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(1,541)</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(1,468)</w:t>
            </w:r>
          </w:p>
        </w:tc>
        <w:tc>
          <w:tcPr>
            <w:tcW w:w="120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03"/>
        </w:trPr>
        <w:tc>
          <w:tcPr>
            <w:tcW w:w="700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17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12,254</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15,227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18,118</w:t>
            </w:r>
          </w:p>
        </w:tc>
      </w:tr>
      <w:tr>
        <w:trPr>
          <w:trHeight w:val="225"/>
        </w:trPr>
        <w:tc>
          <w:tcPr>
            <w:tcW w:w="7000" w:type="dxa"/>
            <w:vAlign w:val="bottom"/>
            <w:gridSpan w:val="3"/>
          </w:tcPr>
          <w:p>
            <w:pPr>
              <w:spacing w:after="0"/>
              <w:rPr>
                <w:sz w:val="20"/>
                <w:szCs w:val="20"/>
                <w:color w:val="auto"/>
              </w:rPr>
            </w:pPr>
            <w:r>
              <w:rPr>
                <w:rFonts w:ascii="Arial" w:cs="Arial" w:eastAsia="Arial" w:hAnsi="Arial"/>
                <w:sz w:val="18"/>
                <w:szCs w:val="18"/>
                <w:color w:val="auto"/>
              </w:rPr>
              <w:t>Other (income)/expense, net</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(6,853)</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7,256</w:t>
            </w:r>
          </w:p>
        </w:tc>
        <w:tc>
          <w:tcPr>
            <w:tcW w:w="1200" w:type="dxa"/>
            <w:vAlign w:val="bottom"/>
          </w:tcPr>
          <w:p>
            <w:pPr>
              <w:jc w:val="right"/>
              <w:spacing w:after="0"/>
              <w:rPr>
                <w:sz w:val="20"/>
                <w:szCs w:val="20"/>
                <w:color w:val="auto"/>
              </w:rPr>
            </w:pPr>
            <w:r>
              <w:rPr>
                <w:rFonts w:ascii="Arial" w:cs="Arial" w:eastAsia="Arial" w:hAnsi="Arial"/>
                <w:sz w:val="18"/>
                <w:szCs w:val="18"/>
                <w:color w:val="auto"/>
              </w:rPr>
              <w:t>7,629</w:t>
            </w:r>
          </w:p>
        </w:tc>
      </w:tr>
      <w:tr>
        <w:trPr>
          <w:trHeight w:val="232"/>
        </w:trPr>
        <w:tc>
          <w:tcPr>
            <w:tcW w:w="20" w:type="dxa"/>
            <w:vAlign w:val="bottom"/>
          </w:tcPr>
          <w:p>
            <w:pPr>
              <w:spacing w:after="0"/>
              <w:rPr>
                <w:sz w:val="20"/>
                <w:szCs w:val="20"/>
                <w:color w:val="auto"/>
              </w:rPr>
            </w:pPr>
          </w:p>
        </w:tc>
        <w:tc>
          <w:tcPr>
            <w:tcW w:w="68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Income/(loss) before income taxes</w:t>
            </w:r>
          </w:p>
        </w:tc>
        <w:tc>
          <w:tcPr>
            <w:tcW w:w="160" w:type="dxa"/>
            <w:vAlign w:val="bottom"/>
          </w:tcPr>
          <w:p>
            <w:pPr>
              <w:spacing w:after="0"/>
              <w:rPr>
                <w:sz w:val="20"/>
                <w:szCs w:val="20"/>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67,500</w:t>
            </w: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31,076</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(68,366)</w:t>
            </w:r>
          </w:p>
        </w:tc>
      </w:tr>
      <w:tr>
        <w:trPr>
          <w:trHeight w:val="369"/>
        </w:trPr>
        <w:tc>
          <w:tcPr>
            <w:tcW w:w="7000" w:type="dxa"/>
            <w:vAlign w:val="bottom"/>
            <w:gridSpan w:val="3"/>
          </w:tcPr>
          <w:p>
            <w:pPr>
              <w:spacing w:after="0"/>
              <w:rPr>
                <w:sz w:val="20"/>
                <w:szCs w:val="20"/>
                <w:color w:val="auto"/>
              </w:rPr>
            </w:pPr>
            <w:r>
              <w:rPr>
                <w:rFonts w:ascii="Arial" w:cs="Arial" w:eastAsia="Arial" w:hAnsi="Arial"/>
                <w:sz w:val="18"/>
                <w:szCs w:val="18"/>
                <w:color w:val="auto"/>
              </w:rPr>
              <w:t>Income tax expense/(benefit)</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25,751</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13,372</w:t>
            </w:r>
          </w:p>
        </w:tc>
        <w:tc>
          <w:tcPr>
            <w:tcW w:w="1200" w:type="dxa"/>
            <w:vAlign w:val="bottom"/>
          </w:tcPr>
          <w:p>
            <w:pPr>
              <w:jc w:val="right"/>
              <w:spacing w:after="0"/>
              <w:rPr>
                <w:sz w:val="20"/>
                <w:szCs w:val="20"/>
                <w:color w:val="auto"/>
              </w:rPr>
            </w:pPr>
            <w:r>
              <w:rPr>
                <w:rFonts w:ascii="Arial" w:cs="Arial" w:eastAsia="Arial" w:hAnsi="Arial"/>
                <w:sz w:val="18"/>
                <w:szCs w:val="18"/>
                <w:color w:val="auto"/>
              </w:rPr>
              <w:t>(27,523)</w:t>
            </w:r>
          </w:p>
        </w:tc>
      </w:tr>
      <w:tr>
        <w:trPr>
          <w:trHeight w:val="196"/>
        </w:trPr>
        <w:tc>
          <w:tcPr>
            <w:tcW w:w="20" w:type="dxa"/>
            <w:vAlign w:val="bottom"/>
          </w:tcPr>
          <w:p>
            <w:pPr>
              <w:spacing w:after="0"/>
              <w:rPr>
                <w:sz w:val="17"/>
                <w:szCs w:val="17"/>
                <w:color w:val="auto"/>
              </w:rPr>
            </w:pPr>
          </w:p>
        </w:tc>
        <w:tc>
          <w:tcPr>
            <w:tcW w:w="6820" w:type="dxa"/>
            <w:vAlign w:val="bottom"/>
            <w:tcBorders>
              <w:top w:val="single" w:sz="8" w:color="auto"/>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Income/(loss) from continuing operations</w:t>
            </w:r>
          </w:p>
        </w:tc>
        <w:tc>
          <w:tcPr>
            <w:tcW w:w="16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41,749</w:t>
            </w:r>
          </w:p>
        </w:tc>
        <w:tc>
          <w:tcPr>
            <w:tcW w:w="14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17,704</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(40,843)</w:t>
            </w:r>
          </w:p>
        </w:tc>
      </w:tr>
      <w:tr>
        <w:trPr>
          <w:trHeight w:val="578"/>
        </w:trPr>
        <w:tc>
          <w:tcPr>
            <w:tcW w:w="7000" w:type="dxa"/>
            <w:vAlign w:val="bottom"/>
            <w:gridSpan w:val="3"/>
          </w:tcPr>
          <w:p>
            <w:pPr>
              <w:spacing w:after="0"/>
              <w:rPr>
                <w:sz w:val="20"/>
                <w:szCs w:val="20"/>
                <w:color w:val="auto"/>
              </w:rPr>
            </w:pPr>
            <w:r>
              <w:rPr>
                <w:rFonts w:ascii="Arial" w:cs="Arial" w:eastAsia="Arial" w:hAnsi="Arial"/>
                <w:sz w:val="18"/>
                <w:szCs w:val="18"/>
                <w:color w:val="auto"/>
              </w:rPr>
              <w:t>(Loss)/income from operations of discontinued businesses</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(75)</w:t>
            </w:r>
          </w:p>
        </w:tc>
        <w:tc>
          <w:tcPr>
            <w:tcW w:w="1200" w:type="dxa"/>
            <w:vAlign w:val="bottom"/>
          </w:tcPr>
          <w:p>
            <w:pPr>
              <w:jc w:val="right"/>
              <w:spacing w:after="0"/>
              <w:rPr>
                <w:sz w:val="20"/>
                <w:szCs w:val="20"/>
                <w:color w:val="auto"/>
              </w:rPr>
            </w:pPr>
            <w:r>
              <w:rPr>
                <w:rFonts w:ascii="Arial" w:cs="Arial" w:eastAsia="Arial" w:hAnsi="Arial"/>
                <w:sz w:val="18"/>
                <w:szCs w:val="18"/>
                <w:color w:val="auto"/>
              </w:rPr>
              <w:t>4,776</w:t>
            </w:r>
          </w:p>
        </w:tc>
      </w:tr>
      <w:tr>
        <w:trPr>
          <w:trHeight w:val="203"/>
        </w:trPr>
        <w:tc>
          <w:tcPr>
            <w:tcW w:w="7000" w:type="dxa"/>
            <w:vAlign w:val="bottom"/>
            <w:gridSpan w:val="3"/>
          </w:tcPr>
          <w:p>
            <w:pPr>
              <w:spacing w:after="0" w:line="202" w:lineRule="exact"/>
              <w:rPr>
                <w:sz w:val="20"/>
                <w:szCs w:val="20"/>
                <w:color w:val="auto"/>
              </w:rPr>
            </w:pPr>
            <w:r>
              <w:rPr>
                <w:rFonts w:ascii="Arial" w:cs="Arial" w:eastAsia="Arial" w:hAnsi="Arial"/>
                <w:sz w:val="18"/>
                <w:szCs w:val="18"/>
                <w:color w:val="auto"/>
              </w:rPr>
              <w:t>Gain/(loss) on sale of discontinued businesses</w:t>
            </w:r>
          </w:p>
        </w:tc>
        <w:tc>
          <w:tcPr>
            <w:tcW w:w="17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92,296</w:t>
            </w:r>
          </w:p>
        </w:tc>
      </w:tr>
      <w:tr>
        <w:trPr>
          <w:trHeight w:val="225"/>
        </w:trPr>
        <w:tc>
          <w:tcPr>
            <w:tcW w:w="7000" w:type="dxa"/>
            <w:vAlign w:val="bottom"/>
            <w:gridSpan w:val="3"/>
          </w:tcPr>
          <w:p>
            <w:pPr>
              <w:spacing w:after="0"/>
              <w:rPr>
                <w:sz w:val="20"/>
                <w:szCs w:val="20"/>
                <w:color w:val="auto"/>
              </w:rPr>
            </w:pPr>
            <w:r>
              <w:rPr>
                <w:rFonts w:ascii="Arial" w:cs="Arial" w:eastAsia="Arial" w:hAnsi="Arial"/>
                <w:sz w:val="18"/>
                <w:szCs w:val="18"/>
                <w:color w:val="auto"/>
              </w:rPr>
              <w:t>Income tax (benefit)/expense on discontinued operations</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1200" w:type="dxa"/>
            <w:vAlign w:val="bottom"/>
          </w:tcPr>
          <w:p>
            <w:pPr>
              <w:jc w:val="right"/>
              <w:spacing w:after="0"/>
              <w:rPr>
                <w:sz w:val="20"/>
                <w:szCs w:val="20"/>
                <w:color w:val="auto"/>
              </w:rPr>
            </w:pPr>
            <w:r>
              <w:rPr>
                <w:rFonts w:ascii="Arial" w:cs="Arial" w:eastAsia="Arial" w:hAnsi="Arial"/>
                <w:sz w:val="18"/>
                <w:szCs w:val="18"/>
                <w:color w:val="auto"/>
              </w:rPr>
              <w:t>25,252</w:t>
            </w:r>
          </w:p>
        </w:tc>
      </w:tr>
      <w:tr>
        <w:trPr>
          <w:trHeight w:val="196"/>
        </w:trPr>
        <w:tc>
          <w:tcPr>
            <w:tcW w:w="20" w:type="dxa"/>
            <w:vAlign w:val="bottom"/>
          </w:tcPr>
          <w:p>
            <w:pPr>
              <w:spacing w:after="0"/>
              <w:rPr>
                <w:sz w:val="17"/>
                <w:szCs w:val="17"/>
                <w:color w:val="auto"/>
              </w:rPr>
            </w:pPr>
          </w:p>
        </w:tc>
        <w:tc>
          <w:tcPr>
            <w:tcW w:w="6820" w:type="dxa"/>
            <w:vAlign w:val="bottom"/>
            <w:tcBorders>
              <w:top w:val="single" w:sz="8" w:color="auto"/>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(Loss)/income from discontinued operations</w:t>
            </w:r>
          </w:p>
        </w:tc>
        <w:tc>
          <w:tcPr>
            <w:tcW w:w="16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(46)</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71,820</w:t>
            </w:r>
          </w:p>
        </w:tc>
      </w:tr>
      <w:tr>
        <w:trPr>
          <w:trHeight w:val="376"/>
        </w:trPr>
        <w:tc>
          <w:tcPr>
            <w:tcW w:w="70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41,749</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17,658</w:t>
            </w:r>
          </w:p>
        </w:tc>
        <w:tc>
          <w:tcPr>
            <w:tcW w:w="1200" w:type="dxa"/>
            <w:vAlign w:val="bottom"/>
          </w:tcPr>
          <w:p>
            <w:pPr>
              <w:jc w:val="right"/>
              <w:spacing w:after="0"/>
              <w:rPr>
                <w:sz w:val="20"/>
                <w:szCs w:val="20"/>
                <w:color w:val="auto"/>
              </w:rPr>
            </w:pPr>
            <w:r>
              <w:rPr>
                <w:rFonts w:ascii="Arial" w:cs="Arial" w:eastAsia="Arial" w:hAnsi="Arial"/>
                <w:sz w:val="18"/>
                <w:szCs w:val="18"/>
                <w:color w:val="auto"/>
              </w:rPr>
              <w:t>30,977</w:t>
            </w:r>
          </w:p>
        </w:tc>
      </w:tr>
      <w:tr>
        <w:trPr>
          <w:trHeight w:val="225"/>
        </w:trPr>
        <w:tc>
          <w:tcPr>
            <w:tcW w:w="7000" w:type="dxa"/>
            <w:vAlign w:val="bottom"/>
            <w:gridSpan w:val="3"/>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180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141</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68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w:t>
            </w:r>
          </w:p>
        </w:tc>
        <w:tc>
          <w:tcPr>
            <w:tcW w:w="16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$41,569</w:t>
            </w:r>
          </w:p>
        </w:tc>
        <w:tc>
          <w:tcPr>
            <w:tcW w:w="14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$17,517</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$30,977</w:t>
            </w:r>
          </w:p>
        </w:tc>
      </w:tr>
      <w:tr>
        <w:trPr>
          <w:trHeight w:val="20"/>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35" w:right="239" w:bottom="1440" w:gutter="0" w:footer="0" w:header="0"/>
        </w:sectPr>
      </w:pPr>
    </w:p>
    <w:p>
      <w:pPr>
        <w:spacing w:after="0" w:line="204" w:lineRule="exact"/>
        <w:rPr>
          <w:sz w:val="20"/>
          <w:szCs w:val="20"/>
          <w:color w:val="auto"/>
        </w:rPr>
      </w:pPr>
    </w:p>
    <w:p>
      <w:pPr>
        <w:ind w:left="360" w:right="1100" w:hanging="359"/>
        <w:spacing w:after="0" w:line="234" w:lineRule="auto"/>
        <w:rPr>
          <w:sz w:val="20"/>
          <w:szCs w:val="20"/>
          <w:color w:val="auto"/>
        </w:rPr>
      </w:pPr>
      <w:r>
        <w:rPr>
          <w:rFonts w:ascii="Arial" w:cs="Arial" w:eastAsia="Arial" w:hAnsi="Arial"/>
          <w:sz w:val="18"/>
          <w:szCs w:val="18"/>
          <w:color w:val="auto"/>
        </w:rPr>
        <w:t>Earnings per share attributable to Company shareholders - Basic Income/(loss) from continuing operations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339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Income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339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39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43395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19" w:lineRule="exact"/>
        <w:rPr>
          <w:sz w:val="20"/>
          <w:szCs w:val="20"/>
          <w:color w:val="auto"/>
        </w:rPr>
      </w:pPr>
    </w:p>
    <w:p>
      <w:pPr>
        <w:ind w:left="360" w:right="980" w:hanging="359"/>
        <w:spacing w:after="0" w:line="234" w:lineRule="auto"/>
        <w:rPr>
          <w:sz w:val="20"/>
          <w:szCs w:val="20"/>
          <w:color w:val="auto"/>
        </w:rPr>
      </w:pPr>
      <w:r>
        <w:rPr>
          <w:rFonts w:ascii="Arial" w:cs="Arial" w:eastAsia="Arial" w:hAnsi="Arial"/>
          <w:sz w:val="18"/>
          <w:szCs w:val="18"/>
          <w:color w:val="auto"/>
        </w:rPr>
        <w:t>Earnings per share attributable to Company shareholders - Diluted Income/(loss) from continuing operations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339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Income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3395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39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4339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$1.31</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$0.55</w:t>
            </w: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5"/>
        </w:trPr>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196"/>
        </w:trPr>
        <w:tc>
          <w:tcPr>
            <w:tcW w:w="19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$1.31</w:t>
            </w:r>
          </w:p>
        </w:tc>
        <w:tc>
          <w:tcPr>
            <w:tcW w:w="14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$0.55</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$0.99</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65"/>
        </w:trPr>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$1.30</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$0.55</w:t>
            </w: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5"/>
        </w:trPr>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196"/>
        </w:trPr>
        <w:tc>
          <w:tcPr>
            <w:tcW w:w="19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$1.30</w:t>
            </w:r>
          </w:p>
        </w:tc>
        <w:tc>
          <w:tcPr>
            <w:tcW w:w="14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$0.55</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9"/>
        </w:trPr>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$0.63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$0.59</w:t>
            </w:r>
          </w:p>
        </w:tc>
        <w:tc>
          <w:tcPr>
            <w:tcW w:w="1020" w:type="dxa"/>
            <w:vAlign w:val="bottom"/>
          </w:tcPr>
          <w:p>
            <w:pPr>
              <w:jc w:val="right"/>
              <w:spacing w:after="0"/>
              <w:rPr>
                <w:sz w:val="20"/>
                <w:szCs w:val="20"/>
                <w:color w:val="auto"/>
              </w:rPr>
            </w:pPr>
            <w:r>
              <w:rPr>
                <w:rFonts w:ascii="Arial" w:cs="Arial" w:eastAsia="Arial" w:hAnsi="Arial"/>
                <w:sz w:val="18"/>
                <w:szCs w:val="18"/>
                <w:color w:val="auto"/>
              </w:rPr>
              <w:t>$0.55</w:t>
            </w:r>
          </w:p>
        </w:tc>
      </w:tr>
    </w:tbl>
    <w:p>
      <w:pPr>
        <w:spacing w:after="0" w:line="200" w:lineRule="exact"/>
        <w:rPr>
          <w:sz w:val="20"/>
          <w:szCs w:val="20"/>
          <w:color w:val="auto"/>
        </w:rPr>
      </w:pPr>
    </w:p>
    <w:p>
      <w:pPr>
        <w:sectPr>
          <w:pgSz w:w="11900" w:h="16838" w:orient="portrait"/>
          <w:cols w:equalWidth="0" w:num="2">
            <w:col w:w="6280" w:space="720"/>
            <w:col w:w="4420"/>
          </w:cols>
          <w:pgMar w:left="240" w:top="1035" w:right="239" w:bottom="1440" w:gutter="0" w:footer="0" w:header="0"/>
          <w:type w:val="continuous"/>
        </w:sectPr>
      </w:pPr>
    </w:p>
    <w:p>
      <w:pPr>
        <w:spacing w:after="0" w:line="21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4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960" w:type="dxa"/>
            <w:vAlign w:val="bottom"/>
          </w:tcPr>
          <w:p>
            <w:pPr>
              <w:jc w:val="right"/>
              <w:ind w:right="170"/>
              <w:spacing w:after="0" w:line="195" w:lineRule="exact"/>
              <w:rPr>
                <w:sz w:val="20"/>
                <w:szCs w:val="20"/>
                <w:color w:val="auto"/>
              </w:rPr>
            </w:pPr>
            <w:r>
              <w:rPr>
                <w:rFonts w:ascii="Arial" w:cs="Arial" w:eastAsia="Arial" w:hAnsi="Arial"/>
                <w:sz w:val="18"/>
                <w:szCs w:val="18"/>
                <w:b w:val="1"/>
                <w:bCs w:val="1"/>
                <w:color w:val="auto"/>
              </w:rPr>
              <w:t>$41,749</w:t>
            </w:r>
          </w:p>
        </w:tc>
        <w:tc>
          <w:tcPr>
            <w:tcW w:w="12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$17,658</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$30,977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0"/>
              <w:spacing w:after="0" w:line="202" w:lineRule="exact"/>
              <w:rPr>
                <w:sz w:val="20"/>
                <w:szCs w:val="20"/>
                <w:color w:val="auto"/>
              </w:rPr>
            </w:pPr>
            <w:r>
              <w:rPr>
                <w:rFonts w:ascii="Arial" w:cs="Arial" w:eastAsia="Arial" w:hAnsi="Arial"/>
                <w:sz w:val="18"/>
                <w:szCs w:val="18"/>
                <w:color w:val="auto"/>
              </w:rPr>
              <w:t>Other comprehensive income, before tax:</w:t>
            </w:r>
          </w:p>
        </w:tc>
        <w:tc>
          <w:tcPr>
            <w:tcW w:w="1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(54,850)</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380"/>
              <w:spacing w:after="0" w:line="181" w:lineRule="exact"/>
              <w:rPr>
                <w:sz w:val="20"/>
                <w:szCs w:val="20"/>
                <w:color w:val="auto"/>
              </w:rPr>
            </w:pPr>
            <w:r>
              <w:rPr>
                <w:rFonts w:ascii="Arial" w:cs="Arial" w:eastAsia="Arial" w:hAnsi="Arial"/>
                <w:sz w:val="18"/>
                <w:szCs w:val="18"/>
                <w:color w:val="auto"/>
              </w:rPr>
              <w:t>Foreign currency translation adjustments</w:t>
            </w:r>
          </w:p>
        </w:tc>
        <w:tc>
          <w:tcPr>
            <w:tcW w:w="1960" w:type="dxa"/>
            <w:vAlign w:val="bottom"/>
            <w:vMerge w:val="continue"/>
          </w:tcPr>
          <w:p>
            <w:pPr>
              <w:spacing w:after="0"/>
              <w:rPr>
                <w:sz w:val="15"/>
                <w:szCs w:val="15"/>
                <w:color w:val="auto"/>
              </w:rPr>
            </w:pPr>
          </w:p>
        </w:tc>
        <w:tc>
          <w:tcPr>
            <w:tcW w:w="12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8,135</w:t>
            </w: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8,377</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118,350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9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(14,707)</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20,500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(48,233)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40" w:type="dxa"/>
            <w:vAlign w:val="bottom"/>
          </w:tcPr>
          <w:p>
            <w:pPr>
              <w:ind w:left="380"/>
              <w:spacing w:after="0"/>
              <w:rPr>
                <w:sz w:val="20"/>
                <w:szCs w:val="20"/>
                <w:color w:val="auto"/>
              </w:rPr>
            </w:pPr>
            <w:r>
              <w:rPr>
                <w:rFonts w:ascii="Arial" w:cs="Arial" w:eastAsia="Arial" w:hAnsi="Arial"/>
                <w:sz w:val="18"/>
                <w:szCs w:val="18"/>
                <w:color w:val="auto"/>
              </w:rPr>
              <w:t>Pension/postretirement plan amendments</w:t>
            </w: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7,361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540"/>
              <w:spacing w:after="0" w:line="181" w:lineRule="exact"/>
              <w:rPr>
                <w:sz w:val="20"/>
                <w:szCs w:val="20"/>
                <w:color w:val="auto"/>
              </w:rPr>
            </w:pPr>
            <w:r>
              <w:rPr>
                <w:rFonts w:ascii="Arial" w:cs="Arial" w:eastAsia="Arial" w:hAnsi="Arial"/>
                <w:sz w:val="18"/>
                <w:szCs w:val="18"/>
                <w:color w:val="auto"/>
              </w:rPr>
              <w:t>Transition obligation</w:t>
            </w:r>
          </w:p>
        </w:tc>
        <w:tc>
          <w:tcPr>
            <w:tcW w:w="1960" w:type="dxa"/>
            <w:vAlign w:val="bottom"/>
            <w:vMerge w:val="continue"/>
          </w:tcPr>
          <w:p>
            <w:pPr>
              <w:spacing w:after="0"/>
              <w:rPr>
                <w:sz w:val="15"/>
                <w:szCs w:val="15"/>
                <w:color w:val="auto"/>
              </w:rPr>
            </w:pPr>
          </w:p>
        </w:tc>
        <w:tc>
          <w:tcPr>
            <w:tcW w:w="12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70</w:t>
            </w: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540"/>
              <w:spacing w:after="0" w:line="202" w:lineRule="exact"/>
              <w:rPr>
                <w:sz w:val="20"/>
                <w:szCs w:val="20"/>
                <w:color w:val="auto"/>
              </w:rPr>
            </w:pPr>
            <w:r>
              <w:rPr>
                <w:rFonts w:ascii="Arial" w:cs="Arial" w:eastAsia="Arial" w:hAnsi="Arial"/>
                <w:sz w:val="18"/>
                <w:szCs w:val="18"/>
                <w:color w:val="auto"/>
              </w:rPr>
              <w:t>Prior service (credit)/cost</w:t>
            </w:r>
          </w:p>
        </w:tc>
        <w:tc>
          <w:tcPr>
            <w:tcW w:w="19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(4,436)</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(3,905)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540"/>
              <w:spacing w:after="0" w:line="202" w:lineRule="exact"/>
              <w:rPr>
                <w:sz w:val="20"/>
                <w:szCs w:val="20"/>
                <w:color w:val="auto"/>
              </w:rPr>
            </w:pPr>
            <w:r>
              <w:rPr>
                <w:rFonts w:ascii="Arial" w:cs="Arial" w:eastAsia="Arial" w:hAnsi="Arial"/>
                <w:sz w:val="18"/>
                <w:szCs w:val="18"/>
                <w:color w:val="auto"/>
              </w:rPr>
              <w:t>Net actuarial loss</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5,329</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6,512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1,914</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1,900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40" w:type="dxa"/>
            <w:vAlign w:val="bottom"/>
          </w:tcPr>
          <w:p>
            <w:pPr>
              <w:ind w:left="380"/>
              <w:spacing w:after="0"/>
              <w:rPr>
                <w:sz w:val="20"/>
                <w:szCs w:val="20"/>
                <w:color w:val="auto"/>
              </w:rPr>
            </w:pPr>
            <w:r>
              <w:rPr>
                <w:rFonts w:ascii="Arial" w:cs="Arial" w:eastAsia="Arial" w:hAnsi="Arial"/>
                <w:sz w:val="18"/>
                <w:szCs w:val="18"/>
                <w:color w:val="auto"/>
              </w:rPr>
              <w:t>Derivative valuation adjustment</w:t>
            </w:r>
          </w:p>
        </w:tc>
        <w:tc>
          <w:tcPr>
            <w:tcW w:w="1960" w:type="dxa"/>
            <w:vAlign w:val="bottom"/>
          </w:tcPr>
          <w:p>
            <w:pPr>
              <w:jc w:val="right"/>
              <w:ind w:right="110"/>
              <w:spacing w:after="0"/>
              <w:rPr>
                <w:sz w:val="20"/>
                <w:szCs w:val="20"/>
                <w:color w:val="auto"/>
              </w:rPr>
            </w:pPr>
            <w:r>
              <w:rPr>
                <w:rFonts w:ascii="Arial" w:cs="Arial" w:eastAsia="Arial" w:hAnsi="Arial"/>
                <w:sz w:val="18"/>
                <w:szCs w:val="18"/>
                <w:b w:val="1"/>
                <w:bCs w:val="1"/>
                <w:color w:val="auto"/>
              </w:rPr>
              <w:t>(1,724)</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1,216</w:t>
            </w:r>
          </w:p>
        </w:tc>
        <w:tc>
          <w:tcPr>
            <w:tcW w:w="1120" w:type="dxa"/>
            <w:vAlign w:val="bottom"/>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040" w:type="dxa"/>
            <w:vAlign w:val="bottom"/>
          </w:tcPr>
          <w:p>
            <w:pPr>
              <w:ind w:left="40"/>
              <w:spacing w:after="0"/>
              <w:rPr>
                <w:sz w:val="20"/>
                <w:szCs w:val="20"/>
                <w:color w:val="auto"/>
              </w:rPr>
            </w:pPr>
            <w:r>
              <w:rPr>
                <w:rFonts w:ascii="Arial" w:cs="Arial" w:eastAsia="Arial" w:hAnsi="Arial"/>
                <w:sz w:val="18"/>
                <w:szCs w:val="18"/>
                <w:color w:val="auto"/>
              </w:rPr>
              <w:t>Income taxes related to items of other comprehensive income:</w:t>
            </w:r>
          </w:p>
        </w:tc>
        <w:tc>
          <w:tcPr>
            <w:tcW w:w="1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(3,210)</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38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1960" w:type="dxa"/>
            <w:vAlign w:val="bottom"/>
            <w:vMerge w:val="continue"/>
          </w:tcPr>
          <w:p>
            <w:pPr>
              <w:spacing w:after="0"/>
              <w:rPr>
                <w:sz w:val="15"/>
                <w:szCs w:val="15"/>
                <w:color w:val="auto"/>
              </w:rPr>
            </w:pPr>
          </w:p>
        </w:tc>
        <w:tc>
          <w:tcPr>
            <w:tcW w:w="128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(18)</w:t>
            </w: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(39,146)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5,442</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(6,757)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Pension/postretirement plan amendments</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(2,871)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9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(330)</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(451)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8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9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(746)</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(741)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Derivative valuation adjustment</w:t>
            </w: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672</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40" w:type="dxa"/>
            <w:vAlign w:val="bottom"/>
          </w:tcPr>
          <w:p>
            <w:pPr>
              <w:spacing w:after="0" w:line="173" w:lineRule="exact"/>
              <w:rPr>
                <w:sz w:val="20"/>
                <w:szCs w:val="20"/>
                <w:color w:val="auto"/>
              </w:rPr>
            </w:pPr>
            <w:r>
              <w:rPr>
                <w:rFonts w:ascii="Arial" w:cs="Arial" w:eastAsia="Arial" w:hAnsi="Arial"/>
                <w:sz w:val="18"/>
                <w:szCs w:val="18"/>
                <w:color w:val="auto"/>
              </w:rPr>
              <w:t>Comprehensive (loss)/income</w:t>
            </w:r>
          </w:p>
        </w:tc>
        <w:tc>
          <w:tcPr>
            <w:tcW w:w="196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(16,520)</w:t>
            </w:r>
          </w:p>
        </w:tc>
        <w:tc>
          <w:tcPr>
            <w:tcW w:w="128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48,181</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90,765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and comprehensive loss attributable to the noncontrolling interest</w:t>
            </w: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178</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(loss)/income attributable to the Company</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($16,342)</w:t>
            </w:r>
          </w:p>
        </w:tc>
        <w:tc>
          <w:tcPr>
            <w:tcW w:w="12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$48,181</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Albany International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 December 31,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13"/>
        </w:trPr>
        <w:tc>
          <w:tcPr>
            <w:tcW w:w="85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500" w:type="dxa"/>
            <w:vAlign w:val="bottom"/>
          </w:tcPr>
          <w:p>
            <w:pPr>
              <w:spacing w:after="0"/>
              <w:rPr>
                <w:sz w:val="20"/>
                <w:szCs w:val="20"/>
                <w:color w:val="auto"/>
              </w:rPr>
            </w:pPr>
            <w:r>
              <w:rPr>
                <w:rFonts w:ascii="Arial" w:cs="Arial" w:eastAsia="Arial" w:hAnsi="Arial"/>
                <w:sz w:val="16"/>
                <w:szCs w:val="16"/>
                <w:color w:val="auto"/>
              </w:rPr>
              <w:t>Current assets:</w:t>
            </w:r>
          </w:p>
        </w:tc>
        <w:tc>
          <w:tcPr>
            <w:tcW w:w="19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$179,802</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$222,666</w:t>
            </w:r>
          </w:p>
        </w:tc>
        <w:tc>
          <w:tcPr>
            <w:tcW w:w="0" w:type="dxa"/>
            <w:vAlign w:val="bottom"/>
          </w:tcPr>
          <w:p>
            <w:pPr>
              <w:spacing w:after="0"/>
              <w:rPr>
                <w:sz w:val="1"/>
                <w:szCs w:val="1"/>
                <w:color w:val="auto"/>
              </w:rPr>
            </w:pPr>
          </w:p>
        </w:tc>
      </w:tr>
      <w:tr>
        <w:trPr>
          <w:trHeight w:val="169"/>
        </w:trPr>
        <w:tc>
          <w:tcPr>
            <w:tcW w:w="8500" w:type="dxa"/>
            <w:vAlign w:val="bottom"/>
          </w:tcPr>
          <w:p>
            <w:pPr>
              <w:spacing w:after="0" w:line="169" w:lineRule="exact"/>
              <w:rPr>
                <w:sz w:val="20"/>
                <w:szCs w:val="20"/>
                <w:color w:val="auto"/>
              </w:rPr>
            </w:pPr>
            <w:r>
              <w:rPr>
                <w:rFonts w:ascii="Arial" w:cs="Arial" w:eastAsia="Arial" w:hAnsi="Arial"/>
                <w:sz w:val="16"/>
                <w:szCs w:val="16"/>
                <w:color w:val="auto"/>
              </w:rPr>
              <w:t>Cash and cash equivalents</w:t>
            </w:r>
          </w:p>
        </w:tc>
        <w:tc>
          <w:tcPr>
            <w:tcW w:w="1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158,237</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163,547</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Inventories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107,274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112,739</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6,743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12,905</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Prepaid expenses and other current assets</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8,074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9,659</w:t>
            </w:r>
          </w:p>
        </w:tc>
        <w:tc>
          <w:tcPr>
            <w:tcW w:w="0" w:type="dxa"/>
            <w:vAlign w:val="bottom"/>
          </w:tcPr>
          <w:p>
            <w:pPr>
              <w:spacing w:after="0"/>
              <w:rPr>
                <w:sz w:val="1"/>
                <w:szCs w:val="1"/>
                <w:color w:val="auto"/>
              </w:rPr>
            </w:pPr>
          </w:p>
        </w:tc>
      </w:tr>
      <w:tr>
        <w:trPr>
          <w:trHeight w:val="208"/>
        </w:trPr>
        <w:tc>
          <w:tcPr>
            <w:tcW w:w="850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460,130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521,516</w:t>
            </w:r>
          </w:p>
        </w:tc>
        <w:tc>
          <w:tcPr>
            <w:tcW w:w="0" w:type="dxa"/>
            <w:vAlign w:val="bottom"/>
          </w:tcPr>
          <w:p>
            <w:pPr>
              <w:spacing w:after="0"/>
              <w:rPr>
                <w:sz w:val="1"/>
                <w:szCs w:val="1"/>
                <w:color w:val="auto"/>
              </w:rPr>
            </w:pPr>
          </w:p>
        </w:tc>
      </w:tr>
      <w:tr>
        <w:trPr>
          <w:trHeight w:val="348"/>
        </w:trPr>
        <w:tc>
          <w:tcPr>
            <w:tcW w:w="85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395,113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418,830</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Intangibles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385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616</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Goodwill</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71,680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78,890</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Income taxes receivable and deferred</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69,540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79,849</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32,456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26,456</w:t>
            </w:r>
          </w:p>
        </w:tc>
        <w:tc>
          <w:tcPr>
            <w:tcW w:w="0" w:type="dxa"/>
            <w:vAlign w:val="bottom"/>
          </w:tcPr>
          <w:p>
            <w:pPr>
              <w:spacing w:after="0"/>
              <w:rPr>
                <w:sz w:val="1"/>
                <w:szCs w:val="1"/>
                <w:color w:val="auto"/>
              </w:rPr>
            </w:pPr>
          </w:p>
        </w:tc>
      </w:tr>
      <w:tr>
        <w:trPr>
          <w:trHeight w:val="183"/>
        </w:trPr>
        <w:tc>
          <w:tcPr>
            <w:tcW w:w="8500" w:type="dxa"/>
            <w:vAlign w:val="bottom"/>
            <w:tcBorders>
              <w:bottom w:val="single" w:sz="8" w:color="auto"/>
            </w:tcBorders>
          </w:tcPr>
          <w:p>
            <w:pPr>
              <w:ind w:left="280"/>
              <w:spacing w:after="0" w:line="183" w:lineRule="exact"/>
              <w:rPr>
                <w:sz w:val="20"/>
                <w:szCs w:val="20"/>
                <w:color w:val="auto"/>
              </w:rPr>
            </w:pPr>
            <w:r>
              <w:rPr>
                <w:rFonts w:ascii="Arial" w:cs="Arial" w:eastAsia="Arial" w:hAnsi="Arial"/>
                <w:sz w:val="16"/>
                <w:szCs w:val="16"/>
                <w:color w:val="auto"/>
              </w:rPr>
              <w:t>Total assets</w:t>
            </w:r>
          </w:p>
        </w:tc>
        <w:tc>
          <w:tcPr>
            <w:tcW w:w="19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$1,029,304</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$1,126,157</w:t>
            </w:r>
          </w:p>
        </w:tc>
        <w:tc>
          <w:tcPr>
            <w:tcW w:w="0" w:type="dxa"/>
            <w:vAlign w:val="bottom"/>
          </w:tcPr>
          <w:p>
            <w:pPr>
              <w:spacing w:after="0"/>
              <w:rPr>
                <w:sz w:val="1"/>
                <w:szCs w:val="1"/>
                <w:color w:val="auto"/>
              </w:rPr>
            </w:pPr>
          </w:p>
        </w:tc>
      </w:tr>
      <w:tr>
        <w:trPr>
          <w:trHeight w:val="406"/>
        </w:trPr>
        <w:tc>
          <w:tcPr>
            <w:tcW w:w="85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500" w:type="dxa"/>
            <w:vAlign w:val="bottom"/>
          </w:tcPr>
          <w:p>
            <w:pPr>
              <w:spacing w:after="0"/>
              <w:rPr>
                <w:sz w:val="20"/>
                <w:szCs w:val="20"/>
                <w:color w:val="auto"/>
              </w:rPr>
            </w:pPr>
            <w:r>
              <w:rPr>
                <w:rFonts w:ascii="Arial" w:cs="Arial" w:eastAsia="Arial" w:hAnsi="Arial"/>
                <w:sz w:val="16"/>
                <w:szCs w:val="16"/>
                <w:color w:val="auto"/>
              </w:rPr>
              <w:t>Current liabilities:</w:t>
            </w:r>
          </w:p>
        </w:tc>
        <w:tc>
          <w:tcPr>
            <w:tcW w:w="19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$661</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$625</w:t>
            </w:r>
          </w:p>
        </w:tc>
        <w:tc>
          <w:tcPr>
            <w:tcW w:w="0" w:type="dxa"/>
            <w:vAlign w:val="bottom"/>
          </w:tcPr>
          <w:p>
            <w:pPr>
              <w:spacing w:after="0"/>
              <w:rPr>
                <w:sz w:val="1"/>
                <w:szCs w:val="1"/>
                <w:color w:val="auto"/>
              </w:rPr>
            </w:pPr>
          </w:p>
        </w:tc>
      </w:tr>
      <w:tr>
        <w:trPr>
          <w:trHeight w:val="169"/>
        </w:trPr>
        <w:tc>
          <w:tcPr>
            <w:tcW w:w="8500" w:type="dxa"/>
            <w:vAlign w:val="bottom"/>
          </w:tcPr>
          <w:p>
            <w:pPr>
              <w:spacing w:after="0" w:line="169" w:lineRule="exact"/>
              <w:rPr>
                <w:sz w:val="20"/>
                <w:szCs w:val="20"/>
                <w:color w:val="auto"/>
              </w:rPr>
            </w:pPr>
            <w:r>
              <w:rPr>
                <w:rFonts w:ascii="Arial" w:cs="Arial" w:eastAsia="Arial" w:hAnsi="Arial"/>
                <w:sz w:val="16"/>
                <w:szCs w:val="16"/>
                <w:color w:val="auto"/>
              </w:rPr>
              <w:t>Notes and loans payable</w:t>
            </w:r>
          </w:p>
        </w:tc>
        <w:tc>
          <w:tcPr>
            <w:tcW w:w="1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Accounts payable</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34,787</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36,397</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Accrued liabilities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95,149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112,331</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50,015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3,764</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taxes payable and deferred</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4,429</w:t>
            </w:r>
          </w:p>
        </w:tc>
        <w:tc>
          <w:tcPr>
            <w:tcW w:w="0" w:type="dxa"/>
            <w:vAlign w:val="bottom"/>
          </w:tcPr>
          <w:p>
            <w:pPr>
              <w:spacing w:after="0"/>
              <w:rPr>
                <w:sz w:val="1"/>
                <w:szCs w:val="1"/>
                <w:color w:val="auto"/>
              </w:rPr>
            </w:pPr>
          </w:p>
        </w:tc>
      </w:tr>
      <w:tr>
        <w:trPr>
          <w:trHeight w:val="208"/>
        </w:trPr>
        <w:tc>
          <w:tcPr>
            <w:tcW w:w="850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183,398</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157,546</w:t>
            </w:r>
          </w:p>
        </w:tc>
        <w:tc>
          <w:tcPr>
            <w:tcW w:w="0" w:type="dxa"/>
            <w:vAlign w:val="bottom"/>
          </w:tcPr>
          <w:p>
            <w:pPr>
              <w:spacing w:after="0"/>
              <w:rPr>
                <w:sz w:val="1"/>
                <w:szCs w:val="1"/>
                <w:color w:val="auto"/>
              </w:rPr>
            </w:pPr>
          </w:p>
        </w:tc>
      </w:tr>
      <w:tr>
        <w:trPr>
          <w:trHeight w:val="348"/>
        </w:trPr>
        <w:tc>
          <w:tcPr>
            <w:tcW w:w="8500" w:type="dxa"/>
            <w:vAlign w:val="bottom"/>
          </w:tcPr>
          <w:p>
            <w:pPr>
              <w:spacing w:after="0"/>
              <w:rPr>
                <w:sz w:val="20"/>
                <w:szCs w:val="20"/>
                <w:color w:val="auto"/>
              </w:rPr>
            </w:pPr>
            <w:r>
              <w:rPr>
                <w:rFonts w:ascii="Arial" w:cs="Arial" w:eastAsia="Arial" w:hAnsi="Arial"/>
                <w:sz w:val="16"/>
                <w:szCs w:val="16"/>
                <w:color w:val="auto"/>
              </w:rPr>
              <w:t>Long-term debt</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222,096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300,111</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103,079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106,014</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taxes and other credits</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7,163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14,707</w:t>
            </w:r>
          </w:p>
        </w:tc>
        <w:tc>
          <w:tcPr>
            <w:tcW w:w="0" w:type="dxa"/>
            <w:vAlign w:val="bottom"/>
          </w:tcPr>
          <w:p>
            <w:pPr>
              <w:spacing w:after="0"/>
              <w:rPr>
                <w:sz w:val="1"/>
                <w:szCs w:val="1"/>
                <w:color w:val="auto"/>
              </w:rPr>
            </w:pPr>
          </w:p>
        </w:tc>
      </w:tr>
      <w:tr>
        <w:trPr>
          <w:trHeight w:val="183"/>
        </w:trPr>
        <w:tc>
          <w:tcPr>
            <w:tcW w:w="8500" w:type="dxa"/>
            <w:vAlign w:val="bottom"/>
            <w:tcBorders>
              <w:bottom w:val="single" w:sz="8" w:color="auto"/>
            </w:tcBorders>
          </w:tcPr>
          <w:p>
            <w:pPr>
              <w:ind w:left="280"/>
              <w:spacing w:after="0" w:line="183" w:lineRule="exact"/>
              <w:rPr>
                <w:sz w:val="20"/>
                <w:szCs w:val="20"/>
                <w:color w:val="auto"/>
              </w:rPr>
            </w:pPr>
            <w:r>
              <w:rPr>
                <w:rFonts w:ascii="Arial" w:cs="Arial" w:eastAsia="Arial" w:hAnsi="Arial"/>
                <w:sz w:val="16"/>
                <w:szCs w:val="16"/>
                <w:color w:val="auto"/>
              </w:rPr>
              <w:t>Total liabilities</w:t>
            </w:r>
          </w:p>
        </w:tc>
        <w:tc>
          <w:tcPr>
            <w:tcW w:w="19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515,736</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578,378</w:t>
            </w:r>
          </w:p>
        </w:tc>
        <w:tc>
          <w:tcPr>
            <w:tcW w:w="0" w:type="dxa"/>
            <w:vAlign w:val="bottom"/>
          </w:tcPr>
          <w:p>
            <w:pPr>
              <w:spacing w:after="0"/>
              <w:rPr>
                <w:sz w:val="1"/>
                <w:szCs w:val="1"/>
                <w:color w:val="auto"/>
              </w:rPr>
            </w:pPr>
          </w:p>
        </w:tc>
      </w:tr>
      <w:tr>
        <w:trPr>
          <w:trHeight w:val="406"/>
        </w:trPr>
        <w:tc>
          <w:tcPr>
            <w:tcW w:w="850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850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9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8500" w:type="dxa"/>
            <w:vAlign w:val="bottom"/>
          </w:tcPr>
          <w:p>
            <w:pPr>
              <w:ind w:left="60"/>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1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60"/>
              <w:spacing w:after="0"/>
              <w:rPr>
                <w:sz w:val="20"/>
                <w:szCs w:val="20"/>
                <w:color w:val="auto"/>
              </w:rPr>
            </w:pPr>
            <w:r>
              <w:rPr>
                <w:rFonts w:ascii="Arial" w:cs="Arial" w:eastAsia="Arial" w:hAnsi="Arial"/>
                <w:sz w:val="16"/>
                <w:szCs w:val="16"/>
                <w:color w:val="auto"/>
              </w:rPr>
              <w:t>Class A Common Stock, par value $.001 per share; authorized 100,000,000 shares; issued 37,085,489 in 2014 and</w:t>
            </w:r>
          </w:p>
        </w:tc>
        <w:tc>
          <w:tcPr>
            <w:tcW w:w="19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37</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36,996,227 in 2013</w:t>
            </w:r>
          </w:p>
        </w:tc>
        <w:tc>
          <w:tcPr>
            <w:tcW w:w="1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00" w:type="dxa"/>
            <w:vAlign w:val="bottom"/>
          </w:tcPr>
          <w:p>
            <w:pPr>
              <w:ind w:left="60"/>
              <w:spacing w:after="0" w:line="169" w:lineRule="exact"/>
              <w:rPr>
                <w:sz w:val="20"/>
                <w:szCs w:val="20"/>
                <w:color w:val="auto"/>
              </w:rPr>
            </w:pPr>
            <w:r>
              <w:rPr>
                <w:rFonts w:ascii="Arial" w:cs="Arial" w:eastAsia="Arial" w:hAnsi="Arial"/>
                <w:sz w:val="16"/>
                <w:szCs w:val="16"/>
                <w:color w:val="auto"/>
              </w:rPr>
              <w:t>Class B Common Stock, par value $.001 per share; authorized 25,000,000 shares; issued and outstanding 3,235,048</w:t>
            </w:r>
          </w:p>
        </w:tc>
        <w:tc>
          <w:tcPr>
            <w:tcW w:w="1940" w:type="dxa"/>
            <w:vAlign w:val="bottom"/>
          </w:tcPr>
          <w:p>
            <w:pPr>
              <w:jc w:val="right"/>
              <w:ind w:right="1279"/>
              <w:spacing w:after="0" w:line="169" w:lineRule="exact"/>
              <w:rPr>
                <w:sz w:val="20"/>
                <w:szCs w:val="20"/>
                <w:color w:val="auto"/>
              </w:rPr>
            </w:pPr>
            <w:r>
              <w:rPr>
                <w:rFonts w:ascii="Arial" w:cs="Arial" w:eastAsia="Arial" w:hAnsi="Arial"/>
                <w:sz w:val="16"/>
                <w:szCs w:val="16"/>
                <w:color w:val="auto"/>
              </w:rPr>
              <w:t>in 2014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and 3,236,048 2013</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418,972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416,728</w:t>
            </w:r>
          </w:p>
        </w:tc>
        <w:tc>
          <w:tcPr>
            <w:tcW w:w="0" w:type="dxa"/>
            <w:vAlign w:val="bottom"/>
          </w:tcPr>
          <w:p>
            <w:pPr>
              <w:spacing w:after="0"/>
              <w:rPr>
                <w:sz w:val="1"/>
                <w:szCs w:val="1"/>
                <w:color w:val="auto"/>
              </w:rPr>
            </w:pPr>
          </w:p>
        </w:tc>
      </w:t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Retained earnings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456,105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434,598</w:t>
            </w:r>
          </w:p>
        </w:tc>
        <w:tc>
          <w:tcPr>
            <w:tcW w:w="0" w:type="dxa"/>
            <w:vAlign w:val="bottom"/>
          </w:tcPr>
          <w:p>
            <w:pPr>
              <w:spacing w:after="0"/>
              <w:rPr>
                <w:sz w:val="1"/>
                <w:szCs w:val="1"/>
                <w:color w:val="auto"/>
              </w:rPr>
            </w:pPr>
          </w:p>
        </w:tc>
      </w:tr>
      <w:tr>
        <w:trPr>
          <w:trHeight w:val="197"/>
        </w:trPr>
        <w:tc>
          <w:tcPr>
            <w:tcW w:w="8500" w:type="dxa"/>
            <w:vAlign w:val="bottom"/>
          </w:tcPr>
          <w:p>
            <w:pPr>
              <w:spacing w:after="0"/>
              <w:rPr>
                <w:sz w:val="20"/>
                <w:szCs w:val="20"/>
                <w:color w:val="auto"/>
              </w:rPr>
            </w:pPr>
            <w:r>
              <w:rPr>
                <w:rFonts w:ascii="Arial" w:cs="Arial" w:eastAsia="Arial" w:hAnsi="Arial"/>
                <w:sz w:val="16"/>
                <w:szCs w:val="16"/>
                <w:color w:val="auto"/>
              </w:rPr>
              <w:t>Accumulated items of other comprehensive income:</w:t>
            </w:r>
          </w:p>
        </w:tc>
        <w:tc>
          <w:tcPr>
            <w:tcW w:w="19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(55,240)</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169"/>
        </w:trPr>
        <w:tc>
          <w:tcPr>
            <w:tcW w:w="8500" w:type="dxa"/>
            <w:vAlign w:val="bottom"/>
          </w:tcPr>
          <w:p>
            <w:pPr>
              <w:ind w:left="240"/>
              <w:spacing w:after="0" w:line="169" w:lineRule="exact"/>
              <w:rPr>
                <w:sz w:val="20"/>
                <w:szCs w:val="20"/>
                <w:color w:val="auto"/>
              </w:rPr>
            </w:pPr>
            <w:r>
              <w:rPr>
                <w:rFonts w:ascii="Arial" w:cs="Arial" w:eastAsia="Arial" w:hAnsi="Arial"/>
                <w:sz w:val="16"/>
                <w:szCs w:val="16"/>
                <w:color w:val="auto"/>
              </w:rPr>
              <w:t>Translation adjustments</w:t>
            </w:r>
          </w:p>
        </w:tc>
        <w:tc>
          <w:tcPr>
            <w:tcW w:w="1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240"/>
              <w:spacing w:after="0"/>
              <w:rPr>
                <w:sz w:val="20"/>
                <w:szCs w:val="20"/>
                <w:color w:val="auto"/>
              </w:rPr>
            </w:pPr>
            <w:r>
              <w:rPr>
                <w:rFonts w:ascii="Arial" w:cs="Arial" w:eastAsia="Arial" w:hAnsi="Arial"/>
                <w:sz w:val="16"/>
                <w:szCs w:val="16"/>
                <w:color w:val="auto"/>
              </w:rPr>
              <w:t>Pension and postretirement liability adjustments</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(51,666)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(48,383)</w:t>
            </w:r>
          </w:p>
        </w:tc>
        <w:tc>
          <w:tcPr>
            <w:tcW w:w="0" w:type="dxa"/>
            <w:vAlign w:val="bottom"/>
          </w:tcPr>
          <w:p>
            <w:pPr>
              <w:spacing w:after="0"/>
              <w:rPr>
                <w:sz w:val="1"/>
                <w:szCs w:val="1"/>
                <w:color w:val="auto"/>
              </w:rPr>
            </w:pPr>
          </w:p>
        </w:tc>
      </w:tr>
      <w:tr>
        <w:trPr>
          <w:trHeight w:val="189"/>
        </w:trPr>
        <w:tc>
          <w:tcPr>
            <w:tcW w:w="8500" w:type="dxa"/>
            <w:vAlign w:val="bottom"/>
          </w:tcPr>
          <w:p>
            <w:pPr>
              <w:ind w:left="240"/>
              <w:spacing w:after="0"/>
              <w:rPr>
                <w:sz w:val="20"/>
                <w:szCs w:val="20"/>
                <w:color w:val="auto"/>
              </w:rPr>
            </w:pPr>
            <w:r>
              <w:rPr>
                <w:rFonts w:ascii="Arial" w:cs="Arial" w:eastAsia="Arial" w:hAnsi="Arial"/>
                <w:sz w:val="16"/>
                <w:szCs w:val="16"/>
                <w:color w:val="auto"/>
              </w:rPr>
              <w:t>Derivative valuation adjustment</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(861)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(977)</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Treasury stock (Class A), at cost; 8,459,498 shares in 2014 and 8,463,635 shares in 2013</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(257,481)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(257,571)</w:t>
            </w:r>
          </w:p>
        </w:tc>
        <w:tc>
          <w:tcPr>
            <w:tcW w:w="0" w:type="dxa"/>
            <w:vAlign w:val="bottom"/>
          </w:tcPr>
          <w:p>
            <w:pPr>
              <w:spacing w:after="0"/>
              <w:rPr>
                <w:sz w:val="1"/>
                <w:szCs w:val="1"/>
                <w:color w:val="auto"/>
              </w:rPr>
            </w:pPr>
          </w:p>
        </w:tc>
      </w:tr>
      <w:tr>
        <w:trPr>
          <w:trHeight w:val="164"/>
        </w:trPr>
        <w:tc>
          <w:tcPr>
            <w:tcW w:w="8500" w:type="dxa"/>
            <w:vAlign w:val="bottom"/>
          </w:tcPr>
          <w:p>
            <w:pPr>
              <w:ind w:left="460"/>
              <w:spacing w:after="0" w:line="165" w:lineRule="exact"/>
              <w:rPr>
                <w:sz w:val="20"/>
                <w:szCs w:val="20"/>
                <w:color w:val="auto"/>
              </w:rPr>
            </w:pPr>
            <w:r>
              <w:rPr>
                <w:rFonts w:ascii="Arial" w:cs="Arial" w:eastAsia="Arial" w:hAnsi="Arial"/>
                <w:sz w:val="16"/>
                <w:szCs w:val="16"/>
                <w:color w:val="auto"/>
              </w:rPr>
              <w:t>Total Company shareholders' equity</w:t>
            </w:r>
          </w:p>
        </w:tc>
        <w:tc>
          <w:tcPr>
            <w:tcW w:w="194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auto"/>
              </w:rPr>
              <w:t>509,869</w:t>
            </w:r>
          </w:p>
        </w:tc>
        <w:tc>
          <w:tcPr>
            <w:tcW w:w="9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544,297</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3,699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3,482</w:t>
            </w:r>
          </w:p>
        </w:tc>
        <w:tc>
          <w:tcPr>
            <w:tcW w:w="0" w:type="dxa"/>
            <w:vAlign w:val="bottom"/>
          </w:tcPr>
          <w:p>
            <w:pPr>
              <w:spacing w:after="0"/>
              <w:rPr>
                <w:sz w:val="1"/>
                <w:szCs w:val="1"/>
                <w:color w:val="auto"/>
              </w:rPr>
            </w:pPr>
          </w:p>
        </w:tc>
      </w:tr>
      <w:tr>
        <w:trPr>
          <w:trHeight w:val="183"/>
        </w:trPr>
        <w:tc>
          <w:tcPr>
            <w:tcW w:w="8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Equity</w:t>
            </w:r>
          </w:p>
        </w:tc>
        <w:tc>
          <w:tcPr>
            <w:tcW w:w="19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513,568</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547,779</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liabilities and shareholders' equity</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$1,029,304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$1,126,157</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0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Albany International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ind w:left="4540"/>
              <w:spacing w:after="0"/>
              <w:rPr>
                <w:sz w:val="20"/>
                <w:szCs w:val="20"/>
                <w:color w:val="auto"/>
              </w:rPr>
            </w:pPr>
            <w:r>
              <w:rPr>
                <w:rFonts w:ascii="Arial" w:cs="Arial" w:eastAsia="Arial" w:hAnsi="Arial"/>
                <w:sz w:val="14"/>
                <w:szCs w:val="14"/>
                <w:b w:val="1"/>
                <w:bCs w:val="1"/>
                <w:color w:val="auto"/>
              </w:rPr>
              <w:t>For the years ended December 31,</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60" w:type="dxa"/>
            <w:vAlign w:val="bottom"/>
          </w:tcPr>
          <w:p>
            <w:pPr>
              <w:ind w:left="522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vMerge w:val="restart"/>
          </w:tcPr>
          <w:p>
            <w:pPr>
              <w:jc w:val="right"/>
              <w:ind w:right="728"/>
              <w:spacing w:after="0"/>
              <w:rPr>
                <w:sz w:val="20"/>
                <w:szCs w:val="20"/>
                <w:color w:val="auto"/>
              </w:rPr>
            </w:pPr>
            <w:r>
              <w:rPr>
                <w:rFonts w:ascii="Arial" w:cs="Arial" w:eastAsia="Arial" w:hAnsi="Arial"/>
                <w:sz w:val="14"/>
                <w:szCs w:val="14"/>
                <w:b w:val="1"/>
                <w:bCs w:val="1"/>
                <w:color w:val="auto"/>
              </w:rPr>
              <w:t>2014</w:t>
            </w:r>
          </w:p>
        </w:tc>
        <w:tc>
          <w:tcPr>
            <w:tcW w:w="136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2013</w:t>
            </w:r>
          </w:p>
        </w:tc>
        <w:tc>
          <w:tcPr>
            <w:tcW w:w="11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4"/>
        </w:trPr>
        <w:tc>
          <w:tcPr>
            <w:tcW w:w="73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736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tcPr>
          <w:p>
            <w:pPr>
              <w:spacing w:after="0"/>
              <w:rPr>
                <w:sz w:val="20"/>
                <w:szCs w:val="20"/>
                <w:color w:val="auto"/>
              </w:rPr>
            </w:pPr>
            <w:r>
              <w:rPr>
                <w:rFonts w:ascii="Arial" w:cs="Arial" w:eastAsia="Arial" w:hAnsi="Arial"/>
                <w:sz w:val="14"/>
                <w:szCs w:val="14"/>
                <w:color w:val="auto"/>
              </w:rPr>
              <w:t>Net income</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$41,749</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$17,658</w:t>
            </w:r>
          </w:p>
        </w:tc>
        <w:tc>
          <w:tcPr>
            <w:tcW w:w="1100" w:type="dxa"/>
            <w:vAlign w:val="bottom"/>
          </w:tcPr>
          <w:p>
            <w:pPr>
              <w:jc w:val="right"/>
              <w:spacing w:after="0"/>
              <w:rPr>
                <w:sz w:val="20"/>
                <w:szCs w:val="20"/>
                <w:color w:val="auto"/>
              </w:rPr>
            </w:pPr>
            <w:r>
              <w:rPr>
                <w:rFonts w:ascii="Arial" w:cs="Arial" w:eastAsia="Arial" w:hAnsi="Arial"/>
                <w:sz w:val="14"/>
                <w:szCs w:val="14"/>
                <w:color w:val="auto"/>
              </w:rPr>
              <w:t>$30,977</w:t>
            </w:r>
          </w:p>
        </w:tc>
        <w:tc>
          <w:tcPr>
            <w:tcW w:w="0" w:type="dxa"/>
            <w:vAlign w:val="bottom"/>
          </w:tcPr>
          <w:p>
            <w:pPr>
              <w:spacing w:after="0"/>
              <w:rPr>
                <w:sz w:val="1"/>
                <w:szCs w:val="1"/>
                <w:color w:val="auto"/>
              </w:rPr>
            </w:pPr>
          </w:p>
        </w:tc>
      </w:tr>
      <w:tr>
        <w:trPr>
          <w:trHeight w:val="192"/>
        </w:trPr>
        <w:tc>
          <w:tcPr>
            <w:tcW w:w="736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56,575</w:t>
            </w: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360" w:type="dxa"/>
            <w:vAlign w:val="bottom"/>
          </w:tcPr>
          <w:p>
            <w:pPr>
              <w:ind w:left="120"/>
              <w:spacing w:after="0" w:line="144" w:lineRule="exact"/>
              <w:rPr>
                <w:sz w:val="20"/>
                <w:szCs w:val="20"/>
                <w:color w:val="auto"/>
              </w:rPr>
            </w:pPr>
            <w:r>
              <w:rPr>
                <w:rFonts w:ascii="Arial" w:cs="Arial" w:eastAsia="Arial" w:hAnsi="Arial"/>
                <w:sz w:val="14"/>
                <w:szCs w:val="14"/>
                <w:color w:val="auto"/>
              </w:rPr>
              <w:t>Depreciation</w:t>
            </w:r>
          </w:p>
        </w:tc>
        <w:tc>
          <w:tcPr>
            <w:tcW w:w="1600" w:type="dxa"/>
            <w:vAlign w:val="bottom"/>
            <w:vMerge w:val="continue"/>
          </w:tcPr>
          <w:p>
            <w:pPr>
              <w:spacing w:after="0"/>
              <w:rPr>
                <w:sz w:val="12"/>
                <w:szCs w:val="12"/>
                <w:color w:val="auto"/>
              </w:rPr>
            </w:pPr>
          </w:p>
        </w:tc>
        <w:tc>
          <w:tcPr>
            <w:tcW w:w="1360" w:type="dxa"/>
            <w:vAlign w:val="bottom"/>
          </w:tcPr>
          <w:p>
            <w:pPr>
              <w:jc w:val="right"/>
              <w:ind w:right="188"/>
              <w:spacing w:after="0" w:line="144" w:lineRule="exact"/>
              <w:rPr>
                <w:sz w:val="20"/>
                <w:szCs w:val="20"/>
                <w:color w:val="auto"/>
              </w:rPr>
            </w:pPr>
            <w:r>
              <w:rPr>
                <w:rFonts w:ascii="Arial" w:cs="Arial" w:eastAsia="Arial" w:hAnsi="Arial"/>
                <w:sz w:val="14"/>
                <w:szCs w:val="14"/>
                <w:color w:val="auto"/>
              </w:rPr>
              <w:t>57,182</w:t>
            </w:r>
          </w:p>
        </w:tc>
        <w:tc>
          <w:tcPr>
            <w:tcW w:w="1100" w:type="dxa"/>
            <w:vAlign w:val="bottom"/>
          </w:tcPr>
          <w:p>
            <w:pPr>
              <w:jc w:val="right"/>
              <w:spacing w:after="0" w:line="144" w:lineRule="exact"/>
              <w:rPr>
                <w:sz w:val="20"/>
                <w:szCs w:val="20"/>
                <w:color w:val="auto"/>
              </w:rPr>
            </w:pPr>
            <w:r>
              <w:rPr>
                <w:rFonts w:ascii="Arial" w:cs="Arial" w:eastAsia="Arial" w:hAnsi="Arial"/>
                <w:sz w:val="14"/>
                <w:szCs w:val="14"/>
                <w:color w:val="auto"/>
              </w:rPr>
              <w:t>56,769</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Amortization</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7,717</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6,607</w:t>
            </w:r>
          </w:p>
        </w:tc>
        <w:tc>
          <w:tcPr>
            <w:tcW w:w="1100" w:type="dxa"/>
            <w:vAlign w:val="bottom"/>
          </w:tcPr>
          <w:p>
            <w:pPr>
              <w:jc w:val="right"/>
              <w:spacing w:after="0"/>
              <w:rPr>
                <w:sz w:val="20"/>
                <w:szCs w:val="20"/>
                <w:color w:val="auto"/>
              </w:rPr>
            </w:pPr>
            <w:r>
              <w:rPr>
                <w:rFonts w:ascii="Arial" w:cs="Arial" w:eastAsia="Arial" w:hAnsi="Arial"/>
                <w:sz w:val="14"/>
                <w:szCs w:val="14"/>
                <w:color w:val="auto"/>
              </w:rPr>
              <w:t>6,466</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Noncash interest expense</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Change in long-term liabilities, deferred taxes and other credits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(10,725)</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(12,261)</w:t>
            </w:r>
          </w:p>
        </w:tc>
        <w:tc>
          <w:tcPr>
            <w:tcW w:w="1100" w:type="dxa"/>
            <w:vAlign w:val="bottom"/>
          </w:tcPr>
          <w:p>
            <w:pPr>
              <w:jc w:val="right"/>
              <w:spacing w:after="0"/>
              <w:rPr>
                <w:sz w:val="20"/>
                <w:szCs w:val="20"/>
                <w:color w:val="auto"/>
              </w:rPr>
            </w:pPr>
            <w:r>
              <w:rPr>
                <w:rFonts w:ascii="Arial" w:cs="Arial" w:eastAsia="Arial" w:hAnsi="Arial"/>
                <w:sz w:val="14"/>
                <w:szCs w:val="14"/>
                <w:color w:val="auto"/>
              </w:rPr>
              <w:t>(123,887)</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Provision for write-off of property, plant and equipment</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1,915</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619</w:t>
            </w:r>
          </w:p>
        </w:tc>
        <w:tc>
          <w:tcPr>
            <w:tcW w:w="110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Write-off of pension liability adjustment due to settlement</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8,331</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118,350</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Gain on disposition or involuntary conversion of assets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(1,126)</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(3,763)</w:t>
            </w:r>
          </w:p>
        </w:tc>
        <w:tc>
          <w:tcPr>
            <w:tcW w:w="1100" w:type="dxa"/>
            <w:vAlign w:val="bottom"/>
          </w:tcPr>
          <w:p>
            <w:pPr>
              <w:jc w:val="right"/>
              <w:spacing w:after="0"/>
              <w:rPr>
                <w:sz w:val="20"/>
                <w:szCs w:val="20"/>
                <w:color w:val="auto"/>
              </w:rPr>
            </w:pPr>
            <w:r>
              <w:rPr>
                <w:rFonts w:ascii="Arial" w:cs="Arial" w:eastAsia="Arial" w:hAnsi="Arial"/>
                <w:sz w:val="14"/>
                <w:szCs w:val="14"/>
                <w:color w:val="auto"/>
              </w:rPr>
              <w:t>(92,457)</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Excess tax benefit of options exercised</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(1,134)</w:t>
            </w: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0"/>
        </w:trPr>
        <w:tc>
          <w:tcPr>
            <w:tcW w:w="7360" w:type="dxa"/>
            <w:vAlign w:val="bottom"/>
          </w:tcPr>
          <w:p>
            <w:pPr>
              <w:ind w:left="12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1,384</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(766)</w:t>
            </w:r>
          </w:p>
        </w:tc>
        <w:tc>
          <w:tcPr>
            <w:tcW w:w="1100" w:type="dxa"/>
            <w:vAlign w:val="bottom"/>
          </w:tcPr>
          <w:p>
            <w:pPr>
              <w:jc w:val="right"/>
              <w:spacing w:after="0"/>
              <w:rPr>
                <w:sz w:val="20"/>
                <w:szCs w:val="20"/>
                <w:color w:val="auto"/>
              </w:rPr>
            </w:pPr>
            <w:r>
              <w:rPr>
                <w:rFonts w:ascii="Arial" w:cs="Arial" w:eastAsia="Arial" w:hAnsi="Arial"/>
                <w:sz w:val="14"/>
                <w:szCs w:val="14"/>
                <w:color w:val="auto"/>
              </w:rPr>
              <w:t>2,790</w:t>
            </w:r>
          </w:p>
        </w:tc>
        <w:tc>
          <w:tcPr>
            <w:tcW w:w="0" w:type="dxa"/>
            <w:vAlign w:val="bottom"/>
          </w:tcPr>
          <w:p>
            <w:pPr>
              <w:spacing w:after="0"/>
              <w:rPr>
                <w:sz w:val="1"/>
                <w:szCs w:val="1"/>
                <w:color w:val="auto"/>
              </w:rPr>
            </w:pPr>
          </w:p>
        </w:tc>
      </w:tr>
      <w:tr>
        <w:trPr>
          <w:trHeight w:val="192"/>
        </w:trPr>
        <w:tc>
          <w:tcPr>
            <w:tcW w:w="7360" w:type="dxa"/>
            <w:vAlign w:val="bottom"/>
          </w:tcPr>
          <w:p>
            <w:pPr>
              <w:spacing w:after="0"/>
              <w:rPr>
                <w:sz w:val="20"/>
                <w:szCs w:val="20"/>
                <w:color w:val="auto"/>
              </w:rPr>
            </w:pPr>
            <w:r>
              <w:rPr>
                <w:rFonts w:ascii="Arial" w:cs="Arial" w:eastAsia="Arial" w:hAnsi="Arial"/>
                <w:sz w:val="14"/>
                <w:szCs w:val="14"/>
                <w:color w:val="auto"/>
              </w:rPr>
              <w:t>Changes in operating assets and liabilities that provide/(use) cash, net of business divestitures:</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(6,564)</w:t>
            </w: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360" w:type="dxa"/>
            <w:vAlign w:val="bottom"/>
          </w:tcPr>
          <w:p>
            <w:pPr>
              <w:ind w:left="120"/>
              <w:spacing w:after="0" w:line="144" w:lineRule="exact"/>
              <w:rPr>
                <w:sz w:val="20"/>
                <w:szCs w:val="20"/>
                <w:color w:val="auto"/>
              </w:rPr>
            </w:pPr>
            <w:r>
              <w:rPr>
                <w:rFonts w:ascii="Arial" w:cs="Arial" w:eastAsia="Arial" w:hAnsi="Arial"/>
                <w:sz w:val="14"/>
                <w:szCs w:val="14"/>
                <w:color w:val="auto"/>
              </w:rPr>
              <w:t>Accounts receivable</w:t>
            </w:r>
          </w:p>
        </w:tc>
        <w:tc>
          <w:tcPr>
            <w:tcW w:w="1600" w:type="dxa"/>
            <w:vAlign w:val="bottom"/>
            <w:vMerge w:val="continue"/>
          </w:tcPr>
          <w:p>
            <w:pPr>
              <w:spacing w:after="0"/>
              <w:rPr>
                <w:sz w:val="12"/>
                <w:szCs w:val="12"/>
                <w:color w:val="auto"/>
              </w:rPr>
            </w:pPr>
          </w:p>
        </w:tc>
        <w:tc>
          <w:tcPr>
            <w:tcW w:w="1360" w:type="dxa"/>
            <w:vAlign w:val="bottom"/>
          </w:tcPr>
          <w:p>
            <w:pPr>
              <w:jc w:val="right"/>
              <w:ind w:right="188"/>
              <w:spacing w:after="0" w:line="144" w:lineRule="exact"/>
              <w:rPr>
                <w:sz w:val="20"/>
                <w:szCs w:val="20"/>
                <w:color w:val="auto"/>
              </w:rPr>
            </w:pPr>
            <w:r>
              <w:rPr>
                <w:rFonts w:ascii="Arial" w:cs="Arial" w:eastAsia="Arial" w:hAnsi="Arial"/>
                <w:sz w:val="14"/>
                <w:szCs w:val="14"/>
                <w:color w:val="auto"/>
              </w:rPr>
              <w:t>(8,878)</w:t>
            </w:r>
          </w:p>
        </w:tc>
        <w:tc>
          <w:tcPr>
            <w:tcW w:w="1100" w:type="dxa"/>
            <w:vAlign w:val="bottom"/>
          </w:tcPr>
          <w:p>
            <w:pPr>
              <w:jc w:val="right"/>
              <w:spacing w:after="0" w:line="144" w:lineRule="exact"/>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(744)</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5,739</w:t>
            </w:r>
          </w:p>
        </w:tc>
        <w:tc>
          <w:tcPr>
            <w:tcW w:w="1100" w:type="dxa"/>
            <w:vAlign w:val="bottom"/>
          </w:tcPr>
          <w:p>
            <w:pPr>
              <w:jc w:val="right"/>
              <w:spacing w:after="0"/>
              <w:rPr>
                <w:sz w:val="20"/>
                <w:szCs w:val="20"/>
                <w:color w:val="auto"/>
              </w:rPr>
            </w:pPr>
            <w:r>
              <w:rPr>
                <w:rFonts w:ascii="Arial" w:cs="Arial" w:eastAsia="Arial" w:hAnsi="Arial"/>
                <w:sz w:val="14"/>
                <w:szCs w:val="14"/>
                <w:color w:val="auto"/>
              </w:rPr>
              <w:t>11,565</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1,318</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545</w:t>
            </w:r>
          </w:p>
        </w:tc>
        <w:tc>
          <w:tcPr>
            <w:tcW w:w="1100" w:type="dxa"/>
            <w:vAlign w:val="bottom"/>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Income taxes prepaid and receivable</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2,566</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5,731</w:t>
            </w:r>
          </w:p>
        </w:tc>
        <w:tc>
          <w:tcPr>
            <w:tcW w:w="1100" w:type="dxa"/>
            <w:vAlign w:val="bottom"/>
          </w:tcPr>
          <w:p>
            <w:pPr>
              <w:jc w:val="right"/>
              <w:spacing w:after="0"/>
              <w:rPr>
                <w:sz w:val="20"/>
                <w:szCs w:val="20"/>
                <w:color w:val="auto"/>
              </w:rPr>
            </w:pPr>
            <w:r>
              <w:rPr>
                <w:rFonts w:ascii="Arial" w:cs="Arial" w:eastAsia="Arial" w:hAnsi="Arial"/>
                <w:sz w:val="14"/>
                <w:szCs w:val="14"/>
                <w:color w:val="auto"/>
              </w:rPr>
              <w:t>9,472</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640</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955</w:t>
            </w:r>
          </w:p>
        </w:tc>
        <w:tc>
          <w:tcPr>
            <w:tcW w:w="1100" w:type="dxa"/>
            <w:vAlign w:val="bottom"/>
          </w:tcPr>
          <w:p>
            <w:pPr>
              <w:jc w:val="right"/>
              <w:spacing w:after="0"/>
              <w:rPr>
                <w:sz w:val="20"/>
                <w:szCs w:val="20"/>
                <w:color w:val="auto"/>
              </w:rPr>
            </w:pPr>
            <w:r>
              <w:rPr>
                <w:rFonts w:ascii="Arial" w:cs="Arial" w:eastAsia="Arial" w:hAnsi="Arial"/>
                <w:sz w:val="14"/>
                <w:szCs w:val="14"/>
                <w:color w:val="auto"/>
              </w:rPr>
              <w:t>3,298</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(11,042)</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4,628</w:t>
            </w:r>
          </w:p>
        </w:tc>
        <w:tc>
          <w:tcPr>
            <w:tcW w:w="1100" w:type="dxa"/>
            <w:vAlign w:val="bottom"/>
          </w:tcPr>
          <w:p>
            <w:pPr>
              <w:jc w:val="right"/>
              <w:spacing w:after="0"/>
              <w:rPr>
                <w:sz w:val="20"/>
                <w:szCs w:val="20"/>
                <w:color w:val="auto"/>
              </w:rPr>
            </w:pPr>
            <w:r>
              <w:rPr>
                <w:rFonts w:ascii="Arial" w:cs="Arial" w:eastAsia="Arial" w:hAnsi="Arial"/>
                <w:sz w:val="14"/>
                <w:szCs w:val="14"/>
                <w:color w:val="auto"/>
              </w:rPr>
              <w:t>7,616</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1,535</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(7,348)</w:t>
            </w:r>
          </w:p>
        </w:tc>
        <w:tc>
          <w:tcPr>
            <w:tcW w:w="1100" w:type="dxa"/>
            <w:vAlign w:val="bottom"/>
          </w:tcPr>
          <w:p>
            <w:pPr>
              <w:jc w:val="right"/>
              <w:spacing w:after="0"/>
              <w:rPr>
                <w:sz w:val="20"/>
                <w:szCs w:val="20"/>
                <w:color w:val="auto"/>
              </w:rPr>
            </w:pPr>
            <w:r>
              <w:rPr>
                <w:rFonts w:ascii="Arial" w:cs="Arial" w:eastAsia="Arial" w:hAnsi="Arial"/>
                <w:sz w:val="14"/>
                <w:szCs w:val="14"/>
                <w:color w:val="auto"/>
              </w:rPr>
              <w:t>7,308</w:t>
            </w:r>
          </w:p>
        </w:tc>
        <w:tc>
          <w:tcPr>
            <w:tcW w:w="0" w:type="dxa"/>
            <w:vAlign w:val="bottom"/>
          </w:tcPr>
          <w:p>
            <w:pPr>
              <w:spacing w:after="0"/>
              <w:rPr>
                <w:sz w:val="1"/>
                <w:szCs w:val="1"/>
                <w:color w:val="auto"/>
              </w:rPr>
            </w:pPr>
          </w:p>
        </w:tc>
      </w:tr>
      <w:tr>
        <w:trPr>
          <w:trHeight w:val="175"/>
        </w:trPr>
        <w:tc>
          <w:tcPr>
            <w:tcW w:w="7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net</w:t>
            </w: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(9,132)</w:t>
            </w: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(2,883)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6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84,196</w:t>
            </w:r>
          </w:p>
        </w:tc>
        <w:tc>
          <w:tcPr>
            <w:tcW w:w="1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62,631</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34,507</w:t>
            </w:r>
          </w:p>
        </w:tc>
        <w:tc>
          <w:tcPr>
            <w:tcW w:w="0" w:type="dxa"/>
            <w:vAlign w:val="bottom"/>
          </w:tcPr>
          <w:p>
            <w:pPr>
              <w:spacing w:after="0"/>
              <w:rPr>
                <w:sz w:val="1"/>
                <w:szCs w:val="1"/>
                <w:color w:val="auto"/>
              </w:rPr>
            </w:pPr>
          </w:p>
        </w:tc>
      </w:tr>
      <w:tr>
        <w:trPr>
          <w:trHeight w:val="414"/>
        </w:trPr>
        <w:tc>
          <w:tcPr>
            <w:tcW w:w="736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36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(58,224)</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(61,844)</w:t>
            </w:r>
          </w:p>
        </w:tc>
        <w:tc>
          <w:tcPr>
            <w:tcW w:w="1100" w:type="dxa"/>
            <w:vAlign w:val="bottom"/>
          </w:tcPr>
          <w:p>
            <w:pPr>
              <w:jc w:val="right"/>
              <w:spacing w:after="0"/>
              <w:rPr>
                <w:sz w:val="20"/>
                <w:szCs w:val="20"/>
                <w:color w:val="auto"/>
              </w:rPr>
            </w:pPr>
            <w:r>
              <w:rPr>
                <w:rFonts w:ascii="Arial" w:cs="Arial" w:eastAsia="Arial" w:hAnsi="Arial"/>
                <w:sz w:val="14"/>
                <w:szCs w:val="14"/>
                <w:color w:val="auto"/>
              </w:rPr>
              <w:t>(37,046)</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Purchased software</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(649)</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(2,613)</w:t>
            </w:r>
          </w:p>
        </w:tc>
        <w:tc>
          <w:tcPr>
            <w:tcW w:w="110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Proceeds from sale or involuntary conversion of assets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1,126</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6,268</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Proceeds from sale of discontinued operations, net of expenses</w:t>
            </w: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16,797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150,654</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Net cash (used in)/provided by investing activities</w:t>
            </w:r>
          </w:p>
        </w:tc>
        <w:tc>
          <w:tcPr>
            <w:tcW w:w="16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(57,747)</w:t>
            </w:r>
          </w:p>
        </w:tc>
        <w:tc>
          <w:tcPr>
            <w:tcW w:w="1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(41,392)</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113,447</w:t>
            </w:r>
          </w:p>
        </w:tc>
        <w:tc>
          <w:tcPr>
            <w:tcW w:w="0" w:type="dxa"/>
            <w:vAlign w:val="bottom"/>
          </w:tcPr>
          <w:p>
            <w:pPr>
              <w:spacing w:after="0"/>
              <w:rPr>
                <w:sz w:val="1"/>
                <w:szCs w:val="1"/>
                <w:color w:val="auto"/>
              </w:rPr>
            </w:pPr>
          </w:p>
        </w:tc>
      </w:tr>
      <w:tr>
        <w:trPr>
          <w:trHeight w:val="414"/>
        </w:trPr>
        <w:tc>
          <w:tcPr>
            <w:tcW w:w="736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360" w:type="dxa"/>
            <w:vAlign w:val="bottom"/>
          </w:tcPr>
          <w:p>
            <w:pPr>
              <w:ind w:left="120"/>
              <w:spacing w:after="0"/>
              <w:rPr>
                <w:sz w:val="20"/>
                <w:szCs w:val="20"/>
                <w:color w:val="auto"/>
              </w:rPr>
            </w:pPr>
            <w:r>
              <w:rPr>
                <w:rFonts w:ascii="Arial" w:cs="Arial" w:eastAsia="Arial" w:hAnsi="Arial"/>
                <w:sz w:val="14"/>
                <w:szCs w:val="14"/>
                <w:color w:val="auto"/>
              </w:rPr>
              <w:t>Proceeds from borrowings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13,396</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117,452</w:t>
            </w:r>
          </w:p>
        </w:tc>
        <w:tc>
          <w:tcPr>
            <w:tcW w:w="1100" w:type="dxa"/>
            <w:vAlign w:val="bottom"/>
          </w:tcPr>
          <w:p>
            <w:pPr>
              <w:jc w:val="right"/>
              <w:spacing w:after="0"/>
              <w:rPr>
                <w:sz w:val="20"/>
                <w:szCs w:val="20"/>
                <w:color w:val="auto"/>
              </w:rPr>
            </w:pPr>
            <w:r>
              <w:rPr>
                <w:rFonts w:ascii="Arial" w:cs="Arial" w:eastAsia="Arial" w:hAnsi="Arial"/>
                <w:sz w:val="14"/>
                <w:szCs w:val="14"/>
                <w:color w:val="auto"/>
              </w:rPr>
              <w:t>46,028</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Principal payments on debt</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(45,124)</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(132,691)</w:t>
            </w:r>
          </w:p>
        </w:tc>
        <w:tc>
          <w:tcPr>
            <w:tcW w:w="1100" w:type="dxa"/>
            <w:vAlign w:val="bottom"/>
          </w:tcPr>
          <w:p>
            <w:pPr>
              <w:jc w:val="right"/>
              <w:spacing w:after="0"/>
              <w:rPr>
                <w:sz w:val="20"/>
                <w:szCs w:val="20"/>
                <w:color w:val="auto"/>
              </w:rPr>
            </w:pPr>
            <w:r>
              <w:rPr>
                <w:rFonts w:ascii="Arial" w:cs="Arial" w:eastAsia="Arial" w:hAnsi="Arial"/>
                <w:sz w:val="14"/>
                <w:szCs w:val="14"/>
                <w:color w:val="auto"/>
              </w:rPr>
              <w:t>(102,128)</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Cash received for noncontrolling interest in Albany Safran Composites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28,000</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Proceeds from options exercised</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773</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5,538</w:t>
            </w:r>
          </w:p>
        </w:tc>
        <w:tc>
          <w:tcPr>
            <w:tcW w:w="1100" w:type="dxa"/>
            <w:vAlign w:val="bottom"/>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Excess tax benefit of options exercised</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1,134</w:t>
            </w: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7360" w:type="dxa"/>
            <w:vAlign w:val="bottom"/>
          </w:tcPr>
          <w:p>
            <w:pPr>
              <w:ind w:left="120"/>
              <w:spacing w:after="0"/>
              <w:rPr>
                <w:sz w:val="20"/>
                <w:szCs w:val="20"/>
                <w:color w:val="auto"/>
              </w:rPr>
            </w:pPr>
            <w:r>
              <w:rPr>
                <w:rFonts w:ascii="Arial" w:cs="Arial" w:eastAsia="Arial" w:hAnsi="Arial"/>
                <w:sz w:val="14"/>
                <w:szCs w:val="14"/>
                <w:color w:val="auto"/>
              </w:rPr>
              <w:t>Debt acquisition costs</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(1,639)</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Dividends paid</w:t>
            </w: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(19,729)</w:t>
            </w: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(13,929)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(21,315)</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Net cash (used in)/provided by financing activities</w:t>
            </w:r>
          </w:p>
        </w:tc>
        <w:tc>
          <w:tcPr>
            <w:tcW w:w="16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(50,483)</w:t>
            </w:r>
          </w:p>
        </w:tc>
        <w:tc>
          <w:tcPr>
            <w:tcW w:w="1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3,865</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(76,064)</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6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(18,830)</w:t>
            </w:r>
          </w:p>
        </w:tc>
        <w:tc>
          <w:tcPr>
            <w:tcW w:w="1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6,844</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7360" w:type="dxa"/>
            <w:vAlign w:val="bottom"/>
          </w:tcPr>
          <w:p>
            <w:pPr>
              <w:spacing w:after="0" w:line="143" w:lineRule="exact"/>
              <w:rPr>
                <w:sz w:val="20"/>
                <w:szCs w:val="20"/>
                <w:color w:val="auto"/>
              </w:rPr>
            </w:pPr>
            <w:r>
              <w:rPr>
                <w:rFonts w:ascii="Arial" w:cs="Arial" w:eastAsia="Arial" w:hAnsi="Arial"/>
                <w:sz w:val="14"/>
                <w:szCs w:val="14"/>
                <w:color w:val="auto"/>
              </w:rPr>
              <w:t>(Decrease)/increase in cash and cash equivalents</w:t>
            </w:r>
          </w:p>
        </w:tc>
        <w:tc>
          <w:tcPr>
            <w:tcW w:w="1600" w:type="dxa"/>
            <w:vAlign w:val="bottom"/>
          </w:tcPr>
          <w:p>
            <w:pPr>
              <w:jc w:val="right"/>
              <w:ind w:right="188"/>
              <w:spacing w:after="0" w:line="143" w:lineRule="exact"/>
              <w:rPr>
                <w:sz w:val="20"/>
                <w:szCs w:val="20"/>
                <w:color w:val="auto"/>
              </w:rPr>
            </w:pPr>
            <w:r>
              <w:rPr>
                <w:rFonts w:ascii="Arial" w:cs="Arial" w:eastAsia="Arial" w:hAnsi="Arial"/>
                <w:sz w:val="14"/>
                <w:szCs w:val="14"/>
                <w:b w:val="1"/>
                <w:bCs w:val="1"/>
                <w:color w:val="auto"/>
              </w:rPr>
              <w:t>(42,864)</w:t>
            </w:r>
          </w:p>
        </w:tc>
        <w:tc>
          <w:tcPr>
            <w:tcW w:w="1360" w:type="dxa"/>
            <w:vAlign w:val="bottom"/>
          </w:tcPr>
          <w:p>
            <w:pPr>
              <w:jc w:val="right"/>
              <w:ind w:right="188"/>
              <w:spacing w:after="0" w:line="143" w:lineRule="exact"/>
              <w:rPr>
                <w:sz w:val="20"/>
                <w:szCs w:val="20"/>
                <w:color w:val="auto"/>
              </w:rPr>
            </w:pPr>
            <w:r>
              <w:rPr>
                <w:rFonts w:ascii="Arial" w:cs="Arial" w:eastAsia="Arial" w:hAnsi="Arial"/>
                <w:sz w:val="14"/>
                <w:szCs w:val="14"/>
                <w:color w:val="auto"/>
              </w:rPr>
              <w:t>31,948</w:t>
            </w: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71,809</w:t>
            </w:r>
          </w:p>
        </w:tc>
        <w:tc>
          <w:tcPr>
            <w:tcW w:w="0" w:type="dxa"/>
            <w:vAlign w:val="bottom"/>
          </w:tcPr>
          <w:p>
            <w:pPr>
              <w:spacing w:after="0"/>
              <w:rPr>
                <w:sz w:val="1"/>
                <w:szCs w:val="1"/>
                <w:color w:val="auto"/>
              </w:rPr>
            </w:pPr>
          </w:p>
        </w:tc>
      </w:tr>
      <w:tr>
        <w:trPr>
          <w:trHeight w:val="175"/>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and cash equivalents at beginning of year</w:t>
            </w: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222,666</w:t>
            </w: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190,718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118,909</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16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$179,802</w:t>
            </w:r>
          </w:p>
        </w:tc>
        <w:tc>
          <w:tcPr>
            <w:tcW w:w="1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$222,666</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$190,718</w:t>
            </w:r>
          </w:p>
        </w:tc>
        <w:tc>
          <w:tcPr>
            <w:tcW w:w="0" w:type="dxa"/>
            <w:vAlign w:val="bottom"/>
          </w:tcPr>
          <w:p>
            <w:pPr>
              <w:spacing w:after="0"/>
              <w:rPr>
                <w:sz w:val="1"/>
                <w:szCs w:val="1"/>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45" w:right="239" w:bottom="1440" w:gutter="0" w:footer="0" w:header="0"/>
        </w:sectPr>
      </w:pPr>
    </w:p>
    <w:bookmarkStart w:id="51" w:name="page52"/>
    <w:bookmarkEnd w:id="51"/>
    <w:p>
      <w:pPr>
        <w:jc w:val="both"/>
        <w:ind w:right="9460" w:firstLine="8"/>
        <w:spacing w:after="0" w:line="459" w:lineRule="auto"/>
        <w:tabs>
          <w:tab w:leader="none" w:pos="2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Basis of Consolidation</w:t>
      </w:r>
    </w:p>
    <w:p>
      <w:pPr>
        <w:ind w:right="300" w:firstLine="648"/>
        <w:spacing w:after="0" w:line="261"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 We have a 50% interest in an entity in Russia. The consolidated financial statements include our original investment in the entity, plus our share of undistributed earnings or losses, in the account “Other Assets.”</w:t>
      </w:r>
    </w:p>
    <w:p>
      <w:pPr>
        <w:spacing w:after="0" w:line="146" w:lineRule="exact"/>
        <w:rPr>
          <w:sz w:val="20"/>
          <w:szCs w:val="20"/>
          <w:color w:val="auto"/>
        </w:rPr>
      </w:pPr>
    </w:p>
    <w:p>
      <w:pPr>
        <w:ind w:right="480" w:firstLine="648"/>
        <w:spacing w:after="0"/>
        <w:rPr>
          <w:sz w:val="20"/>
          <w:szCs w:val="20"/>
          <w:color w:val="auto"/>
        </w:rPr>
      </w:pPr>
      <w:r>
        <w:rPr>
          <w:rFonts w:ascii="Arial" w:cs="Arial" w:eastAsia="Arial" w:hAnsi="Arial"/>
          <w:sz w:val="18"/>
          <w:szCs w:val="18"/>
          <w:color w:val="auto"/>
        </w:rPr>
        <w:t>The Company owns 90 percent of the common equity of Albany Safran Composites (ASC) which is reported within the Albany Engineered Composites (AEC) segment. Additional information regarding that entity is included in Note 3,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07"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revenue recognition, allowances for doubtful accounts, rebates and sales allowances, inventory allowances, pension benefits, goodwill and intangible assets, contingencies, income tax related balances,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record sales when persuasive evidence of an arrangement exists, delivery has occurred, title has been transferred, the selling price is fixed, and collectability is reasonably assured. We include in revenue any amounts invoiced for shipping and handling. The timing of revenue recognition is dependent upon the contractual arrangement with customers. These arrangements, which may include provisions for transfer of title and guarantees of workmanship, are specific to each customer. Some of these contracts provide for a transfer of title upon delivery, or upon reaching a specific date, while other contracts provide for title transfer to occur upon consumption of the product.</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 plus fixed fee arrangement.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estimates had the effect of reducing gross profit by $0.6 million in 2014 and $2.3 million in 2013, while the impact on 2012 was insignificant.</w:t>
      </w:r>
    </w:p>
    <w:p>
      <w:pPr>
        <w:spacing w:after="0" w:line="163" w:lineRule="exact"/>
        <w:rPr>
          <w:sz w:val="20"/>
          <w:szCs w:val="20"/>
          <w:color w:val="auto"/>
        </w:rPr>
      </w:pPr>
    </w:p>
    <w:p>
      <w:pPr>
        <w:jc w:val="both"/>
        <w:ind w:right="180" w:firstLine="648"/>
        <w:spacing w:after="0" w:line="237" w:lineRule="auto"/>
        <w:rPr>
          <w:sz w:val="20"/>
          <w:szCs w:val="20"/>
          <w:color w:val="auto"/>
        </w:rPr>
      </w:pPr>
      <w:r>
        <w:rPr>
          <w:rFonts w:ascii="Arial" w:cs="Arial" w:eastAsia="Arial" w:hAnsi="Arial"/>
          <w:sz w:val="18"/>
          <w:szCs w:val="18"/>
          <w:color w:val="auto"/>
        </w:rPr>
        <w:t>The AEC segment also has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method. Accumulated capitalized costs are written off when those costs are determined to be unrecoverable. Depending on the type of contract, we determine our percentage of completion using either the cost-to-cost method, or the units of delivery method. Included in Other assets is capitalized cost of $9.2 million as of December 31, 2014 and</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2" w:name="page53"/>
    <w:bookmarkEnd w:id="52"/>
    <w:p>
      <w:pPr>
        <w:ind w:right="360"/>
        <w:spacing w:after="0"/>
        <w:rPr>
          <w:sz w:val="20"/>
          <w:szCs w:val="20"/>
          <w:color w:val="auto"/>
        </w:rPr>
      </w:pPr>
      <w:r>
        <w:rPr>
          <w:rFonts w:ascii="Arial" w:cs="Arial" w:eastAsia="Arial" w:hAnsi="Arial"/>
          <w:sz w:val="18"/>
          <w:szCs w:val="18"/>
          <w:color w:val="auto"/>
        </w:rPr>
        <w:t>$4.1 million as of December 31, 2013, principally for engineering services, that will be amortized into expense as deliveries are made in the future. Capitalized costs as of December 31, 2014 included $8.6 million for a contract that began production in 2014, $0.6 million for other contracts.</w:t>
      </w:r>
    </w:p>
    <w:p>
      <w:pPr>
        <w:spacing w:after="0" w:line="176"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93"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Administrative, Technical, Product Engineering, and Research Expenses</w:t>
      </w:r>
    </w:p>
    <w:p>
      <w:pPr>
        <w:spacing w:after="0" w:line="193"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Selling, general, administrative, technical, and product engineering expenses are primarily comprised of wages, benefits, travel, professional fees, revaluation of trade foreign currency balances, and other costs, and are expensed as incurred. Selling expense includes provisions for bad debts and costs related to contract acquisition. Research expenses are charged to operations as incurred and consist primarily of compensation, supplies, and professional fees incurred in connection with intellectual property. Total Company research expense was $32.4 million in 2014, $30.2 million in 2013, and $27.6 million in 2012.</w:t>
      </w:r>
    </w:p>
    <w:p>
      <w:pPr>
        <w:spacing w:after="0" w:line="162" w:lineRule="exact"/>
        <w:rPr>
          <w:sz w:val="20"/>
          <w:szCs w:val="20"/>
          <w:color w:val="auto"/>
        </w:rPr>
      </w:pPr>
    </w:p>
    <w:p>
      <w:pPr>
        <w:ind w:right="260" w:firstLine="648"/>
        <w:spacing w:after="0" w:line="238" w:lineRule="auto"/>
        <w:rPr>
          <w:sz w:val="20"/>
          <w:szCs w:val="20"/>
          <w:color w:val="auto"/>
        </w:rPr>
      </w:pPr>
      <w:r>
        <w:rPr>
          <w:rFonts w:ascii="Arial" w:cs="Arial" w:eastAsia="Arial" w:hAnsi="Arial"/>
          <w:sz w:val="18"/>
          <w:szCs w:val="18"/>
          <w:color w:val="auto"/>
        </w:rPr>
        <w:t>The Albany Engineered Composites segment participates in both Company-sponsored, and customer-funded research and development. Some customer-funded research and development may be on a cost-sharing basis, in which case amounts charged to the customer are credited against research and development expense. Expenses were reduced by $0.4 million in 2014, $ 1.4 million in 2013 and $0.8 million as a result of such arrangements. For customer funded research and development in which we anticipate funding to exceed expenses, we include amounts charged to the customer in net sales, while expenses are included in Cost of goods sold.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may incur expenses related to restructuring of our operations, which could include employee termination costs, costs to consolidate or close facilities, or costs to terminate contractual relationships. Restructuring expenses may also include impairment of Property, plant and equipment, as described below.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Deferred income taxes are recognized for the tax consequences of temporary differences by applying enacted statutory tax rates applicable for future years to differences between financial statement and tax bases of existing assets and liabilities. The effect of tax rate changes on deferred taxes is recognized in the income tax provision in the period that includes the enactment date. A tax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53" w:name="page54"/>
    <w:bookmarkEnd w:id="53"/>
    <w:p>
      <w:pPr>
        <w:ind w:right="60" w:firstLine="648"/>
        <w:spacing w:after="0" w:line="236"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93"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income/(loss) from discontinued operations includes operating income and expenses previously attributed to businesses that were sold in 2012 and, additionally, amounts previously reported as Corporate expenses, and Other (income)/expense that were directly related to the divested businesses. Corporate expenses attributed to the discontinued business include expenses related to global information systems. Interest expense is attributed to the discontinued business only when such expense results from direct third-party borrowings.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is equal to the basic earnings per share calculation.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19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Assets and liabilities of non-U.S. operations are translated at year-end rates of exchange, and the income statements are translated at the average rates of exchange for the year. Gains or losses resulting from translating non-U.S. currency financial statements are recorded in other comprehensive income and accumulated in Shareholders’ equity in the caption “Translation adjustments”.</w:t>
      </w:r>
    </w:p>
    <w:p>
      <w:pPr>
        <w:spacing w:after="0" w:line="17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Selling, general, and administrative expenses include foreign currency gains and losses resulting from third party balances, such as receivables and payables, which are denominated in a currency other than the entity’s local currency. Gains or losses resulting from cash and short-term intercompany loans and balances denominated in a currency other than the entity’s local currency, and foreign currency options are generally included in Other expense/(income), net. Gains and losses on long-term intercompany loans not intended to be repaid in the foreseeable future are recorded in other comprehensive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80" w:type="dxa"/>
            <w:vAlign w:val="bottom"/>
          </w:tcPr>
          <w:p>
            <w:pPr>
              <w:ind w:left="60"/>
              <w:spacing w:after="0" w:line="195" w:lineRule="exact"/>
              <w:rPr>
                <w:sz w:val="20"/>
                <w:szCs w:val="20"/>
                <w:color w:val="auto"/>
              </w:rPr>
            </w:pPr>
            <w:r>
              <w:rPr>
                <w:rFonts w:ascii="Arial" w:cs="Arial" w:eastAsia="Arial" w:hAnsi="Arial"/>
                <w:sz w:val="18"/>
                <w:szCs w:val="18"/>
                <w:color w:val="auto"/>
              </w:rPr>
              <w:t>(Gains)/losses included in:</w:t>
            </w:r>
          </w:p>
        </w:tc>
        <w:tc>
          <w:tcPr>
            <w:tcW w:w="31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($3,931)</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80" w:type="dxa"/>
            <w:vAlign w:val="bottom"/>
          </w:tcPr>
          <w:p>
            <w:pPr>
              <w:ind w:left="200"/>
              <w:spacing w:after="0" w:line="181" w:lineRule="exact"/>
              <w:rPr>
                <w:sz w:val="20"/>
                <w:szCs w:val="20"/>
                <w:color w:val="auto"/>
              </w:rPr>
            </w:pPr>
            <w:r>
              <w:rPr>
                <w:rFonts w:ascii="Arial" w:cs="Arial" w:eastAsia="Arial" w:hAnsi="Arial"/>
                <w:sz w:val="18"/>
                <w:szCs w:val="18"/>
                <w:color w:val="auto"/>
              </w:rPr>
              <w:t>Selling, general, and administrative expenses</w:t>
            </w:r>
          </w:p>
        </w:tc>
        <w:tc>
          <w:tcPr>
            <w:tcW w:w="3160" w:type="dxa"/>
            <w:vAlign w:val="bottom"/>
            <w:vMerge w:val="continue"/>
          </w:tcPr>
          <w:p>
            <w:pPr>
              <w:spacing w:after="0"/>
              <w:rPr>
                <w:sz w:val="15"/>
                <w:szCs w:val="15"/>
                <w:color w:val="auto"/>
              </w:rPr>
            </w:pPr>
          </w:p>
        </w:tc>
        <w:tc>
          <w:tcPr>
            <w:tcW w:w="136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$341</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5"/>
        </w:trPr>
        <w:tc>
          <w:tcPr>
            <w:tcW w:w="5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expense/(income), net</w:t>
            </w:r>
          </w:p>
        </w:tc>
        <w:tc>
          <w:tcPr>
            <w:tcW w:w="3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(6,379)</w:t>
            </w: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5,227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 transaction (gains)/losses</w:t>
            </w:r>
          </w:p>
        </w:tc>
        <w:tc>
          <w:tcPr>
            <w:tcW w:w="31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($10,310)</w:t>
            </w:r>
          </w:p>
        </w:tc>
        <w:tc>
          <w:tcPr>
            <w:tcW w:w="13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$5,568</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$7,350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5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81"/>
        </w:trPr>
        <w:tc>
          <w:tcPr>
            <w:tcW w:w="58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880" w:type="dxa"/>
            <w:vAlign w:val="bottom"/>
            <w:shd w:val="clear" w:color="auto" w:fill="000000"/>
          </w:tcPr>
          <w:p>
            <w:pPr>
              <w:spacing w:after="0"/>
              <w:rPr>
                <w:sz w:val="5"/>
                <w:szCs w:val="5"/>
                <w:color w:val="auto"/>
              </w:rPr>
            </w:pPr>
          </w:p>
        </w:tc>
        <w:tc>
          <w:tcPr>
            <w:tcW w:w="316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Cash and Cash Equivalents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 consist of cash and highly liquid short-term investments with original maturities of three months or less.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9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AEC segment which are invoiced at various times during the project execution.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and 2013, Accounts receivable consisted of the following: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20"/>
                <w:szCs w:val="20"/>
                <w:color w:val="auto"/>
              </w:rPr>
            </w:pPr>
            <w:r>
              <w:rPr>
                <w:rFonts w:ascii="Arial" w:cs="Arial" w:eastAsia="Arial" w:hAnsi="Arial"/>
                <w:sz w:val="18"/>
                <w:szCs w:val="18"/>
                <w:color w:val="auto"/>
              </w:rPr>
              <w:t>(in thousands)</w:t>
            </w:r>
          </w:p>
        </w:tc>
        <w:tc>
          <w:tcPr>
            <w:tcW w:w="424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 2014</w:t>
            </w:r>
          </w:p>
        </w:tc>
        <w:tc>
          <w:tcPr>
            <w:tcW w:w="2140" w:type="dxa"/>
            <w:vAlign w:val="bottom"/>
            <w:gridSpan w:val="3"/>
          </w:tcPr>
          <w:p>
            <w:pPr>
              <w:ind w:left="160"/>
              <w:spacing w:after="0"/>
              <w:rPr>
                <w:sz w:val="20"/>
                <w:szCs w:val="20"/>
                <w:color w:val="auto"/>
              </w:rPr>
            </w:pPr>
            <w:r>
              <w:rPr>
                <w:rFonts w:ascii="Arial" w:cs="Arial" w:eastAsia="Arial" w:hAnsi="Arial"/>
                <w:sz w:val="18"/>
                <w:szCs w:val="18"/>
                <w:color w:val="auto"/>
              </w:rPr>
              <w:t>December 31, 2013</w:t>
            </w:r>
          </w:p>
        </w:tc>
      </w:tr>
      <w:tr>
        <w:trPr>
          <w:trHeight w:val="173"/>
        </w:trPr>
        <w:tc>
          <w:tcPr>
            <w:tcW w:w="50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Trade accounts receivable</w:t>
            </w:r>
          </w:p>
        </w:tc>
        <w:tc>
          <w:tcPr>
            <w:tcW w:w="424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b w:val="1"/>
                <w:bCs w:val="1"/>
                <w:color w:val="auto"/>
              </w:rPr>
              <w:t>$153,905</w:t>
            </w:r>
          </w:p>
        </w:tc>
        <w:tc>
          <w:tcPr>
            <w:tcW w:w="21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$154,296</w:t>
            </w:r>
          </w:p>
        </w:tc>
        <w:tc>
          <w:tcPr>
            <w:tcW w:w="40" w:type="dxa"/>
            <w:vAlign w:val="bottom"/>
            <w:gridSpan w:val="2"/>
          </w:tcPr>
          <w:p>
            <w:pPr>
              <w:spacing w:after="0"/>
              <w:rPr>
                <w:sz w:val="15"/>
                <w:szCs w:val="15"/>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2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13,045</w:t>
            </w:r>
          </w:p>
        </w:tc>
        <w:tc>
          <w:tcPr>
            <w:tcW w:w="21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20,525</w:t>
            </w:r>
          </w:p>
        </w:tc>
      </w:tr>
      <w:tr>
        <w:trPr>
          <w:trHeight w:val="225"/>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(8,713)</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(11,274)</w:t>
            </w:r>
          </w:p>
        </w:tc>
        <w:tc>
          <w:tcPr>
            <w:tcW w:w="20" w:type="dxa"/>
            <w:vAlign w:val="bottom"/>
          </w:tcPr>
          <w:p>
            <w:pPr>
              <w:spacing w:after="0"/>
              <w:rPr>
                <w:sz w:val="19"/>
                <w:szCs w:val="19"/>
                <w:color w:val="auto"/>
              </w:rPr>
            </w:pPr>
          </w:p>
        </w:tc>
      </w:tr>
      <w:tr>
        <w:trPr>
          <w:trHeight w:val="196"/>
        </w:trPr>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2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$158,237</w:t>
            </w:r>
          </w:p>
        </w:tc>
        <w:tc>
          <w:tcPr>
            <w:tcW w:w="21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$163,547</w:t>
            </w:r>
          </w:p>
        </w:tc>
        <w:tc>
          <w:tcPr>
            <w:tcW w:w="20" w:type="dxa"/>
            <w:vAlign w:val="bottom"/>
            <w:tcBorders>
              <w:bottom w:val="single" w:sz="8" w:color="auto"/>
            </w:tcBorders>
          </w:tcPr>
          <w:p>
            <w:pPr>
              <w:spacing w:after="0"/>
              <w:rPr>
                <w:sz w:val="17"/>
                <w:szCs w:val="17"/>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Costs included in inventory are raw materials, labor, supplies, and allocable depreciation and overhead. 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ind w:left="660"/>
              <w:spacing w:after="0"/>
              <w:rPr>
                <w:sz w:val="20"/>
                <w:szCs w:val="20"/>
                <w:color w:val="auto"/>
              </w:rPr>
            </w:pPr>
            <w:r>
              <w:rPr>
                <w:rFonts w:ascii="Arial" w:cs="Arial" w:eastAsia="Arial" w:hAnsi="Arial"/>
                <w:sz w:val="18"/>
                <w:szCs w:val="18"/>
                <w:color w:val="auto"/>
              </w:rPr>
              <w:t>As of December 31, 2014 and 2013, inventories consisted of the following:</w:t>
            </w:r>
          </w:p>
        </w:tc>
        <w:tc>
          <w:tcPr>
            <w:tcW w:w="2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(in thousands)</w:t>
            </w:r>
          </w:p>
        </w:tc>
        <w:tc>
          <w:tcPr>
            <w:tcW w:w="242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 2014</w:t>
            </w:r>
          </w:p>
        </w:tc>
        <w:tc>
          <w:tcPr>
            <w:tcW w:w="2280" w:type="dxa"/>
            <w:vAlign w:val="bottom"/>
            <w:gridSpan w:val="2"/>
          </w:tcPr>
          <w:p>
            <w:pPr>
              <w:jc w:val="right"/>
              <w:ind w:right="480"/>
              <w:spacing w:after="0"/>
              <w:rPr>
                <w:sz w:val="20"/>
                <w:szCs w:val="20"/>
                <w:color w:val="auto"/>
              </w:rPr>
            </w:pPr>
            <w:r>
              <w:rPr>
                <w:rFonts w:ascii="Arial" w:cs="Arial" w:eastAsia="Arial" w:hAnsi="Arial"/>
                <w:sz w:val="18"/>
                <w:szCs w:val="18"/>
                <w:color w:val="auto"/>
              </w:rPr>
              <w:t>December 31, 2013</w:t>
            </w:r>
          </w:p>
        </w:tc>
      </w:tr>
      <w:tr>
        <w:trPr>
          <w:trHeight w:val="173"/>
        </w:trPr>
        <w:tc>
          <w:tcPr>
            <w:tcW w:w="67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Raw materials</w:t>
            </w:r>
          </w:p>
        </w:tc>
        <w:tc>
          <w:tcPr>
            <w:tcW w:w="2420" w:type="dxa"/>
            <w:vAlign w:val="bottom"/>
            <w:tcBorders>
              <w:top w:val="single" w:sz="8" w:color="auto"/>
            </w:tcBorders>
          </w:tcPr>
          <w:p>
            <w:pPr>
              <w:jc w:val="right"/>
              <w:ind w:right="150"/>
              <w:spacing w:after="0" w:line="173" w:lineRule="exact"/>
              <w:rPr>
                <w:sz w:val="20"/>
                <w:szCs w:val="20"/>
                <w:color w:val="auto"/>
              </w:rPr>
            </w:pPr>
            <w:r>
              <w:rPr>
                <w:rFonts w:ascii="Arial" w:cs="Arial" w:eastAsia="Arial" w:hAnsi="Arial"/>
                <w:sz w:val="18"/>
                <w:szCs w:val="18"/>
                <w:b w:val="1"/>
                <w:bCs w:val="1"/>
                <w:color w:val="auto"/>
              </w:rPr>
              <w:t>$27,006</w:t>
            </w:r>
          </w:p>
        </w:tc>
        <w:tc>
          <w:tcPr>
            <w:tcW w:w="22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$25,754</w:t>
            </w:r>
          </w:p>
        </w:tc>
        <w:tc>
          <w:tcPr>
            <w:tcW w:w="20" w:type="dxa"/>
            <w:vAlign w:val="bottom"/>
          </w:tcPr>
          <w:p>
            <w:pPr>
              <w:spacing w:after="0"/>
              <w:rPr>
                <w:sz w:val="15"/>
                <w:szCs w:val="15"/>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4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43,512</w:t>
            </w:r>
          </w:p>
        </w:tc>
        <w:tc>
          <w:tcPr>
            <w:tcW w:w="2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45,998</w:t>
            </w:r>
          </w:p>
        </w:tc>
      </w:tr>
      <w:tr>
        <w:trPr>
          <w:trHeight w:val="225"/>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2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36,756</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40,987</w:t>
            </w:r>
          </w:p>
        </w:tc>
      </w:tr>
      <w:tr>
        <w:trPr>
          <w:trHeight w:val="196"/>
        </w:trPr>
        <w:tc>
          <w:tcPr>
            <w:tcW w:w="6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2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$107,274</w:t>
            </w:r>
          </w:p>
        </w:tc>
        <w:tc>
          <w:tcPr>
            <w:tcW w:w="22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$112,739</w:t>
            </w:r>
          </w:p>
        </w:tc>
      </w:tr>
    </w:tbl>
    <w:p>
      <w:pPr>
        <w:spacing w:after="0" w:line="377"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During 2014, the Company identified an error in the value of Machine Clothing inventories reported in prior periods. Included in cost of goods sold in 2014 is a charge of $1.6 million to reduce inventories to their proper carrying values. The error relates to intercompany transfers of inventory and originated when the Company transitioned to a new ERP system in the Americas in 2008 and Europe in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Property, plant and equipment are recorded at cost.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55" w:name="page56"/>
    <w:bookmarkEnd w:id="55"/>
    <w:p>
      <w:pPr>
        <w:ind w:right="140" w:firstLine="648"/>
        <w:spacing w:after="0" w:line="239"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amounted to $0.6 million in 2014 and $1.1 million in 2013.</w:t>
      </w:r>
    </w:p>
    <w:p>
      <w:pPr>
        <w:spacing w:after="0" w:line="17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may not be recoverable from the estimated future cash flows expected to result from its use and eventual disposition.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234"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 See additional information set forth under Note 12.</w:t>
      </w:r>
    </w:p>
    <w:p>
      <w:pPr>
        <w:spacing w:after="0" w:line="20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an investment in a company in Russia that is accounted for under the equity method of accounting and is included in Other assets amounting to $0.3 million in 2014 and $0.7 million in 2013.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20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Other assets also includes $10.1 million in 2014 and $7.4 million in 2013 for defined benefit pension plans where plan assets exceed the projected benefit obligations.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We have stock-based compensation plans for key employees. Stock options are accounted for in accordance with applicable guidance for the modified prospective transition method of share-based payments. No options have been granted since 2002. See additional information set forth under Note 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93"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7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63" w:lineRule="exact"/>
        <w:rPr>
          <w:sz w:val="20"/>
          <w:szCs w:val="20"/>
          <w:color w:val="auto"/>
        </w:rPr>
      </w:pPr>
    </w:p>
    <w:p>
      <w:pPr>
        <w:jc w:val="both"/>
        <w:ind w:right="120" w:firstLine="648"/>
        <w:spacing w:after="0" w:line="239" w:lineRule="auto"/>
        <w:rPr>
          <w:sz w:val="20"/>
          <w:szCs w:val="20"/>
          <w:color w:val="auto"/>
        </w:rPr>
      </w:pPr>
      <w:r>
        <w:rPr>
          <w:rFonts w:ascii="Arial" w:cs="Arial" w:eastAsia="Arial" w:hAnsi="Arial"/>
          <w:sz w:val="18"/>
          <w:szCs w:val="18"/>
          <w:color w:val="auto"/>
        </w:rPr>
        <w:t>All derivative contracts are recorded in the balance sheet at fair value. For transactions that are designated as hedges, we perform an evaluation of the effectiveness of the hedge. To the extent that the hedge is effective, changes in the fair value of the hedge are recorded, net of tax, in other comprehensive income. We measure the effectiveness of hedging relationships both at inception and on an ongoing basis. The ineffective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portion of a hedge, if any, and changes in the fair value of a derivative not deemed to be a hedge, are recorded in Other expense/(income), net.</w:t>
      </w:r>
    </w:p>
    <w:p>
      <w:pPr>
        <w:spacing w:after="0" w:line="185"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the Cumulative translation adjustment.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As described in Note 5, we have pension and postretirement benefit plans covering substantially all employees. Our defined benefit pension plan in the United States was closed to new participants as of October 1998 and, as of February 2009, benefits accrued under this plan were frozen. We have liabilities for postretirement benefits in the U.S. and Canada. Substantially all of the liability relates to the U.S. plan. Effective January 2005, our postretirement benefit plan in the U.S.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17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at the beginning of each fiscal year. We consider current market conditions, including changes in interest rates, in making these assumptions. Discount rate assumptions are based on the population of plan participants and a mixture of high-quality fixed-income investments for which the average maturity approximates the average remaining service period of plan participants. The assumption for expected return on plan assets is based on historical and expected returns on various categories of plan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9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 The reportable segments, which are described in more detail in Note 4, are Machine Clothing (MC) and Albany Engineered Composites (AEC). In the determination of segment operating income, we exclude expenses for certain Corporate expenses, which consist primarily of corporate headquarters and global information systems costs.</w:t>
      </w:r>
    </w:p>
    <w:p>
      <w:pPr>
        <w:spacing w:after="0" w:line="17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Effective January 1, 2014, Albany International Corp. (the “Company) changed its business segment reporting by recasting, for all prior periods, certain expenses previously identified as Research and Unallocated expenses to existing segments. Substantially all research and development expenses are now included in segment operating expenses. Prior to this change, Unallocated expenses included long-term incentive compensation for all Company employees. To the extent such programs are related to MC and AEC employees, such expenses will now be included in segment operating expenses. Additionally, expenses previously referred to as Unallocated expenses, are now referred to as Corporate expenses. These changes were made to be consistent with how the chief operating decision maker assesses Company performance. On April 10, 2014, we filed a Form 8-K to show the effect of these changes on previously reported results and, accordingly, the 2013 and 2012 segment results in this report include the effect of this change.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2013, an accounting update was issued that addressed the accounting for the cumulative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57" w:name="page58"/>
    <w:bookmarkEnd w:id="57"/>
    <w:p>
      <w:pPr>
        <w:jc w:val="both"/>
        <w:ind w:right="100"/>
        <w:spacing w:after="0"/>
        <w:rPr>
          <w:sz w:val="20"/>
          <w:szCs w:val="20"/>
          <w:color w:val="auto"/>
        </w:rPr>
      </w:pPr>
      <w:r>
        <w:rPr>
          <w:rFonts w:ascii="Arial" w:cs="Arial" w:eastAsia="Arial" w:hAnsi="Arial"/>
          <w:sz w:val="18"/>
          <w:szCs w:val="18"/>
          <w:color w:val="auto"/>
        </w:rPr>
        <w:t>translation adjustment upon derecognition of subsidiaries. Upon the sale of part of a foreign entity, or if the parent no longer holds a controlling financial interest in a subsidiary or group of assets, the parent company must transfer the cumulative translation adjustment to net income. We adopted this update January 1, 2014, and it had no effect on our financial statements.</w:t>
      </w:r>
    </w:p>
    <w:p>
      <w:pPr>
        <w:spacing w:after="0" w:line="17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July 2013, amended accounting guidance was issued regarding the financial statement presentation of an unrecognized tax benefit when a net operating loss carryforward, a similar tax loss or tax credit carryforward exists. This guidance was adopted January 1, 2014 and had the effect of reducing noncurrent deferred tax assets and noncurrent deferred tax liabilities by $7.1 million.</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April 2014, an accounting update was issued regarding which disposals qualify for reporting as discontinued operations. Additionally, new disclosures will apply for discontinued operations. This accounting update is to be applied prospectively to new disposals and new classifications of disposal groups as held for sale beginning in periods after December 15, 2014. We do not expect the adoption of this update to have a significant effect on our financial statements.</w:t>
      </w:r>
    </w:p>
    <w:p>
      <w:pPr>
        <w:spacing w:after="0" w:line="18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June 2014, an accounting update was issued that replaces the existing revenue recognition framework regarding contracts with customers. This accounting update is effective for reporting periods beginning after December 15, 2016. We have not determined the impact of this update on our financial statements.</w:t>
      </w:r>
    </w:p>
    <w:p>
      <w:pPr>
        <w:spacing w:after="0" w:line="189"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June 2014, an accounting update was issued relating to accounting for share-based payments with a performance target that could be achieved after the requisite service period. The adoption of this accounting guidance will be effective for reporting periods beginning after December 15, 2015. We do not expect the adoption of this update to have a significant effect on our financial statements.</w:t>
      </w:r>
    </w:p>
    <w:p>
      <w:pPr>
        <w:spacing w:after="0" w:line="189"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In August 2014, an accounting update was issued relating to how management assesses conditions and events that could raise substantial doubt about an entity’s ability to continue as a going concern. This accounting update is effective for reporting periods beginning after December 15, 2016. We do not expect the adoption of this update to have a significant effect on our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93" w:lineRule="exact"/>
        <w:rPr>
          <w:sz w:val="20"/>
          <w:szCs w:val="20"/>
          <w:color w:val="auto"/>
        </w:rPr>
      </w:pPr>
    </w:p>
    <w:p>
      <w:pPr>
        <w:jc w:val="both"/>
        <w:ind w:right="120" w:firstLine="648"/>
        <w:spacing w:after="0" w:line="239"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(ADS) business to Assa Abloy AB for $130 million. In January 2012, the Company completed the sale of Albany Door Systems, and in March 2012, we finalized certain post-closing adjustments that increased the sale price by $5 million. As of December 31, 2012, $122 million of the total $135 million sale price had been received, with the remainder received in July 2013. The Company recorded a pre-tax gain of $57.4 million as a result of that sale.</w:t>
      </w:r>
    </w:p>
    <w:p>
      <w:pPr>
        <w:spacing w:after="0" w:line="175"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May 2012, we announced an agreement to sell our PrimaLoft Products business and that transaction closed on June 29, 2012. Under the terms of the agreement, the purchaser acquired all of the assets of that business, which were located in the United States, Italy and Germany. The purchase price of $38.0 million included $3.8 million held in escrow accounts, which was received in 2013. The Company recorded a pre-tax gain of $34.9 million as result of that sale.</w:t>
      </w:r>
    </w:p>
    <w:p>
      <w:pPr>
        <w:spacing w:after="0" w:line="161"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412"/>
        </w:trPr>
        <w:tc>
          <w:tcPr>
            <w:tcW w:w="6120" w:type="dxa"/>
            <w:vAlign w:val="bottom"/>
          </w:tcPr>
          <w:p>
            <w:pPr>
              <w:spacing w:after="0"/>
              <w:rPr>
                <w:sz w:val="20"/>
                <w:szCs w:val="20"/>
                <w:color w:val="auto"/>
              </w:rPr>
            </w:pPr>
            <w:r>
              <w:rPr>
                <w:rFonts w:ascii="Arial" w:cs="Arial" w:eastAsia="Arial" w:hAnsi="Arial"/>
                <w:sz w:val="18"/>
                <w:szCs w:val="18"/>
                <w:color w:val="auto"/>
              </w:rPr>
              <w:t>Net sales</w:t>
            </w:r>
          </w:p>
        </w:tc>
        <w:tc>
          <w:tcPr>
            <w:tcW w:w="2860" w:type="dxa"/>
            <w:vAlign w:val="bottom"/>
          </w:tcPr>
          <w:p>
            <w:pPr>
              <w:jc w:val="right"/>
              <w:ind w:right="194"/>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$19,774</w:t>
            </w:r>
          </w:p>
        </w:tc>
      </w:tr>
      <w:tr>
        <w:trPr>
          <w:trHeight w:val="405"/>
        </w:trPr>
        <w:tc>
          <w:tcPr>
            <w:tcW w:w="6120" w:type="dxa"/>
            <w:vAlign w:val="bottom"/>
          </w:tcPr>
          <w:p>
            <w:pPr>
              <w:spacing w:after="0"/>
              <w:rPr>
                <w:sz w:val="20"/>
                <w:szCs w:val="20"/>
                <w:color w:val="auto"/>
              </w:rPr>
            </w:pPr>
            <w:r>
              <w:rPr>
                <w:rFonts w:ascii="Arial" w:cs="Arial" w:eastAsia="Arial" w:hAnsi="Arial"/>
                <w:sz w:val="18"/>
                <w:szCs w:val="18"/>
                <w:color w:val="auto"/>
              </w:rPr>
              <w:t>(Loss)/income from operations of discontinued business</w:t>
            </w:r>
          </w:p>
        </w:tc>
        <w:tc>
          <w:tcPr>
            <w:tcW w:w="28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1020" w:type="dxa"/>
            <w:vAlign w:val="bottom"/>
          </w:tcPr>
          <w:p>
            <w:pPr>
              <w:jc w:val="right"/>
              <w:spacing w:after="0"/>
              <w:rPr>
                <w:sz w:val="20"/>
                <w:szCs w:val="20"/>
                <w:color w:val="auto"/>
              </w:rPr>
            </w:pPr>
            <w:r>
              <w:rPr>
                <w:rFonts w:ascii="Arial" w:cs="Arial" w:eastAsia="Arial" w:hAnsi="Arial"/>
                <w:sz w:val="18"/>
                <w:szCs w:val="18"/>
                <w:color w:val="auto"/>
              </w:rPr>
              <w:t>4,776</w:t>
            </w:r>
          </w:p>
        </w:tc>
      </w:tr>
      <w:tr>
        <w:trPr>
          <w:trHeight w:val="405"/>
        </w:trPr>
        <w:tc>
          <w:tcPr>
            <w:tcW w:w="6120" w:type="dxa"/>
            <w:vAlign w:val="bottom"/>
          </w:tcPr>
          <w:p>
            <w:pPr>
              <w:spacing w:after="0"/>
              <w:rPr>
                <w:sz w:val="20"/>
                <w:szCs w:val="20"/>
                <w:color w:val="auto"/>
              </w:rPr>
            </w:pPr>
            <w:r>
              <w:rPr>
                <w:rFonts w:ascii="Arial" w:cs="Arial" w:eastAsia="Arial" w:hAnsi="Arial"/>
                <w:sz w:val="18"/>
                <w:szCs w:val="18"/>
                <w:color w:val="auto"/>
              </w:rPr>
              <w:t>Gain on disposition of discontinued operations</w:t>
            </w:r>
          </w:p>
        </w:tc>
        <w:tc>
          <w:tcPr>
            <w:tcW w:w="28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92,296</w:t>
            </w:r>
          </w:p>
        </w:tc>
      </w:tr>
      <w:tr>
        <w:trPr>
          <w:trHeight w:val="405"/>
        </w:trPr>
        <w:tc>
          <w:tcPr>
            <w:tcW w:w="61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28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(29)</w:t>
            </w:r>
          </w:p>
        </w:tc>
        <w:tc>
          <w:tcPr>
            <w:tcW w:w="1020" w:type="dxa"/>
            <w:vAlign w:val="bottom"/>
          </w:tcPr>
          <w:p>
            <w:pPr>
              <w:jc w:val="right"/>
              <w:spacing w:after="0"/>
              <w:rPr>
                <w:sz w:val="20"/>
                <w:szCs w:val="20"/>
                <w:color w:val="auto"/>
              </w:rPr>
            </w:pPr>
            <w:r>
              <w:rPr>
                <w:rFonts w:ascii="Arial" w:cs="Arial" w:eastAsia="Arial" w:hAnsi="Arial"/>
                <w:sz w:val="18"/>
                <w:szCs w:val="18"/>
                <w:color w:val="auto"/>
              </w:rPr>
              <w:t>25,252</w:t>
            </w:r>
          </w:p>
        </w:tc>
      </w:tr>
      <w:tr>
        <w:trPr>
          <w:trHeight w:val="203"/>
        </w:trPr>
        <w:tc>
          <w:tcPr>
            <w:tcW w:w="6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Income tax expense includes a charge of $5.4 million in 2012 pertaining to cash repatriations that occurred in 2012 as a result of the sale of the Albany Doors Systems.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w:t>
      </w:r>
    </w:p>
    <w:p>
      <w:pPr>
        <w:spacing w:after="0" w:line="193"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65" w:lineRule="exact"/>
        <w:rPr>
          <w:sz w:val="20"/>
          <w:szCs w:val="20"/>
          <w:color w:val="auto"/>
        </w:rPr>
      </w:pPr>
    </w:p>
    <w:p>
      <w:pPr>
        <w:ind w:right="460" w:firstLine="648"/>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75"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2014</w:t>
            </w: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7540" w:type="dxa"/>
            <w:vAlign w:val="bottom"/>
          </w:tcPr>
          <w:p>
            <w:pPr>
              <w:spacing w:after="0" w:line="173" w:lineRule="exact"/>
              <w:rPr>
                <w:sz w:val="20"/>
                <w:szCs w:val="20"/>
                <w:color w:val="auto"/>
              </w:rPr>
            </w:pPr>
            <w:r>
              <w:rPr>
                <w:rFonts w:ascii="Arial" w:cs="Arial" w:eastAsia="Arial" w:hAnsi="Arial"/>
                <w:sz w:val="18"/>
                <w:szCs w:val="18"/>
                <w:color w:val="auto"/>
              </w:rPr>
              <w:t>Net income of ASC</w:t>
            </w:r>
          </w:p>
        </w:tc>
        <w:tc>
          <w:tcPr>
            <w:tcW w:w="26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$2,816</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$1,569</w:t>
            </w:r>
          </w:p>
        </w:tc>
        <w:tc>
          <w:tcPr>
            <w:tcW w:w="40" w:type="dxa"/>
            <w:vAlign w:val="bottom"/>
            <w:gridSpan w:val="2"/>
          </w:tcPr>
          <w:p>
            <w:pPr>
              <w:spacing w:after="0"/>
              <w:rPr>
                <w:sz w:val="15"/>
                <w:szCs w:val="15"/>
                <w:color w:val="auto"/>
              </w:rPr>
            </w:pPr>
          </w:p>
        </w:tc>
      </w:tr>
      <w:tr>
        <w:trPr>
          <w:trHeight w:val="225"/>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1,019</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r>
      <w:tr>
        <w:trPr>
          <w:trHeight w:val="173"/>
        </w:trPr>
        <w:tc>
          <w:tcPr>
            <w:tcW w:w="7540" w:type="dxa"/>
            <w:vAlign w:val="bottom"/>
          </w:tcPr>
          <w:p>
            <w:pPr>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26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1,797</w:t>
            </w:r>
          </w:p>
        </w:tc>
        <w:tc>
          <w:tcPr>
            <w:tcW w:w="122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1,405</w:t>
            </w:r>
          </w:p>
        </w:tc>
        <w:tc>
          <w:tcPr>
            <w:tcW w:w="20" w:type="dxa"/>
            <w:vAlign w:val="bottom"/>
          </w:tcPr>
          <w:p>
            <w:pPr>
              <w:spacing w:after="0"/>
              <w:rPr>
                <w:sz w:val="15"/>
                <w:szCs w:val="15"/>
                <w:color w:val="auto"/>
              </w:rPr>
            </w:pPr>
          </w:p>
        </w:tc>
      </w:tr>
      <w:tr>
        <w:trPr>
          <w:trHeight w:val="225"/>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10%</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196"/>
        </w:trPr>
        <w:tc>
          <w:tcPr>
            <w:tcW w:w="7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$180</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r>
      <w:tr>
        <w:trPr>
          <w:trHeight w:val="376"/>
        </w:trPr>
        <w:tc>
          <w:tcPr>
            <w:tcW w:w="7540" w:type="dxa"/>
            <w:vAlign w:val="bottom"/>
          </w:tcPr>
          <w:p>
            <w:pPr>
              <w:spacing w:after="0"/>
              <w:rPr>
                <w:sz w:val="20"/>
                <w:szCs w:val="20"/>
                <w:color w:val="auto"/>
              </w:rPr>
            </w:pPr>
            <w:r>
              <w:rPr>
                <w:rFonts w:ascii="Arial" w:cs="Arial" w:eastAsia="Arial" w:hAnsi="Arial"/>
                <w:sz w:val="18"/>
                <w:szCs w:val="18"/>
                <w:color w:val="auto"/>
              </w:rPr>
              <w:t>Noncontrolling interest, beginning of year</w:t>
            </w:r>
          </w:p>
        </w:tc>
        <w:tc>
          <w:tcPr>
            <w:tcW w:w="2680" w:type="dxa"/>
            <w:vAlign w:val="bottom"/>
          </w:tcPr>
          <w:p>
            <w:pPr>
              <w:jc w:val="right"/>
              <w:ind w:right="190"/>
              <w:spacing w:after="0"/>
              <w:rPr>
                <w:sz w:val="20"/>
                <w:szCs w:val="20"/>
                <w:color w:val="auto"/>
              </w:rPr>
            </w:pPr>
            <w:r>
              <w:rPr>
                <w:rFonts w:ascii="Arial" w:cs="Arial" w:eastAsia="Arial" w:hAnsi="Arial"/>
                <w:sz w:val="18"/>
                <w:szCs w:val="18"/>
                <w:b w:val="1"/>
                <w:bCs w:val="1"/>
                <w:color w:val="auto"/>
              </w:rPr>
              <w:t>3,482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3,341</w:t>
            </w:r>
          </w:p>
        </w:tc>
        <w:tc>
          <w:tcPr>
            <w:tcW w:w="20" w:type="dxa"/>
            <w:vAlign w:val="bottom"/>
          </w:tcPr>
          <w:p>
            <w:pPr>
              <w:spacing w:after="0"/>
              <w:rPr>
                <w:sz w:val="24"/>
                <w:szCs w:val="24"/>
                <w:color w:val="auto"/>
              </w:rPr>
            </w:pP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Adjustment to net assets contributed by Albany</w:t>
            </w:r>
          </w:p>
        </w:tc>
        <w:tc>
          <w:tcPr>
            <w:tcW w:w="26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39</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26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180</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r>
      <w:tr>
        <w:trPr>
          <w:trHeight w:val="225"/>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7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end of year</w:t>
            </w:r>
          </w:p>
        </w:tc>
        <w:tc>
          <w:tcPr>
            <w:tcW w:w="2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$3,699</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$3,482</w:t>
            </w:r>
          </w:p>
        </w:tc>
        <w:tc>
          <w:tcPr>
            <w:tcW w:w="20" w:type="dxa"/>
            <w:vAlign w:val="bottom"/>
            <w:tcBorders>
              <w:bottom w:val="single" w:sz="8" w:color="auto"/>
            </w:tcBorders>
          </w:tcPr>
          <w:p>
            <w:pPr>
              <w:spacing w:after="0"/>
              <w:rPr>
                <w:sz w:val="17"/>
                <w:szCs w:val="17"/>
                <w:color w:val="auto"/>
              </w:rPr>
            </w:pPr>
          </w:p>
        </w:tc>
      </w:tr>
      <w:tr>
        <w:trPr>
          <w:trHeight w:val="709"/>
        </w:trPr>
        <w:tc>
          <w:tcPr>
            <w:tcW w:w="7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r>
      <w:tr>
        <w:trPr>
          <w:trHeight w:val="81"/>
        </w:trPr>
        <w:tc>
          <w:tcPr>
            <w:tcW w:w="75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8"/>
        </w:trPr>
        <w:tc>
          <w:tcPr>
            <w:tcW w:w="7540" w:type="dxa"/>
            <w:vAlign w:val="bottom"/>
            <w:shd w:val="clear" w:color="auto" w:fill="000000"/>
          </w:tcPr>
          <w:p>
            <w:pPr>
              <w:spacing w:after="0"/>
              <w:rPr>
                <w:sz w:val="5"/>
                <w:szCs w:val="5"/>
                <w:color w:val="auto"/>
              </w:rPr>
            </w:pPr>
          </w:p>
        </w:tc>
        <w:tc>
          <w:tcPr>
            <w:tcW w:w="26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05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4. Reportable Segments and Geographic Data</w:t>
      </w:r>
    </w:p>
    <w:p>
      <w:pPr>
        <w:spacing w:after="0" w:line="207"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56"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Machine Clothing segment supplies permeable and impermeable belts used in the manufacture of paper, paperboard, nonwovens, fiber cement and several other industrial applications. The Machine Clothing segment also supplies customized, consumable fabrics used in the manufacturing process in the pulp, corrugator, nonwovens, fiber cement, building products, and tannery and textile industries. We sell our Machine Clothing products directly to customer end-users. Our products, manufacturing processes, and distribution channels for Machine Clothing are substantially the same in each region of the world in which we operate.</w:t>
      </w:r>
    </w:p>
    <w:p>
      <w:pPr>
        <w:spacing w:after="0" w:line="189"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We design, manufacture, and market paper machine clothing for each section of the paper machine and for every grade of paper. Paper machine clothing products are customized, consumable products of technologically sophisticated design that utilize polymeric materials in a complex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Albany Engineered Composites segment (AEC), including Albany Safran Composites, LLC (ASC), in which our customer SAFRAN Group owns a 10 percent noncontrolling interest, provides highly engineered, advanced composite structures based on proprietary technology to customers in the aerospace and defense industries. AEC’s largest program relates to CFM International’s LEAP engine, which is scheduled to enter into service in 2016. Under this program, AEC through ASC, is the exclusive supplier of advanced composite fan blades and cases under a long-term supply contract. In 2014, approximately 20 percent of AEC sales were related to U.S. government contracts or programs.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5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34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16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4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95"/>
        </w:trPr>
        <w:tc>
          <w:tcPr>
            <w:tcW w:w="59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3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$655,026</w:t>
            </w:r>
          </w:p>
        </w:tc>
        <w:tc>
          <w:tcPr>
            <w:tcW w:w="1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6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340" w:type="dxa"/>
            <w:vAlign w:val="bottom"/>
            <w:vMerge w:val="continue"/>
          </w:tcPr>
          <w:p>
            <w:pPr>
              <w:spacing w:after="0"/>
              <w:rPr>
                <w:sz w:val="15"/>
                <w:szCs w:val="15"/>
                <w:color w:val="auto"/>
              </w:rPr>
            </w:pPr>
          </w:p>
        </w:tc>
        <w:tc>
          <w:tcPr>
            <w:tcW w:w="166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$674,747</w:t>
            </w: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$693,176</w:t>
            </w:r>
          </w:p>
        </w:tc>
        <w:tc>
          <w:tcPr>
            <w:tcW w:w="0" w:type="dxa"/>
            <w:vAlign w:val="bottom"/>
          </w:tcPr>
          <w:p>
            <w:pPr>
              <w:spacing w:after="0"/>
              <w:rPr>
                <w:sz w:val="1"/>
                <w:szCs w:val="1"/>
                <w:color w:val="auto"/>
              </w:rPr>
            </w:pPr>
          </w:p>
        </w:tc>
      </w:tr>
      <w:tr>
        <w:trPr>
          <w:trHeight w:val="225"/>
        </w:trPr>
        <w:tc>
          <w:tcPr>
            <w:tcW w:w="596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2340" w:type="dxa"/>
            <w:vAlign w:val="bottom"/>
          </w:tcPr>
          <w:p>
            <w:pPr>
              <w:jc w:val="right"/>
              <w:ind w:right="210"/>
              <w:spacing w:after="0"/>
              <w:rPr>
                <w:sz w:val="20"/>
                <w:szCs w:val="20"/>
                <w:color w:val="auto"/>
              </w:rPr>
            </w:pPr>
            <w:r>
              <w:rPr>
                <w:rFonts w:ascii="Arial" w:cs="Arial" w:eastAsia="Arial" w:hAnsi="Arial"/>
                <w:sz w:val="18"/>
                <w:szCs w:val="18"/>
                <w:b w:val="1"/>
                <w:bCs w:val="1"/>
                <w:color w:val="auto"/>
              </w:rPr>
              <w:t>90,319</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82,667</w:t>
            </w:r>
          </w:p>
        </w:tc>
        <w:tc>
          <w:tcPr>
            <w:tcW w:w="1460" w:type="dxa"/>
            <w:vAlign w:val="bottom"/>
          </w:tcPr>
          <w:p>
            <w:pPr>
              <w:jc w:val="right"/>
              <w:spacing w:after="0"/>
              <w:rPr>
                <w:sz w:val="20"/>
                <w:szCs w:val="20"/>
                <w:color w:val="auto"/>
              </w:rPr>
            </w:pPr>
            <w:r>
              <w:rPr>
                <w:rFonts w:ascii="Arial" w:cs="Arial" w:eastAsia="Arial" w:hAnsi="Arial"/>
                <w:sz w:val="18"/>
                <w:szCs w:val="18"/>
                <w:color w:val="auto"/>
              </w:rPr>
              <w:t>67,765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w:t>
            </w:r>
          </w:p>
        </w:tc>
        <w:tc>
          <w:tcPr>
            <w:tcW w:w="234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$745,345</w:t>
            </w:r>
          </w:p>
        </w:tc>
        <w:tc>
          <w:tcPr>
            <w:tcW w:w="16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$757,414</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$760,941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Pr>
          <w:p>
            <w:pPr>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3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45,066</w:t>
            </w:r>
          </w:p>
        </w:tc>
        <w:tc>
          <w:tcPr>
            <w:tcW w:w="1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6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340" w:type="dxa"/>
            <w:vAlign w:val="bottom"/>
            <w:vMerge w:val="continue"/>
          </w:tcPr>
          <w:p>
            <w:pPr>
              <w:spacing w:after="0"/>
              <w:rPr>
                <w:sz w:val="15"/>
                <w:szCs w:val="15"/>
                <w:color w:val="auto"/>
              </w:rPr>
            </w:pPr>
          </w:p>
        </w:tc>
        <w:tc>
          <w:tcPr>
            <w:tcW w:w="166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46,521</w:t>
            </w: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48,052</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10,880</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8,460</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25"/>
        </w:trPr>
        <w:tc>
          <w:tcPr>
            <w:tcW w:w="596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2340" w:type="dxa"/>
            <w:vAlign w:val="bottom"/>
          </w:tcPr>
          <w:p>
            <w:pPr>
              <w:jc w:val="right"/>
              <w:ind w:right="210"/>
              <w:spacing w:after="0"/>
              <w:rPr>
                <w:sz w:val="20"/>
                <w:szCs w:val="20"/>
                <w:color w:val="auto"/>
              </w:rPr>
            </w:pPr>
            <w:r>
              <w:rPr>
                <w:rFonts w:ascii="Arial" w:cs="Arial" w:eastAsia="Arial" w:hAnsi="Arial"/>
                <w:sz w:val="18"/>
                <w:szCs w:val="18"/>
                <w:b w:val="1"/>
                <w:bCs w:val="1"/>
                <w:color w:val="auto"/>
              </w:rPr>
              <w:t>8,346</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8,808</w:t>
            </w:r>
          </w:p>
        </w:tc>
        <w:tc>
          <w:tcPr>
            <w:tcW w:w="1460" w:type="dxa"/>
            <w:vAlign w:val="bottom"/>
          </w:tcPr>
          <w:p>
            <w:pPr>
              <w:jc w:val="right"/>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w:t>
            </w:r>
          </w:p>
        </w:tc>
        <w:tc>
          <w:tcPr>
            <w:tcW w:w="234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$64,292</w:t>
            </w:r>
          </w:p>
        </w:tc>
        <w:tc>
          <w:tcPr>
            <w:tcW w:w="16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$63,789</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$63,067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3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136,450</w:t>
            </w:r>
          </w:p>
        </w:tc>
        <w:tc>
          <w:tcPr>
            <w:tcW w:w="1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6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340" w:type="dxa"/>
            <w:vAlign w:val="bottom"/>
            <w:vMerge w:val="continue"/>
          </w:tcPr>
          <w:p>
            <w:pPr>
              <w:spacing w:after="0"/>
              <w:rPr>
                <w:sz w:val="15"/>
                <w:szCs w:val="15"/>
                <w:color w:val="auto"/>
              </w:rPr>
            </w:pPr>
          </w:p>
        </w:tc>
        <w:tc>
          <w:tcPr>
            <w:tcW w:w="166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114,370</w:t>
            </w: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143,358</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(10,483)</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(14,404)</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25"/>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(54,607)</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(47,875)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(176,576)</w:t>
            </w:r>
          </w:p>
        </w:tc>
        <w:tc>
          <w:tcPr>
            <w:tcW w:w="0" w:type="dxa"/>
            <w:vAlign w:val="bottom"/>
          </w:tcPr>
          <w:p>
            <w:pPr>
              <w:spacing w:after="0"/>
              <w:rPr>
                <w:sz w:val="1"/>
                <w:szCs w:val="1"/>
                <w:color w:val="auto"/>
              </w:rPr>
            </w:pPr>
          </w:p>
        </w:tc>
      </w:tr>
      <w:tr>
        <w:trPr>
          <w:trHeight w:val="195"/>
        </w:trPr>
        <w:tc>
          <w:tcPr>
            <w:tcW w:w="596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income/(loss) before reconciling items</w:t>
            </w:r>
          </w:p>
        </w:tc>
        <w:tc>
          <w:tcPr>
            <w:tcW w:w="234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rPr>
              <w:t>$71,360</w:t>
            </w:r>
          </w:p>
        </w:tc>
        <w:tc>
          <w:tcPr>
            <w:tcW w:w="16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$52,091</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($44,136)</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3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(1,541)</w:t>
            </w:r>
          </w:p>
        </w:tc>
        <w:tc>
          <w:tcPr>
            <w:tcW w:w="1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180"/>
              <w:spacing w:after="0" w:line="181" w:lineRule="exact"/>
              <w:rPr>
                <w:sz w:val="20"/>
                <w:szCs w:val="20"/>
                <w:color w:val="auto"/>
              </w:rPr>
            </w:pPr>
            <w:r>
              <w:rPr>
                <w:rFonts w:ascii="Arial" w:cs="Arial" w:eastAsia="Arial" w:hAnsi="Arial"/>
                <w:sz w:val="18"/>
                <w:szCs w:val="18"/>
                <w:color w:val="auto"/>
              </w:rPr>
              <w:t>Interest income</w:t>
            </w:r>
          </w:p>
        </w:tc>
        <w:tc>
          <w:tcPr>
            <w:tcW w:w="2340" w:type="dxa"/>
            <w:vAlign w:val="bottom"/>
            <w:vMerge w:val="continue"/>
          </w:tcPr>
          <w:p>
            <w:pPr>
              <w:spacing w:after="0"/>
              <w:rPr>
                <w:sz w:val="15"/>
                <w:szCs w:val="15"/>
                <w:color w:val="auto"/>
              </w:rPr>
            </w:pPr>
          </w:p>
        </w:tc>
        <w:tc>
          <w:tcPr>
            <w:tcW w:w="166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(1,468)</w:t>
            </w: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12,254</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15,227</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expense/(income),net</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(6,853)</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7,256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Income/(loss) from continuing operations before income taxes</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$67,500</w:t>
            </w:r>
          </w:p>
        </w:tc>
        <w:tc>
          <w:tcPr>
            <w:tcW w:w="16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$31,076</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($68,366)</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pension settlement and restructuring costs by reportable segment (also see Note 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15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2013</w:t>
            </w: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line="195" w:lineRule="exact"/>
              <w:rPr>
                <w:sz w:val="20"/>
                <w:szCs w:val="20"/>
                <w:color w:val="auto"/>
              </w:rPr>
            </w:pPr>
            <w:r>
              <w:rPr>
                <w:rFonts w:ascii="Arial" w:cs="Arial" w:eastAsia="Arial" w:hAnsi="Arial"/>
                <w:sz w:val="18"/>
                <w:szCs w:val="18"/>
                <w:b w:val="1"/>
                <w:bCs w:val="1"/>
                <w:color w:val="auto"/>
              </w:rPr>
              <w:t>Pension settlement</w:t>
            </w:r>
          </w:p>
        </w:tc>
        <w:tc>
          <w:tcPr>
            <w:tcW w:w="3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$8,190</w:t>
            </w: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3" w:lineRule="exact"/>
              <w:rPr>
                <w:sz w:val="20"/>
                <w:szCs w:val="20"/>
                <w:color w:val="auto"/>
              </w:rPr>
            </w:pPr>
            <w:r>
              <w:rPr>
                <w:rFonts w:ascii="Arial" w:cs="Arial" w:eastAsia="Arial" w:hAnsi="Arial"/>
                <w:sz w:val="18"/>
                <w:szCs w:val="18"/>
                <w:color w:val="auto"/>
              </w:rPr>
              <w:t>Corporate expenses</w:t>
            </w:r>
          </w:p>
        </w:tc>
        <w:tc>
          <w:tcPr>
            <w:tcW w:w="3660" w:type="dxa"/>
            <w:vAlign w:val="bottom"/>
            <w:vMerge w:val="continue"/>
          </w:tcPr>
          <w:p>
            <w:pPr>
              <w:spacing w:after="0"/>
              <w:rPr>
                <w:sz w:val="17"/>
                <w:szCs w:val="17"/>
                <w:color w:val="auto"/>
              </w:rPr>
            </w:pPr>
          </w:p>
        </w:tc>
        <w:tc>
          <w:tcPr>
            <w:tcW w:w="15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$119,735</w:t>
            </w:r>
          </w:p>
        </w:tc>
        <w:tc>
          <w:tcPr>
            <w:tcW w:w="0" w:type="dxa"/>
            <w:vAlign w:val="bottom"/>
          </w:tcPr>
          <w:p>
            <w:pPr>
              <w:spacing w:after="0"/>
              <w:rPr>
                <w:sz w:val="1"/>
                <w:szCs w:val="1"/>
                <w:color w:val="auto"/>
              </w:rPr>
            </w:pPr>
          </w:p>
        </w:tc>
      </w:tr>
      <w:tr>
        <w:trPr>
          <w:trHeight w:val="398"/>
        </w:trPr>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Restructuring expense</w:t>
            </w:r>
          </w:p>
        </w:tc>
        <w:tc>
          <w:tcPr>
            <w:tcW w:w="366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$4,828</w:t>
            </w:r>
          </w:p>
        </w:tc>
        <w:tc>
          <w:tcPr>
            <w:tcW w:w="15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88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3660" w:type="dxa"/>
            <w:vAlign w:val="bottom"/>
            <w:vMerge w:val="continue"/>
          </w:tcPr>
          <w:p>
            <w:pPr>
              <w:spacing w:after="0"/>
              <w:rPr>
                <w:sz w:val="15"/>
                <w:szCs w:val="15"/>
                <w:color w:val="auto"/>
              </w:rPr>
            </w:pPr>
          </w:p>
        </w:tc>
        <w:tc>
          <w:tcPr>
            <w:tcW w:w="15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$24,568</w:t>
            </w:r>
          </w:p>
        </w:tc>
        <w:tc>
          <w:tcPr>
            <w:tcW w:w="132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6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931</w:t>
            </w:r>
          </w:p>
        </w:tc>
        <w:tc>
          <w:tcPr>
            <w:tcW w:w="15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540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36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$5,759</w:t>
            </w:r>
          </w:p>
        </w:tc>
        <w:tc>
          <w:tcPr>
            <w:tcW w:w="15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$25,108</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the measurement of assets utilized by each reportable segment, we include accounts receivable, inventories, net property, plant and equipment, intangibles and goodwill. Excluded from segment assets are cash, tax related assets, prepaid and other current assets, and certain other assets not directly associated with segment operations. The following table presents assets and capital expenditures by reportable segment:</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5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2014</w:t>
            </w:r>
          </w:p>
        </w:tc>
        <w:tc>
          <w:tcPr>
            <w:tcW w:w="17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rPr>
              <w:t>2013</w:t>
            </w:r>
          </w:p>
        </w:tc>
        <w:tc>
          <w:tcPr>
            <w:tcW w:w="16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5"/>
        </w:trPr>
        <w:tc>
          <w:tcPr>
            <w:tcW w:w="52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Segment assets</w:t>
            </w:r>
          </w:p>
        </w:tc>
        <w:tc>
          <w:tcPr>
            <w:tcW w:w="27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$565,853</w:t>
            </w:r>
          </w:p>
        </w:tc>
        <w:tc>
          <w:tcPr>
            <w:tcW w:w="1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6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740" w:type="dxa"/>
            <w:vAlign w:val="bottom"/>
            <w:vMerge w:val="continue"/>
          </w:tcPr>
          <w:p>
            <w:pPr>
              <w:spacing w:after="0"/>
              <w:rPr>
                <w:sz w:val="15"/>
                <w:szCs w:val="15"/>
                <w:color w:val="auto"/>
              </w:rPr>
            </w:pPr>
          </w:p>
        </w:tc>
        <w:tc>
          <w:tcPr>
            <w:tcW w:w="178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$624,388</w:t>
            </w:r>
          </w:p>
        </w:tc>
        <w:tc>
          <w:tcPr>
            <w:tcW w:w="1640" w:type="dxa"/>
            <w:vAlign w:val="bottom"/>
          </w:tcPr>
          <w:p>
            <w:pPr>
              <w:jc w:val="right"/>
              <w:spacing w:after="0" w:line="181" w:lineRule="exact"/>
              <w:rPr>
                <w:sz w:val="20"/>
                <w:szCs w:val="20"/>
                <w:color w:val="auto"/>
              </w:rPr>
            </w:pPr>
            <w:r>
              <w:rPr>
                <w:rFonts w:ascii="Arial" w:cs="Arial" w:eastAsia="Arial" w:hAnsi="Arial"/>
                <w:sz w:val="18"/>
                <w:szCs w:val="18"/>
                <w:color w:val="auto"/>
              </w:rPr>
              <w:t>$660,595</w:t>
            </w:r>
          </w:p>
        </w:tc>
        <w:tc>
          <w:tcPr>
            <w:tcW w:w="0" w:type="dxa"/>
            <w:vAlign w:val="bottom"/>
          </w:tcPr>
          <w:p>
            <w:pPr>
              <w:spacing w:after="0"/>
              <w:rPr>
                <w:sz w:val="1"/>
                <w:szCs w:val="1"/>
                <w:color w:val="auto"/>
              </w:rPr>
            </w:pPr>
          </w:p>
        </w:tc>
      </w:tr>
      <w:tr>
        <w:trPr>
          <w:trHeight w:val="225"/>
        </w:trPr>
        <w:tc>
          <w:tcPr>
            <w:tcW w:w="526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ind w:right="250"/>
              <w:spacing w:after="0"/>
              <w:rPr>
                <w:sz w:val="20"/>
                <w:szCs w:val="20"/>
                <w:color w:val="auto"/>
              </w:rPr>
            </w:pPr>
            <w:r>
              <w:rPr>
                <w:rFonts w:ascii="Arial" w:cs="Arial" w:eastAsia="Arial" w:hAnsi="Arial"/>
                <w:sz w:val="18"/>
                <w:szCs w:val="18"/>
                <w:b w:val="1"/>
                <w:bCs w:val="1"/>
                <w:color w:val="auto"/>
              </w:rPr>
              <w:t>175,338</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147,104</w:t>
            </w:r>
          </w:p>
        </w:tc>
        <w:tc>
          <w:tcPr>
            <w:tcW w:w="1640" w:type="dxa"/>
            <w:vAlign w:val="bottom"/>
          </w:tcPr>
          <w:p>
            <w:pPr>
              <w:jc w:val="right"/>
              <w:spacing w:after="0"/>
              <w:rPr>
                <w:sz w:val="20"/>
                <w:szCs w:val="20"/>
                <w:color w:val="auto"/>
              </w:rPr>
            </w:pPr>
            <w:r>
              <w:rPr>
                <w:rFonts w:ascii="Arial" w:cs="Arial" w:eastAsia="Arial" w:hAnsi="Arial"/>
                <w:sz w:val="18"/>
                <w:szCs w:val="18"/>
                <w:color w:val="auto"/>
              </w:rPr>
              <w:t>109,717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40"/>
              <w:spacing w:after="0" w:line="202" w:lineRule="exact"/>
              <w:rPr>
                <w:sz w:val="20"/>
                <w:szCs w:val="20"/>
                <w:color w:val="auto"/>
              </w:rPr>
            </w:pPr>
            <w:r>
              <w:rPr>
                <w:rFonts w:ascii="Arial" w:cs="Arial" w:eastAsia="Arial" w:hAnsi="Arial"/>
                <w:sz w:val="18"/>
                <w:szCs w:val="18"/>
                <w:color w:val="auto"/>
              </w:rPr>
              <w:t>Reconciling items:</w:t>
            </w:r>
          </w:p>
        </w:tc>
        <w:tc>
          <w:tcPr>
            <w:tcW w:w="27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179,802</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tcPr>
          <w:p>
            <w:pPr>
              <w:ind w:left="140"/>
              <w:spacing w:after="0" w:line="181" w:lineRule="exact"/>
              <w:rPr>
                <w:sz w:val="20"/>
                <w:szCs w:val="20"/>
                <w:color w:val="auto"/>
              </w:rPr>
            </w:pPr>
            <w:r>
              <w:rPr>
                <w:rFonts w:ascii="Arial" w:cs="Arial" w:eastAsia="Arial" w:hAnsi="Arial"/>
                <w:sz w:val="18"/>
                <w:szCs w:val="18"/>
                <w:color w:val="auto"/>
              </w:rPr>
              <w:t>Cash</w:t>
            </w:r>
          </w:p>
        </w:tc>
        <w:tc>
          <w:tcPr>
            <w:tcW w:w="2740" w:type="dxa"/>
            <w:vAlign w:val="bottom"/>
            <w:vMerge w:val="continue"/>
          </w:tcPr>
          <w:p>
            <w:pPr>
              <w:spacing w:after="0"/>
              <w:rPr>
                <w:sz w:val="15"/>
                <w:szCs w:val="15"/>
                <w:color w:val="auto"/>
              </w:rPr>
            </w:pPr>
          </w:p>
        </w:tc>
        <w:tc>
          <w:tcPr>
            <w:tcW w:w="178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222,666</w:t>
            </w:r>
          </w:p>
        </w:tc>
        <w:tc>
          <w:tcPr>
            <w:tcW w:w="1640" w:type="dxa"/>
            <w:vAlign w:val="bottom"/>
          </w:tcPr>
          <w:p>
            <w:pPr>
              <w:jc w:val="right"/>
              <w:spacing w:after="0" w:line="181" w:lineRule="exact"/>
              <w:rPr>
                <w:sz w:val="20"/>
                <w:szCs w:val="20"/>
                <w:color w:val="auto"/>
              </w:rPr>
            </w:pPr>
            <w:r>
              <w:rPr>
                <w:rFonts w:ascii="Arial" w:cs="Arial" w:eastAsia="Arial" w:hAnsi="Arial"/>
                <w:sz w:val="18"/>
                <w:szCs w:val="18"/>
                <w:color w:val="auto"/>
              </w:rPr>
              <w:t>190,718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140"/>
              <w:spacing w:after="0" w:line="202" w:lineRule="exact"/>
              <w:rPr>
                <w:sz w:val="20"/>
                <w:szCs w:val="20"/>
                <w:color w:val="auto"/>
              </w:rPr>
            </w:pPr>
            <w:r>
              <w:rPr>
                <w:rFonts w:ascii="Arial" w:cs="Arial" w:eastAsia="Arial" w:hAnsi="Arial"/>
                <w:sz w:val="18"/>
                <w:szCs w:val="18"/>
                <w:color w:val="auto"/>
              </w:rPr>
              <w:t>Income taxes receivable and deferred</w:t>
            </w:r>
          </w:p>
        </w:tc>
        <w:tc>
          <w:tcPr>
            <w:tcW w:w="27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76,283</w:t>
            </w:r>
          </w:p>
        </w:tc>
        <w:tc>
          <w:tcPr>
            <w:tcW w:w="17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92,754</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105,474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assets</w:t>
            </w:r>
          </w:p>
        </w:tc>
        <w:tc>
          <w:tcPr>
            <w:tcW w:w="2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32,028</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39,245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 assets</w:t>
            </w:r>
          </w:p>
        </w:tc>
        <w:tc>
          <w:tcPr>
            <w:tcW w:w="2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$1,029,304</w:t>
            </w:r>
          </w:p>
        </w:tc>
        <w:tc>
          <w:tcPr>
            <w:tcW w:w="17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$1,126,157</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$1,117,691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b w:val="1"/>
                <w:bCs w:val="1"/>
                <w:color w:val="auto"/>
              </w:rPr>
              <w:t>Capital expenditures and purchased software</w:t>
            </w:r>
          </w:p>
        </w:tc>
        <w:tc>
          <w:tcPr>
            <w:tcW w:w="27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$23,202</w:t>
            </w:r>
          </w:p>
        </w:tc>
        <w:tc>
          <w:tcPr>
            <w:tcW w:w="1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6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740" w:type="dxa"/>
            <w:vAlign w:val="bottom"/>
            <w:vMerge w:val="continue"/>
          </w:tcPr>
          <w:p>
            <w:pPr>
              <w:spacing w:after="0"/>
              <w:rPr>
                <w:sz w:val="15"/>
                <w:szCs w:val="15"/>
                <w:color w:val="auto"/>
              </w:rPr>
            </w:pPr>
          </w:p>
        </w:tc>
        <w:tc>
          <w:tcPr>
            <w:tcW w:w="178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$22,892</w:t>
            </w:r>
          </w:p>
        </w:tc>
        <w:tc>
          <w:tcPr>
            <w:tcW w:w="1640" w:type="dxa"/>
            <w:vAlign w:val="bottom"/>
          </w:tcPr>
          <w:p>
            <w:pPr>
              <w:jc w:val="right"/>
              <w:spacing w:after="0" w:line="181" w:lineRule="exact"/>
              <w:rPr>
                <w:sz w:val="20"/>
                <w:szCs w:val="20"/>
                <w:color w:val="auto"/>
              </w:rPr>
            </w:pPr>
            <w:r>
              <w:rPr>
                <w:rFonts w:ascii="Arial" w:cs="Arial" w:eastAsia="Arial" w:hAnsi="Arial"/>
                <w:sz w:val="18"/>
                <w:szCs w:val="18"/>
                <w:color w:val="auto"/>
              </w:rPr>
              <w:t>$16,210</w:t>
            </w: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32,141</w:t>
            </w:r>
          </w:p>
        </w:tc>
        <w:tc>
          <w:tcPr>
            <w:tcW w:w="17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36,928</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18,979</w:t>
            </w:r>
          </w:p>
        </w:tc>
        <w:tc>
          <w:tcPr>
            <w:tcW w:w="0" w:type="dxa"/>
            <w:vAlign w:val="bottom"/>
          </w:tcPr>
          <w:p>
            <w:pPr>
              <w:spacing w:after="0"/>
              <w:rPr>
                <w:sz w:val="1"/>
                <w:szCs w:val="1"/>
                <w:color w:val="auto"/>
              </w:rPr>
            </w:pPr>
          </w:p>
        </w:tc>
      </w:tr>
      <w:tr>
        <w:trPr>
          <w:trHeight w:val="225"/>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2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3,530</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4,637</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$58,873</w:t>
            </w:r>
          </w:p>
        </w:tc>
        <w:tc>
          <w:tcPr>
            <w:tcW w:w="17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$64,457</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$37,207</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decrease in Other assets from 2012 to 2013 includes $16.6 million of receivables related to the sale of discontinued operations which were received during 2013.</w:t>
      </w:r>
    </w:p>
    <w:p>
      <w:pPr>
        <w:spacing w:after="0" w:line="15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4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2014</w:t>
            </w:r>
          </w:p>
        </w:tc>
        <w:tc>
          <w:tcPr>
            <w:tcW w:w="184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2013</w:t>
            </w:r>
          </w:p>
        </w:tc>
        <w:tc>
          <w:tcPr>
            <w:tcW w:w="14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95"/>
        </w:trPr>
        <w:tc>
          <w:tcPr>
            <w:tcW w:w="518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Net sales</w:t>
            </w:r>
          </w:p>
        </w:tc>
        <w:tc>
          <w:tcPr>
            <w:tcW w:w="2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$324,750</w:t>
            </w:r>
          </w:p>
        </w:tc>
        <w:tc>
          <w:tcPr>
            <w:tcW w:w="1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60"/>
              <w:spacing w:after="0" w:line="181" w:lineRule="exact"/>
              <w:rPr>
                <w:sz w:val="20"/>
                <w:szCs w:val="20"/>
                <w:color w:val="auto"/>
              </w:rPr>
            </w:pPr>
            <w:r>
              <w:rPr>
                <w:rFonts w:ascii="Arial" w:cs="Arial" w:eastAsia="Arial" w:hAnsi="Arial"/>
                <w:sz w:val="18"/>
                <w:szCs w:val="18"/>
                <w:color w:val="auto"/>
              </w:rPr>
              <w:t>United States</w:t>
            </w:r>
          </w:p>
        </w:tc>
        <w:tc>
          <w:tcPr>
            <w:tcW w:w="2940" w:type="dxa"/>
            <w:vAlign w:val="bottom"/>
            <w:vMerge w:val="continue"/>
          </w:tcPr>
          <w:p>
            <w:pPr>
              <w:spacing w:after="0"/>
              <w:rPr>
                <w:sz w:val="15"/>
                <w:szCs w:val="15"/>
                <w:color w:val="auto"/>
              </w:rPr>
            </w:pPr>
          </w:p>
        </w:tc>
        <w:tc>
          <w:tcPr>
            <w:tcW w:w="18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$338,729</w:t>
            </w: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$324,764</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Switzerland</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184,022</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190,035</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203,478</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Brazil</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59,332</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62,076</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58,755</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China</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52,822</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43,265</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39,929</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Mexico</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27,431</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24,938</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France</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26,654</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21,557</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21,487</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countries</w:t>
            </w:r>
          </w:p>
        </w:tc>
        <w:tc>
          <w:tcPr>
            <w:tcW w:w="2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70,334</w:t>
            </w: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76,814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Consolidated total</w:t>
            </w:r>
          </w:p>
        </w:tc>
        <w:tc>
          <w:tcPr>
            <w:tcW w:w="29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$745,345</w:t>
            </w:r>
          </w:p>
        </w:tc>
        <w:tc>
          <w:tcPr>
            <w:tcW w:w="1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$757,414</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$760,941</w:t>
            </w:r>
          </w:p>
        </w:tc>
        <w:tc>
          <w:tcPr>
            <w:tcW w:w="0" w:type="dxa"/>
            <w:vAlign w:val="bottom"/>
          </w:tcPr>
          <w:p>
            <w:pPr>
              <w:spacing w:after="0"/>
              <w:rPr>
                <w:sz w:val="1"/>
                <w:szCs w:val="1"/>
                <w:color w:val="auto"/>
              </w:rPr>
            </w:pPr>
          </w:p>
        </w:tc>
      </w:tr>
      <w:tr>
        <w:trPr>
          <w:trHeight w:val="195"/>
        </w:trPr>
        <w:tc>
          <w:tcPr>
            <w:tcW w:w="518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Property, plant and equipment, at cost, net</w:t>
            </w:r>
          </w:p>
        </w:tc>
        <w:tc>
          <w:tcPr>
            <w:tcW w:w="2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$168,848</w:t>
            </w:r>
          </w:p>
        </w:tc>
        <w:tc>
          <w:tcPr>
            <w:tcW w:w="1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60"/>
              <w:spacing w:after="0" w:line="181" w:lineRule="exact"/>
              <w:rPr>
                <w:sz w:val="20"/>
                <w:szCs w:val="20"/>
                <w:color w:val="auto"/>
              </w:rPr>
            </w:pPr>
            <w:r>
              <w:rPr>
                <w:rFonts w:ascii="Arial" w:cs="Arial" w:eastAsia="Arial" w:hAnsi="Arial"/>
                <w:sz w:val="18"/>
                <w:szCs w:val="18"/>
                <w:color w:val="auto"/>
              </w:rPr>
              <w:t>United States</w:t>
            </w:r>
          </w:p>
        </w:tc>
        <w:tc>
          <w:tcPr>
            <w:tcW w:w="2940" w:type="dxa"/>
            <w:vAlign w:val="bottom"/>
            <w:vMerge w:val="continue"/>
          </w:tcPr>
          <w:p>
            <w:pPr>
              <w:spacing w:after="0"/>
              <w:rPr>
                <w:sz w:val="15"/>
                <w:szCs w:val="15"/>
                <w:color w:val="auto"/>
              </w:rPr>
            </w:pPr>
          </w:p>
        </w:tc>
        <w:tc>
          <w:tcPr>
            <w:tcW w:w="18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$162,380</w:t>
            </w: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$137,405</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China</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93,182</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103,109</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114,037</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France</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25,091</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15,893</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Korea</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23,473</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35,542</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38,266</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United Kingdom</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22,222</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25,246</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26,269</w:t>
            </w:r>
          </w:p>
        </w:tc>
        <w:tc>
          <w:tcPr>
            <w:tcW w:w="0" w:type="dxa"/>
            <w:vAlign w:val="bottom"/>
          </w:tcPr>
          <w:p>
            <w:pPr>
              <w:spacing w:after="0"/>
              <w:rPr>
                <w:sz w:val="1"/>
                <w:szCs w:val="1"/>
                <w:color w:val="auto"/>
              </w:rPr>
            </w:pP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Canada</w:t>
            </w:r>
          </w:p>
        </w:tc>
        <w:tc>
          <w:tcPr>
            <w:tcW w:w="29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18,236</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22,434</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27,396</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countries</w:t>
            </w:r>
          </w:p>
        </w:tc>
        <w:tc>
          <w:tcPr>
            <w:tcW w:w="2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44,061</w:t>
            </w: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54,226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64,485</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Consolidated total</w:t>
            </w:r>
          </w:p>
        </w:tc>
        <w:tc>
          <w:tcPr>
            <w:tcW w:w="29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$395,113</w:t>
            </w:r>
          </w:p>
        </w:tc>
        <w:tc>
          <w:tcPr>
            <w:tcW w:w="1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$418,830</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62" w:name="page63"/>
    <w:bookmarkEnd w:id="62"/>
    <w:p>
      <w:pPr>
        <w:ind w:right="7000" w:firstLine="8"/>
        <w:spacing w:after="0" w:line="459" w:lineRule="auto"/>
        <w:tabs>
          <w:tab w:leader="none" w:pos="2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 Plans Pension Plans</w:t>
      </w:r>
    </w:p>
    <w:p>
      <w:pPr>
        <w:ind w:right="120" w:firstLine="648"/>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U.S. pension plan accounts for 44 percent of consolidated pension plan assets, and 42 percent of consolidated pension plan obligations. The eligibility, benefit formulas, and contribution requirements for plans outside of the U.S. vary by location.</w:t>
      </w:r>
    </w:p>
    <w:p>
      <w:pPr>
        <w:spacing w:after="0" w:line="16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December 31, 2014 benefit obligations for the U.S. pension and postretirement plans was calculated using the RP-2014 (2006 rates) mortality table. The benefit obligation as of December 31, 2013, as well as pension expense for 2014, was calculated using the IRS 2014 mortality table. For U.S. pension funding purposes, the Company uses the plan’s IRS-basis current liability as its funding target, which is determined based on mandated assumptions. Weak investment returns and low interest rates could result in higher than expected contributions to pension plans in future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In September 2008, we changed the cost sharing arrangement under this program such that increases in health care costs are the responsibility of plan participants. In August 2013, we reduced the life insurance benefit for retirees and eliminated the benefit for active employees.</w:t>
      </w:r>
    </w:p>
    <w:p>
      <w:pPr>
        <w:spacing w:after="0" w:line="165"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2014, the accrued postretirement liability was $ 63.9 million in the U.S. and $1.1 million in Canada. The Company accrues the cost of providing postretirement benefits during the active service period of the employees. The Company currently funds the plan as claims are paid.</w:t>
      </w:r>
    </w:p>
    <w:p>
      <w:pPr>
        <w:spacing w:after="0" w:line="17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2014 and 2013, except where indicated below.</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6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63" w:name="page64"/>
    <w:bookmarkEnd w:id="63"/>
    <w:p>
      <w:pPr>
        <w:jc w:val="both"/>
        <w:ind w:right="440"/>
        <w:spacing w:after="0"/>
        <w:rPr>
          <w:sz w:val="20"/>
          <w:szCs w:val="20"/>
          <w:color w:val="auto"/>
        </w:rPr>
      </w:pPr>
      <w:r>
        <w:rPr>
          <w:rFonts w:ascii="Arial" w:cs="Arial" w:eastAsia="Arial" w:hAnsi="Arial"/>
          <w:sz w:val="18"/>
          <w:szCs w:val="18"/>
          <w:color w:val="auto"/>
        </w:rPr>
        <w:t>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7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 The Company’s unrecognized net loss in its pension plans is primarily attributable to lower discount rates in recent years, and unfavorable investment returns in 2008, after which we adopted the liability driven investment strategy in the U.S.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plan benefit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26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2"/>
          </w:tcPr>
          <w:p>
            <w:pPr>
              <w:jc w:val="right"/>
              <w:ind w:right="450"/>
              <w:spacing w:after="0" w:line="194" w:lineRule="exact"/>
              <w:rPr>
                <w:sz w:val="20"/>
                <w:szCs w:val="20"/>
                <w:color w:val="auto"/>
              </w:rPr>
            </w:pPr>
            <w:r>
              <w:rPr>
                <w:rFonts w:ascii="Arial" w:cs="Arial" w:eastAsia="Arial" w:hAnsi="Arial"/>
                <w:sz w:val="18"/>
                <w:szCs w:val="18"/>
                <w:b w:val="1"/>
                <w:bCs w:val="1"/>
                <w:color w:val="auto"/>
              </w:rPr>
              <w:t>As of December 31, 2014</w:t>
            </w:r>
          </w:p>
        </w:tc>
        <w:tc>
          <w:tcPr>
            <w:tcW w:w="3060" w:type="dxa"/>
            <w:vAlign w:val="bottom"/>
            <w:tcBorders>
              <w:top w:val="single" w:sz="8" w:color="auto"/>
            </w:tcBorders>
            <w:gridSpan w:val="2"/>
          </w:tcPr>
          <w:p>
            <w:pPr>
              <w:jc w:val="right"/>
              <w:ind w:right="390"/>
              <w:spacing w:after="0" w:line="194" w:lineRule="exact"/>
              <w:rPr>
                <w:sz w:val="20"/>
                <w:szCs w:val="20"/>
                <w:color w:val="auto"/>
              </w:rPr>
            </w:pPr>
            <w:r>
              <w:rPr>
                <w:rFonts w:ascii="Arial" w:cs="Arial" w:eastAsia="Arial" w:hAnsi="Arial"/>
                <w:sz w:val="18"/>
                <w:szCs w:val="18"/>
                <w:b w:val="1"/>
                <w:bCs w:val="1"/>
                <w:color w:val="auto"/>
              </w:rPr>
              <w:t>As of December 31, 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154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540" w:type="dxa"/>
            <w:vAlign w:val="bottom"/>
          </w:tcPr>
          <w:p>
            <w:pPr>
              <w:spacing w:after="0"/>
              <w:rPr>
                <w:sz w:val="17"/>
                <w:szCs w:val="17"/>
                <w:color w:val="auto"/>
              </w:rPr>
            </w:pPr>
          </w:p>
        </w:tc>
        <w:tc>
          <w:tcPr>
            <w:tcW w:w="15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80" w:type="dxa"/>
            <w:vAlign w:val="bottom"/>
          </w:tcPr>
          <w:p>
            <w:pPr>
              <w:jc w:val="right"/>
              <w:ind w:right="290"/>
              <w:spacing w:after="0"/>
              <w:rPr>
                <w:sz w:val="20"/>
                <w:szCs w:val="20"/>
                <w:color w:val="auto"/>
              </w:rPr>
            </w:pPr>
            <w:r>
              <w:rPr>
                <w:rFonts w:ascii="Arial" w:cs="Arial" w:eastAsia="Arial" w:hAnsi="Arial"/>
                <w:sz w:val="18"/>
                <w:szCs w:val="18"/>
                <w:b w:val="1"/>
                <w:bCs w:val="1"/>
                <w:color w:val="auto"/>
              </w:rPr>
              <w:t>Pension plans</w:t>
            </w: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benefits</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Pension plans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99"/>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Benefit obligation, beginning of year</w:t>
            </w:r>
          </w:p>
        </w:tc>
        <w:tc>
          <w:tcPr>
            <w:tcW w:w="2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$204,334</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$61,108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$218,538</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Borders>
              <w:top w:val="single" w:sz="8" w:color="auto"/>
            </w:tcBorders>
          </w:tcPr>
          <w:p>
            <w:pPr>
              <w:ind w:left="140"/>
              <w:spacing w:after="0" w:line="173" w:lineRule="exact"/>
              <w:rPr>
                <w:sz w:val="20"/>
                <w:szCs w:val="20"/>
                <w:color w:val="auto"/>
              </w:rPr>
            </w:pPr>
            <w:r>
              <w:rPr>
                <w:rFonts w:ascii="Arial" w:cs="Arial" w:eastAsia="Arial" w:hAnsi="Arial"/>
                <w:sz w:val="18"/>
                <w:szCs w:val="18"/>
                <w:color w:val="auto"/>
              </w:rPr>
              <w:t>Service cost</w:t>
            </w:r>
          </w:p>
        </w:tc>
        <w:tc>
          <w:tcPr>
            <w:tcW w:w="248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b w:val="1"/>
                <w:bCs w:val="1"/>
                <w:color w:val="auto"/>
              </w:rPr>
              <w:t>3,269</w:t>
            </w:r>
          </w:p>
        </w:tc>
        <w:tc>
          <w:tcPr>
            <w:tcW w:w="16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314</w:t>
            </w:r>
          </w:p>
        </w:tc>
        <w:tc>
          <w:tcPr>
            <w:tcW w:w="154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color w:val="auto"/>
              </w:rPr>
              <w:t>3,662</w:t>
            </w:r>
          </w:p>
        </w:tc>
        <w:tc>
          <w:tcPr>
            <w:tcW w:w="15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Interest cost</w:t>
            </w:r>
          </w:p>
        </w:tc>
        <w:tc>
          <w:tcPr>
            <w:tcW w:w="24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9,505</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2,741</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8,852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3,080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Plan participants' contributions</w:t>
            </w:r>
          </w:p>
        </w:tc>
        <w:tc>
          <w:tcPr>
            <w:tcW w:w="24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323</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331</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20"/>
              <w:spacing w:after="0" w:line="202" w:lineRule="exact"/>
              <w:rPr>
                <w:sz w:val="20"/>
                <w:szCs w:val="20"/>
                <w:color w:val="auto"/>
              </w:rPr>
            </w:pPr>
            <w:r>
              <w:rPr>
                <w:rFonts w:ascii="Arial" w:cs="Arial" w:eastAsia="Arial" w:hAnsi="Arial"/>
                <w:sz w:val="18"/>
                <w:szCs w:val="18"/>
                <w:color w:val="auto"/>
              </w:rPr>
              <w:t>Actuarial loss/(gain)</w:t>
            </w:r>
          </w:p>
        </w:tc>
        <w:tc>
          <w:tcPr>
            <w:tcW w:w="24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30,943</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5,926</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(17,461)</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(13,396)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Benefits paid</w:t>
            </w:r>
          </w:p>
        </w:tc>
        <w:tc>
          <w:tcPr>
            <w:tcW w:w="2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(6,205)</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(5,010)</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(5,999)</w:t>
            </w: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Settlements and curtailments</w:t>
            </w:r>
          </w:p>
        </w:tc>
        <w:tc>
          <w:tcPr>
            <w:tcW w:w="2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(17,936)</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(2,950)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Plan amendments and other</w:t>
            </w:r>
          </w:p>
        </w:tc>
        <w:tc>
          <w:tcPr>
            <w:tcW w:w="24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613</w:t>
            </w: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Foreign currency changes</w:t>
            </w:r>
          </w:p>
        </w:tc>
        <w:tc>
          <w:tcPr>
            <w:tcW w:w="2480" w:type="dxa"/>
            <w:vAlign w:val="bottom"/>
          </w:tcPr>
          <w:p>
            <w:pPr>
              <w:jc w:val="right"/>
              <w:ind w:right="30"/>
              <w:spacing w:after="0"/>
              <w:rPr>
                <w:sz w:val="20"/>
                <w:szCs w:val="20"/>
                <w:color w:val="auto"/>
              </w:rPr>
            </w:pPr>
            <w:r>
              <w:rPr>
                <w:rFonts w:ascii="Arial" w:cs="Arial" w:eastAsia="Arial" w:hAnsi="Arial"/>
                <w:sz w:val="18"/>
                <w:szCs w:val="18"/>
                <w:b w:val="1"/>
                <w:bCs w:val="1"/>
                <w:color w:val="auto"/>
              </w:rPr>
              <w:t>(11,123)</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540" w:type="dxa"/>
            <w:vAlign w:val="bottom"/>
          </w:tcPr>
          <w:p>
            <w:pPr>
              <w:jc w:val="right"/>
              <w:spacing w:after="0"/>
              <w:rPr>
                <w:sz w:val="20"/>
                <w:szCs w:val="20"/>
                <w:color w:val="auto"/>
              </w:rPr>
            </w:pPr>
            <w:r>
              <w:rPr>
                <w:rFonts w:ascii="Arial" w:cs="Arial" w:eastAsia="Arial" w:hAnsi="Arial"/>
                <w:sz w:val="18"/>
                <w:szCs w:val="18"/>
                <w:color w:val="auto"/>
              </w:rPr>
              <w:t>(1,252)</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24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$213,110</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$64,987</w:t>
            </w:r>
          </w:p>
        </w:tc>
        <w:tc>
          <w:tcPr>
            <w:tcW w:w="15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$204,334</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benefit obligation</w:t>
            </w:r>
          </w:p>
        </w:tc>
        <w:tc>
          <w:tcPr>
            <w:tcW w:w="2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$199,622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$190,561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80" w:type="dxa"/>
            <w:vAlign w:val="bottom"/>
            <w:gridSpan w:val="2"/>
          </w:tcPr>
          <w:p>
            <w:pPr>
              <w:spacing w:after="0"/>
              <w:rPr>
                <w:sz w:val="20"/>
                <w:szCs w:val="20"/>
                <w:color w:val="auto"/>
              </w:rPr>
            </w:pPr>
            <w:r>
              <w:rPr>
                <w:rFonts w:ascii="Arial" w:cs="Arial" w:eastAsia="Arial" w:hAnsi="Arial"/>
                <w:sz w:val="18"/>
                <w:szCs w:val="18"/>
                <w:color w:val="auto"/>
              </w:rPr>
              <w:t>Weighted average assumptions used to</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determine benefit obligations, end of year:</w:t>
            </w:r>
          </w:p>
        </w:tc>
        <w:tc>
          <w:tcPr>
            <w:tcW w:w="2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4.18%</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3.90%</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ind w:left="140"/>
              <w:spacing w:after="0" w:line="181" w:lineRule="exact"/>
              <w:rPr>
                <w:sz w:val="20"/>
                <w:szCs w:val="20"/>
                <w:color w:val="auto"/>
              </w:rPr>
            </w:pPr>
            <w:r>
              <w:rPr>
                <w:rFonts w:ascii="Arial" w:cs="Arial" w:eastAsia="Arial" w:hAnsi="Arial"/>
                <w:sz w:val="18"/>
                <w:szCs w:val="18"/>
                <w:color w:val="auto"/>
              </w:rPr>
              <w:t>Discount rate - U.S. plan</w:t>
            </w:r>
          </w:p>
        </w:tc>
        <w:tc>
          <w:tcPr>
            <w:tcW w:w="24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Arial" w:cs="Arial" w:eastAsia="Arial" w:hAnsi="Arial"/>
                <w:sz w:val="18"/>
                <w:szCs w:val="18"/>
                <w:color w:val="auto"/>
              </w:rPr>
              <w:t>5.22%</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4.68%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Discount rate - non-U.S. plans</w:t>
            </w:r>
          </w:p>
        </w:tc>
        <w:tc>
          <w:tcPr>
            <w:tcW w:w="2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3.58%</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3.85%</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Compensation increase - U.S. plan</w:t>
            </w:r>
          </w:p>
        </w:tc>
        <w:tc>
          <w:tcPr>
            <w:tcW w:w="2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Compensation increase - non-U.S. plans</w:t>
            </w:r>
          </w:p>
        </w:tc>
        <w:tc>
          <w:tcPr>
            <w:tcW w:w="2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about plan assets: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38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gridSpan w:val="2"/>
          </w:tcPr>
          <w:p>
            <w:pPr>
              <w:jc w:val="right"/>
              <w:ind w:right="452"/>
              <w:spacing w:after="0" w:line="198" w:lineRule="exact"/>
              <w:rPr>
                <w:sz w:val="20"/>
                <w:szCs w:val="20"/>
                <w:color w:val="auto"/>
              </w:rPr>
            </w:pPr>
            <w:r>
              <w:rPr>
                <w:rFonts w:ascii="Arial" w:cs="Arial" w:eastAsia="Arial" w:hAnsi="Arial"/>
                <w:sz w:val="18"/>
                <w:szCs w:val="18"/>
                <w:b w:val="1"/>
                <w:bCs w:val="1"/>
                <w:color w:val="auto"/>
              </w:rPr>
              <w:t>As of December 31, 2014</w:t>
            </w:r>
          </w:p>
        </w:tc>
        <w:tc>
          <w:tcPr>
            <w:tcW w:w="3180" w:type="dxa"/>
            <w:vAlign w:val="bottom"/>
            <w:tcBorders>
              <w:top w:val="single" w:sz="8" w:color="auto"/>
            </w:tcBorders>
            <w:gridSpan w:val="2"/>
          </w:tcPr>
          <w:p>
            <w:pPr>
              <w:jc w:val="right"/>
              <w:ind w:right="452"/>
              <w:spacing w:after="0" w:line="198" w:lineRule="exact"/>
              <w:rPr>
                <w:sz w:val="20"/>
                <w:szCs w:val="20"/>
                <w:color w:val="auto"/>
              </w:rPr>
            </w:pPr>
            <w:r>
              <w:rPr>
                <w:rFonts w:ascii="Arial" w:cs="Arial" w:eastAsia="Arial" w:hAnsi="Arial"/>
                <w:sz w:val="18"/>
                <w:szCs w:val="18"/>
                <w:b w:val="1"/>
                <w:bCs w:val="1"/>
                <w:color w:val="auto"/>
              </w:rPr>
              <w:t>As of December 31, 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rPr>
              <w:t>Other</w:t>
            </w:r>
          </w:p>
        </w:tc>
        <w:tc>
          <w:tcPr>
            <w:tcW w:w="17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89"/>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360" w:type="dxa"/>
            <w:vAlign w:val="bottom"/>
          </w:tcPr>
          <w:p>
            <w:pPr>
              <w:spacing w:after="0"/>
              <w:rPr>
                <w:sz w:val="16"/>
                <w:szCs w:val="16"/>
                <w:color w:val="auto"/>
              </w:rPr>
            </w:pPr>
          </w:p>
        </w:tc>
        <w:tc>
          <w:tcPr>
            <w:tcW w:w="1480" w:type="dxa"/>
            <w:vAlign w:val="bottom"/>
          </w:tcPr>
          <w:p>
            <w:pPr>
              <w:jc w:val="center"/>
              <w:ind w:right="52"/>
              <w:spacing w:after="0"/>
              <w:rPr>
                <w:sz w:val="20"/>
                <w:szCs w:val="20"/>
                <w:color w:val="auto"/>
              </w:rPr>
            </w:pPr>
            <w:r>
              <w:rPr>
                <w:rFonts w:ascii="Arial" w:cs="Arial" w:eastAsia="Arial" w:hAnsi="Arial"/>
                <w:sz w:val="16"/>
                <w:szCs w:val="16"/>
                <w:b w:val="1"/>
                <w:bCs w:val="1"/>
                <w:color w:val="auto"/>
              </w:rPr>
              <w:t>postretirement</w:t>
            </w:r>
          </w:p>
        </w:tc>
        <w:tc>
          <w:tcPr>
            <w:tcW w:w="170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postretirement</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auto"/>
            </w:tcBorders>
            <w:gridSpan w:val="2"/>
            <w:vMerge w:val="continue"/>
          </w:tcPr>
          <w:p>
            <w:pPr>
              <w:spacing w:after="0"/>
              <w:rPr>
                <w:sz w:val="18"/>
                <w:szCs w:val="18"/>
                <w:color w:val="auto"/>
              </w:rPr>
            </w:pPr>
          </w:p>
        </w:tc>
        <w:tc>
          <w:tcPr>
            <w:tcW w:w="2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Pension plans</w:t>
            </w: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rPr>
              <w:t>benefits</w:t>
            </w:r>
          </w:p>
        </w:tc>
        <w:tc>
          <w:tcPr>
            <w:tcW w:w="17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w w:val="99"/>
              </w:rPr>
              <w:t>Pension plans</w:t>
            </w:r>
          </w:p>
        </w:tc>
        <w:tc>
          <w:tcPr>
            <w:tcW w:w="148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benefits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40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2360" w:type="dxa"/>
            <w:vAlign w:val="bottom"/>
          </w:tcPr>
          <w:p>
            <w:pPr>
              <w:jc w:val="right"/>
              <w:ind w:right="31"/>
              <w:spacing w:after="0"/>
              <w:rPr>
                <w:sz w:val="20"/>
                <w:szCs w:val="20"/>
                <w:color w:val="auto"/>
              </w:rPr>
            </w:pPr>
            <w:r>
              <w:rPr>
                <w:rFonts w:ascii="Arial" w:cs="Arial" w:eastAsia="Arial" w:hAnsi="Arial"/>
                <w:sz w:val="18"/>
                <w:szCs w:val="18"/>
                <w:b w:val="1"/>
                <w:bCs w:val="1"/>
                <w:color w:val="auto"/>
              </w:rPr>
              <w:t>$168,390</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$173,434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Borders>
              <w:top w:val="single" w:sz="8" w:color="auto"/>
            </w:tcBorders>
          </w:tcPr>
          <w:p>
            <w:pPr>
              <w:ind w:left="120"/>
              <w:spacing w:after="0" w:line="173" w:lineRule="exact"/>
              <w:rPr>
                <w:sz w:val="20"/>
                <w:szCs w:val="20"/>
                <w:color w:val="auto"/>
              </w:rPr>
            </w:pPr>
            <w:r>
              <w:rPr>
                <w:rFonts w:ascii="Arial" w:cs="Arial" w:eastAsia="Arial" w:hAnsi="Arial"/>
                <w:sz w:val="18"/>
                <w:szCs w:val="18"/>
                <w:color w:val="auto"/>
              </w:rPr>
              <w:t>Actual return on plan assets, net of expenses</w:t>
            </w:r>
          </w:p>
        </w:tc>
        <w:tc>
          <w:tcPr>
            <w:tcW w:w="2360" w:type="dxa"/>
            <w:vAlign w:val="bottom"/>
            <w:tcBorders>
              <w:top w:val="single" w:sz="8" w:color="auto"/>
            </w:tcBorders>
          </w:tcPr>
          <w:p>
            <w:pPr>
              <w:jc w:val="right"/>
              <w:ind w:right="91"/>
              <w:spacing w:after="0" w:line="173" w:lineRule="exact"/>
              <w:rPr>
                <w:sz w:val="20"/>
                <w:szCs w:val="20"/>
                <w:color w:val="auto"/>
              </w:rPr>
            </w:pPr>
            <w:r>
              <w:rPr>
                <w:rFonts w:ascii="Arial" w:cs="Arial" w:eastAsia="Arial" w:hAnsi="Arial"/>
                <w:sz w:val="18"/>
                <w:szCs w:val="18"/>
                <w:b w:val="1"/>
                <w:bCs w:val="1"/>
                <w:color w:val="auto"/>
              </w:rPr>
              <w:t>29,638</w:t>
            </w:r>
          </w:p>
        </w:tc>
        <w:tc>
          <w:tcPr>
            <w:tcW w:w="14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tcBorders>
          </w:tcPr>
          <w:p>
            <w:pPr>
              <w:jc w:val="right"/>
              <w:ind w:right="31"/>
              <w:spacing w:after="0" w:line="173" w:lineRule="exact"/>
              <w:rPr>
                <w:sz w:val="20"/>
                <w:szCs w:val="20"/>
                <w:color w:val="auto"/>
              </w:rPr>
            </w:pPr>
            <w:r>
              <w:rPr>
                <w:rFonts w:ascii="Arial" w:cs="Arial" w:eastAsia="Arial" w:hAnsi="Arial"/>
                <w:sz w:val="18"/>
                <w:szCs w:val="18"/>
                <w:color w:val="auto"/>
              </w:rPr>
              <w:t>(2,292)</w:t>
            </w:r>
          </w:p>
        </w:tc>
        <w:tc>
          <w:tcPr>
            <w:tcW w:w="14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40"/>
              <w:spacing w:after="0" w:line="202" w:lineRule="exact"/>
              <w:rPr>
                <w:sz w:val="20"/>
                <w:szCs w:val="20"/>
                <w:color w:val="auto"/>
              </w:rPr>
            </w:pPr>
            <w:r>
              <w:rPr>
                <w:rFonts w:ascii="Arial" w:cs="Arial" w:eastAsia="Arial" w:hAnsi="Arial"/>
                <w:sz w:val="18"/>
                <w:szCs w:val="18"/>
                <w:color w:val="auto"/>
              </w:rPr>
              <w:t>Employer contributions</w:t>
            </w:r>
          </w:p>
        </w:tc>
        <w:tc>
          <w:tcPr>
            <w:tcW w:w="236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15,768</w:t>
            </w: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3,606</w:t>
            </w:r>
          </w:p>
        </w:tc>
        <w:tc>
          <w:tcPr>
            <w:tcW w:w="17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6,777</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4,438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40"/>
              <w:spacing w:after="0" w:line="202" w:lineRule="exact"/>
              <w:rPr>
                <w:sz w:val="20"/>
                <w:szCs w:val="20"/>
                <w:color w:val="auto"/>
              </w:rPr>
            </w:pPr>
            <w:r>
              <w:rPr>
                <w:rFonts w:ascii="Arial" w:cs="Arial" w:eastAsia="Arial" w:hAnsi="Arial"/>
                <w:sz w:val="18"/>
                <w:szCs w:val="18"/>
                <w:color w:val="auto"/>
              </w:rPr>
              <w:t>Plan participants' contributions</w:t>
            </w:r>
          </w:p>
        </w:tc>
        <w:tc>
          <w:tcPr>
            <w:tcW w:w="236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323</w:t>
            </w: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1,404</w:t>
            </w:r>
          </w:p>
        </w:tc>
        <w:tc>
          <w:tcPr>
            <w:tcW w:w="17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331</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40"/>
              <w:spacing w:after="0" w:line="202" w:lineRule="exact"/>
              <w:rPr>
                <w:sz w:val="20"/>
                <w:szCs w:val="20"/>
                <w:color w:val="auto"/>
              </w:rPr>
            </w:pPr>
            <w:r>
              <w:rPr>
                <w:rFonts w:ascii="Arial" w:cs="Arial" w:eastAsia="Arial" w:hAnsi="Arial"/>
                <w:sz w:val="18"/>
                <w:szCs w:val="18"/>
                <w:color w:val="auto"/>
              </w:rPr>
              <w:t>Benefits paid</w:t>
            </w:r>
          </w:p>
        </w:tc>
        <w:tc>
          <w:tcPr>
            <w:tcW w:w="23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(6,205)</w:t>
            </w: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(5,010)</w:t>
            </w:r>
          </w:p>
        </w:tc>
        <w:tc>
          <w:tcPr>
            <w:tcW w:w="1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(5,999)</w:t>
            </w: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40"/>
              <w:spacing w:after="0" w:line="202" w:lineRule="exact"/>
              <w:rPr>
                <w:sz w:val="20"/>
                <w:szCs w:val="20"/>
                <w:color w:val="auto"/>
              </w:rPr>
            </w:pPr>
            <w:r>
              <w:rPr>
                <w:rFonts w:ascii="Arial" w:cs="Arial" w:eastAsia="Arial" w:hAnsi="Arial"/>
                <w:sz w:val="18"/>
                <w:szCs w:val="18"/>
                <w:color w:val="auto"/>
              </w:rPr>
              <w:t>Settlements</w:t>
            </w:r>
          </w:p>
        </w:tc>
        <w:tc>
          <w:tcPr>
            <w:tcW w:w="23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(16,945)</w:t>
            </w: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(1,650)</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 currency changes</w:t>
            </w:r>
          </w:p>
        </w:tc>
        <w:tc>
          <w:tcPr>
            <w:tcW w:w="2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(7,770)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236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b w:val="1"/>
                <w:bCs w:val="1"/>
                <w:color w:val="auto"/>
              </w:rPr>
              <w:t>$183,199</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$168,390</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The funded status of the plans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As of December 31, 2014</w:t>
            </w:r>
          </w:p>
        </w:tc>
        <w:tc>
          <w:tcPr>
            <w:tcW w:w="3180" w:type="dxa"/>
            <w:vAlign w:val="bottom"/>
            <w:tcBorders>
              <w:top w:val="single" w:sz="8" w:color="auto"/>
            </w:tcBorders>
            <w:gridSpan w:val="2"/>
          </w:tcPr>
          <w:p>
            <w:pPr>
              <w:jc w:val="right"/>
              <w:ind w:right="450"/>
              <w:spacing w:after="0" w:line="194" w:lineRule="exact"/>
              <w:rPr>
                <w:sz w:val="20"/>
                <w:szCs w:val="20"/>
                <w:color w:val="auto"/>
              </w:rPr>
            </w:pPr>
            <w:r>
              <w:rPr>
                <w:rFonts w:ascii="Arial" w:cs="Arial" w:eastAsia="Arial" w:hAnsi="Arial"/>
                <w:sz w:val="18"/>
                <w:szCs w:val="18"/>
                <w:b w:val="1"/>
                <w:bCs w:val="1"/>
                <w:color w:val="auto"/>
              </w:rPr>
              <w:t>As of December 31, 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166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60" w:type="dxa"/>
            <w:vAlign w:val="bottom"/>
          </w:tcPr>
          <w:p>
            <w:pPr>
              <w:spacing w:after="0"/>
              <w:rPr>
                <w:sz w:val="17"/>
                <w:szCs w:val="17"/>
                <w:color w:val="auto"/>
              </w:rPr>
            </w:pPr>
          </w:p>
        </w:tc>
        <w:tc>
          <w:tcPr>
            <w:tcW w:w="15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46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Pension plans</w:t>
            </w: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benefits</w:t>
            </w: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Pension plans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76"/>
        </w:trPr>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$183,199</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$168,390</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w:t>
            </w:r>
          </w:p>
        </w:tc>
        <w:tc>
          <w:tcPr>
            <w:tcW w:w="1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213,110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64,987</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204,334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Funded status</w:t>
            </w:r>
          </w:p>
        </w:tc>
        <w:tc>
          <w:tcPr>
            <w:tcW w:w="1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($29,911)</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($64,987)</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($35,944)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Accrued benefit cost, end of year</w:t>
            </w:r>
          </w:p>
        </w:tc>
        <w:tc>
          <w:tcPr>
            <w:tcW w:w="1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($29,911)</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($64,987)</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($35,944)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660" w:type="dxa"/>
            <w:vAlign w:val="bottom"/>
          </w:tcPr>
          <w:p>
            <w:pPr>
              <w:spacing w:after="0"/>
              <w:rPr>
                <w:sz w:val="20"/>
                <w:szCs w:val="20"/>
                <w:color w:val="auto"/>
              </w:rPr>
            </w:pPr>
            <w:r>
              <w:rPr>
                <w:rFonts w:ascii="Arial" w:cs="Arial" w:eastAsia="Arial" w:hAnsi="Arial"/>
                <w:sz w:val="18"/>
                <w:szCs w:val="18"/>
                <w:color w:val="auto"/>
              </w:rPr>
              <w:t>Amounts recognized in the consolidated balance sheet</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consist of the following:</w:t>
            </w:r>
          </w:p>
        </w:tc>
        <w:tc>
          <w:tcPr>
            <w:tcW w:w="1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$10,097</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line="181" w:lineRule="exact"/>
              <w:rPr>
                <w:sz w:val="20"/>
                <w:szCs w:val="20"/>
                <w:color w:val="auto"/>
              </w:rPr>
            </w:pPr>
            <w:r>
              <w:rPr>
                <w:rFonts w:ascii="Arial" w:cs="Arial" w:eastAsia="Arial" w:hAnsi="Arial"/>
                <w:sz w:val="18"/>
                <w:szCs w:val="18"/>
                <w:color w:val="auto"/>
              </w:rPr>
              <w:t>Noncurrent asset</w:t>
            </w:r>
          </w:p>
        </w:tc>
        <w:tc>
          <w:tcPr>
            <w:tcW w:w="19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$7,358</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Current liability</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(2,141)</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(4,750)</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(2,321)</w:t>
            </w: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liability</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(37,867)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(60,237)</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amount recognized</w:t>
            </w:r>
          </w:p>
        </w:tc>
        <w:tc>
          <w:tcPr>
            <w:tcW w:w="1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($29,911)</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($64,987)</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($35,944)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66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income consist of:</w:t>
            </w:r>
          </w:p>
        </w:tc>
        <w:tc>
          <w:tcPr>
            <w:tcW w:w="1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$71,623</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$44,195</w:t>
            </w: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line="181" w:lineRule="exact"/>
              <w:rPr>
                <w:sz w:val="20"/>
                <w:szCs w:val="20"/>
                <w:color w:val="auto"/>
              </w:rPr>
            </w:pPr>
            <w:r>
              <w:rPr>
                <w:rFonts w:ascii="Arial" w:cs="Arial" w:eastAsia="Arial" w:hAnsi="Arial"/>
                <w:sz w:val="18"/>
                <w:szCs w:val="18"/>
                <w:color w:val="auto"/>
              </w:rPr>
              <w:t>Net actuarial loss</w:t>
            </w:r>
          </w:p>
        </w:tc>
        <w:tc>
          <w:tcPr>
            <w:tcW w:w="19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$73,908</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$41,175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Prior service cost/(credit)</w:t>
            </w:r>
          </w:p>
        </w:tc>
        <w:tc>
          <w:tcPr>
            <w:tcW w:w="19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753</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(39,875)</w:t>
            </w:r>
          </w:p>
        </w:tc>
        <w:tc>
          <w:tcPr>
            <w:tcW w:w="1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(44,364)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Transition obligation</w:t>
            </w:r>
          </w:p>
        </w:tc>
        <w:tc>
          <w:tcPr>
            <w:tcW w:w="1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amount recognized</w:t>
            </w:r>
          </w:p>
        </w:tc>
        <w:tc>
          <w:tcPr>
            <w:tcW w:w="19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$72,376</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$4,320</w:t>
            </w:r>
          </w:p>
        </w:tc>
        <w:tc>
          <w:tcPr>
            <w:tcW w:w="16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$74,774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pension plan funded status as of December 31, 2014 was as follows: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right"/>
              <w:ind w:right="910"/>
              <w:spacing w:after="0" w:line="194" w:lineRule="exact"/>
              <w:rPr>
                <w:sz w:val="20"/>
                <w:szCs w:val="20"/>
                <w:color w:val="auto"/>
              </w:rPr>
            </w:pPr>
            <w:r>
              <w:rPr>
                <w:rFonts w:ascii="Arial" w:cs="Arial" w:eastAsia="Arial" w:hAnsi="Arial"/>
                <w:sz w:val="18"/>
                <w:szCs w:val="18"/>
                <w:b w:val="1"/>
                <w:bCs w:val="1"/>
                <w:color w:val="auto"/>
              </w:rPr>
              <w:t>Non-U.S.</w:t>
            </w:r>
          </w:p>
        </w:tc>
        <w:tc>
          <w:tcPr>
            <w:tcW w:w="1460" w:type="dxa"/>
            <w:vAlign w:val="bottom"/>
            <w:tcBorders>
              <w:top w:val="single" w:sz="8" w:color="auto"/>
            </w:tcBorders>
          </w:tcPr>
          <w:p>
            <w:pPr>
              <w:spacing w:after="0"/>
              <w:rPr>
                <w:sz w:val="16"/>
                <w:szCs w:val="16"/>
                <w:color w:val="auto"/>
              </w:rPr>
            </w:pPr>
          </w:p>
        </w:tc>
      </w:tr>
      <w:tr>
        <w:trPr>
          <w:trHeight w:val="2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U.S. plan</w:t>
            </w:r>
          </w:p>
        </w:tc>
        <w:tc>
          <w:tcPr>
            <w:tcW w:w="22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plans</w:t>
            </w: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398"/>
        </w:trPr>
        <w:tc>
          <w:tcPr>
            <w:tcW w:w="4580" w:type="dxa"/>
            <w:vAlign w:val="bottom"/>
          </w:tcPr>
          <w:p>
            <w:pPr>
              <w:spacing w:after="0"/>
              <w:rPr>
                <w:sz w:val="20"/>
                <w:szCs w:val="20"/>
                <w:color w:val="auto"/>
              </w:rPr>
            </w:pPr>
            <w:r>
              <w:rPr>
                <w:rFonts w:ascii="Arial" w:cs="Arial" w:eastAsia="Arial" w:hAnsi="Arial"/>
                <w:sz w:val="18"/>
                <w:szCs w:val="18"/>
                <w:color w:val="auto"/>
              </w:rPr>
              <w:t>Pension plans with pension assets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2200" w:type="dxa"/>
            <w:vAlign w:val="bottom"/>
          </w:tcPr>
          <w:p>
            <w:pPr>
              <w:jc w:val="right"/>
              <w:ind w:right="430"/>
              <w:spacing w:after="0"/>
              <w:rPr>
                <w:sz w:val="20"/>
                <w:szCs w:val="20"/>
                <w:color w:val="auto"/>
              </w:rPr>
            </w:pPr>
            <w:r>
              <w:rPr>
                <w:rFonts w:ascii="Arial" w:cs="Arial" w:eastAsia="Arial" w:hAnsi="Arial"/>
                <w:sz w:val="18"/>
                <w:szCs w:val="18"/>
                <w:color w:val="auto"/>
              </w:rPr>
              <w:t>$5,139</w:t>
            </w:r>
          </w:p>
        </w:tc>
        <w:tc>
          <w:tcPr>
            <w:tcW w:w="1460" w:type="dxa"/>
            <w:vAlign w:val="bottom"/>
          </w:tcPr>
          <w:p>
            <w:pPr>
              <w:jc w:val="right"/>
              <w:spacing w:after="0"/>
              <w:rPr>
                <w:sz w:val="20"/>
                <w:szCs w:val="20"/>
                <w:color w:val="auto"/>
              </w:rPr>
            </w:pPr>
            <w:r>
              <w:rPr>
                <w:rFonts w:ascii="Arial" w:cs="Arial" w:eastAsia="Arial" w:hAnsi="Arial"/>
                <w:sz w:val="18"/>
                <w:szCs w:val="18"/>
                <w:color w:val="auto"/>
              </w:rPr>
              <w:t>$5,034</w:t>
            </w:r>
          </w:p>
        </w:tc>
      </w:tr>
      <w:tr>
        <w:trPr>
          <w:trHeight w:val="203"/>
        </w:trPr>
        <w:tc>
          <w:tcPr>
            <w:tcW w:w="4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Pension plans without pension assets</w:t>
            </w:r>
          </w:p>
        </w:tc>
        <w:tc>
          <w:tcPr>
            <w:tcW w:w="31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(8,441)</w:t>
            </w:r>
          </w:p>
        </w:tc>
        <w:tc>
          <w:tcPr>
            <w:tcW w:w="22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(26,504)</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(34,945)</w:t>
            </w: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1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($8,546)</w:t>
            </w:r>
          </w:p>
        </w:tc>
        <w:tc>
          <w:tcPr>
            <w:tcW w:w="22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($21,365)</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The composition of the net periodic benefit plan cost for the years ended December 31, 2014, 2013 and 2012,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99"/>
              </w:rPr>
              <w:t>Pension plans</w:t>
            </w:r>
          </w:p>
        </w:tc>
        <w:tc>
          <w:tcPr>
            <w:tcW w:w="126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3"/>
          </w:tcPr>
          <w:p>
            <w:pPr>
              <w:jc w:val="right"/>
              <w:ind w:right="19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600" w:type="dxa"/>
            <w:vAlign w:val="bottom"/>
          </w:tcPr>
          <w:p>
            <w:pPr>
              <w:spacing w:after="0"/>
              <w:rPr>
                <w:sz w:val="20"/>
                <w:szCs w:val="20"/>
                <w:color w:val="auto"/>
              </w:rPr>
            </w:pPr>
            <w:r>
              <w:rPr>
                <w:rFonts w:ascii="Arial" w:cs="Arial" w:eastAsia="Arial" w:hAnsi="Arial"/>
                <w:sz w:val="16"/>
                <w:szCs w:val="16"/>
                <w:color w:val="auto"/>
              </w:rPr>
              <w:t>Components of net periodic benefit cost: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$3,269</w:t>
            </w: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color w:val="auto"/>
              </w:rPr>
              <w:t>$3,662</w:t>
            </w:r>
          </w:p>
        </w:tc>
        <w:tc>
          <w:tcPr>
            <w:tcW w:w="1260" w:type="dxa"/>
            <w:vAlign w:val="bottom"/>
            <w:vMerge w:val="restart"/>
          </w:tcPr>
          <w:p>
            <w:pPr>
              <w:jc w:val="right"/>
              <w:ind w:right="370"/>
              <w:spacing w:after="0"/>
              <w:rPr>
                <w:sz w:val="20"/>
                <w:szCs w:val="20"/>
                <w:color w:val="auto"/>
              </w:rPr>
            </w:pPr>
            <w:r>
              <w:rPr>
                <w:rFonts w:ascii="Arial" w:cs="Arial" w:eastAsia="Arial" w:hAnsi="Arial"/>
                <w:sz w:val="18"/>
                <w:szCs w:val="18"/>
                <w:color w:val="auto"/>
              </w:rPr>
              <w:t>$3,486</w:t>
            </w:r>
          </w:p>
        </w:tc>
        <w:tc>
          <w:tcPr>
            <w:tcW w:w="1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$314</w:t>
            </w: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$875</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line="172" w:lineRule="exact"/>
              <w:rPr>
                <w:sz w:val="20"/>
                <w:szCs w:val="20"/>
                <w:color w:val="auto"/>
              </w:rPr>
            </w:pPr>
            <w:r>
              <w:rPr>
                <w:rFonts w:ascii="Arial" w:cs="Arial" w:eastAsia="Arial" w:hAnsi="Arial"/>
                <w:sz w:val="16"/>
                <w:szCs w:val="16"/>
                <w:color w:val="auto"/>
              </w:rPr>
              <w:t>Service cost</w:t>
            </w:r>
          </w:p>
        </w:tc>
        <w:tc>
          <w:tcPr>
            <w:tcW w:w="1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Interest cost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9,505</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8,852</w:t>
            </w:r>
          </w:p>
        </w:tc>
        <w:tc>
          <w:tcPr>
            <w:tcW w:w="1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12,180</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2,741</w:t>
            </w: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3,080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(9,577)</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(8,677)</w:t>
            </w:r>
          </w:p>
        </w:tc>
        <w:tc>
          <w:tcPr>
            <w:tcW w:w="1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(11,799)</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Amortization of prior service cost/(credit)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35</w:t>
            </w:r>
          </w:p>
        </w:tc>
        <w:tc>
          <w:tcPr>
            <w:tcW w:w="1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35</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(4,488)</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(3,940)</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Amortization of transition obligation</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70</w:t>
            </w:r>
          </w:p>
        </w:tc>
        <w:tc>
          <w:tcPr>
            <w:tcW w:w="1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79</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Amortization of net actuarial loss</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2,421</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3,117</w:t>
            </w:r>
          </w:p>
        </w:tc>
        <w:tc>
          <w:tcPr>
            <w:tcW w:w="1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4,223</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2,908</w:t>
            </w: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3,395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Settlement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8,331</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502</w:t>
            </w:r>
          </w:p>
        </w:tc>
        <w:tc>
          <w:tcPr>
            <w:tcW w:w="1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119,986</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Curtailment (gain)/loss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(1,143)</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periodic benefit cost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$13,060</w:t>
            </w:r>
          </w:p>
        </w:tc>
        <w:tc>
          <w:tcPr>
            <w:tcW w:w="12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$6,418</w:t>
            </w:r>
          </w:p>
        </w:tc>
        <w:tc>
          <w:tcPr>
            <w:tcW w:w="12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$128,190</w:t>
            </w:r>
          </w:p>
        </w:tc>
        <w:tc>
          <w:tcPr>
            <w:tcW w:w="1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$1,475</w:t>
            </w:r>
          </w:p>
        </w:tc>
        <w:tc>
          <w:tcPr>
            <w:tcW w:w="10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$3,410</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4600" w:type="dxa"/>
            <w:vAlign w:val="bottom"/>
          </w:tcPr>
          <w:p>
            <w:pPr>
              <w:spacing w:after="0"/>
              <w:rPr>
                <w:sz w:val="20"/>
                <w:szCs w:val="20"/>
                <w:color w:val="auto"/>
              </w:rPr>
            </w:pPr>
            <w:r>
              <w:rPr>
                <w:rFonts w:ascii="Arial" w:cs="Arial" w:eastAsia="Arial" w:hAnsi="Arial"/>
                <w:sz w:val="16"/>
                <w:szCs w:val="16"/>
                <w:color w:val="auto"/>
              </w:rPr>
              <w:t>Weighted average assumptions used to determine net cost: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5.22%</w:t>
            </w: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color w:val="auto"/>
              </w:rPr>
              <w:t>4.28%</w:t>
            </w:r>
          </w:p>
        </w:tc>
        <w:tc>
          <w:tcPr>
            <w:tcW w:w="1260" w:type="dxa"/>
            <w:vAlign w:val="bottom"/>
            <w:vMerge w:val="restart"/>
          </w:tcPr>
          <w:p>
            <w:pPr>
              <w:jc w:val="right"/>
              <w:ind w:right="330"/>
              <w:spacing w:after="0"/>
              <w:rPr>
                <w:sz w:val="20"/>
                <w:szCs w:val="20"/>
                <w:color w:val="auto"/>
              </w:rPr>
            </w:pPr>
            <w:r>
              <w:rPr>
                <w:rFonts w:ascii="Arial" w:cs="Arial" w:eastAsia="Arial" w:hAnsi="Arial"/>
                <w:sz w:val="18"/>
                <w:szCs w:val="18"/>
                <w:color w:val="auto"/>
              </w:rPr>
              <w:t>4.82%</w:t>
            </w:r>
          </w:p>
        </w:tc>
        <w:tc>
          <w:tcPr>
            <w:tcW w:w="13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4.68%</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3.93%</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line="172" w:lineRule="exact"/>
              <w:rPr>
                <w:sz w:val="20"/>
                <w:szCs w:val="20"/>
                <w:color w:val="auto"/>
              </w:rPr>
            </w:pPr>
            <w:r>
              <w:rPr>
                <w:rFonts w:ascii="Arial" w:cs="Arial" w:eastAsia="Arial" w:hAnsi="Arial"/>
                <w:sz w:val="16"/>
                <w:szCs w:val="16"/>
                <w:color w:val="auto"/>
              </w:rPr>
              <w:t>Discount rate - U.S. plan</w:t>
            </w:r>
          </w:p>
        </w:tc>
        <w:tc>
          <w:tcPr>
            <w:tcW w:w="1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Discount rate - non-U.S. plan</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4.50%</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4.09%</w:t>
            </w:r>
          </w:p>
        </w:tc>
        <w:tc>
          <w:tcPr>
            <w:tcW w:w="1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4.48%</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4.75%</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Expected return on plan assets - U.S. plan</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5.40%</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4.61%</w:t>
            </w:r>
          </w:p>
        </w:tc>
        <w:tc>
          <w:tcPr>
            <w:tcW w:w="1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4.82%</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Expected return on plan assets - non-U.S. plans</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5.65%</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5.53%</w:t>
            </w:r>
          </w:p>
        </w:tc>
        <w:tc>
          <w:tcPr>
            <w:tcW w:w="1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6.26%</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Rate of compensation increase - U.S. plan</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Arial" w:cs="Arial" w:eastAsia="Arial" w:hAnsi="Arial"/>
                <w:sz w:val="16"/>
                <w:szCs w:val="16"/>
                <w:color w:val="auto"/>
              </w:rPr>
              <w:t>Rate of compensation increase - non-U.S. plans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3.26%</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3.19%</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3.00%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Health care cost trend rate (U.S. and non-U.S. plans):</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line="172" w:lineRule="exact"/>
              <w:rPr>
                <w:sz w:val="20"/>
                <w:szCs w:val="20"/>
                <w:color w:val="auto"/>
              </w:rPr>
            </w:pPr>
            <w:r>
              <w:rPr>
                <w:rFonts w:ascii="Arial" w:cs="Arial" w:eastAsia="Arial" w:hAnsi="Arial"/>
                <w:sz w:val="16"/>
                <w:szCs w:val="16"/>
                <w:color w:val="auto"/>
              </w:rPr>
              <w:t>Initial rate</w:t>
            </w:r>
          </w:p>
        </w:tc>
        <w:tc>
          <w:tcPr>
            <w:tcW w:w="1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Ultimate rate</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Years to ultimate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(Gains)/losses in plan assets and benefit obligations recognized in other comprehensive income during 2014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8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jc w:val="center"/>
              <w:ind w:right="30"/>
              <w:spacing w:after="0" w:line="194" w:lineRule="exact"/>
              <w:rPr>
                <w:sz w:val="20"/>
                <w:szCs w:val="20"/>
                <w:color w:val="auto"/>
              </w:rPr>
            </w:pPr>
            <w:r>
              <w:rPr>
                <w:rFonts w:ascii="Arial" w:cs="Arial" w:eastAsia="Arial" w:hAnsi="Arial"/>
                <w:sz w:val="18"/>
                <w:szCs w:val="18"/>
                <w:b w:val="1"/>
                <w:bCs w:val="1"/>
                <w:color w:val="auto"/>
                <w:w w:val="99"/>
              </w:rPr>
              <w:t>Other</w:t>
            </w:r>
          </w:p>
        </w:tc>
        <w:tc>
          <w:tcPr>
            <w:tcW w:w="2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236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Pension</w:t>
            </w:r>
          </w:p>
        </w:tc>
        <w:tc>
          <w:tcPr>
            <w:tcW w:w="23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6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360" w:type="dxa"/>
            <w:vAlign w:val="bottom"/>
          </w:tcPr>
          <w:p>
            <w:pPr>
              <w:jc w:val="right"/>
              <w:ind w:right="1150"/>
              <w:spacing w:after="0"/>
              <w:rPr>
                <w:sz w:val="20"/>
                <w:szCs w:val="20"/>
                <w:color w:val="auto"/>
              </w:rPr>
            </w:pPr>
            <w:r>
              <w:rPr>
                <w:rFonts w:ascii="Arial" w:cs="Arial" w:eastAsia="Arial" w:hAnsi="Arial"/>
                <w:sz w:val="18"/>
                <w:szCs w:val="18"/>
                <w:b w:val="1"/>
                <w:bCs w:val="1"/>
                <w:color w:val="auto"/>
              </w:rPr>
              <w:t>plan</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benefits</w:t>
            </w:r>
          </w:p>
        </w:tc>
      </w:tr>
      <w:tr>
        <w:trPr>
          <w:trHeight w:val="398"/>
        </w:trPr>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Settlements/curtailments</w:t>
            </w:r>
          </w:p>
        </w:tc>
        <w:tc>
          <w:tcPr>
            <w:tcW w:w="23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($8,377)</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Asset/liabilty loss (gain)</w:t>
            </w:r>
          </w:p>
        </w:tc>
        <w:tc>
          <w:tcPr>
            <w:tcW w:w="23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10,881</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5,926</w:t>
            </w:r>
          </w:p>
        </w:tc>
        <w:tc>
          <w:tcPr>
            <w:tcW w:w="20" w:type="dxa"/>
            <w:vAlign w:val="bottom"/>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2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(2,421)</w:t>
            </w:r>
          </w:p>
        </w:tc>
        <w:tc>
          <w:tcPr>
            <w:tcW w:w="2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(2,908)</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(53)</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4,489</w:t>
            </w:r>
          </w:p>
        </w:tc>
        <w:tc>
          <w:tcPr>
            <w:tcW w:w="20" w:type="dxa"/>
            <w:vAlign w:val="bottom"/>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3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7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Currency impact</w:t>
            </w:r>
          </w:p>
        </w:tc>
        <w:tc>
          <w:tcPr>
            <w:tcW w:w="23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(2,428)</w:t>
            </w:r>
          </w:p>
        </w:tc>
        <w:tc>
          <w:tcPr>
            <w:tcW w:w="2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196"/>
        </w:trPr>
        <w:tc>
          <w:tcPr>
            <w:tcW w:w="6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(Gain)/loss in other comprehensive income</w:t>
            </w:r>
          </w:p>
        </w:tc>
        <w:tc>
          <w:tcPr>
            <w:tcW w:w="23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($2,398)</w:t>
            </w:r>
          </w:p>
        </w:tc>
        <w:tc>
          <w:tcPr>
            <w:tcW w:w="2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$7,509</w:t>
            </w:r>
          </w:p>
        </w:tc>
        <w:tc>
          <w:tcPr>
            <w:tcW w:w="20" w:type="dxa"/>
            <w:vAlign w:val="bottom"/>
          </w:tcPr>
          <w:p>
            <w:pPr>
              <w:spacing w:after="0"/>
              <w:rPr>
                <w:sz w:val="17"/>
                <w:szCs w:val="17"/>
                <w:color w:val="auto"/>
              </w:rPr>
            </w:pPr>
          </w:p>
        </w:tc>
      </w:tr>
      <w:tr>
        <w:trPr>
          <w:trHeight w:val="196"/>
        </w:trPr>
        <w:tc>
          <w:tcPr>
            <w:tcW w:w="67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recognized in net periodic benefit cost and other comprehensive income</w:t>
            </w:r>
          </w:p>
        </w:tc>
        <w:tc>
          <w:tcPr>
            <w:tcW w:w="23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$10,662</w:t>
            </w:r>
          </w:p>
        </w:tc>
        <w:tc>
          <w:tcPr>
            <w:tcW w:w="2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$8,984</w:t>
            </w:r>
          </w:p>
        </w:tc>
        <w:tc>
          <w:tcPr>
            <w:tcW w:w="20" w:type="dxa"/>
            <w:vAlign w:val="bottom"/>
          </w:tcPr>
          <w:p>
            <w:pPr>
              <w:spacing w:after="0"/>
              <w:rPr>
                <w:sz w:val="17"/>
                <w:szCs w:val="17"/>
                <w:color w:val="auto"/>
              </w:rPr>
            </w:pPr>
          </w:p>
        </w:tc>
      </w:tr>
      <w:tr>
        <w:trPr>
          <w:trHeight w:val="709"/>
        </w:trPr>
        <w:tc>
          <w:tcPr>
            <w:tcW w:w="6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81"/>
        </w:trPr>
        <w:tc>
          <w:tcPr>
            <w:tcW w:w="67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8"/>
        </w:trPr>
        <w:tc>
          <w:tcPr>
            <w:tcW w:w="6780" w:type="dxa"/>
            <w:vAlign w:val="bottom"/>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057" w:right="239" w:bottom="1440" w:gutter="0" w:footer="0" w:header="0"/>
        </w:sectPr>
      </w:pPr>
    </w:p>
    <w:bookmarkStart w:id="66" w:name="page67"/>
    <w:bookmarkEnd w:id="66"/>
    <w:p>
      <w:pPr>
        <w:ind w:right="60" w:firstLine="648"/>
        <w:spacing w:after="0" w:line="246"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2015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18"/>
                <w:szCs w:val="18"/>
                <w:color w:val="auto"/>
              </w:rPr>
            </w:pPr>
          </w:p>
        </w:tc>
      </w:tr>
      <w:tr>
        <w:trPr>
          <w:trHeight w:val="203"/>
        </w:trPr>
        <w:tc>
          <w:tcPr>
            <w:tcW w:w="4600" w:type="dxa"/>
            <w:vAlign w:val="bottom"/>
          </w:tcPr>
          <w:p>
            <w:pPr>
              <w:spacing w:after="0"/>
              <w:rPr>
                <w:sz w:val="17"/>
                <w:szCs w:val="17"/>
                <w:color w:val="auto"/>
              </w:rPr>
            </w:pPr>
          </w:p>
        </w:tc>
        <w:tc>
          <w:tcPr>
            <w:tcW w:w="3340" w:type="dxa"/>
            <w:vAlign w:val="bottom"/>
          </w:tcPr>
          <w:p>
            <w:pPr>
              <w:jc w:val="center"/>
              <w:ind w:left="2230"/>
              <w:spacing w:after="0" w:line="202" w:lineRule="exact"/>
              <w:rPr>
                <w:sz w:val="20"/>
                <w:szCs w:val="20"/>
                <w:color w:val="auto"/>
              </w:rPr>
            </w:pPr>
            <w:r>
              <w:rPr>
                <w:rFonts w:ascii="Arial" w:cs="Arial" w:eastAsia="Arial" w:hAnsi="Arial"/>
                <w:sz w:val="18"/>
                <w:szCs w:val="18"/>
                <w:color w:val="auto"/>
                <w:w w:val="94"/>
              </w:rPr>
              <w:t>Total</w:t>
            </w:r>
          </w:p>
        </w:tc>
        <w:tc>
          <w:tcPr>
            <w:tcW w:w="1200" w:type="dxa"/>
            <w:vAlign w:val="bottom"/>
          </w:tcPr>
          <w:p>
            <w:pPr>
              <w:spacing w:after="0"/>
              <w:rPr>
                <w:sz w:val="17"/>
                <w:szCs w:val="17"/>
                <w:color w:val="auto"/>
              </w:rPr>
            </w:pPr>
          </w:p>
        </w:tc>
        <w:tc>
          <w:tcPr>
            <w:tcW w:w="230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postretirement</w:t>
            </w:r>
          </w:p>
        </w:tc>
      </w:tr>
      <w:tr>
        <w:trPr>
          <w:trHeight w:val="203"/>
        </w:trPr>
        <w:tc>
          <w:tcPr>
            <w:tcW w:w="460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3340" w:type="dxa"/>
            <w:vAlign w:val="bottom"/>
          </w:tcPr>
          <w:p>
            <w:pPr>
              <w:jc w:val="center"/>
              <w:ind w:left="2250"/>
              <w:spacing w:after="0" w:line="203" w:lineRule="exact"/>
              <w:rPr>
                <w:sz w:val="20"/>
                <w:szCs w:val="20"/>
                <w:color w:val="auto"/>
              </w:rPr>
            </w:pPr>
            <w:r>
              <w:rPr>
                <w:rFonts w:ascii="Arial" w:cs="Arial" w:eastAsia="Arial" w:hAnsi="Arial"/>
                <w:sz w:val="18"/>
                <w:szCs w:val="18"/>
                <w:color w:val="auto"/>
              </w:rPr>
              <w:t>pension</w:t>
            </w:r>
          </w:p>
        </w:tc>
        <w:tc>
          <w:tcPr>
            <w:tcW w:w="1200" w:type="dxa"/>
            <w:vAlign w:val="bottom"/>
          </w:tcPr>
          <w:p>
            <w:pPr>
              <w:spacing w:after="0"/>
              <w:rPr>
                <w:sz w:val="17"/>
                <w:szCs w:val="17"/>
                <w:color w:val="auto"/>
              </w:rPr>
            </w:pPr>
          </w:p>
        </w:tc>
        <w:tc>
          <w:tcPr>
            <w:tcW w:w="2300" w:type="dxa"/>
            <w:vAlign w:val="bottom"/>
            <w:gridSpan w:val="2"/>
          </w:tcPr>
          <w:p>
            <w:pPr>
              <w:jc w:val="center"/>
              <w:ind w:right="240"/>
              <w:spacing w:after="0" w:line="203" w:lineRule="exact"/>
              <w:rPr>
                <w:sz w:val="20"/>
                <w:szCs w:val="20"/>
                <w:color w:val="auto"/>
              </w:rPr>
            </w:pPr>
            <w:r>
              <w:rPr>
                <w:rFonts w:ascii="Arial" w:cs="Arial" w:eastAsia="Arial" w:hAnsi="Arial"/>
                <w:sz w:val="18"/>
                <w:szCs w:val="18"/>
                <w:color w:val="auto"/>
                <w:w w:val="98"/>
              </w:rPr>
              <w:t>benefits</w:t>
            </w:r>
          </w:p>
        </w:tc>
      </w:tr>
      <w:tr>
        <w:trPr>
          <w:trHeight w:val="195"/>
        </w:trPr>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Actuarial loss</w:t>
            </w:r>
          </w:p>
        </w:tc>
        <w:tc>
          <w:tcPr>
            <w:tcW w:w="3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$2,678</w:t>
            </w:r>
          </w:p>
        </w:tc>
        <w:tc>
          <w:tcPr>
            <w:tcW w:w="2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$3,338</w:t>
            </w:r>
          </w:p>
        </w:tc>
        <w:tc>
          <w:tcPr>
            <w:tcW w:w="20" w:type="dxa"/>
            <w:vAlign w:val="bottom"/>
          </w:tcPr>
          <w:p>
            <w:pPr>
              <w:spacing w:after="0"/>
              <w:rPr>
                <w:sz w:val="16"/>
                <w:szCs w:val="16"/>
                <w:color w:val="auto"/>
              </w:rPr>
            </w:pPr>
          </w:p>
        </w:tc>
      </w:tr>
      <w:tr>
        <w:trPr>
          <w:trHeight w:val="203"/>
        </w:trPr>
        <w:tc>
          <w:tcPr>
            <w:tcW w:w="46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Prior service cost/(benefit)</w:t>
            </w:r>
          </w:p>
        </w:tc>
        <w:tc>
          <w:tcPr>
            <w:tcW w:w="3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50</w:t>
            </w:r>
          </w:p>
        </w:tc>
        <w:tc>
          <w:tcPr>
            <w:tcW w:w="23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(4,488)</w:t>
            </w: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$2,728</w:t>
            </w:r>
          </w:p>
        </w:tc>
        <w:tc>
          <w:tcPr>
            <w:tcW w:w="2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w:t>
            </w:r>
          </w:p>
        </w:tc>
        <w:tc>
          <w:tcPr>
            <w:tcW w:w="20" w:type="dxa"/>
            <w:vAlign w:val="bottom"/>
            <w:tcBorders>
              <w:bottom w:val="single" w:sz="8" w:color="auto"/>
            </w:tcBorders>
          </w:tcPr>
          <w:p>
            <w:pPr>
              <w:spacing w:after="0"/>
              <w:rPr>
                <w:sz w:val="17"/>
                <w:szCs w:val="17"/>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89"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plan:</w:t>
      </w:r>
    </w:p>
    <w:p>
      <w:pPr>
        <w:spacing w:after="0" w:line="17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Non-United States plans:</w:t>
      </w:r>
    </w:p>
    <w:p>
      <w:pPr>
        <w:spacing w:after="0" w:line="185"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For the countries in which the Company has funded pension trusts, the investment strategy is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89"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following tables present plan assets as of December 31, 2014 and 2013, using the fair-value hierarchy, which has three levels based on the reliability of inputs used, as described in Note 15.</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3"/>
        </w:trPr>
        <w:tc>
          <w:tcPr>
            <w:tcW w:w="28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center"/>
              <w:ind w:right="30"/>
              <w:spacing w:after="0" w:line="194" w:lineRule="exact"/>
              <w:rPr>
                <w:sz w:val="20"/>
                <w:szCs w:val="20"/>
                <w:color w:val="auto"/>
              </w:rPr>
            </w:pPr>
            <w:r>
              <w:rPr>
                <w:rFonts w:ascii="Arial" w:cs="Arial" w:eastAsia="Arial" w:hAnsi="Arial"/>
                <w:sz w:val="18"/>
                <w:szCs w:val="18"/>
                <w:b w:val="1"/>
                <w:bCs w:val="1"/>
                <w:color w:val="auto"/>
                <w:w w:val="97"/>
              </w:rPr>
              <w:t>Total fair</w:t>
            </w:r>
          </w:p>
        </w:tc>
        <w:tc>
          <w:tcPr>
            <w:tcW w:w="1900" w:type="dxa"/>
            <w:vAlign w:val="bottom"/>
            <w:tcBorders>
              <w:top w:val="single" w:sz="8" w:color="auto"/>
            </w:tcBorders>
          </w:tcPr>
          <w:p>
            <w:pPr>
              <w:jc w:val="center"/>
              <w:ind w:right="90"/>
              <w:spacing w:after="0" w:line="194" w:lineRule="exact"/>
              <w:rPr>
                <w:sz w:val="20"/>
                <w:szCs w:val="20"/>
                <w:color w:val="auto"/>
              </w:rPr>
            </w:pPr>
            <w:r>
              <w:rPr>
                <w:rFonts w:ascii="Arial" w:cs="Arial" w:eastAsia="Arial" w:hAnsi="Arial"/>
                <w:sz w:val="18"/>
                <w:szCs w:val="18"/>
                <w:b w:val="1"/>
                <w:bCs w:val="1"/>
                <w:color w:val="auto"/>
                <w:w w:val="99"/>
              </w:rPr>
              <w:t>Quoted prices</w:t>
            </w:r>
          </w:p>
        </w:tc>
        <w:tc>
          <w:tcPr>
            <w:tcW w:w="2240" w:type="dxa"/>
            <w:vAlign w:val="bottom"/>
            <w:tcBorders>
              <w:top w:val="single" w:sz="8" w:color="auto"/>
            </w:tcBorders>
          </w:tcPr>
          <w:p>
            <w:pPr>
              <w:jc w:val="center"/>
              <w:ind w:right="210"/>
              <w:spacing w:after="0" w:line="194" w:lineRule="exact"/>
              <w:rPr>
                <w:sz w:val="20"/>
                <w:szCs w:val="20"/>
                <w:color w:val="auto"/>
              </w:rPr>
            </w:pPr>
            <w:r>
              <w:rPr>
                <w:rFonts w:ascii="Arial" w:cs="Arial" w:eastAsia="Arial" w:hAnsi="Arial"/>
                <w:sz w:val="18"/>
                <w:szCs w:val="18"/>
                <w:b w:val="1"/>
                <w:bCs w:val="1"/>
                <w:color w:val="auto"/>
                <w:w w:val="99"/>
              </w:rPr>
              <w:t>Significant other</w:t>
            </w:r>
          </w:p>
        </w:tc>
        <w:tc>
          <w:tcPr>
            <w:tcW w:w="23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Significant</w:t>
            </w:r>
          </w:p>
        </w:tc>
        <w:tc>
          <w:tcPr>
            <w:tcW w:w="40" w:type="dxa"/>
            <w:vAlign w:val="bottom"/>
            <w:gridSpan w:val="2"/>
          </w:tcPr>
          <w:p>
            <w:pPr>
              <w:spacing w:after="0"/>
              <w:rPr>
                <w:sz w:val="16"/>
                <w:szCs w:val="16"/>
                <w:color w:val="auto"/>
              </w:rPr>
            </w:pPr>
          </w:p>
        </w:tc>
      </w:tr>
      <w:tr>
        <w:trPr>
          <w:trHeight w:val="203"/>
        </w:trPr>
        <w:tc>
          <w:tcPr>
            <w:tcW w:w="2840" w:type="dxa"/>
            <w:vAlign w:val="bottom"/>
          </w:tcPr>
          <w:p>
            <w:pPr>
              <w:spacing w:after="0"/>
              <w:rPr>
                <w:sz w:val="17"/>
                <w:szCs w:val="17"/>
                <w:color w:val="auto"/>
              </w:rPr>
            </w:pPr>
          </w:p>
        </w:tc>
        <w:tc>
          <w:tcPr>
            <w:tcW w:w="2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value at</w:t>
            </w:r>
          </w:p>
        </w:tc>
        <w:tc>
          <w:tcPr>
            <w:tcW w:w="19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in active markets</w:t>
            </w:r>
          </w:p>
        </w:tc>
        <w:tc>
          <w:tcPr>
            <w:tcW w:w="22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238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unobservable inputs</w:t>
            </w:r>
          </w:p>
        </w:tc>
      </w:tr>
      <w:tr>
        <w:trPr>
          <w:trHeight w:val="225"/>
        </w:trPr>
        <w:tc>
          <w:tcPr>
            <w:tcW w:w="28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1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December 31, 2014</w:t>
            </w:r>
          </w:p>
        </w:tc>
        <w:tc>
          <w:tcPr>
            <w:tcW w:w="19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(Level 1)</w:t>
            </w:r>
          </w:p>
        </w:tc>
        <w:tc>
          <w:tcPr>
            <w:tcW w:w="2240" w:type="dxa"/>
            <w:vAlign w:val="bottom"/>
          </w:tcPr>
          <w:p>
            <w:pPr>
              <w:jc w:val="center"/>
              <w:ind w:right="210"/>
              <w:spacing w:after="0"/>
              <w:rPr>
                <w:sz w:val="20"/>
                <w:szCs w:val="20"/>
                <w:color w:val="auto"/>
              </w:rPr>
            </w:pPr>
            <w:r>
              <w:rPr>
                <w:rFonts w:ascii="Arial" w:cs="Arial" w:eastAsia="Arial" w:hAnsi="Arial"/>
                <w:sz w:val="18"/>
                <w:szCs w:val="18"/>
                <w:b w:val="1"/>
                <w:bCs w:val="1"/>
                <w:color w:val="auto"/>
              </w:rPr>
              <w:t>(Level 2)</w:t>
            </w:r>
          </w:p>
        </w:tc>
        <w:tc>
          <w:tcPr>
            <w:tcW w:w="2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(Level 3)</w:t>
            </w:r>
          </w:p>
        </w:tc>
      </w:tr>
      <w:tr>
        <w:trPr>
          <w:trHeight w:val="195"/>
        </w:trPr>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stocks and equity funds</w:t>
            </w:r>
          </w:p>
        </w:tc>
        <w:tc>
          <w:tcPr>
            <w:tcW w:w="21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$34,624</w:t>
            </w:r>
          </w:p>
        </w:tc>
        <w:tc>
          <w:tcPr>
            <w:tcW w:w="190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$803</w:t>
            </w:r>
          </w:p>
        </w:tc>
        <w:tc>
          <w:tcPr>
            <w:tcW w:w="224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$33,821</w:t>
            </w:r>
          </w:p>
        </w:tc>
        <w:tc>
          <w:tcPr>
            <w:tcW w:w="2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2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136,984</w:t>
            </w:r>
          </w:p>
        </w:tc>
        <w:tc>
          <w:tcPr>
            <w:tcW w:w="1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136,984</w:t>
            </w:r>
          </w:p>
        </w:tc>
        <w:tc>
          <w:tcPr>
            <w:tcW w:w="2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Insurance contracts</w:t>
            </w:r>
          </w:p>
        </w:tc>
        <w:tc>
          <w:tcPr>
            <w:tcW w:w="2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2,133</w:t>
            </w:r>
          </w:p>
        </w:tc>
        <w:tc>
          <w:tcPr>
            <w:tcW w:w="1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2,133</w:t>
            </w:r>
          </w:p>
        </w:tc>
        <w:tc>
          <w:tcPr>
            <w:tcW w:w="20" w:type="dxa"/>
            <w:vAlign w:val="bottom"/>
          </w:tcPr>
          <w:p>
            <w:pPr>
              <w:spacing w:after="0"/>
              <w:rPr>
                <w:sz w:val="17"/>
                <w:szCs w:val="17"/>
                <w:color w:val="auto"/>
              </w:rPr>
            </w:pP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6,522</w:t>
            </w:r>
          </w:p>
        </w:tc>
        <w:tc>
          <w:tcPr>
            <w:tcW w:w="1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6,522</w:t>
            </w:r>
          </w:p>
        </w:tc>
        <w:tc>
          <w:tcPr>
            <w:tcW w:w="20" w:type="dxa"/>
            <w:vAlign w:val="bottom"/>
          </w:tcPr>
          <w:p>
            <w:pPr>
              <w:spacing w:after="0"/>
              <w:rPr>
                <w:sz w:val="17"/>
                <w:szCs w:val="17"/>
                <w:color w:val="auto"/>
              </w:rPr>
            </w:pP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Hedge funds</w:t>
            </w:r>
          </w:p>
        </w:tc>
        <w:tc>
          <w:tcPr>
            <w:tcW w:w="2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364</w:t>
            </w:r>
          </w:p>
        </w:tc>
        <w:tc>
          <w:tcPr>
            <w:tcW w:w="1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364</w:t>
            </w:r>
          </w:p>
        </w:tc>
        <w:tc>
          <w:tcPr>
            <w:tcW w:w="20" w:type="dxa"/>
            <w:vAlign w:val="bottom"/>
          </w:tcPr>
          <w:p>
            <w:pPr>
              <w:spacing w:after="0"/>
              <w:rPr>
                <w:sz w:val="17"/>
                <w:szCs w:val="17"/>
                <w:color w:val="auto"/>
              </w:rPr>
            </w:pPr>
          </w:p>
        </w:tc>
      </w:tr>
      <w:tr>
        <w:trPr>
          <w:trHeight w:val="203"/>
        </w:trPr>
        <w:tc>
          <w:tcPr>
            <w:tcW w:w="2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10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2,572</w:t>
            </w:r>
          </w:p>
        </w:tc>
        <w:tc>
          <w:tcPr>
            <w:tcW w:w="19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2,572</w:t>
            </w:r>
          </w:p>
        </w:tc>
        <w:tc>
          <w:tcPr>
            <w:tcW w:w="22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plan assets</w:t>
            </w:r>
          </w:p>
        </w:tc>
        <w:tc>
          <w:tcPr>
            <w:tcW w:w="21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$183,199</w:t>
            </w:r>
          </w:p>
        </w:tc>
        <w:tc>
          <w:tcPr>
            <w:tcW w:w="19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$3,375</w:t>
            </w:r>
          </w:p>
        </w:tc>
        <w:tc>
          <w:tcPr>
            <w:tcW w:w="22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$170,805</w:t>
            </w:r>
          </w:p>
        </w:tc>
        <w:tc>
          <w:tcPr>
            <w:tcW w:w="23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$9,019</w:t>
            </w:r>
          </w:p>
        </w:tc>
        <w:tc>
          <w:tcPr>
            <w:tcW w:w="20" w:type="dxa"/>
            <w:vAlign w:val="bottom"/>
            <w:tcBorders>
              <w:bottom w:val="single" w:sz="8" w:color="auto"/>
            </w:tcBorders>
          </w:tcPr>
          <w:p>
            <w:pPr>
              <w:spacing w:after="0"/>
              <w:rPr>
                <w:sz w:val="17"/>
                <w:szCs w:val="17"/>
                <w:color w:val="auto"/>
              </w:rPr>
            </w:pPr>
          </w:p>
        </w:tc>
      </w:tr>
    </w:tbl>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110"/>
              <w:spacing w:after="0" w:line="194" w:lineRule="exact"/>
              <w:rPr>
                <w:sz w:val="20"/>
                <w:szCs w:val="20"/>
                <w:color w:val="auto"/>
              </w:rPr>
            </w:pPr>
            <w:r>
              <w:rPr>
                <w:rFonts w:ascii="Arial" w:cs="Arial" w:eastAsia="Arial" w:hAnsi="Arial"/>
                <w:sz w:val="18"/>
                <w:szCs w:val="18"/>
                <w:b w:val="1"/>
                <w:bCs w:val="1"/>
                <w:color w:val="auto"/>
                <w:w w:val="99"/>
              </w:rPr>
              <w:t>Total fair</w:t>
            </w:r>
          </w:p>
        </w:tc>
        <w:tc>
          <w:tcPr>
            <w:tcW w:w="2120" w:type="dxa"/>
            <w:vAlign w:val="bottom"/>
            <w:tcBorders>
              <w:top w:val="single" w:sz="8" w:color="auto"/>
            </w:tcBorders>
          </w:tcPr>
          <w:p>
            <w:pPr>
              <w:jc w:val="center"/>
              <w:ind w:right="250"/>
              <w:spacing w:after="0" w:line="194" w:lineRule="exact"/>
              <w:rPr>
                <w:sz w:val="20"/>
                <w:szCs w:val="20"/>
                <w:color w:val="auto"/>
              </w:rPr>
            </w:pPr>
            <w:r>
              <w:rPr>
                <w:rFonts w:ascii="Arial" w:cs="Arial" w:eastAsia="Arial" w:hAnsi="Arial"/>
                <w:sz w:val="18"/>
                <w:szCs w:val="18"/>
                <w:b w:val="1"/>
                <w:bCs w:val="1"/>
                <w:color w:val="auto"/>
              </w:rPr>
              <w:t>Quoted prices</w:t>
            </w:r>
          </w:p>
        </w:tc>
        <w:tc>
          <w:tcPr>
            <w:tcW w:w="2360" w:type="dxa"/>
            <w:vAlign w:val="bottom"/>
            <w:tcBorders>
              <w:top w:val="single" w:sz="8" w:color="auto"/>
            </w:tcBorders>
          </w:tcPr>
          <w:p>
            <w:pPr>
              <w:jc w:val="center"/>
              <w:ind w:right="210"/>
              <w:spacing w:after="0" w:line="194" w:lineRule="exact"/>
              <w:rPr>
                <w:sz w:val="20"/>
                <w:szCs w:val="20"/>
                <w:color w:val="auto"/>
              </w:rPr>
            </w:pPr>
            <w:r>
              <w:rPr>
                <w:rFonts w:ascii="Arial" w:cs="Arial" w:eastAsia="Arial" w:hAnsi="Arial"/>
                <w:sz w:val="18"/>
                <w:szCs w:val="18"/>
                <w:b w:val="1"/>
                <w:bCs w:val="1"/>
                <w:color w:val="auto"/>
                <w:w w:val="99"/>
              </w:rPr>
              <w:t>Significant other</w:t>
            </w:r>
          </w:p>
        </w:tc>
        <w:tc>
          <w:tcPr>
            <w:tcW w:w="20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Significant</w:t>
            </w:r>
          </w:p>
        </w:tc>
        <w:tc>
          <w:tcPr>
            <w:tcW w:w="2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2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value at</w:t>
            </w:r>
          </w:p>
        </w:tc>
        <w:tc>
          <w:tcPr>
            <w:tcW w:w="212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in active markets</w:t>
            </w:r>
          </w:p>
        </w:tc>
        <w:tc>
          <w:tcPr>
            <w:tcW w:w="236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208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unobservable inputs</w:t>
            </w:r>
          </w:p>
        </w:tc>
      </w:tr>
      <w:tr>
        <w:trPr>
          <w:trHeight w:val="225"/>
        </w:trPr>
        <w:tc>
          <w:tcPr>
            <w:tcW w:w="2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 2013</w:t>
            </w:r>
          </w:p>
        </w:tc>
        <w:tc>
          <w:tcPr>
            <w:tcW w:w="2120" w:type="dxa"/>
            <w:vAlign w:val="bottom"/>
          </w:tcPr>
          <w:p>
            <w:pPr>
              <w:jc w:val="center"/>
              <w:ind w:right="250"/>
              <w:spacing w:after="0"/>
              <w:rPr>
                <w:sz w:val="20"/>
                <w:szCs w:val="20"/>
                <w:color w:val="auto"/>
              </w:rPr>
            </w:pPr>
            <w:r>
              <w:rPr>
                <w:rFonts w:ascii="Arial" w:cs="Arial" w:eastAsia="Arial" w:hAnsi="Arial"/>
                <w:sz w:val="18"/>
                <w:szCs w:val="18"/>
                <w:b w:val="1"/>
                <w:bCs w:val="1"/>
                <w:color w:val="auto"/>
              </w:rPr>
              <w:t>(Level 1)</w:t>
            </w:r>
          </w:p>
        </w:tc>
        <w:tc>
          <w:tcPr>
            <w:tcW w:w="2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(Level 2)</w:t>
            </w:r>
          </w:p>
        </w:tc>
        <w:tc>
          <w:tcPr>
            <w:tcW w:w="2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8"/>
              </w:rPr>
              <w:t>(Level 3)</w:t>
            </w:r>
          </w:p>
        </w:tc>
      </w:tr>
      <w:tr>
        <w:trPr>
          <w:trHeight w:val="195"/>
        </w:trPr>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stocks and equity funds</w:t>
            </w:r>
          </w:p>
        </w:tc>
        <w:tc>
          <w:tcPr>
            <w:tcW w:w="20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$46,360</w:t>
            </w:r>
          </w:p>
        </w:tc>
        <w:tc>
          <w:tcPr>
            <w:tcW w:w="212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$983</w:t>
            </w:r>
          </w:p>
        </w:tc>
        <w:tc>
          <w:tcPr>
            <w:tcW w:w="23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$45,377</w:t>
            </w:r>
          </w:p>
        </w:tc>
        <w:tc>
          <w:tcPr>
            <w:tcW w:w="2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2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109,330</w:t>
            </w:r>
          </w:p>
        </w:tc>
        <w:tc>
          <w:tcPr>
            <w:tcW w:w="21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109,330</w:t>
            </w:r>
          </w:p>
        </w:tc>
        <w:tc>
          <w:tcPr>
            <w:tcW w:w="2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Insurance contracts</w:t>
            </w:r>
          </w:p>
        </w:tc>
        <w:tc>
          <w:tcPr>
            <w:tcW w:w="2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2,875</w:t>
            </w:r>
          </w:p>
        </w:tc>
        <w:tc>
          <w:tcPr>
            <w:tcW w:w="21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2,875</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7,034</w:t>
            </w:r>
          </w:p>
        </w:tc>
        <w:tc>
          <w:tcPr>
            <w:tcW w:w="21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7,034</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Hedge funds</w:t>
            </w:r>
          </w:p>
        </w:tc>
        <w:tc>
          <w:tcPr>
            <w:tcW w:w="2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392</w:t>
            </w:r>
          </w:p>
        </w:tc>
        <w:tc>
          <w:tcPr>
            <w:tcW w:w="21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392</w:t>
            </w:r>
          </w:p>
        </w:tc>
      </w:tr>
      <w:tr>
        <w:trPr>
          <w:trHeight w:val="203"/>
        </w:trPr>
        <w:tc>
          <w:tcPr>
            <w:tcW w:w="2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0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2,399</w:t>
            </w:r>
          </w:p>
        </w:tc>
        <w:tc>
          <w:tcPr>
            <w:tcW w:w="21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2,399</w:t>
            </w:r>
          </w:p>
        </w:tc>
        <w:tc>
          <w:tcPr>
            <w:tcW w:w="23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196"/>
        </w:trPr>
        <w:tc>
          <w:tcPr>
            <w:tcW w:w="2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plan assets</w:t>
            </w:r>
          </w:p>
        </w:tc>
        <w:tc>
          <w:tcPr>
            <w:tcW w:w="2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$168,390</w:t>
            </w:r>
          </w:p>
        </w:tc>
        <w:tc>
          <w:tcPr>
            <w:tcW w:w="21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$3,382</w:t>
            </w:r>
          </w:p>
        </w:tc>
        <w:tc>
          <w:tcPr>
            <w:tcW w:w="2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$154,707</w:t>
            </w:r>
          </w:p>
        </w:tc>
        <w:tc>
          <w:tcPr>
            <w:tcW w:w="20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$10,301</w:t>
            </w:r>
          </w:p>
        </w:tc>
      </w:tr>
    </w:tbl>
    <w:p>
      <w:pPr>
        <w:spacing w:after="0" w:line="37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Plan assets for 2013 have been revised from previously filed reports to correct the classification of investments. In previously filed reports, we included pooled equity fund investments, which comprise substantially all of our holdings in common stocks and equity funds, in Level 1 assets. Whereas such investments do not meet the requirements for Level 1, we have corrected that error and reported those investments as Level 2. We have also corrected the allocation of assets between types of investments. There was no change in total plan assets or reclassification related to Level 3 assets. The Company has determined that the error is immaterial to previously filed financial reports and, accordingly, has corrected the error by revising the previously disclosed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4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8"/>
              </w:rPr>
              <w:t>Total fair value at</w:t>
            </w: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Total fair value at</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40" w:type="dxa"/>
            <w:vAlign w:val="bottom"/>
            <w:gridSpan w:val="2"/>
          </w:tcPr>
          <w:p>
            <w:pPr>
              <w:jc w:val="center"/>
              <w:ind w:left="132"/>
              <w:spacing w:after="0" w:line="202" w:lineRule="exact"/>
              <w:rPr>
                <w:sz w:val="20"/>
                <w:szCs w:val="20"/>
                <w:color w:val="auto"/>
              </w:rPr>
            </w:pPr>
            <w:r>
              <w:rPr>
                <w:rFonts w:ascii="Arial" w:cs="Arial" w:eastAsia="Arial" w:hAnsi="Arial"/>
                <w:sz w:val="18"/>
                <w:szCs w:val="18"/>
                <w:b w:val="1"/>
                <w:bCs w:val="1"/>
                <w:color w:val="auto"/>
                <w:w w:val="99"/>
              </w:rPr>
              <w:t>December 31, 2013</w:t>
            </w: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gridSpan w:val="4"/>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December 31, 2013</w:t>
            </w:r>
          </w:p>
        </w:tc>
        <w:tc>
          <w:tcPr>
            <w:tcW w:w="0" w:type="dxa"/>
            <w:vAlign w:val="bottom"/>
          </w:tcPr>
          <w:p>
            <w:pPr>
              <w:spacing w:after="0"/>
              <w:rPr>
                <w:sz w:val="1"/>
                <w:szCs w:val="1"/>
                <w:color w:val="auto"/>
              </w:rPr>
            </w:pPr>
          </w:p>
        </w:tc>
      </w:tr>
      <w:tr>
        <w:trPr>
          <w:trHeight w:val="225"/>
        </w:trPr>
        <w:tc>
          <w:tcPr>
            <w:tcW w:w="27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spacing w:after="0"/>
              <w:rPr>
                <w:sz w:val="19"/>
                <w:szCs w:val="19"/>
                <w:color w:val="auto"/>
              </w:rPr>
            </w:pPr>
          </w:p>
        </w:tc>
        <w:tc>
          <w:tcPr>
            <w:tcW w:w="344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9"/>
              </w:rPr>
              <w:t>as originally reported</w:t>
            </w:r>
          </w:p>
        </w:tc>
        <w:tc>
          <w:tcPr>
            <w:tcW w:w="2340" w:type="dxa"/>
            <w:vAlign w:val="bottom"/>
            <w:gridSpan w:val="2"/>
          </w:tcPr>
          <w:p>
            <w:pPr>
              <w:jc w:val="right"/>
              <w:ind w:right="935"/>
              <w:spacing w:after="0"/>
              <w:rPr>
                <w:sz w:val="20"/>
                <w:szCs w:val="20"/>
                <w:color w:val="auto"/>
              </w:rPr>
            </w:pPr>
            <w:r>
              <w:rPr>
                <w:rFonts w:ascii="Arial" w:cs="Arial" w:eastAsia="Arial" w:hAnsi="Arial"/>
                <w:sz w:val="18"/>
                <w:szCs w:val="18"/>
                <w:b w:val="1"/>
                <w:bCs w:val="1"/>
                <w:color w:val="auto"/>
              </w:rPr>
              <w:t>Revision</w:t>
            </w: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as revised</w:t>
            </w:r>
          </w:p>
        </w:tc>
        <w:tc>
          <w:tcPr>
            <w:tcW w:w="0" w:type="dxa"/>
            <w:vAlign w:val="bottom"/>
          </w:tcPr>
          <w:p>
            <w:pPr>
              <w:spacing w:after="0"/>
              <w:rPr>
                <w:sz w:val="1"/>
                <w:szCs w:val="1"/>
                <w:color w:val="auto"/>
              </w:rPr>
            </w:pPr>
          </w:p>
        </w:tc>
      </w:tr>
      <w:tr>
        <w:trPr>
          <w:trHeight w:val="195"/>
        </w:trPr>
        <w:tc>
          <w:tcPr>
            <w:tcW w:w="2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stocks and equity funds</w:t>
            </w:r>
          </w:p>
        </w:tc>
        <w:tc>
          <w:tcPr>
            <w:tcW w:w="1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ind w:right="532"/>
              <w:spacing w:after="0" w:line="195" w:lineRule="exact"/>
              <w:rPr>
                <w:sz w:val="20"/>
                <w:szCs w:val="20"/>
                <w:color w:val="auto"/>
              </w:rPr>
            </w:pPr>
            <w:r>
              <w:rPr>
                <w:rFonts w:ascii="Arial" w:cs="Arial" w:eastAsia="Arial" w:hAnsi="Arial"/>
                <w:sz w:val="18"/>
                <w:szCs w:val="18"/>
                <w:color w:val="auto"/>
              </w:rPr>
              <w:t>$33,685</w:t>
            </w:r>
          </w:p>
        </w:tc>
        <w:tc>
          <w:tcPr>
            <w:tcW w:w="2340" w:type="dxa"/>
            <w:vAlign w:val="bottom"/>
            <w:tcBorders>
              <w:top w:val="single" w:sz="8" w:color="auto"/>
            </w:tcBorders>
            <w:gridSpan w:val="2"/>
          </w:tcPr>
          <w:p>
            <w:pPr>
              <w:jc w:val="right"/>
              <w:ind w:right="655"/>
              <w:spacing w:after="0" w:line="195" w:lineRule="exact"/>
              <w:rPr>
                <w:sz w:val="20"/>
                <w:szCs w:val="20"/>
                <w:color w:val="auto"/>
              </w:rPr>
            </w:pPr>
            <w:r>
              <w:rPr>
                <w:rFonts w:ascii="Arial" w:cs="Arial" w:eastAsia="Arial" w:hAnsi="Arial"/>
                <w:sz w:val="18"/>
                <w:szCs w:val="18"/>
                <w:color w:val="auto"/>
              </w:rPr>
              <w:t>$12,675</w:t>
            </w:r>
          </w:p>
        </w:tc>
        <w:tc>
          <w:tcPr>
            <w:tcW w:w="6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$46,360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0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122,699</w:t>
            </w:r>
          </w:p>
        </w:tc>
        <w:tc>
          <w:tcPr>
            <w:tcW w:w="2340" w:type="dxa"/>
            <w:vAlign w:val="bottom"/>
            <w:gridSpan w:val="2"/>
          </w:tcPr>
          <w:p>
            <w:pPr>
              <w:jc w:val="right"/>
              <w:ind w:right="655"/>
              <w:spacing w:after="0" w:line="202" w:lineRule="exact"/>
              <w:rPr>
                <w:sz w:val="20"/>
                <w:szCs w:val="20"/>
                <w:color w:val="auto"/>
              </w:rPr>
            </w:pPr>
            <w:r>
              <w:rPr>
                <w:rFonts w:ascii="Arial" w:cs="Arial" w:eastAsia="Arial" w:hAnsi="Arial"/>
                <w:sz w:val="18"/>
                <w:szCs w:val="18"/>
                <w:color w:val="auto"/>
              </w:rPr>
              <w:t>(13,369)</w:t>
            </w:r>
          </w:p>
        </w:tc>
        <w:tc>
          <w:tcPr>
            <w:tcW w:w="64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109,330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Insurance contracts</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0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2,875</w:t>
            </w:r>
          </w:p>
        </w:tc>
        <w:tc>
          <w:tcPr>
            <w:tcW w:w="1260" w:type="dxa"/>
            <w:vAlign w:val="bottom"/>
          </w:tcPr>
          <w:p>
            <w:pPr>
              <w:spacing w:after="0"/>
              <w:rPr>
                <w:sz w:val="17"/>
                <w:szCs w:val="17"/>
                <w:color w:val="auto"/>
              </w:rPr>
            </w:pPr>
          </w:p>
        </w:tc>
        <w:tc>
          <w:tcPr>
            <w:tcW w:w="1080" w:type="dxa"/>
            <w:vAlign w:val="bottom"/>
          </w:tcPr>
          <w:p>
            <w:pPr>
              <w:jc w:val="right"/>
              <w:ind w:right="715"/>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0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7,034</w:t>
            </w:r>
          </w:p>
        </w:tc>
        <w:tc>
          <w:tcPr>
            <w:tcW w:w="1260" w:type="dxa"/>
            <w:vAlign w:val="bottom"/>
          </w:tcPr>
          <w:p>
            <w:pPr>
              <w:spacing w:after="0"/>
              <w:rPr>
                <w:sz w:val="17"/>
                <w:szCs w:val="17"/>
                <w:color w:val="auto"/>
              </w:rPr>
            </w:pPr>
          </w:p>
        </w:tc>
        <w:tc>
          <w:tcPr>
            <w:tcW w:w="1080" w:type="dxa"/>
            <w:vAlign w:val="bottom"/>
          </w:tcPr>
          <w:p>
            <w:pPr>
              <w:jc w:val="right"/>
              <w:ind w:right="715"/>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Hedge funds</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0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392</w:t>
            </w:r>
          </w:p>
        </w:tc>
        <w:tc>
          <w:tcPr>
            <w:tcW w:w="1260" w:type="dxa"/>
            <w:vAlign w:val="bottom"/>
          </w:tcPr>
          <w:p>
            <w:pPr>
              <w:spacing w:after="0"/>
              <w:rPr>
                <w:sz w:val="17"/>
                <w:szCs w:val="17"/>
                <w:color w:val="auto"/>
              </w:rPr>
            </w:pPr>
          </w:p>
        </w:tc>
        <w:tc>
          <w:tcPr>
            <w:tcW w:w="1080" w:type="dxa"/>
            <w:vAlign w:val="bottom"/>
          </w:tcPr>
          <w:p>
            <w:pPr>
              <w:jc w:val="right"/>
              <w:ind w:right="715"/>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1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32"/>
              <w:spacing w:after="0" w:line="203" w:lineRule="exact"/>
              <w:rPr>
                <w:sz w:val="20"/>
                <w:szCs w:val="20"/>
                <w:color w:val="auto"/>
              </w:rPr>
            </w:pPr>
            <w:r>
              <w:rPr>
                <w:rFonts w:ascii="Arial" w:cs="Arial" w:eastAsia="Arial" w:hAnsi="Arial"/>
                <w:sz w:val="18"/>
                <w:szCs w:val="18"/>
                <w:color w:val="auto"/>
              </w:rPr>
              <w:t>1,705</w:t>
            </w:r>
          </w:p>
        </w:tc>
        <w:tc>
          <w:tcPr>
            <w:tcW w:w="1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55"/>
              <w:spacing w:after="0" w:line="203" w:lineRule="exact"/>
              <w:rPr>
                <w:sz w:val="20"/>
                <w:szCs w:val="20"/>
                <w:color w:val="auto"/>
              </w:rPr>
            </w:pPr>
            <w:r>
              <w:rPr>
                <w:rFonts w:ascii="Arial" w:cs="Arial" w:eastAsia="Arial" w:hAnsi="Arial"/>
                <w:sz w:val="18"/>
                <w:szCs w:val="18"/>
                <w:color w:val="auto"/>
              </w:rPr>
              <w:t>694</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line="196" w:lineRule="exact"/>
              <w:rPr>
                <w:sz w:val="20"/>
                <w:szCs w:val="20"/>
                <w:color w:val="auto"/>
              </w:rPr>
            </w:pPr>
            <w:r>
              <w:rPr>
                <w:rFonts w:ascii="Arial" w:cs="Arial" w:eastAsia="Arial" w:hAnsi="Arial"/>
                <w:sz w:val="18"/>
                <w:szCs w:val="18"/>
                <w:color w:val="auto"/>
              </w:rPr>
              <w:t>Total plan assets</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00" w:type="dxa"/>
            <w:vAlign w:val="bottom"/>
          </w:tcPr>
          <w:p>
            <w:pPr>
              <w:jc w:val="right"/>
              <w:ind w:right="532"/>
              <w:spacing w:after="0" w:line="196" w:lineRule="exact"/>
              <w:rPr>
                <w:sz w:val="20"/>
                <w:szCs w:val="20"/>
                <w:color w:val="auto"/>
              </w:rPr>
            </w:pPr>
            <w:r>
              <w:rPr>
                <w:rFonts w:ascii="Arial" w:cs="Arial" w:eastAsia="Arial" w:hAnsi="Arial"/>
                <w:sz w:val="18"/>
                <w:szCs w:val="18"/>
                <w:color w:val="auto"/>
              </w:rPr>
              <w:t>$168,390</w:t>
            </w:r>
          </w:p>
        </w:tc>
        <w:tc>
          <w:tcPr>
            <w:tcW w:w="1260" w:type="dxa"/>
            <w:vAlign w:val="bottom"/>
          </w:tcPr>
          <w:p>
            <w:pPr>
              <w:spacing w:after="0"/>
              <w:rPr>
                <w:sz w:val="17"/>
                <w:szCs w:val="17"/>
                <w:color w:val="auto"/>
              </w:rPr>
            </w:pPr>
          </w:p>
        </w:tc>
        <w:tc>
          <w:tcPr>
            <w:tcW w:w="1080" w:type="dxa"/>
            <w:vAlign w:val="bottom"/>
          </w:tcPr>
          <w:p>
            <w:pPr>
              <w:jc w:val="right"/>
              <w:ind w:right="655"/>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$168,390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340" w:type="dxa"/>
            <w:vAlign w:val="bottom"/>
            <w:tcBorders>
              <w:top w:val="single" w:sz="8" w:color="auto"/>
            </w:tcBorders>
            <w:gridSpan w:val="7"/>
          </w:tcPr>
          <w:p>
            <w:pPr>
              <w:ind w:left="660"/>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2014 and 2013:</w:t>
            </w:r>
          </w:p>
        </w:tc>
        <w:tc>
          <w:tcPr>
            <w:tcW w:w="1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jc w:val="center"/>
              <w:ind w:right="94"/>
              <w:spacing w:after="0" w:line="165" w:lineRule="exact"/>
              <w:rPr>
                <w:sz w:val="20"/>
                <w:szCs w:val="20"/>
                <w:color w:val="auto"/>
              </w:rPr>
            </w:pPr>
            <w:r>
              <w:rPr>
                <w:rFonts w:ascii="Arial" w:cs="Arial" w:eastAsia="Arial" w:hAnsi="Arial"/>
                <w:sz w:val="16"/>
                <w:szCs w:val="16"/>
                <w:b w:val="1"/>
                <w:bCs w:val="1"/>
                <w:color w:val="auto"/>
              </w:rPr>
              <w:t>Net</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purchases,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rPr>
              <w:t>Net realized</w:t>
            </w:r>
          </w:p>
        </w:tc>
        <w:tc>
          <w:tcPr>
            <w:tcW w:w="170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rPr>
              <w:t>issuances</w:t>
            </w:r>
          </w:p>
        </w:tc>
        <w:tc>
          <w:tcPr>
            <w:tcW w:w="1720" w:type="dxa"/>
            <w:vAlign w:val="bottom"/>
            <w:gridSpan w:val="2"/>
          </w:tcPr>
          <w:p>
            <w:pPr>
              <w:jc w:val="center"/>
              <w:ind w:right="150"/>
              <w:spacing w:after="0"/>
              <w:rPr>
                <w:sz w:val="20"/>
                <w:szCs w:val="20"/>
                <w:color w:val="auto"/>
              </w:rPr>
            </w:pPr>
            <w:r>
              <w:rPr>
                <w:rFonts w:ascii="Arial" w:cs="Arial" w:eastAsia="Arial" w:hAnsi="Arial"/>
                <w:sz w:val="16"/>
                <w:szCs w:val="16"/>
                <w:b w:val="1"/>
                <w:bCs w:val="1"/>
                <w:color w:val="auto"/>
              </w:rPr>
              <w:t>Net transfers</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jc w:val="center"/>
              <w:ind w:right="313"/>
              <w:spacing w:after="0"/>
              <w:rPr>
                <w:sz w:val="20"/>
                <w:szCs w:val="20"/>
                <w:color w:val="auto"/>
              </w:rPr>
            </w:pPr>
            <w:r>
              <w:rPr>
                <w:rFonts w:ascii="Arial" w:cs="Arial" w:eastAsia="Arial" w:hAnsi="Arial"/>
                <w:sz w:val="16"/>
                <w:szCs w:val="16"/>
                <w:b w:val="1"/>
                <w:bCs w:val="1"/>
                <w:color w:val="auto"/>
              </w:rPr>
              <w:t>December</w:t>
            </w:r>
          </w:p>
        </w:tc>
        <w:tc>
          <w:tcPr>
            <w:tcW w:w="1740" w:type="dxa"/>
            <w:vAlign w:val="bottom"/>
            <w:vMerge w:val="continue"/>
          </w:tcPr>
          <w:p>
            <w:pPr>
              <w:spacing w:after="0"/>
              <w:rPr>
                <w:sz w:val="16"/>
                <w:szCs w:val="16"/>
                <w:color w:val="auto"/>
              </w:rPr>
            </w:pPr>
          </w:p>
        </w:tc>
        <w:tc>
          <w:tcPr>
            <w:tcW w:w="1700" w:type="dxa"/>
            <w:vAlign w:val="bottom"/>
          </w:tcPr>
          <w:p>
            <w:pPr>
              <w:jc w:val="center"/>
              <w:ind w:right="212"/>
              <w:spacing w:after="0"/>
              <w:rPr>
                <w:sz w:val="20"/>
                <w:szCs w:val="20"/>
                <w:color w:val="auto"/>
              </w:rPr>
            </w:pPr>
            <w:r>
              <w:rPr>
                <w:rFonts w:ascii="Arial" w:cs="Arial" w:eastAsia="Arial" w:hAnsi="Arial"/>
                <w:sz w:val="16"/>
                <w:szCs w:val="16"/>
                <w:b w:val="1"/>
                <w:bCs w:val="1"/>
                <w:color w:val="auto"/>
              </w:rPr>
              <w:t>Net unrealized</w:t>
            </w: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w w:val="98"/>
              </w:rPr>
              <w:t>and</w:t>
            </w:r>
          </w:p>
        </w:tc>
        <w:tc>
          <w:tcPr>
            <w:tcW w:w="1080" w:type="dxa"/>
            <w:vAlign w:val="bottom"/>
          </w:tcPr>
          <w:p>
            <w:pPr>
              <w:jc w:val="center"/>
              <w:ind w:left="315"/>
              <w:spacing w:after="0"/>
              <w:rPr>
                <w:sz w:val="20"/>
                <w:szCs w:val="20"/>
                <w:color w:val="auto"/>
              </w:rPr>
            </w:pPr>
            <w:r>
              <w:rPr>
                <w:rFonts w:ascii="Arial" w:cs="Arial" w:eastAsia="Arial" w:hAnsi="Arial"/>
                <w:sz w:val="16"/>
                <w:szCs w:val="16"/>
                <w:b w:val="1"/>
                <w:bCs w:val="1"/>
                <w:color w:val="auto"/>
              </w:rPr>
              <w:t>(out of)</w:t>
            </w:r>
          </w:p>
        </w:tc>
        <w:tc>
          <w:tcPr>
            <w:tcW w:w="64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07"/>
        </w:trPr>
        <w:tc>
          <w:tcPr>
            <w:tcW w:w="27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6"/>
                <w:szCs w:val="16"/>
                <w:b w:val="1"/>
                <w:bCs w:val="1"/>
                <w:color w:val="auto"/>
                <w:w w:val="99"/>
              </w:rPr>
              <w:t>31, 2013</w:t>
            </w:r>
          </w:p>
        </w:tc>
        <w:tc>
          <w:tcPr>
            <w:tcW w:w="174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rPr>
              <w:t>gains/(losses)</w:t>
            </w:r>
          </w:p>
        </w:tc>
        <w:tc>
          <w:tcPr>
            <w:tcW w:w="170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gains/(losses)</w:t>
            </w:r>
          </w:p>
        </w:tc>
        <w:tc>
          <w:tcPr>
            <w:tcW w:w="126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settlements</w:t>
            </w:r>
          </w:p>
        </w:tc>
        <w:tc>
          <w:tcPr>
            <w:tcW w:w="1080" w:type="dxa"/>
            <w:vAlign w:val="bottom"/>
            <w:tcBorders>
              <w:bottom w:val="single" w:sz="8" w:color="auto"/>
            </w:tcBorders>
          </w:tcPr>
          <w:p>
            <w:pPr>
              <w:jc w:val="center"/>
              <w:ind w:left="355"/>
              <w:spacing w:after="0"/>
              <w:rPr>
                <w:sz w:val="20"/>
                <w:szCs w:val="20"/>
                <w:color w:val="auto"/>
              </w:rPr>
            </w:pPr>
            <w:r>
              <w:rPr>
                <w:rFonts w:ascii="Arial" w:cs="Arial" w:eastAsia="Arial" w:hAnsi="Arial"/>
                <w:sz w:val="16"/>
                <w:szCs w:val="16"/>
                <w:b w:val="1"/>
                <w:bCs w:val="1"/>
                <w:color w:val="auto"/>
              </w:rPr>
              <w:t>Level 3</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9"/>
              </w:rPr>
              <w:t>31, 2014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line="195" w:lineRule="exact"/>
              <w:rPr>
                <w:sz w:val="20"/>
                <w:szCs w:val="20"/>
                <w:color w:val="auto"/>
              </w:rPr>
            </w:pPr>
            <w:r>
              <w:rPr>
                <w:rFonts w:ascii="Arial" w:cs="Arial" w:eastAsia="Arial" w:hAnsi="Arial"/>
                <w:sz w:val="18"/>
                <w:szCs w:val="18"/>
                <w:color w:val="auto"/>
              </w:rPr>
              <w:t>Insurance contracts</w:t>
            </w:r>
          </w:p>
        </w:tc>
        <w:tc>
          <w:tcPr>
            <w:tcW w:w="1220" w:type="dxa"/>
            <w:vAlign w:val="bottom"/>
          </w:tcPr>
          <w:p>
            <w:pPr>
              <w:jc w:val="right"/>
              <w:ind w:right="93"/>
              <w:spacing w:after="0" w:line="195" w:lineRule="exact"/>
              <w:rPr>
                <w:sz w:val="20"/>
                <w:szCs w:val="20"/>
                <w:color w:val="auto"/>
              </w:rPr>
            </w:pPr>
            <w:r>
              <w:rPr>
                <w:rFonts w:ascii="Arial" w:cs="Arial" w:eastAsia="Arial" w:hAnsi="Arial"/>
                <w:sz w:val="18"/>
                <w:szCs w:val="18"/>
                <w:color w:val="auto"/>
              </w:rPr>
              <w:t>$2,875</w:t>
            </w:r>
          </w:p>
        </w:tc>
        <w:tc>
          <w:tcPr>
            <w:tcW w:w="1740" w:type="dxa"/>
            <w:vAlign w:val="bottom"/>
          </w:tcPr>
          <w:p>
            <w:pPr>
              <w:jc w:val="right"/>
              <w:ind w:right="52"/>
              <w:spacing w:after="0" w:line="195"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line="195" w:lineRule="exact"/>
              <w:rPr>
                <w:sz w:val="20"/>
                <w:szCs w:val="20"/>
                <w:color w:val="auto"/>
              </w:rPr>
            </w:pPr>
            <w:r>
              <w:rPr>
                <w:rFonts w:ascii="Arial" w:cs="Arial" w:eastAsia="Arial" w:hAnsi="Arial"/>
                <w:sz w:val="18"/>
                <w:szCs w:val="18"/>
                <w:color w:val="auto"/>
              </w:rPr>
              <w:t>$49</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$(791)</w:t>
            </w:r>
          </w:p>
        </w:tc>
        <w:tc>
          <w:tcPr>
            <w:tcW w:w="1080" w:type="dxa"/>
            <w:vAlign w:val="bottom"/>
          </w:tcPr>
          <w:p>
            <w:pPr>
              <w:spacing w:after="0"/>
              <w:rPr>
                <w:sz w:val="16"/>
                <w:szCs w:val="16"/>
                <w:color w:val="auto"/>
              </w:rPr>
            </w:pPr>
          </w:p>
        </w:tc>
        <w:tc>
          <w:tcPr>
            <w:tcW w:w="6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$2,133</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12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7,034</w:t>
            </w:r>
          </w:p>
        </w:tc>
        <w:tc>
          <w:tcPr>
            <w:tcW w:w="1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44</w:t>
            </w:r>
          </w:p>
        </w:tc>
        <w:tc>
          <w:tcPr>
            <w:tcW w:w="1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613</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(1,169)</w:t>
            </w:r>
          </w:p>
        </w:tc>
        <w:tc>
          <w:tcPr>
            <w:tcW w:w="1080" w:type="dxa"/>
            <w:vAlign w:val="bottom"/>
          </w:tcPr>
          <w:p>
            <w:pPr>
              <w:spacing w:after="0"/>
              <w:rPr>
                <w:sz w:val="17"/>
                <w:szCs w:val="17"/>
                <w:color w:val="auto"/>
              </w:rPr>
            </w:pP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Hedge funds</w:t>
            </w:r>
          </w:p>
        </w:tc>
        <w:tc>
          <w:tcPr>
            <w:tcW w:w="122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392</w:t>
            </w:r>
          </w:p>
        </w:tc>
        <w:tc>
          <w:tcPr>
            <w:tcW w:w="174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20" w:type="dxa"/>
            <w:vAlign w:val="bottom"/>
          </w:tcPr>
          <w:p>
            <w:pPr>
              <w:jc w:val="right"/>
              <w:ind w:right="93"/>
              <w:spacing w:after="0" w:line="196" w:lineRule="exact"/>
              <w:rPr>
                <w:sz w:val="20"/>
                <w:szCs w:val="20"/>
                <w:color w:val="auto"/>
              </w:rPr>
            </w:pPr>
            <w:r>
              <w:rPr>
                <w:rFonts w:ascii="Arial" w:cs="Arial" w:eastAsia="Arial" w:hAnsi="Arial"/>
                <w:sz w:val="18"/>
                <w:szCs w:val="18"/>
                <w:color w:val="auto"/>
              </w:rPr>
              <w:t>$10,301</w:t>
            </w:r>
          </w:p>
        </w:tc>
        <w:tc>
          <w:tcPr>
            <w:tcW w:w="17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$44</w:t>
            </w:r>
          </w:p>
        </w:tc>
        <w:tc>
          <w:tcPr>
            <w:tcW w:w="17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$655</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($1,991)</w:t>
            </w:r>
          </w:p>
        </w:tc>
        <w:tc>
          <w:tcPr>
            <w:tcW w:w="1080" w:type="dxa"/>
            <w:vAlign w:val="bottom"/>
          </w:tcPr>
          <w:p>
            <w:pPr>
              <w:spacing w:after="0"/>
              <w:rPr>
                <w:sz w:val="17"/>
                <w:szCs w:val="17"/>
                <w:color w:val="auto"/>
              </w:rPr>
            </w:pPr>
          </w:p>
        </w:tc>
        <w:tc>
          <w:tcPr>
            <w:tcW w:w="640" w:type="dxa"/>
            <w:vAlign w:val="bottom"/>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7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jc w:val="center"/>
              <w:ind w:right="94"/>
              <w:spacing w:after="0" w:line="165" w:lineRule="exact"/>
              <w:rPr>
                <w:sz w:val="20"/>
                <w:szCs w:val="20"/>
                <w:color w:val="auto"/>
              </w:rPr>
            </w:pPr>
            <w:r>
              <w:rPr>
                <w:rFonts w:ascii="Arial" w:cs="Arial" w:eastAsia="Arial" w:hAnsi="Arial"/>
                <w:sz w:val="16"/>
                <w:szCs w:val="16"/>
                <w:b w:val="1"/>
                <w:bCs w:val="1"/>
                <w:color w:val="auto"/>
              </w:rPr>
              <w:t>Net</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purchases,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rPr>
              <w:t>Net realized</w:t>
            </w:r>
          </w:p>
        </w:tc>
        <w:tc>
          <w:tcPr>
            <w:tcW w:w="170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rPr>
              <w:t>issuances</w:t>
            </w:r>
          </w:p>
        </w:tc>
        <w:tc>
          <w:tcPr>
            <w:tcW w:w="1720" w:type="dxa"/>
            <w:vAlign w:val="bottom"/>
            <w:gridSpan w:val="2"/>
          </w:tcPr>
          <w:p>
            <w:pPr>
              <w:jc w:val="center"/>
              <w:ind w:right="150"/>
              <w:spacing w:after="0"/>
              <w:rPr>
                <w:sz w:val="20"/>
                <w:szCs w:val="20"/>
                <w:color w:val="auto"/>
              </w:rPr>
            </w:pPr>
            <w:r>
              <w:rPr>
                <w:rFonts w:ascii="Arial" w:cs="Arial" w:eastAsia="Arial" w:hAnsi="Arial"/>
                <w:sz w:val="16"/>
                <w:szCs w:val="16"/>
                <w:b w:val="1"/>
                <w:bCs w:val="1"/>
                <w:color w:val="auto"/>
              </w:rPr>
              <w:t>Net transfers</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jc w:val="center"/>
              <w:ind w:right="313"/>
              <w:spacing w:after="0"/>
              <w:rPr>
                <w:sz w:val="20"/>
                <w:szCs w:val="20"/>
                <w:color w:val="auto"/>
              </w:rPr>
            </w:pPr>
            <w:r>
              <w:rPr>
                <w:rFonts w:ascii="Arial" w:cs="Arial" w:eastAsia="Arial" w:hAnsi="Arial"/>
                <w:sz w:val="16"/>
                <w:szCs w:val="16"/>
                <w:b w:val="1"/>
                <w:bCs w:val="1"/>
                <w:color w:val="auto"/>
              </w:rPr>
              <w:t>December</w:t>
            </w:r>
          </w:p>
        </w:tc>
        <w:tc>
          <w:tcPr>
            <w:tcW w:w="1740" w:type="dxa"/>
            <w:vAlign w:val="bottom"/>
            <w:vMerge w:val="continue"/>
          </w:tcPr>
          <w:p>
            <w:pPr>
              <w:spacing w:after="0"/>
              <w:rPr>
                <w:sz w:val="16"/>
                <w:szCs w:val="16"/>
                <w:color w:val="auto"/>
              </w:rPr>
            </w:pPr>
          </w:p>
        </w:tc>
        <w:tc>
          <w:tcPr>
            <w:tcW w:w="1700" w:type="dxa"/>
            <w:vAlign w:val="bottom"/>
          </w:tcPr>
          <w:p>
            <w:pPr>
              <w:jc w:val="center"/>
              <w:ind w:right="212"/>
              <w:spacing w:after="0"/>
              <w:rPr>
                <w:sz w:val="20"/>
                <w:szCs w:val="20"/>
                <w:color w:val="auto"/>
              </w:rPr>
            </w:pPr>
            <w:r>
              <w:rPr>
                <w:rFonts w:ascii="Arial" w:cs="Arial" w:eastAsia="Arial" w:hAnsi="Arial"/>
                <w:sz w:val="16"/>
                <w:szCs w:val="16"/>
                <w:b w:val="1"/>
                <w:bCs w:val="1"/>
                <w:color w:val="auto"/>
              </w:rPr>
              <w:t>Net unrealized</w:t>
            </w: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w w:val="98"/>
              </w:rPr>
              <w:t>and</w:t>
            </w:r>
          </w:p>
        </w:tc>
        <w:tc>
          <w:tcPr>
            <w:tcW w:w="1080" w:type="dxa"/>
            <w:vAlign w:val="bottom"/>
          </w:tcPr>
          <w:p>
            <w:pPr>
              <w:jc w:val="center"/>
              <w:ind w:left="315"/>
              <w:spacing w:after="0"/>
              <w:rPr>
                <w:sz w:val="20"/>
                <w:szCs w:val="20"/>
                <w:color w:val="auto"/>
              </w:rPr>
            </w:pPr>
            <w:r>
              <w:rPr>
                <w:rFonts w:ascii="Arial" w:cs="Arial" w:eastAsia="Arial" w:hAnsi="Arial"/>
                <w:sz w:val="16"/>
                <w:szCs w:val="16"/>
                <w:b w:val="1"/>
                <w:bCs w:val="1"/>
                <w:color w:val="auto"/>
              </w:rPr>
              <w:t>(out of)</w:t>
            </w:r>
          </w:p>
        </w:tc>
        <w:tc>
          <w:tcPr>
            <w:tcW w:w="64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07"/>
        </w:trPr>
        <w:tc>
          <w:tcPr>
            <w:tcW w:w="27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6"/>
                <w:szCs w:val="16"/>
                <w:b w:val="1"/>
                <w:bCs w:val="1"/>
                <w:color w:val="auto"/>
                <w:w w:val="99"/>
              </w:rPr>
              <w:t>31, 2012</w:t>
            </w:r>
          </w:p>
        </w:tc>
        <w:tc>
          <w:tcPr>
            <w:tcW w:w="174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rPr>
              <w:t>gains/(losses)</w:t>
            </w:r>
          </w:p>
        </w:tc>
        <w:tc>
          <w:tcPr>
            <w:tcW w:w="170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gains/(losses)</w:t>
            </w:r>
          </w:p>
        </w:tc>
        <w:tc>
          <w:tcPr>
            <w:tcW w:w="126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settlements</w:t>
            </w:r>
          </w:p>
        </w:tc>
        <w:tc>
          <w:tcPr>
            <w:tcW w:w="1080" w:type="dxa"/>
            <w:vAlign w:val="bottom"/>
            <w:tcBorders>
              <w:bottom w:val="single" w:sz="8" w:color="auto"/>
            </w:tcBorders>
          </w:tcPr>
          <w:p>
            <w:pPr>
              <w:jc w:val="center"/>
              <w:ind w:left="355"/>
              <w:spacing w:after="0"/>
              <w:rPr>
                <w:sz w:val="20"/>
                <w:szCs w:val="20"/>
                <w:color w:val="auto"/>
              </w:rPr>
            </w:pPr>
            <w:r>
              <w:rPr>
                <w:rFonts w:ascii="Arial" w:cs="Arial" w:eastAsia="Arial" w:hAnsi="Arial"/>
                <w:sz w:val="16"/>
                <w:szCs w:val="16"/>
                <w:b w:val="1"/>
                <w:bCs w:val="1"/>
                <w:color w:val="auto"/>
              </w:rPr>
              <w:t>Level 3</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9"/>
              </w:rPr>
              <w:t>31, 2013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line="195" w:lineRule="exact"/>
              <w:rPr>
                <w:sz w:val="20"/>
                <w:szCs w:val="20"/>
                <w:color w:val="auto"/>
              </w:rPr>
            </w:pPr>
            <w:r>
              <w:rPr>
                <w:rFonts w:ascii="Arial" w:cs="Arial" w:eastAsia="Arial" w:hAnsi="Arial"/>
                <w:sz w:val="18"/>
                <w:szCs w:val="18"/>
                <w:color w:val="auto"/>
              </w:rPr>
              <w:t>Insurance contracts</w:t>
            </w:r>
          </w:p>
        </w:tc>
        <w:tc>
          <w:tcPr>
            <w:tcW w:w="1220" w:type="dxa"/>
            <w:vAlign w:val="bottom"/>
          </w:tcPr>
          <w:p>
            <w:pPr>
              <w:jc w:val="right"/>
              <w:ind w:right="93"/>
              <w:spacing w:after="0" w:line="195" w:lineRule="exact"/>
              <w:rPr>
                <w:sz w:val="20"/>
                <w:szCs w:val="20"/>
                <w:color w:val="auto"/>
              </w:rPr>
            </w:pPr>
            <w:r>
              <w:rPr>
                <w:rFonts w:ascii="Arial" w:cs="Arial" w:eastAsia="Arial" w:hAnsi="Arial"/>
                <w:sz w:val="18"/>
                <w:szCs w:val="18"/>
                <w:color w:val="auto"/>
              </w:rPr>
              <w:t>$2,542</w:t>
            </w:r>
          </w:p>
        </w:tc>
        <w:tc>
          <w:tcPr>
            <w:tcW w:w="1740" w:type="dxa"/>
            <w:vAlign w:val="bottom"/>
          </w:tcPr>
          <w:p>
            <w:pPr>
              <w:jc w:val="right"/>
              <w:ind w:right="52"/>
              <w:spacing w:after="0" w:line="195"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line="195" w:lineRule="exact"/>
              <w:rPr>
                <w:sz w:val="20"/>
                <w:szCs w:val="20"/>
                <w:color w:val="auto"/>
              </w:rPr>
            </w:pPr>
            <w:r>
              <w:rPr>
                <w:rFonts w:ascii="Arial" w:cs="Arial" w:eastAsia="Arial" w:hAnsi="Arial"/>
                <w:sz w:val="18"/>
                <w:szCs w:val="18"/>
                <w:color w:val="auto"/>
              </w:rPr>
              <w:t>$41</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$292</w:t>
            </w:r>
          </w:p>
        </w:tc>
        <w:tc>
          <w:tcPr>
            <w:tcW w:w="1080" w:type="dxa"/>
            <w:vAlign w:val="bottom"/>
          </w:tcPr>
          <w:p>
            <w:pPr>
              <w:spacing w:after="0"/>
              <w:rPr>
                <w:sz w:val="16"/>
                <w:szCs w:val="16"/>
                <w:color w:val="auto"/>
              </w:rPr>
            </w:pPr>
          </w:p>
        </w:tc>
        <w:tc>
          <w:tcPr>
            <w:tcW w:w="6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$2,875</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12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7,556</w:t>
            </w:r>
          </w:p>
        </w:tc>
        <w:tc>
          <w:tcPr>
            <w:tcW w:w="1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94</w:t>
            </w:r>
          </w:p>
        </w:tc>
        <w:tc>
          <w:tcPr>
            <w:tcW w:w="1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533</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1080" w:type="dxa"/>
            <w:vAlign w:val="bottom"/>
          </w:tcPr>
          <w:p>
            <w:pPr>
              <w:spacing w:after="0"/>
              <w:rPr>
                <w:sz w:val="17"/>
                <w:szCs w:val="17"/>
                <w:color w:val="auto"/>
              </w:rPr>
            </w:pP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Hedge funds</w:t>
            </w:r>
          </w:p>
        </w:tc>
        <w:tc>
          <w:tcPr>
            <w:tcW w:w="122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536</w:t>
            </w:r>
          </w:p>
        </w:tc>
        <w:tc>
          <w:tcPr>
            <w:tcW w:w="174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15</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$10,634</w:t>
            </w:r>
          </w:p>
        </w:tc>
        <w:tc>
          <w:tcPr>
            <w:tcW w:w="17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$94</w:t>
            </w:r>
          </w:p>
        </w:tc>
        <w:tc>
          <w:tcPr>
            <w:tcW w:w="17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$589</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($1,016)</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The asset allocation for the Company’s U.S. and non-U.S. pension plans for 2014 and 2013, and the target allocation for 2015, by asset category, are as follows: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289"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52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United States Plan</w:t>
            </w:r>
          </w:p>
        </w:tc>
        <w:tc>
          <w:tcPr>
            <w:tcW w:w="120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Non-U.S. Plans</w:t>
            </w: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520" w:type="dxa"/>
            <w:vAlign w:val="bottom"/>
          </w:tcPr>
          <w:p>
            <w:pPr>
              <w:spacing w:after="0"/>
              <w:rPr>
                <w:sz w:val="16"/>
                <w:szCs w:val="16"/>
                <w:color w:val="auto"/>
              </w:rPr>
            </w:pPr>
          </w:p>
        </w:tc>
        <w:tc>
          <w:tcPr>
            <w:tcW w:w="21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Target</w:t>
            </w:r>
          </w:p>
        </w:tc>
        <w:tc>
          <w:tcPr>
            <w:tcW w:w="3300" w:type="dxa"/>
            <w:vAlign w:val="bottom"/>
            <w:gridSpan w:val="2"/>
          </w:tcPr>
          <w:p>
            <w:pPr>
              <w:jc w:val="right"/>
              <w:ind w:right="470"/>
              <w:spacing w:after="0" w:line="195" w:lineRule="exact"/>
              <w:rPr>
                <w:sz w:val="20"/>
                <w:szCs w:val="20"/>
                <w:color w:val="auto"/>
              </w:rPr>
            </w:pPr>
            <w:r>
              <w:rPr>
                <w:rFonts w:ascii="Arial" w:cs="Arial" w:eastAsia="Arial" w:hAnsi="Arial"/>
                <w:sz w:val="18"/>
                <w:szCs w:val="18"/>
                <w:color w:val="auto"/>
              </w:rPr>
              <w:t>Percentage of plan assets</w:t>
            </w:r>
          </w:p>
        </w:tc>
        <w:tc>
          <w:tcPr>
            <w:tcW w:w="12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Target</w:t>
            </w:r>
          </w:p>
        </w:tc>
        <w:tc>
          <w:tcPr>
            <w:tcW w:w="22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Percentage of plan assets</w:t>
            </w:r>
          </w:p>
        </w:tc>
        <w:tc>
          <w:tcPr>
            <w:tcW w:w="20" w:type="dxa"/>
            <w:vAlign w:val="bottom"/>
          </w:tcPr>
          <w:p>
            <w:pPr>
              <w:spacing w:after="0"/>
              <w:rPr>
                <w:sz w:val="16"/>
                <w:szCs w:val="16"/>
                <w:color w:val="auto"/>
              </w:rPr>
            </w:pPr>
          </w:p>
        </w:tc>
      </w:tr>
      <w:tr>
        <w:trPr>
          <w:trHeight w:val="181"/>
        </w:trPr>
        <w:tc>
          <w:tcPr>
            <w:tcW w:w="2520" w:type="dxa"/>
            <w:vAlign w:val="bottom"/>
          </w:tcPr>
          <w:p>
            <w:pPr>
              <w:spacing w:after="0"/>
              <w:rPr>
                <w:sz w:val="15"/>
                <w:szCs w:val="15"/>
                <w:color w:val="auto"/>
              </w:rPr>
            </w:pPr>
          </w:p>
        </w:tc>
        <w:tc>
          <w:tcPr>
            <w:tcW w:w="2160" w:type="dxa"/>
            <w:vAlign w:val="bottom"/>
          </w:tcPr>
          <w:p>
            <w:pPr>
              <w:jc w:val="right"/>
              <w:ind w:right="70"/>
              <w:spacing w:after="0" w:line="181" w:lineRule="exact"/>
              <w:rPr>
                <w:sz w:val="20"/>
                <w:szCs w:val="20"/>
                <w:color w:val="auto"/>
              </w:rPr>
            </w:pPr>
            <w:r>
              <w:rPr>
                <w:rFonts w:ascii="Arial" w:cs="Arial" w:eastAsia="Arial" w:hAnsi="Arial"/>
                <w:sz w:val="18"/>
                <w:szCs w:val="18"/>
                <w:color w:val="auto"/>
              </w:rPr>
              <w:t>Allocation</w:t>
            </w:r>
          </w:p>
        </w:tc>
        <w:tc>
          <w:tcPr>
            <w:tcW w:w="3300" w:type="dxa"/>
            <w:vAlign w:val="bottom"/>
            <w:gridSpan w:val="2"/>
          </w:tcPr>
          <w:p>
            <w:pPr>
              <w:jc w:val="right"/>
              <w:ind w:right="450"/>
              <w:spacing w:after="0" w:line="181" w:lineRule="exact"/>
              <w:rPr>
                <w:sz w:val="20"/>
                <w:szCs w:val="20"/>
                <w:color w:val="auto"/>
              </w:rPr>
            </w:pPr>
            <w:r>
              <w:rPr>
                <w:rFonts w:ascii="Arial" w:cs="Arial" w:eastAsia="Arial" w:hAnsi="Arial"/>
                <w:sz w:val="18"/>
                <w:szCs w:val="18"/>
                <w:color w:val="auto"/>
              </w:rPr>
              <w:t>at plan measurement date</w:t>
            </w:r>
          </w:p>
        </w:tc>
        <w:tc>
          <w:tcPr>
            <w:tcW w:w="12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Allocation</w:t>
            </w:r>
          </w:p>
        </w:tc>
        <w:tc>
          <w:tcPr>
            <w:tcW w:w="226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at plan measurement date</w:t>
            </w:r>
          </w:p>
        </w:tc>
      </w:tr>
      <w:tr>
        <w:trPr>
          <w:trHeight w:val="225"/>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category</w:t>
            </w: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2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auto"/>
            </w:tcBorders>
          </w:tcPr>
          <w:p>
            <w:pPr>
              <w:spacing w:after="0"/>
              <w:rPr>
                <w:sz w:val="19"/>
                <w:szCs w:val="19"/>
                <w:color w:val="auto"/>
              </w:rPr>
            </w:pPr>
          </w:p>
        </w:tc>
      </w:tr>
      <w:tr>
        <w:trPr>
          <w:trHeight w:val="376"/>
        </w:trPr>
        <w:tc>
          <w:tcPr>
            <w:tcW w:w="2520" w:type="dxa"/>
            <w:vAlign w:val="bottom"/>
          </w:tcPr>
          <w:p>
            <w:pPr>
              <w:spacing w:after="0"/>
              <w:rPr>
                <w:sz w:val="20"/>
                <w:szCs w:val="20"/>
                <w:color w:val="auto"/>
              </w:rPr>
            </w:pPr>
            <w:r>
              <w:rPr>
                <w:rFonts w:ascii="Arial" w:cs="Arial" w:eastAsia="Arial" w:hAnsi="Arial"/>
                <w:sz w:val="18"/>
                <w:szCs w:val="18"/>
                <w:color w:val="auto"/>
              </w:rPr>
              <w:t>Equity securities</w:t>
            </w:r>
          </w:p>
        </w:tc>
        <w:tc>
          <w:tcPr>
            <w:tcW w:w="21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34%</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21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100%</w:t>
            </w:r>
          </w:p>
        </w:tc>
        <w:tc>
          <w:tcPr>
            <w:tcW w:w="21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91%</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88%</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57%</w:t>
            </w:r>
          </w:p>
        </w:tc>
        <w:tc>
          <w:tcPr>
            <w:tcW w:w="13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Real estate</w:t>
            </w:r>
          </w:p>
        </w:tc>
        <w:tc>
          <w:tcPr>
            <w:tcW w:w="21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21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w:t>
            </w:r>
          </w:p>
        </w:tc>
        <w:tc>
          <w:tcPr>
            <w:tcW w:w="13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r>
      <w:tr>
        <w:trPr>
          <w:trHeight w:val="225"/>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(1)</w:t>
            </w: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196"/>
        </w:trPr>
        <w:tc>
          <w:tcPr>
            <w:tcW w:w="25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100%</w:t>
            </w:r>
          </w:p>
        </w:tc>
        <w:tc>
          <w:tcPr>
            <w:tcW w:w="21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100%</w:t>
            </w:r>
          </w:p>
        </w:tc>
        <w:tc>
          <w:tcPr>
            <w:tcW w:w="13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100%</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7"/>
                <w:szCs w:val="17"/>
                <w:color w:val="auto"/>
              </w:rPr>
            </w:pPr>
          </w:p>
        </w:tc>
      </w:tr>
    </w:tbl>
    <w:p>
      <w:pPr>
        <w:spacing w:after="0" w:line="391" w:lineRule="exact"/>
        <w:rPr>
          <w:sz w:val="20"/>
          <w:szCs w:val="20"/>
          <w:color w:val="auto"/>
        </w:rPr>
      </w:pPr>
    </w:p>
    <w:p>
      <w:pPr>
        <w:ind w:right="280" w:firstLine="8"/>
        <w:spacing w:after="0" w:line="246" w:lineRule="auto"/>
        <w:tabs>
          <w:tab w:leader="none" w:pos="5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15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56"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At the end of 2014 and 2013, the projected benefit obligation, accumulated benefit obligation, and fair value of plan assets for pension plans with projected benefit obligation and an accumulated benefit obligation in excess of plan assets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Plans with projected benefit obligation</w:t>
            </w: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560" w:type="dxa"/>
            <w:vAlign w:val="bottom"/>
          </w:tcPr>
          <w:p>
            <w:pPr>
              <w:spacing w:after="0"/>
              <w:rPr>
                <w:sz w:val="17"/>
                <w:szCs w:val="17"/>
                <w:color w:val="auto"/>
              </w:rPr>
            </w:pPr>
          </w:p>
        </w:tc>
        <w:tc>
          <w:tcPr>
            <w:tcW w:w="590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in excess of plan assets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90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2014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r>
      <w:tr>
        <w:trPr>
          <w:trHeight w:val="173"/>
        </w:trPr>
        <w:tc>
          <w:tcPr>
            <w:tcW w:w="4560" w:type="dxa"/>
            <w:vAlign w:val="bottom"/>
          </w:tcPr>
          <w:p>
            <w:pPr>
              <w:spacing w:after="0" w:line="173" w:lineRule="exact"/>
              <w:rPr>
                <w:sz w:val="20"/>
                <w:szCs w:val="20"/>
                <w:color w:val="auto"/>
              </w:rPr>
            </w:pPr>
            <w:r>
              <w:rPr>
                <w:rFonts w:ascii="Arial" w:cs="Arial" w:eastAsia="Arial" w:hAnsi="Arial"/>
                <w:sz w:val="18"/>
                <w:szCs w:val="18"/>
                <w:color w:val="auto"/>
              </w:rPr>
              <w:t>Projected benefit obligation</w:t>
            </w:r>
          </w:p>
        </w:tc>
        <w:tc>
          <w:tcPr>
            <w:tcW w:w="5900" w:type="dxa"/>
            <w:vAlign w:val="bottom"/>
          </w:tcPr>
          <w:p>
            <w:pPr>
              <w:jc w:val="right"/>
              <w:ind w:right="1910"/>
              <w:spacing w:after="0" w:line="173" w:lineRule="exact"/>
              <w:rPr>
                <w:sz w:val="20"/>
                <w:szCs w:val="20"/>
                <w:color w:val="auto"/>
              </w:rPr>
            </w:pPr>
            <w:r>
              <w:rPr>
                <w:rFonts w:ascii="Arial" w:cs="Arial" w:eastAsia="Arial" w:hAnsi="Arial"/>
                <w:sz w:val="18"/>
                <w:szCs w:val="18"/>
                <w:b w:val="1"/>
                <w:bCs w:val="1"/>
                <w:color w:val="auto"/>
              </w:rPr>
              <w:t>$126,029</w:t>
            </w:r>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$123,749</w:t>
            </w:r>
          </w:p>
        </w:tc>
        <w:tc>
          <w:tcPr>
            <w:tcW w:w="20" w:type="dxa"/>
            <w:vAlign w:val="bottom"/>
          </w:tcPr>
          <w:p>
            <w:pPr>
              <w:spacing w:after="0"/>
              <w:rPr>
                <w:sz w:val="15"/>
                <w:szCs w:val="15"/>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5900" w:type="dxa"/>
            <w:vAlign w:val="bottom"/>
          </w:tcPr>
          <w:p>
            <w:pPr>
              <w:jc w:val="right"/>
              <w:ind w:right="1910"/>
              <w:spacing w:after="0" w:line="202" w:lineRule="exact"/>
              <w:rPr>
                <w:sz w:val="20"/>
                <w:szCs w:val="20"/>
                <w:color w:val="auto"/>
              </w:rPr>
            </w:pPr>
            <w:r>
              <w:rPr>
                <w:rFonts w:ascii="Arial" w:cs="Arial" w:eastAsia="Arial" w:hAnsi="Arial"/>
                <w:sz w:val="18"/>
                <w:szCs w:val="18"/>
                <w:b w:val="1"/>
                <w:bCs w:val="1"/>
                <w:color w:val="auto"/>
              </w:rPr>
              <w:t>122,855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120,287</w:t>
            </w:r>
          </w:p>
        </w:tc>
        <w:tc>
          <w:tcPr>
            <w:tcW w:w="20" w:type="dxa"/>
            <w:vAlign w:val="bottom"/>
          </w:tcPr>
          <w:p>
            <w:pPr>
              <w:spacing w:after="0"/>
              <w:rPr>
                <w:sz w:val="17"/>
                <w:szCs w:val="17"/>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900" w:type="dxa"/>
            <w:vAlign w:val="bottom"/>
          </w:tcPr>
          <w:p>
            <w:pPr>
              <w:jc w:val="right"/>
              <w:ind w:right="1910"/>
              <w:spacing w:after="0"/>
              <w:rPr>
                <w:sz w:val="20"/>
                <w:szCs w:val="20"/>
                <w:color w:val="auto"/>
              </w:rPr>
            </w:pPr>
            <w:r>
              <w:rPr>
                <w:rFonts w:ascii="Arial" w:cs="Arial" w:eastAsia="Arial" w:hAnsi="Arial"/>
                <w:sz w:val="18"/>
                <w:szCs w:val="18"/>
                <w:b w:val="1"/>
                <w:bCs w:val="1"/>
                <w:color w:val="auto"/>
              </w:rPr>
              <w:t>86,021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80,447</w:t>
            </w:r>
          </w:p>
        </w:tc>
      </w:tr>
      <w:tr>
        <w:trPr>
          <w:trHeight w:val="27"/>
        </w:trPr>
        <w:tc>
          <w:tcPr>
            <w:tcW w:w="456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99"/>
        </w:trPr>
        <w:tc>
          <w:tcPr>
            <w:tcW w:w="45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4560" w:type="dxa"/>
            <w:vAlign w:val="bottom"/>
          </w:tcPr>
          <w:p>
            <w:pPr>
              <w:spacing w:after="0"/>
              <w:rPr>
                <w:sz w:val="15"/>
                <w:szCs w:val="15"/>
                <w:color w:val="auto"/>
              </w:rPr>
            </w:pPr>
          </w:p>
        </w:tc>
        <w:tc>
          <w:tcPr>
            <w:tcW w:w="590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Plans with accumulated benefit obligation</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560" w:type="dxa"/>
            <w:vAlign w:val="bottom"/>
          </w:tcPr>
          <w:p>
            <w:pPr>
              <w:spacing w:after="0"/>
              <w:rPr>
                <w:sz w:val="17"/>
                <w:szCs w:val="17"/>
                <w:color w:val="auto"/>
              </w:rPr>
            </w:pPr>
          </w:p>
        </w:tc>
        <w:tc>
          <w:tcPr>
            <w:tcW w:w="590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in excess of plan assets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90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2014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r>
      <w:tr>
        <w:trPr>
          <w:trHeight w:val="173"/>
        </w:trPr>
        <w:tc>
          <w:tcPr>
            <w:tcW w:w="4560" w:type="dxa"/>
            <w:vAlign w:val="bottom"/>
          </w:tcPr>
          <w:p>
            <w:pPr>
              <w:spacing w:after="0" w:line="173" w:lineRule="exact"/>
              <w:rPr>
                <w:sz w:val="20"/>
                <w:szCs w:val="20"/>
                <w:color w:val="auto"/>
              </w:rPr>
            </w:pPr>
            <w:r>
              <w:rPr>
                <w:rFonts w:ascii="Arial" w:cs="Arial" w:eastAsia="Arial" w:hAnsi="Arial"/>
                <w:sz w:val="18"/>
                <w:szCs w:val="18"/>
                <w:color w:val="auto"/>
              </w:rPr>
              <w:t>Projected benefit obligation</w:t>
            </w:r>
          </w:p>
        </w:tc>
        <w:tc>
          <w:tcPr>
            <w:tcW w:w="5900" w:type="dxa"/>
            <w:vAlign w:val="bottom"/>
          </w:tcPr>
          <w:p>
            <w:pPr>
              <w:jc w:val="right"/>
              <w:ind w:right="1910"/>
              <w:spacing w:after="0" w:line="173" w:lineRule="exact"/>
              <w:rPr>
                <w:sz w:val="20"/>
                <w:szCs w:val="20"/>
                <w:color w:val="auto"/>
              </w:rPr>
            </w:pPr>
            <w:r>
              <w:rPr>
                <w:rFonts w:ascii="Arial" w:cs="Arial" w:eastAsia="Arial" w:hAnsi="Arial"/>
                <w:sz w:val="18"/>
                <w:szCs w:val="18"/>
                <w:b w:val="1"/>
                <w:bCs w:val="1"/>
                <w:color w:val="auto"/>
              </w:rPr>
              <w:t>$126,029</w:t>
            </w:r>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$123,749</w:t>
            </w:r>
          </w:p>
        </w:tc>
        <w:tc>
          <w:tcPr>
            <w:tcW w:w="20" w:type="dxa"/>
            <w:vAlign w:val="bottom"/>
          </w:tcPr>
          <w:p>
            <w:pPr>
              <w:spacing w:after="0"/>
              <w:rPr>
                <w:sz w:val="15"/>
                <w:szCs w:val="15"/>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5900" w:type="dxa"/>
            <w:vAlign w:val="bottom"/>
          </w:tcPr>
          <w:p>
            <w:pPr>
              <w:jc w:val="right"/>
              <w:ind w:right="1910"/>
              <w:spacing w:after="0" w:line="202" w:lineRule="exact"/>
              <w:rPr>
                <w:sz w:val="20"/>
                <w:szCs w:val="20"/>
                <w:color w:val="auto"/>
              </w:rPr>
            </w:pPr>
            <w:r>
              <w:rPr>
                <w:rFonts w:ascii="Arial" w:cs="Arial" w:eastAsia="Arial" w:hAnsi="Arial"/>
                <w:sz w:val="18"/>
                <w:szCs w:val="18"/>
                <w:b w:val="1"/>
                <w:bCs w:val="1"/>
                <w:color w:val="auto"/>
              </w:rPr>
              <w:t>122,855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120,287</w:t>
            </w:r>
          </w:p>
        </w:tc>
        <w:tc>
          <w:tcPr>
            <w:tcW w:w="20" w:type="dxa"/>
            <w:vAlign w:val="bottom"/>
          </w:tcPr>
          <w:p>
            <w:pPr>
              <w:spacing w:after="0"/>
              <w:rPr>
                <w:sz w:val="17"/>
                <w:szCs w:val="17"/>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900" w:type="dxa"/>
            <w:vAlign w:val="bottom"/>
          </w:tcPr>
          <w:p>
            <w:pPr>
              <w:jc w:val="right"/>
              <w:ind w:right="1910"/>
              <w:spacing w:after="0"/>
              <w:rPr>
                <w:sz w:val="20"/>
                <w:szCs w:val="20"/>
                <w:color w:val="auto"/>
              </w:rPr>
            </w:pPr>
            <w:r>
              <w:rPr>
                <w:rFonts w:ascii="Arial" w:cs="Arial" w:eastAsia="Arial" w:hAnsi="Arial"/>
                <w:sz w:val="18"/>
                <w:szCs w:val="18"/>
                <w:b w:val="1"/>
                <w:bCs w:val="1"/>
                <w:color w:val="auto"/>
              </w:rPr>
              <w:t>86,021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80,447</w:t>
            </w:r>
          </w:p>
        </w:tc>
      </w:tr>
      <w:tr>
        <w:trPr>
          <w:trHeight w:val="27"/>
        </w:trPr>
        <w:tc>
          <w:tcPr>
            <w:tcW w:w="456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3"/>
        </w:trPr>
        <w:tc>
          <w:tcPr>
            <w:tcW w:w="586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Other postretirement</w:t>
            </w:r>
          </w:p>
        </w:tc>
        <w:tc>
          <w:tcPr>
            <w:tcW w:w="20" w:type="dxa"/>
            <w:vAlign w:val="bottom"/>
          </w:tcPr>
          <w:p>
            <w:pPr>
              <w:spacing w:after="0"/>
              <w:rPr>
                <w:sz w:val="16"/>
                <w:szCs w:val="16"/>
                <w:color w:val="auto"/>
              </w:rPr>
            </w:pPr>
          </w:p>
        </w:tc>
      </w:tr>
      <w:tr>
        <w:trPr>
          <w:trHeight w:val="225"/>
        </w:trPr>
        <w:tc>
          <w:tcPr>
            <w:tcW w:w="58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980" w:type="dxa"/>
            <w:vAlign w:val="bottom"/>
          </w:tcPr>
          <w:p>
            <w:pPr>
              <w:jc w:val="right"/>
              <w:ind w:right="170"/>
              <w:spacing w:after="0"/>
              <w:rPr>
                <w:sz w:val="20"/>
                <w:szCs w:val="20"/>
                <w:color w:val="auto"/>
              </w:rPr>
            </w:pPr>
            <w:r>
              <w:rPr>
                <w:rFonts w:ascii="Arial" w:cs="Arial" w:eastAsia="Arial" w:hAnsi="Arial"/>
                <w:sz w:val="18"/>
                <w:szCs w:val="18"/>
                <w:b w:val="1"/>
                <w:bCs w:val="1"/>
                <w:color w:val="auto"/>
              </w:rPr>
              <w:t>Pension plans</w:t>
            </w:r>
          </w:p>
        </w:tc>
        <w:tc>
          <w:tcPr>
            <w:tcW w:w="260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benefits</w:t>
            </w:r>
          </w:p>
        </w:tc>
      </w:tr>
      <w:tr>
        <w:trPr>
          <w:trHeight w:val="196"/>
        </w:trPr>
        <w:tc>
          <w:tcPr>
            <w:tcW w:w="5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Expected employer contributions in the next fiscal year</w:t>
            </w:r>
          </w:p>
        </w:tc>
        <w:tc>
          <w:tcPr>
            <w:tcW w:w="29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$3,143</w:t>
            </w:r>
          </w:p>
        </w:tc>
        <w:tc>
          <w:tcPr>
            <w:tcW w:w="2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$5,010</w:t>
            </w:r>
          </w:p>
        </w:tc>
        <w:tc>
          <w:tcPr>
            <w:tcW w:w="20" w:type="dxa"/>
            <w:vAlign w:val="bottom"/>
          </w:tcPr>
          <w:p>
            <w:pPr>
              <w:spacing w:after="0"/>
              <w:rPr>
                <w:sz w:val="17"/>
                <w:szCs w:val="17"/>
                <w:color w:val="auto"/>
              </w:rPr>
            </w:pPr>
          </w:p>
        </w:tc>
      </w:tr>
      <w:tr>
        <w:trPr>
          <w:trHeight w:val="398"/>
        </w:trPr>
        <w:tc>
          <w:tcPr>
            <w:tcW w:w="5860" w:type="dxa"/>
            <w:vAlign w:val="bottom"/>
          </w:tcPr>
          <w:p>
            <w:pPr>
              <w:spacing w:after="0"/>
              <w:rPr>
                <w:sz w:val="20"/>
                <w:szCs w:val="20"/>
                <w:color w:val="auto"/>
              </w:rPr>
            </w:pPr>
            <w:r>
              <w:rPr>
                <w:rFonts w:ascii="Arial" w:cs="Arial" w:eastAsia="Arial" w:hAnsi="Arial"/>
                <w:sz w:val="18"/>
                <w:szCs w:val="18"/>
                <w:color w:val="auto"/>
              </w:rPr>
              <w:t>Expected benefit payments</w:t>
            </w:r>
          </w:p>
        </w:tc>
        <w:tc>
          <w:tcPr>
            <w:tcW w:w="2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8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2015</w:t>
            </w:r>
          </w:p>
        </w:tc>
        <w:tc>
          <w:tcPr>
            <w:tcW w:w="29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$6,286</w:t>
            </w:r>
          </w:p>
        </w:tc>
        <w:tc>
          <w:tcPr>
            <w:tcW w:w="2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$4,750</w:t>
            </w:r>
          </w:p>
        </w:tc>
      </w:tr>
      <w:tr>
        <w:trPr>
          <w:trHeight w:val="203"/>
        </w:trPr>
        <w:tc>
          <w:tcPr>
            <w:tcW w:w="58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2016</w:t>
            </w:r>
          </w:p>
        </w:tc>
        <w:tc>
          <w:tcPr>
            <w:tcW w:w="29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6,562</w:t>
            </w:r>
          </w:p>
        </w:tc>
        <w:tc>
          <w:tcPr>
            <w:tcW w:w="2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4,574</w:t>
            </w:r>
          </w:p>
        </w:tc>
      </w:tr>
      <w:tr>
        <w:trPr>
          <w:trHeight w:val="203"/>
        </w:trPr>
        <w:tc>
          <w:tcPr>
            <w:tcW w:w="58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2017</w:t>
            </w:r>
          </w:p>
        </w:tc>
        <w:tc>
          <w:tcPr>
            <w:tcW w:w="29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7,030</w:t>
            </w:r>
          </w:p>
        </w:tc>
        <w:tc>
          <w:tcPr>
            <w:tcW w:w="2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4,443</w:t>
            </w:r>
          </w:p>
        </w:tc>
      </w:tr>
      <w:tr>
        <w:trPr>
          <w:trHeight w:val="203"/>
        </w:trPr>
        <w:tc>
          <w:tcPr>
            <w:tcW w:w="58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2018</w:t>
            </w:r>
          </w:p>
        </w:tc>
        <w:tc>
          <w:tcPr>
            <w:tcW w:w="29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7,488</w:t>
            </w:r>
          </w:p>
        </w:tc>
        <w:tc>
          <w:tcPr>
            <w:tcW w:w="2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4,307</w:t>
            </w:r>
          </w:p>
        </w:tc>
      </w:tr>
      <w:tr>
        <w:trPr>
          <w:trHeight w:val="203"/>
        </w:trPr>
        <w:tc>
          <w:tcPr>
            <w:tcW w:w="58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2019</w:t>
            </w:r>
          </w:p>
        </w:tc>
        <w:tc>
          <w:tcPr>
            <w:tcW w:w="29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7,704</w:t>
            </w:r>
          </w:p>
        </w:tc>
        <w:tc>
          <w:tcPr>
            <w:tcW w:w="2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4,163</w:t>
            </w:r>
          </w:p>
        </w:tc>
      </w:tr>
      <w:tr>
        <w:trPr>
          <w:trHeight w:val="203"/>
        </w:trPr>
        <w:tc>
          <w:tcPr>
            <w:tcW w:w="586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9"/>
              </w:rPr>
              <w:t>2020-2024</w:t>
            </w:r>
          </w:p>
        </w:tc>
        <w:tc>
          <w:tcPr>
            <w:tcW w:w="29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47,270</w:t>
            </w:r>
          </w:p>
        </w:tc>
        <w:tc>
          <w:tcPr>
            <w:tcW w:w="26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19,731</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w:t>
      </w:r>
    </w:p>
    <w:p>
      <w:pPr>
        <w:spacing w:after="0" w:line="193"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Machine Clothing restructuring expense in 2013 and 2014 was principally related to the reduction in manufacturing capacity at production facilities in France, while 2012 expense principally resulted from work force reductions in Sweden, and U.S. operations in Wisconsin and New York.</w:t>
      </w:r>
    </w:p>
    <w:p>
      <w:pPr>
        <w:spacing w:after="0" w:line="189"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reduced employment by approximately 200 positions at these locations. Under the terms of the restructuring plan, the Company provides training, outplacement and other benefits, the costs of which are recorded as restructuring when they are incurred.</w:t>
      </w:r>
    </w:p>
    <w:p>
      <w:pPr>
        <w:spacing w:after="0" w:line="18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Restructuring expenses in the Albany Engineered Composites operations were principally related to organizational changes and exiting certain aerospace programs.</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and other, net”:</w:t>
      </w:r>
    </w:p>
    <w:tbl>
      <w:tblPr>
        <w:tblLayout w:type="fixed"/>
        <w:tblInd w:w="0" w:type="dxa"/>
        <w:tblCellMar>
          <w:top w:w="0" w:type="dxa"/>
          <w:left w:w="0" w:type="dxa"/>
          <w:bottom w:w="0" w:type="dxa"/>
          <w:right w:w="0" w:type="dxa"/>
        </w:tblCellMar>
      </w:tblPr>
      <w:tr>
        <w:trPr>
          <w:trHeight w:val="190"/>
        </w:trPr>
        <w:tc>
          <w:tcPr>
            <w:tcW w:w="35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2014</w:t>
            </w:r>
          </w:p>
        </w:tc>
        <w:tc>
          <w:tcPr>
            <w:tcW w:w="2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Total restructuring costs</w:t>
            </w:r>
          </w:p>
        </w:tc>
        <w:tc>
          <w:tcPr>
            <w:tcW w:w="16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rPr>
              <w:t>Termination and other</w:t>
            </w:r>
          </w:p>
        </w:tc>
        <w:tc>
          <w:tcPr>
            <w:tcW w:w="1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Impairment of plant and</w:t>
            </w:r>
          </w:p>
        </w:tc>
        <w:tc>
          <w:tcPr>
            <w:tcW w:w="1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Benefit plan curtailment/</w:t>
            </w:r>
          </w:p>
        </w:tc>
        <w:tc>
          <w:tcPr>
            <w:tcW w:w="4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352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Pr>
          <w:p>
            <w:pPr>
              <w:jc w:val="right"/>
              <w:ind w:right="576"/>
              <w:spacing w:after="0"/>
              <w:rPr>
                <w:sz w:val="20"/>
                <w:szCs w:val="20"/>
                <w:color w:val="auto"/>
              </w:rPr>
            </w:pPr>
            <w:r>
              <w:rPr>
                <w:rFonts w:ascii="Arial" w:cs="Arial" w:eastAsia="Arial" w:hAnsi="Arial"/>
                <w:sz w:val="14"/>
                <w:szCs w:val="14"/>
                <w:b w:val="1"/>
                <w:bCs w:val="1"/>
                <w:color w:val="auto"/>
              </w:rPr>
              <w:t>incurred</w:t>
            </w:r>
          </w:p>
        </w:tc>
        <w:tc>
          <w:tcPr>
            <w:tcW w:w="1680" w:type="dxa"/>
            <w:vAlign w:val="bottom"/>
          </w:tcPr>
          <w:p>
            <w:pPr>
              <w:jc w:val="right"/>
              <w:ind w:right="656"/>
              <w:spacing w:after="0"/>
              <w:rPr>
                <w:sz w:val="20"/>
                <w:szCs w:val="20"/>
                <w:color w:val="auto"/>
              </w:rPr>
            </w:pPr>
            <w:r>
              <w:rPr>
                <w:rFonts w:ascii="Arial" w:cs="Arial" w:eastAsia="Arial" w:hAnsi="Arial"/>
                <w:sz w:val="14"/>
                <w:szCs w:val="14"/>
                <w:b w:val="1"/>
                <w:bCs w:val="1"/>
                <w:color w:val="auto"/>
              </w:rPr>
              <w:t>costs</w:t>
            </w:r>
          </w:p>
        </w:tc>
        <w:tc>
          <w:tcPr>
            <w:tcW w:w="1720" w:type="dxa"/>
            <w:vAlign w:val="bottom"/>
          </w:tcPr>
          <w:p>
            <w:pPr>
              <w:jc w:val="right"/>
              <w:ind w:right="457"/>
              <w:spacing w:after="0"/>
              <w:rPr>
                <w:sz w:val="20"/>
                <w:szCs w:val="20"/>
                <w:color w:val="auto"/>
              </w:rPr>
            </w:pPr>
            <w:r>
              <w:rPr>
                <w:rFonts w:ascii="Arial" w:cs="Arial" w:eastAsia="Arial" w:hAnsi="Arial"/>
                <w:sz w:val="14"/>
                <w:szCs w:val="14"/>
                <w:b w:val="1"/>
                <w:bCs w:val="1"/>
                <w:color w:val="auto"/>
              </w:rPr>
              <w:t>equipment</w:t>
            </w:r>
          </w:p>
        </w:tc>
        <w:tc>
          <w:tcPr>
            <w:tcW w:w="1820" w:type="dxa"/>
            <w:vAlign w:val="bottom"/>
            <w:gridSpan w:val="3"/>
          </w:tcPr>
          <w:p>
            <w:pPr>
              <w:ind w:left="460"/>
              <w:spacing w:after="0"/>
              <w:rPr>
                <w:sz w:val="20"/>
                <w:szCs w:val="20"/>
                <w:color w:val="auto"/>
              </w:rPr>
            </w:pPr>
            <w:r>
              <w:rPr>
                <w:rFonts w:ascii="Arial" w:cs="Arial" w:eastAsia="Arial" w:hAnsi="Arial"/>
                <w:sz w:val="14"/>
                <w:szCs w:val="14"/>
                <w:b w:val="1"/>
                <w:bCs w:val="1"/>
                <w:color w:val="auto"/>
              </w:rPr>
              <w:t>settlement</w:t>
            </w:r>
          </w:p>
        </w:tc>
        <w:tc>
          <w:tcPr>
            <w:tcW w:w="0" w:type="dxa"/>
            <w:vAlign w:val="bottom"/>
          </w:tcPr>
          <w:p>
            <w:pPr>
              <w:spacing w:after="0"/>
              <w:rPr>
                <w:sz w:val="1"/>
                <w:szCs w:val="1"/>
                <w:color w:val="auto"/>
              </w:rPr>
            </w:pPr>
          </w:p>
        </w:tc>
      </w:tr>
      <w:tr>
        <w:trPr>
          <w:trHeight w:val="195"/>
        </w:trPr>
        <w:tc>
          <w:tcPr>
            <w:tcW w:w="35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2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$4,828</w:t>
            </w:r>
          </w:p>
        </w:tc>
        <w:tc>
          <w:tcPr>
            <w:tcW w:w="1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$5,769</w:t>
            </w:r>
          </w:p>
        </w:tc>
        <w:tc>
          <w:tcPr>
            <w:tcW w:w="17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($941)</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272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Corporate expenses</w:t>
            </w:r>
          </w:p>
        </w:tc>
        <w:tc>
          <w:tcPr>
            <w:tcW w:w="2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$5,759</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$6,088</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w:t>
            </w:r>
          </w:p>
        </w:tc>
        <w:tc>
          <w:tcPr>
            <w:tcW w:w="18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($941)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3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81"/>
        </w:trPr>
        <w:tc>
          <w:tcPr>
            <w:tcW w:w="35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520" w:type="dxa"/>
            <w:vAlign w:val="bottom"/>
            <w:shd w:val="clear" w:color="auto" w:fill="000000"/>
          </w:tcPr>
          <w:p>
            <w:pPr>
              <w:spacing w:after="0"/>
              <w:rPr>
                <w:sz w:val="5"/>
                <w:szCs w:val="5"/>
                <w:color w:val="auto"/>
              </w:rPr>
            </w:pPr>
          </w:p>
        </w:tc>
        <w:tc>
          <w:tcPr>
            <w:tcW w:w="272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38"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 2013</w:t>
            </w:r>
          </w:p>
        </w:tc>
        <w:tc>
          <w:tcPr>
            <w:tcW w:w="6220" w:type="dxa"/>
            <w:vAlign w:val="bottom"/>
            <w:tcBorders>
              <w:top w:val="single" w:sz="8" w:color="auto"/>
            </w:tcBorders>
            <w:gridSpan w:val="4"/>
            <w:vMerge w:val="restart"/>
          </w:tcPr>
          <w:p>
            <w:pPr>
              <w:jc w:val="right"/>
              <w:ind w:right="212"/>
              <w:spacing w:after="0"/>
              <w:rPr>
                <w:sz w:val="20"/>
                <w:szCs w:val="20"/>
                <w:color w:val="auto"/>
              </w:rPr>
            </w:pPr>
            <w:r>
              <w:rPr>
                <w:rFonts w:ascii="Arial" w:cs="Arial" w:eastAsia="Arial" w:hAnsi="Arial"/>
                <w:sz w:val="14"/>
                <w:szCs w:val="14"/>
                <w:b w:val="1"/>
                <w:bCs w:val="1"/>
                <w:color w:val="auto"/>
              </w:rPr>
              <w:t>Total restructuring costs  Termination and other  Impairment of plant and</w:t>
            </w:r>
          </w:p>
        </w:tc>
        <w:tc>
          <w:tcPr>
            <w:tcW w:w="178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Benefit plan</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220" w:type="dxa"/>
            <w:vAlign w:val="bottom"/>
            <w:gridSpan w:val="4"/>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Pr>
          <w:p>
            <w:pPr>
              <w:jc w:val="right"/>
              <w:ind w:right="816"/>
              <w:spacing w:after="0"/>
              <w:rPr>
                <w:sz w:val="20"/>
                <w:szCs w:val="20"/>
                <w:color w:val="auto"/>
              </w:rPr>
            </w:pPr>
            <w:r>
              <w:rPr>
                <w:rFonts w:ascii="Arial" w:cs="Arial" w:eastAsia="Arial" w:hAnsi="Arial"/>
                <w:sz w:val="14"/>
                <w:szCs w:val="14"/>
                <w:b w:val="1"/>
                <w:bCs w:val="1"/>
                <w:color w:val="auto"/>
              </w:rPr>
              <w:t>incurred</w:t>
            </w:r>
          </w:p>
        </w:tc>
        <w:tc>
          <w:tcPr>
            <w:tcW w:w="1680" w:type="dxa"/>
            <w:vAlign w:val="bottom"/>
          </w:tcPr>
          <w:p>
            <w:pPr>
              <w:jc w:val="right"/>
              <w:ind w:right="875"/>
              <w:spacing w:after="0"/>
              <w:rPr>
                <w:sz w:val="20"/>
                <w:szCs w:val="20"/>
                <w:color w:val="auto"/>
              </w:rPr>
            </w:pPr>
            <w:r>
              <w:rPr>
                <w:rFonts w:ascii="Arial" w:cs="Arial" w:eastAsia="Arial" w:hAnsi="Arial"/>
                <w:sz w:val="14"/>
                <w:szCs w:val="14"/>
                <w:b w:val="1"/>
                <w:bCs w:val="1"/>
                <w:color w:val="auto"/>
              </w:rPr>
              <w:t>costs</w:t>
            </w: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equipment</w:t>
            </w:r>
          </w:p>
        </w:tc>
        <w:tc>
          <w:tcPr>
            <w:tcW w:w="24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curtailment/ settlement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Machine Clothing</w:t>
            </w:r>
          </w:p>
        </w:tc>
        <w:tc>
          <w:tcPr>
            <w:tcW w:w="2820" w:type="dxa"/>
            <w:vAlign w:val="bottom"/>
            <w:tcBorders>
              <w:top w:val="single" w:sz="8" w:color="auto"/>
            </w:tcBorders>
          </w:tcPr>
          <w:p>
            <w:pPr>
              <w:jc w:val="right"/>
              <w:ind w:right="196"/>
              <w:spacing w:after="0" w:line="195" w:lineRule="exact"/>
              <w:rPr>
                <w:sz w:val="20"/>
                <w:szCs w:val="20"/>
                <w:color w:val="auto"/>
              </w:rPr>
            </w:pPr>
            <w:r>
              <w:rPr>
                <w:rFonts w:ascii="Arial" w:cs="Arial" w:eastAsia="Arial" w:hAnsi="Arial"/>
                <w:sz w:val="18"/>
                <w:szCs w:val="18"/>
                <w:color w:val="auto"/>
              </w:rPr>
              <w:t>$24,568</w:t>
            </w:r>
          </w:p>
        </w:tc>
        <w:tc>
          <w:tcPr>
            <w:tcW w:w="1680" w:type="dxa"/>
            <w:vAlign w:val="bottom"/>
            <w:tcBorders>
              <w:top w:val="single" w:sz="8" w:color="auto"/>
            </w:tcBorders>
          </w:tcPr>
          <w:p>
            <w:pPr>
              <w:jc w:val="right"/>
              <w:ind w:right="175"/>
              <w:spacing w:after="0" w:line="195" w:lineRule="exact"/>
              <w:rPr>
                <w:sz w:val="20"/>
                <w:szCs w:val="20"/>
                <w:color w:val="auto"/>
              </w:rPr>
            </w:pPr>
            <w:r>
              <w:rPr>
                <w:rFonts w:ascii="Arial" w:cs="Arial" w:eastAsia="Arial" w:hAnsi="Arial"/>
                <w:sz w:val="18"/>
                <w:szCs w:val="18"/>
                <w:color w:val="auto"/>
              </w:rPr>
              <w:t>$25,838</w:t>
            </w:r>
          </w:p>
        </w:tc>
        <w:tc>
          <w:tcPr>
            <w:tcW w:w="10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2"/>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
              <w:spacing w:after="0" w:line="202" w:lineRule="exact"/>
              <w:rPr>
                <w:sz w:val="20"/>
                <w:szCs w:val="20"/>
                <w:color w:val="auto"/>
              </w:rPr>
            </w:pPr>
            <w:r>
              <w:rPr>
                <w:rFonts w:ascii="Arial" w:cs="Arial" w:eastAsia="Arial" w:hAnsi="Arial"/>
                <w:sz w:val="18"/>
                <w:szCs w:val="18"/>
                <w:color w:val="auto"/>
              </w:rPr>
              <w:t>Albany Engineered Composites</w:t>
            </w:r>
          </w:p>
        </w:tc>
        <w:tc>
          <w:tcPr>
            <w:tcW w:w="282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540</w:t>
            </w:r>
          </w:p>
        </w:tc>
        <w:tc>
          <w:tcPr>
            <w:tcW w:w="16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452</w:t>
            </w:r>
          </w:p>
        </w:tc>
        <w:tc>
          <w:tcPr>
            <w:tcW w:w="1060" w:type="dxa"/>
            <w:vAlign w:val="bottom"/>
          </w:tcPr>
          <w:p>
            <w:pPr>
              <w:spacing w:after="0"/>
              <w:rPr>
                <w:sz w:val="17"/>
                <w:szCs w:val="17"/>
                <w:color w:val="auto"/>
              </w:rPr>
            </w:pPr>
          </w:p>
        </w:tc>
        <w:tc>
          <w:tcPr>
            <w:tcW w:w="6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88</w:t>
            </w: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Corporate expenses</w:t>
            </w:r>
          </w:p>
        </w:tc>
        <w:tc>
          <w:tcPr>
            <w:tcW w:w="2820" w:type="dxa"/>
            <w:vAlign w:val="bottom"/>
            <w:tcBorders>
              <w:bottom w:val="single" w:sz="8" w:color="auto"/>
            </w:tcBorders>
          </w:tcPr>
          <w:p>
            <w:pPr>
              <w:jc w:val="right"/>
              <w:ind w:right="196"/>
              <w:spacing w:after="0" w:line="203"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5"/>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82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rPr>
              <w:t>$25,108</w:t>
            </w:r>
          </w:p>
        </w:tc>
        <w:tc>
          <w:tcPr>
            <w:tcW w:w="1680" w:type="dxa"/>
            <w:vAlign w:val="bottom"/>
            <w:tcBorders>
              <w:bottom w:val="single" w:sz="8" w:color="auto"/>
            </w:tcBorders>
          </w:tcPr>
          <w:p>
            <w:pPr>
              <w:jc w:val="right"/>
              <w:ind w:right="175"/>
              <w:spacing w:after="0" w:line="196" w:lineRule="exact"/>
              <w:rPr>
                <w:sz w:val="20"/>
                <w:szCs w:val="20"/>
                <w:color w:val="auto"/>
              </w:rPr>
            </w:pPr>
            <w:r>
              <w:rPr>
                <w:rFonts w:ascii="Arial" w:cs="Arial" w:eastAsia="Arial" w:hAnsi="Arial"/>
                <w:sz w:val="18"/>
                <w:szCs w:val="18"/>
                <w:color w:val="auto"/>
              </w:rPr>
              <w:t>$26,290</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$88</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4"/>
                <w:szCs w:val="14"/>
                <w:b w:val="1"/>
                <w:bCs w:val="1"/>
                <w:color w:val="auto"/>
              </w:rPr>
              <w:t>Year ended December 31, 2012</w:t>
            </w:r>
          </w:p>
        </w:tc>
        <w:tc>
          <w:tcPr>
            <w:tcW w:w="2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restructuring costs</w:t>
            </w:r>
          </w:p>
        </w:tc>
        <w:tc>
          <w:tcPr>
            <w:tcW w:w="16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Termination and other</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Impairment of plant and</w:t>
            </w:r>
          </w:p>
        </w:tc>
        <w:tc>
          <w:tcPr>
            <w:tcW w:w="18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Benefit plan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Pr>
          <w:p>
            <w:pPr>
              <w:jc w:val="right"/>
              <w:ind w:right="576"/>
              <w:spacing w:after="0"/>
              <w:rPr>
                <w:sz w:val="20"/>
                <w:szCs w:val="20"/>
                <w:color w:val="auto"/>
              </w:rPr>
            </w:pPr>
            <w:r>
              <w:rPr>
                <w:rFonts w:ascii="Arial" w:cs="Arial" w:eastAsia="Arial" w:hAnsi="Arial"/>
                <w:sz w:val="14"/>
                <w:szCs w:val="14"/>
                <w:b w:val="1"/>
                <w:bCs w:val="1"/>
                <w:color w:val="auto"/>
              </w:rPr>
              <w:t>incurred</w:t>
            </w:r>
          </w:p>
        </w:tc>
        <w:tc>
          <w:tcPr>
            <w:tcW w:w="1680" w:type="dxa"/>
            <w:vAlign w:val="bottom"/>
          </w:tcPr>
          <w:p>
            <w:pPr>
              <w:jc w:val="right"/>
              <w:ind w:right="655"/>
              <w:spacing w:after="0"/>
              <w:rPr>
                <w:sz w:val="20"/>
                <w:szCs w:val="20"/>
                <w:color w:val="auto"/>
              </w:rPr>
            </w:pPr>
            <w:r>
              <w:rPr>
                <w:rFonts w:ascii="Arial" w:cs="Arial" w:eastAsia="Arial" w:hAnsi="Arial"/>
                <w:sz w:val="14"/>
                <w:szCs w:val="14"/>
                <w:b w:val="1"/>
                <w:bCs w:val="1"/>
                <w:color w:val="auto"/>
              </w:rPr>
              <w:t>costs</w:t>
            </w:r>
          </w:p>
        </w:tc>
        <w:tc>
          <w:tcPr>
            <w:tcW w:w="17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equipment</w:t>
            </w:r>
          </w:p>
        </w:tc>
        <w:tc>
          <w:tcPr>
            <w:tcW w:w="1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curtailment/settlement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Machine Clothing</w:t>
            </w:r>
          </w:p>
        </w:tc>
        <w:tc>
          <w:tcPr>
            <w:tcW w:w="2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$7,386</w:t>
            </w:r>
          </w:p>
        </w:tc>
        <w:tc>
          <w:tcPr>
            <w:tcW w:w="1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$7,386</w:t>
            </w:r>
          </w:p>
        </w:tc>
        <w:tc>
          <w:tcPr>
            <w:tcW w:w="10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
              <w:spacing w:after="0" w:line="202" w:lineRule="exact"/>
              <w:rPr>
                <w:sz w:val="20"/>
                <w:szCs w:val="20"/>
                <w:color w:val="auto"/>
              </w:rPr>
            </w:pPr>
            <w:r>
              <w:rPr>
                <w:rFonts w:ascii="Arial" w:cs="Arial" w:eastAsia="Arial" w:hAnsi="Arial"/>
                <w:sz w:val="18"/>
                <w:szCs w:val="18"/>
                <w:color w:val="auto"/>
              </w:rPr>
              <w:t>Albany Engineered Composites</w:t>
            </w:r>
          </w:p>
        </w:tc>
        <w:tc>
          <w:tcPr>
            <w:tcW w:w="2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Corporate expenses</w:t>
            </w:r>
          </w:p>
        </w:tc>
        <w:tc>
          <w:tcPr>
            <w:tcW w:w="2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(705)</w:t>
            </w:r>
          </w:p>
        </w:tc>
        <w:tc>
          <w:tcPr>
            <w:tcW w:w="18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$7,061</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$7,766</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($705)</w:t>
            </w:r>
          </w:p>
        </w:tc>
        <w:tc>
          <w:tcPr>
            <w:tcW w:w="18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We expect that substantially all Accrued liabilities for restructuring liabilities will be paid within one year. The table below presents the changes in restructuring liabilities for 2014 and 2013, all of which related to termination costs: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December 31,</w:t>
            </w:r>
          </w:p>
        </w:tc>
        <w:tc>
          <w:tcPr>
            <w:tcW w:w="1760" w:type="dxa"/>
            <w:vAlign w:val="bottom"/>
            <w:tcBorders>
              <w:top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Restructuring</w:t>
            </w:r>
          </w:p>
        </w:tc>
        <w:tc>
          <w:tcPr>
            <w:tcW w:w="146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Currency</w:t>
            </w:r>
          </w:p>
        </w:tc>
        <w:tc>
          <w:tcPr>
            <w:tcW w:w="1420" w:type="dxa"/>
            <w:vAlign w:val="bottom"/>
            <w:tcBorders>
              <w:top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5"/>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2013</w:t>
            </w:r>
          </w:p>
        </w:tc>
        <w:tc>
          <w:tcPr>
            <w:tcW w:w="17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charges accrued</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Payments</w:t>
            </w:r>
          </w:p>
        </w:tc>
        <w:tc>
          <w:tcPr>
            <w:tcW w:w="182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rPr>
              <w:t>translation/other</w:t>
            </w: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r>
      <w:tr>
        <w:trPr>
          <w:trHeight w:val="399"/>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32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$9,656</w:t>
            </w:r>
          </w:p>
        </w:tc>
        <w:tc>
          <w:tcPr>
            <w:tcW w:w="176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$6,088</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($13,240)</w:t>
            </w:r>
          </w:p>
        </w:tc>
        <w:tc>
          <w:tcPr>
            <w:tcW w:w="182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($630)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24"/>
                <w:szCs w:val="24"/>
                <w:color w:val="auto"/>
              </w:rPr>
            </w:pPr>
          </w:p>
        </w:tc>
      </w:tr>
      <w:tr>
        <w:trPr>
          <w:trHeight w:val="385"/>
        </w:trPr>
        <w:tc>
          <w:tcPr>
            <w:tcW w:w="2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r>
      <w:tr>
        <w:trPr>
          <w:trHeight w:val="142"/>
        </w:trPr>
        <w:tc>
          <w:tcPr>
            <w:tcW w:w="26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jc w:val="right"/>
              <w:ind w:right="522"/>
              <w:spacing w:after="0" w:line="143" w:lineRule="exact"/>
              <w:rPr>
                <w:sz w:val="20"/>
                <w:szCs w:val="20"/>
                <w:color w:val="auto"/>
              </w:rPr>
            </w:pPr>
            <w:r>
              <w:rPr>
                <w:rFonts w:ascii="Arial" w:cs="Arial" w:eastAsia="Arial" w:hAnsi="Arial"/>
                <w:sz w:val="14"/>
                <w:szCs w:val="14"/>
                <w:b w:val="1"/>
                <w:bCs w:val="1"/>
                <w:color w:val="auto"/>
              </w:rPr>
              <w:t>December 31,</w:t>
            </w:r>
          </w:p>
        </w:tc>
        <w:tc>
          <w:tcPr>
            <w:tcW w:w="1760" w:type="dxa"/>
            <w:vAlign w:val="bottom"/>
            <w:tcBorders>
              <w:top w:val="single" w:sz="8" w:color="auto"/>
            </w:tcBorders>
          </w:tcPr>
          <w:p>
            <w:pPr>
              <w:jc w:val="center"/>
              <w:ind w:right="262"/>
              <w:spacing w:after="0" w:line="143" w:lineRule="exact"/>
              <w:rPr>
                <w:sz w:val="20"/>
                <w:szCs w:val="20"/>
                <w:color w:val="auto"/>
              </w:rPr>
            </w:pPr>
            <w:r>
              <w:rPr>
                <w:rFonts w:ascii="Arial" w:cs="Arial" w:eastAsia="Arial" w:hAnsi="Arial"/>
                <w:sz w:val="14"/>
                <w:szCs w:val="14"/>
                <w:b w:val="1"/>
                <w:bCs w:val="1"/>
                <w:color w:val="auto"/>
              </w:rPr>
              <w:t>Restructuring</w:t>
            </w:r>
          </w:p>
        </w:tc>
        <w:tc>
          <w:tcPr>
            <w:tcW w:w="14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center"/>
              <w:ind w:right="262"/>
              <w:spacing w:after="0" w:line="143" w:lineRule="exact"/>
              <w:rPr>
                <w:sz w:val="20"/>
                <w:szCs w:val="20"/>
                <w:color w:val="auto"/>
              </w:rPr>
            </w:pPr>
            <w:r>
              <w:rPr>
                <w:rFonts w:ascii="Arial" w:cs="Arial" w:eastAsia="Arial" w:hAnsi="Arial"/>
                <w:sz w:val="14"/>
                <w:szCs w:val="14"/>
                <w:b w:val="1"/>
                <w:bCs w:val="1"/>
                <w:color w:val="auto"/>
              </w:rPr>
              <w:t>Currency</w:t>
            </w:r>
          </w:p>
        </w:tc>
        <w:tc>
          <w:tcPr>
            <w:tcW w:w="1420" w:type="dxa"/>
            <w:vAlign w:val="bottom"/>
            <w:tcBorders>
              <w:top w:val="single" w:sz="8" w:color="auto"/>
            </w:tcBorders>
          </w:tcPr>
          <w:p>
            <w:pPr>
              <w:jc w:val="center"/>
              <w:ind w:right="82"/>
              <w:spacing w:after="0" w:line="14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5"/>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2012</w:t>
            </w:r>
          </w:p>
        </w:tc>
        <w:tc>
          <w:tcPr>
            <w:tcW w:w="17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charges accrued</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Payments</w:t>
            </w:r>
          </w:p>
        </w:tc>
        <w:tc>
          <w:tcPr>
            <w:tcW w:w="182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rPr>
              <w:t>translation/other</w:t>
            </w: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r>
      <w:tr>
        <w:trPr>
          <w:trHeight w:val="399"/>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32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$4,947</w:t>
            </w:r>
          </w:p>
        </w:tc>
        <w:tc>
          <w:tcPr>
            <w:tcW w:w="176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$26,408</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($22,478)</w:t>
            </w:r>
          </w:p>
        </w:tc>
        <w:tc>
          <w:tcPr>
            <w:tcW w:w="182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$779</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$9,656</w:t>
            </w:r>
          </w:p>
        </w:tc>
      </w:tr>
    </w:tbl>
    <w:p>
      <w:pPr>
        <w:spacing w:after="0" w:line="37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On February 20, 2015, the Company announced plans to discontinue operations at its press fabric manufacturing facility in Göppingen, Germany. This planned action is driven by the continuing consolidation of paper industry customers in Europe, and the continuous need to match the Company’s paper machine clothing manufacturing capacity in Europe with the demands of our customers, so that customer sourcing is optimized. The Göppingen plan would be subject to applicable local law and would be implemented in accordance with such law and in consultation with the Works Council. The Company is presently unable to determine the restructuring costs associated with this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(Income)/Expenses, net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(Income)/expenses, net, are:</w:t>
      </w:r>
    </w:p>
    <w:p>
      <w:pPr>
        <w:spacing w:after="0" w:line="29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4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5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r>
      <w:tr>
        <w:trPr>
          <w:trHeight w:val="173"/>
        </w:trPr>
        <w:tc>
          <w:tcPr>
            <w:tcW w:w="5960" w:type="dxa"/>
            <w:vAlign w:val="bottom"/>
          </w:tcPr>
          <w:p>
            <w:pPr>
              <w:spacing w:after="0" w:line="173" w:lineRule="exact"/>
              <w:rPr>
                <w:sz w:val="20"/>
                <w:szCs w:val="20"/>
                <w:color w:val="auto"/>
              </w:rPr>
            </w:pPr>
            <w:r>
              <w:rPr>
                <w:rFonts w:ascii="Arial" w:cs="Arial" w:eastAsia="Arial" w:hAnsi="Arial"/>
                <w:sz w:val="18"/>
                <w:szCs w:val="18"/>
                <w:color w:val="auto"/>
              </w:rPr>
              <w:t>Currency transactions</w:t>
            </w:r>
          </w:p>
        </w:tc>
        <w:tc>
          <w:tcPr>
            <w:tcW w:w="302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($6,379)</w:t>
            </w:r>
          </w:p>
        </w:tc>
        <w:tc>
          <w:tcPr>
            <w:tcW w:w="1400" w:type="dxa"/>
            <w:vAlign w:val="bottom"/>
          </w:tcPr>
          <w:p>
            <w:pPr>
              <w:jc w:val="right"/>
              <w:ind w:right="350"/>
              <w:spacing w:after="0" w:line="173" w:lineRule="exact"/>
              <w:rPr>
                <w:sz w:val="20"/>
                <w:szCs w:val="20"/>
                <w:color w:val="auto"/>
              </w:rPr>
            </w:pPr>
            <w:r>
              <w:rPr>
                <w:rFonts w:ascii="Arial" w:cs="Arial" w:eastAsia="Arial" w:hAnsi="Arial"/>
                <w:sz w:val="18"/>
                <w:szCs w:val="18"/>
                <w:color w:val="auto"/>
              </w:rPr>
              <w:t>$5,227</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$5,708</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30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1,174</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1,542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2,385</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30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(1,126)</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Letter of credit fees</w:t>
            </w:r>
          </w:p>
        </w:tc>
        <w:tc>
          <w:tcPr>
            <w:tcW w:w="30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r>
      <w:tr>
        <w:trPr>
          <w:trHeight w:val="225"/>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(522)</w:t>
            </w: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487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r>
      <w:tr>
        <w:trPr>
          <w:trHeight w:val="196"/>
        </w:trPr>
        <w:tc>
          <w:tcPr>
            <w:tcW w:w="5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($6,853)</w:t>
            </w:r>
          </w:p>
        </w:tc>
        <w:tc>
          <w:tcPr>
            <w:tcW w:w="14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$7,256</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$7,629</w:t>
            </w:r>
          </w:p>
        </w:tc>
      </w:tr>
    </w:tbl>
    <w:p>
      <w:pPr>
        <w:spacing w:after="0" w:line="391"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July 2013, the Company’s manufacturing facility in Germany was damaged by severe weather. At that time, the Company expensed the remaining book value of the damaged property, but the value was minimal. The gain recorded in 2014 represents the finalization of the insurance claim.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93"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tables present components of income tax expense/(benefit) and income/(loss) before income taxes on continuing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6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8"/>
        </w:trPr>
        <w:tc>
          <w:tcPr>
            <w:tcW w:w="740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 estimated tax rates of 34%,</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$25,703</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00" w:type="dxa"/>
            <w:vAlign w:val="bottom"/>
            <w:gridSpan w:val="2"/>
          </w:tcPr>
          <w:p>
            <w:pPr>
              <w:spacing w:after="0" w:line="181" w:lineRule="exact"/>
              <w:rPr>
                <w:sz w:val="20"/>
                <w:szCs w:val="20"/>
                <w:color w:val="auto"/>
              </w:rPr>
            </w:pPr>
            <w:r>
              <w:rPr>
                <w:rFonts w:ascii="Arial" w:cs="Arial" w:eastAsia="Arial" w:hAnsi="Arial"/>
                <w:sz w:val="18"/>
                <w:szCs w:val="18"/>
                <w:color w:val="auto"/>
              </w:rPr>
              <w:t>49%, and 39%, respectively</w:t>
            </w:r>
          </w:p>
        </w:tc>
        <w:tc>
          <w:tcPr>
            <w:tcW w:w="1640" w:type="dxa"/>
            <w:vAlign w:val="bottom"/>
            <w:vMerge w:val="continue"/>
          </w:tcPr>
          <w:p>
            <w:pPr>
              <w:spacing w:after="0"/>
              <w:rPr>
                <w:sz w:val="15"/>
                <w:szCs w:val="15"/>
                <w:color w:val="auto"/>
              </w:rPr>
            </w:pPr>
          </w:p>
        </w:tc>
        <w:tc>
          <w:tcPr>
            <w:tcW w:w="134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$15,172</w:t>
            </w: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$19,769</w:t>
            </w:r>
          </w:p>
        </w:tc>
        <w:tc>
          <w:tcPr>
            <w:tcW w:w="0" w:type="dxa"/>
            <w:vAlign w:val="bottom"/>
          </w:tcPr>
          <w:p>
            <w:pPr>
              <w:spacing w:after="0"/>
              <w:rPr>
                <w:sz w:val="1"/>
                <w:szCs w:val="1"/>
                <w:color w:val="auto"/>
              </w:rPr>
            </w:pPr>
          </w:p>
        </w:tc>
      </w:tr>
      <w:tr>
        <w:trPr>
          <w:trHeight w:val="225"/>
        </w:trPr>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Pension plan settlements</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(3,194)</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(39,460)</w:t>
            </w:r>
          </w:p>
        </w:tc>
        <w:tc>
          <w:tcPr>
            <w:tcW w:w="0" w:type="dxa"/>
            <w:vAlign w:val="bottom"/>
          </w:tcPr>
          <w:p>
            <w:pPr>
              <w:spacing w:after="0"/>
              <w:rPr>
                <w:sz w:val="1"/>
                <w:szCs w:val="1"/>
                <w:color w:val="auto"/>
              </w:rPr>
            </w:pPr>
          </w:p>
        </w:tc>
      </w:tr>
      <w:tr>
        <w:trPr>
          <w:trHeight w:val="232"/>
        </w:trPr>
        <w:tc>
          <w:tcPr>
            <w:tcW w:w="740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22,509</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15,172</w:t>
            </w:r>
          </w:p>
        </w:tc>
        <w:tc>
          <w:tcPr>
            <w:tcW w:w="1040" w:type="dxa"/>
            <w:vAlign w:val="bottom"/>
          </w:tcPr>
          <w:p>
            <w:pPr>
              <w:jc w:val="right"/>
              <w:spacing w:after="0"/>
              <w:rPr>
                <w:sz w:val="20"/>
                <w:szCs w:val="20"/>
                <w:color w:val="auto"/>
              </w:rPr>
            </w:pPr>
            <w:r>
              <w:rPr>
                <w:rFonts w:ascii="Arial" w:cs="Arial" w:eastAsia="Arial" w:hAnsi="Arial"/>
                <w:sz w:val="18"/>
                <w:szCs w:val="18"/>
                <w:color w:val="auto"/>
              </w:rPr>
              <w:t>(19,691)</w:t>
            </w:r>
          </w:p>
        </w:tc>
        <w:tc>
          <w:tcPr>
            <w:tcW w:w="0" w:type="dxa"/>
            <w:vAlign w:val="bottom"/>
          </w:tcPr>
          <w:p>
            <w:pPr>
              <w:spacing w:after="0"/>
              <w:rPr>
                <w:sz w:val="1"/>
                <w:szCs w:val="1"/>
                <w:color w:val="auto"/>
              </w:rPr>
            </w:pPr>
          </w:p>
        </w:tc>
      </w:tr>
      <w:tr>
        <w:trPr>
          <w:trHeight w:val="368"/>
        </w:trPr>
        <w:tc>
          <w:tcPr>
            <w:tcW w:w="740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2,210</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80" w:type="dxa"/>
            <w:vAlign w:val="bottom"/>
          </w:tcPr>
          <w:p>
            <w:pPr>
              <w:ind w:left="80"/>
              <w:spacing w:after="0" w:line="181" w:lineRule="exact"/>
              <w:rPr>
                <w:sz w:val="20"/>
                <w:szCs w:val="20"/>
                <w:color w:val="auto"/>
              </w:rPr>
            </w:pPr>
            <w:r>
              <w:rPr>
                <w:rFonts w:ascii="Arial" w:cs="Arial" w:eastAsia="Arial" w:hAnsi="Arial"/>
                <w:sz w:val="18"/>
                <w:szCs w:val="18"/>
                <w:color w:val="auto"/>
              </w:rPr>
              <w:t>Repatriation of non-U.S. prior years' earnings</w:t>
            </w:r>
          </w:p>
        </w:tc>
        <w:tc>
          <w:tcPr>
            <w:tcW w:w="1640" w:type="dxa"/>
            <w:vAlign w:val="bottom"/>
            <w:vMerge w:val="continue"/>
          </w:tcPr>
          <w:p>
            <w:pPr>
              <w:spacing w:after="0"/>
              <w:rPr>
                <w:sz w:val="15"/>
                <w:szCs w:val="15"/>
                <w:color w:val="auto"/>
              </w:rPr>
            </w:pPr>
          </w:p>
        </w:tc>
        <w:tc>
          <w:tcPr>
            <w:tcW w:w="134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618</w:t>
            </w: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8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744</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2,643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8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397</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(942)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80"/>
              <w:spacing w:after="0" w:line="202" w:lineRule="exact"/>
              <w:rPr>
                <w:sz w:val="20"/>
                <w:szCs w:val="20"/>
                <w:color w:val="auto"/>
              </w:rPr>
            </w:pPr>
            <w:r>
              <w:rPr>
                <w:rFonts w:ascii="Arial" w:cs="Arial" w:eastAsia="Arial" w:hAnsi="Arial"/>
                <w:sz w:val="18"/>
                <w:szCs w:val="18"/>
                <w:color w:val="auto"/>
              </w:rPr>
              <w:t>Provision for/adjustment to beginning of year valuation allowances</w:t>
            </w:r>
          </w:p>
        </w:tc>
        <w:tc>
          <w:tcPr>
            <w:tcW w:w="16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(109)</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(3,741)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80"/>
              <w:spacing w:after="0" w:line="202" w:lineRule="exact"/>
              <w:rPr>
                <w:sz w:val="20"/>
                <w:szCs w:val="20"/>
                <w:color w:val="auto"/>
              </w:rPr>
            </w:pPr>
            <w:r>
              <w:rPr>
                <w:rFonts w:ascii="Arial" w:cs="Arial" w:eastAsia="Arial" w:hAnsi="Arial"/>
                <w:sz w:val="18"/>
                <w:szCs w:val="18"/>
                <w:color w:val="auto"/>
              </w:rPr>
              <w:t>Enacted tax legislation</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 discrete tax adjustments, net</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expense/(benefit)</w:t>
            </w:r>
          </w:p>
        </w:tc>
        <w:tc>
          <w:tcPr>
            <w:tcW w:w="16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$25,751</w:t>
            </w:r>
          </w:p>
        </w:tc>
        <w:tc>
          <w:tcPr>
            <w:tcW w:w="13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$13,372</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($27,523)</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38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38"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6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95"/>
        </w:trPr>
        <w:tc>
          <w:tcPr>
            <w:tcW w:w="7340" w:type="dxa"/>
            <w:vAlign w:val="bottom"/>
            <w:gridSpan w:val="2"/>
          </w:tcPr>
          <w:p>
            <w:pPr>
              <w:spacing w:after="0" w:line="195" w:lineRule="exact"/>
              <w:rPr>
                <w:sz w:val="20"/>
                <w:szCs w:val="20"/>
                <w:color w:val="auto"/>
              </w:rPr>
            </w:pPr>
            <w:r>
              <w:rPr>
                <w:rFonts w:ascii="Arial" w:cs="Arial" w:eastAsia="Arial" w:hAnsi="Arial"/>
                <w:sz w:val="18"/>
                <w:szCs w:val="18"/>
                <w:color w:val="auto"/>
              </w:rPr>
              <w:t>Income/(loss) before income taxes:</w:t>
            </w:r>
          </w:p>
        </w:tc>
        <w:tc>
          <w:tcPr>
            <w:tcW w:w="13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$4,993</w:t>
            </w: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80"/>
              <w:spacing w:after="0" w:line="181" w:lineRule="exact"/>
              <w:rPr>
                <w:sz w:val="20"/>
                <w:szCs w:val="20"/>
                <w:color w:val="auto"/>
              </w:rPr>
            </w:pPr>
            <w:r>
              <w:rPr>
                <w:rFonts w:ascii="Arial" w:cs="Arial" w:eastAsia="Arial" w:hAnsi="Arial"/>
                <w:sz w:val="18"/>
                <w:szCs w:val="18"/>
                <w:color w:val="auto"/>
              </w:rPr>
              <w:t>U.S.</w:t>
            </w:r>
          </w:p>
        </w:tc>
        <w:tc>
          <w:tcPr>
            <w:tcW w:w="1300" w:type="dxa"/>
            <w:vAlign w:val="bottom"/>
            <w:vMerge w:val="continue"/>
          </w:tcPr>
          <w:p>
            <w:pPr>
              <w:spacing w:after="0"/>
              <w:rPr>
                <w:sz w:val="15"/>
                <w:szCs w:val="15"/>
                <w:color w:val="auto"/>
              </w:rPr>
            </w:pPr>
          </w:p>
        </w:tc>
        <w:tc>
          <w:tcPr>
            <w:tcW w:w="1600" w:type="dxa"/>
            <w:vAlign w:val="bottom"/>
          </w:tcPr>
          <w:p>
            <w:pPr>
              <w:jc w:val="right"/>
              <w:ind w:right="430"/>
              <w:spacing w:after="0" w:line="181" w:lineRule="exact"/>
              <w:rPr>
                <w:sz w:val="20"/>
                <w:szCs w:val="20"/>
                <w:color w:val="auto"/>
              </w:rPr>
            </w:pPr>
            <w:r>
              <w:rPr>
                <w:rFonts w:ascii="Arial" w:cs="Arial" w:eastAsia="Arial" w:hAnsi="Arial"/>
                <w:sz w:val="18"/>
                <w:szCs w:val="18"/>
                <w:color w:val="auto"/>
              </w:rPr>
              <w:t>$14,395</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($84,624)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Non-U.S.</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62,507</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16,681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w w:val="98"/>
              </w:rPr>
              <w:t>$67,500</w:t>
            </w:r>
          </w:p>
        </w:tc>
        <w:tc>
          <w:tcPr>
            <w:tcW w:w="16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$31,076</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($68,366)</w:t>
            </w:r>
          </w:p>
        </w:tc>
        <w:tc>
          <w:tcPr>
            <w:tcW w:w="0" w:type="dxa"/>
            <w:vAlign w:val="bottom"/>
          </w:tcPr>
          <w:p>
            <w:pPr>
              <w:spacing w:after="0"/>
              <w:rPr>
                <w:sz w:val="1"/>
                <w:szCs w:val="1"/>
                <w:color w:val="auto"/>
              </w:rPr>
            </w:pPr>
          </w:p>
        </w:tc>
      </w:tr>
      <w:tr>
        <w:trPr>
          <w:trHeight w:val="412"/>
        </w:trPr>
        <w:tc>
          <w:tcPr>
            <w:tcW w:w="73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Current:</w:t>
            </w:r>
          </w:p>
        </w:tc>
        <w:tc>
          <w:tcPr>
            <w:tcW w:w="13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$1,874</w:t>
            </w: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180"/>
              <w:spacing w:after="0" w:line="181" w:lineRule="exact"/>
              <w:rPr>
                <w:sz w:val="20"/>
                <w:szCs w:val="20"/>
                <w:color w:val="auto"/>
              </w:rPr>
            </w:pPr>
            <w:r>
              <w:rPr>
                <w:rFonts w:ascii="Arial" w:cs="Arial" w:eastAsia="Arial" w:hAnsi="Arial"/>
                <w:sz w:val="18"/>
                <w:szCs w:val="18"/>
                <w:color w:val="auto"/>
              </w:rPr>
              <w:t>Federal</w:t>
            </w:r>
          </w:p>
        </w:tc>
        <w:tc>
          <w:tcPr>
            <w:tcW w:w="1300" w:type="dxa"/>
            <w:vAlign w:val="bottom"/>
            <w:vMerge w:val="continue"/>
          </w:tcPr>
          <w:p>
            <w:pPr>
              <w:spacing w:after="0"/>
              <w:rPr>
                <w:sz w:val="15"/>
                <w:szCs w:val="15"/>
                <w:color w:val="auto"/>
              </w:rPr>
            </w:pPr>
          </w:p>
        </w:tc>
        <w:tc>
          <w:tcPr>
            <w:tcW w:w="1600" w:type="dxa"/>
            <w:vAlign w:val="bottom"/>
          </w:tcPr>
          <w:p>
            <w:pPr>
              <w:jc w:val="right"/>
              <w:ind w:right="430"/>
              <w:spacing w:after="0" w:line="181" w:lineRule="exact"/>
              <w:rPr>
                <w:sz w:val="20"/>
                <w:szCs w:val="20"/>
                <w:color w:val="auto"/>
              </w:rPr>
            </w:pPr>
            <w:r>
              <w:rPr>
                <w:rFonts w:ascii="Arial" w:cs="Arial" w:eastAsia="Arial" w:hAnsi="Arial"/>
                <w:sz w:val="18"/>
                <w:szCs w:val="18"/>
                <w:color w:val="auto"/>
              </w:rPr>
              <w:t>$3,508</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($20,123)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13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1,102</w:t>
            </w:r>
          </w:p>
        </w:tc>
        <w:tc>
          <w:tcPr>
            <w:tcW w:w="16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2,301</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Non-U.S.</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17,474</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14,957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w w:val="98"/>
              </w:rPr>
              <w:t>$20,450</w:t>
            </w:r>
          </w:p>
        </w:tc>
        <w:tc>
          <w:tcPr>
            <w:tcW w:w="16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$20,766</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320" w:type="dxa"/>
            <w:vAlign w:val="bottom"/>
          </w:tcPr>
          <w:p>
            <w:pPr>
              <w:ind w:left="80"/>
              <w:spacing w:after="0"/>
              <w:rPr>
                <w:sz w:val="20"/>
                <w:szCs w:val="20"/>
                <w:color w:val="auto"/>
              </w:rPr>
            </w:pPr>
            <w:r>
              <w:rPr>
                <w:rFonts w:ascii="Arial" w:cs="Arial" w:eastAsia="Arial" w:hAnsi="Arial"/>
                <w:sz w:val="18"/>
                <w:szCs w:val="18"/>
                <w:color w:val="auto"/>
              </w:rPr>
              <w:t>Deferred:</w:t>
            </w:r>
          </w:p>
        </w:tc>
        <w:tc>
          <w:tcPr>
            <w:tcW w:w="13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w w:val="95"/>
              </w:rPr>
              <w:t>($1,707)</w:t>
            </w: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180"/>
              <w:spacing w:after="0" w:line="181" w:lineRule="exact"/>
              <w:rPr>
                <w:sz w:val="20"/>
                <w:szCs w:val="20"/>
                <w:color w:val="auto"/>
              </w:rPr>
            </w:pPr>
            <w:r>
              <w:rPr>
                <w:rFonts w:ascii="Arial" w:cs="Arial" w:eastAsia="Arial" w:hAnsi="Arial"/>
                <w:sz w:val="18"/>
                <w:szCs w:val="18"/>
                <w:color w:val="auto"/>
              </w:rPr>
              <w:t>Federal</w:t>
            </w:r>
          </w:p>
        </w:tc>
        <w:tc>
          <w:tcPr>
            <w:tcW w:w="1300" w:type="dxa"/>
            <w:vAlign w:val="bottom"/>
            <w:vMerge w:val="continue"/>
          </w:tcPr>
          <w:p>
            <w:pPr>
              <w:spacing w:after="0"/>
              <w:rPr>
                <w:sz w:val="15"/>
                <w:szCs w:val="15"/>
                <w:color w:val="auto"/>
              </w:rPr>
            </w:pPr>
          </w:p>
        </w:tc>
        <w:tc>
          <w:tcPr>
            <w:tcW w:w="1600" w:type="dxa"/>
            <w:vAlign w:val="bottom"/>
          </w:tcPr>
          <w:p>
            <w:pPr>
              <w:jc w:val="right"/>
              <w:ind w:right="490"/>
              <w:spacing w:after="0" w:line="181" w:lineRule="exact"/>
              <w:rPr>
                <w:sz w:val="20"/>
                <w:szCs w:val="20"/>
                <w:color w:val="auto"/>
              </w:rPr>
            </w:pPr>
            <w:r>
              <w:rPr>
                <w:rFonts w:ascii="Arial" w:cs="Arial" w:eastAsia="Arial" w:hAnsi="Arial"/>
                <w:sz w:val="18"/>
                <w:szCs w:val="18"/>
                <w:color w:val="auto"/>
              </w:rPr>
              <w:t>$1,723</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($12,851)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13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(495)</w:t>
            </w:r>
          </w:p>
        </w:tc>
        <w:tc>
          <w:tcPr>
            <w:tcW w:w="16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(180)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Non-U.S.</w:t>
            </w: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7,503</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(8,937)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$5,301</w:t>
            </w:r>
          </w:p>
        </w:tc>
        <w:tc>
          <w:tcPr>
            <w:tcW w:w="16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($7,394)</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provision for income taxes</w:t>
            </w:r>
          </w:p>
        </w:tc>
        <w:tc>
          <w:tcPr>
            <w:tcW w:w="13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w w:val="98"/>
              </w:rPr>
              <w:t>$25,751</w:t>
            </w:r>
          </w:p>
        </w:tc>
        <w:tc>
          <w:tcPr>
            <w:tcW w:w="16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$13,372</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($27,523)</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w w:val="99"/>
              </w:rPr>
              <w:t>The significant components of deferred income tax (benefit)/expense are as follows:</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3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2014</w:t>
            </w:r>
          </w:p>
        </w:tc>
        <w:tc>
          <w:tcPr>
            <w:tcW w:w="16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2013</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73"/>
        </w:trPr>
        <w:tc>
          <w:tcPr>
            <w:tcW w:w="7340" w:type="dxa"/>
            <w:vAlign w:val="bottom"/>
            <w:gridSpan w:val="2"/>
          </w:tcPr>
          <w:p>
            <w:pPr>
              <w:spacing w:after="0" w:line="173" w:lineRule="exact"/>
              <w:rPr>
                <w:sz w:val="20"/>
                <w:szCs w:val="20"/>
                <w:color w:val="auto"/>
              </w:rPr>
            </w:pPr>
            <w:r>
              <w:rPr>
                <w:rFonts w:ascii="Arial" w:cs="Arial" w:eastAsia="Arial" w:hAnsi="Arial"/>
                <w:sz w:val="18"/>
                <w:szCs w:val="18"/>
                <w:color w:val="auto"/>
              </w:rPr>
              <w:t>Net effect of temporary differences</w:t>
            </w:r>
          </w:p>
        </w:tc>
        <w:tc>
          <w:tcPr>
            <w:tcW w:w="13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($1,667)</w:t>
            </w:r>
          </w:p>
        </w:tc>
        <w:tc>
          <w:tcPr>
            <w:tcW w:w="160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($334)</w:t>
            </w:r>
          </w:p>
        </w:tc>
        <w:tc>
          <w:tcPr>
            <w:tcW w:w="1180" w:type="dxa"/>
            <w:vAlign w:val="bottom"/>
          </w:tcPr>
          <w:p>
            <w:pPr>
              <w:jc w:val="right"/>
              <w:spacing w:after="0" w:line="173" w:lineRule="exact"/>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Foreign tax credits</w:t>
            </w:r>
          </w:p>
        </w:tc>
        <w:tc>
          <w:tcPr>
            <w:tcW w:w="13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(481)</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2,378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Postretirement benefits</w:t>
            </w:r>
          </w:p>
        </w:tc>
        <w:tc>
          <w:tcPr>
            <w:tcW w:w="13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1,438</w:t>
            </w:r>
          </w:p>
        </w:tc>
        <w:tc>
          <w:tcPr>
            <w:tcW w:w="1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1,482</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(18,337)</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Net impact to operating loss carryforwards</w:t>
            </w:r>
          </w:p>
        </w:tc>
        <w:tc>
          <w:tcPr>
            <w:tcW w:w="13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6,120</w:t>
            </w:r>
          </w:p>
        </w:tc>
        <w:tc>
          <w:tcPr>
            <w:tcW w:w="16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(6,897)</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5"/>
        </w:trPr>
        <w:tc>
          <w:tcPr>
            <w:tcW w:w="7340" w:type="dxa"/>
            <w:vAlign w:val="bottom"/>
            <w:gridSpan w:val="2"/>
          </w:tcPr>
          <w:p>
            <w:pPr>
              <w:spacing w:after="0"/>
              <w:rPr>
                <w:sz w:val="20"/>
                <w:szCs w:val="20"/>
                <w:color w:val="auto"/>
              </w:rPr>
            </w:pPr>
            <w:r>
              <w:rPr>
                <w:rFonts w:ascii="Arial" w:cs="Arial" w:eastAsia="Arial" w:hAnsi="Arial"/>
                <w:sz w:val="18"/>
                <w:szCs w:val="18"/>
                <w:color w:val="auto"/>
              </w:rPr>
              <w:t>Enacted changes in tax laws and rates</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(282)</w:t>
            </w:r>
          </w:p>
        </w:tc>
        <w:tc>
          <w:tcPr>
            <w:tcW w:w="118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beginning-of-the-year valuation</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(109)</w:t>
            </w: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allowance balance for changes in circumstances</w:t>
            </w:r>
          </w:p>
        </w:tc>
        <w:tc>
          <w:tcPr>
            <w:tcW w:w="13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(3,741)</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$5,301</w:t>
            </w:r>
          </w:p>
        </w:tc>
        <w:tc>
          <w:tcPr>
            <w:tcW w:w="16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($7,394)</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($18,601)</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U.S. federal statutory tax rate to the Company’s effective income tax rate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top w:val="single" w:sz="8" w:color="auto"/>
              <w:bottom w:val="single" w:sz="8" w:color="auto"/>
            </w:tcBorders>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line="173" w:lineRule="exact"/>
              <w:rPr>
                <w:sz w:val="20"/>
                <w:szCs w:val="20"/>
                <w:color w:val="auto"/>
              </w:rPr>
            </w:pPr>
            <w:r>
              <w:rPr>
                <w:rFonts w:ascii="Arial" w:cs="Arial" w:eastAsia="Arial" w:hAnsi="Arial"/>
                <w:sz w:val="18"/>
                <w:szCs w:val="18"/>
                <w:color w:val="auto"/>
              </w:rPr>
              <w:t>U.S. federal statutory tax rate</w:t>
            </w:r>
          </w:p>
        </w:tc>
        <w:tc>
          <w:tcPr>
            <w:tcW w:w="228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35.0 %</w:t>
            </w:r>
          </w:p>
        </w:tc>
        <w:tc>
          <w:tcPr>
            <w:tcW w:w="124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35.0</w:t>
            </w:r>
            <w:r>
              <w:rPr>
                <w:rFonts w:ascii="Arial" w:cs="Arial" w:eastAsia="Arial" w:hAnsi="Arial"/>
                <w:sz w:val="18"/>
                <w:szCs w:val="18"/>
                <w:b w:val="1"/>
                <w:bCs w:val="1"/>
                <w:color w:val="auto"/>
              </w:rPr>
              <w:t>%</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35.0</w:t>
            </w:r>
          </w:p>
        </w:tc>
        <w:tc>
          <w:tcPr>
            <w:tcW w:w="320" w:type="dxa"/>
            <w:vAlign w:val="bottom"/>
          </w:tcPr>
          <w:p>
            <w:pPr>
              <w:jc w:val="right"/>
              <w:ind w:right="30"/>
              <w:spacing w:after="0" w:line="173"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22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1.7</w:t>
            </w:r>
          </w:p>
        </w:tc>
        <w:tc>
          <w:tcPr>
            <w:tcW w:w="12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Non-U.S. local income taxes</w:t>
            </w:r>
          </w:p>
        </w:tc>
        <w:tc>
          <w:tcPr>
            <w:tcW w:w="22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4.0</w:t>
            </w:r>
          </w:p>
        </w:tc>
        <w:tc>
          <w:tcPr>
            <w:tcW w:w="12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320" w:type="dxa"/>
            <w:vAlign w:val="bottom"/>
          </w:tcPr>
          <w:p>
            <w:pPr>
              <w:spacing w:after="0"/>
              <w:rPr>
                <w:sz w:val="17"/>
                <w:szCs w:val="17"/>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Foreign adjustments and rate differential</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(10.2)</w:t>
            </w:r>
          </w:p>
        </w:tc>
        <w:tc>
          <w:tcPr>
            <w:tcW w:w="12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U.S. tax on non-U.S. earnings and foreign withholdings</w:t>
            </w:r>
          </w:p>
        </w:tc>
        <w:tc>
          <w:tcPr>
            <w:tcW w:w="22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8.0</w:t>
            </w:r>
          </w:p>
        </w:tc>
        <w:tc>
          <w:tcPr>
            <w:tcW w:w="12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22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1.0</w:t>
            </w:r>
          </w:p>
        </w:tc>
        <w:tc>
          <w:tcPr>
            <w:tcW w:w="12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320" w:type="dxa"/>
            <w:vAlign w:val="bottom"/>
          </w:tcPr>
          <w:p>
            <w:pPr>
              <w:spacing w:after="0"/>
              <w:rPr>
                <w:sz w:val="17"/>
                <w:szCs w:val="17"/>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 and other tax credits</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(1.6)</w:t>
            </w:r>
          </w:p>
        </w:tc>
        <w:tc>
          <w:tcPr>
            <w:tcW w:w="12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320" w:type="dxa"/>
            <w:vAlign w:val="bottom"/>
          </w:tcPr>
          <w:p>
            <w:pPr>
              <w:spacing w:after="0"/>
              <w:rPr>
                <w:sz w:val="17"/>
                <w:szCs w:val="17"/>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for/adjustment to beginning of year valuation allowances</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(0.2)</w:t>
            </w:r>
          </w:p>
        </w:tc>
        <w:tc>
          <w:tcPr>
            <w:tcW w:w="12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(12.0)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r>
      <w:tr>
        <w:trPr>
          <w:trHeight w:val="225"/>
        </w:trPr>
        <w:tc>
          <w:tcPr>
            <w:tcW w:w="6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0.4</w:t>
            </w: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tcPr>
          <w:p>
            <w:pPr>
              <w:spacing w:after="0"/>
              <w:rPr>
                <w:sz w:val="19"/>
                <w:szCs w:val="19"/>
                <w:color w:val="auto"/>
              </w:rPr>
            </w:pPr>
          </w:p>
        </w:tc>
      </w:tr>
      <w:tr>
        <w:trPr>
          <w:trHeight w:val="196"/>
        </w:trPr>
        <w:tc>
          <w:tcPr>
            <w:tcW w:w="64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Effective income tax rate</w:t>
            </w:r>
          </w:p>
        </w:tc>
        <w:tc>
          <w:tcPr>
            <w:tcW w:w="22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38.1 %</w:t>
            </w:r>
          </w:p>
        </w:tc>
        <w:tc>
          <w:tcPr>
            <w:tcW w:w="12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 The foreign income tax rate differential that</w:t>
      </w:r>
    </w:p>
    <w:p>
      <w:pPr>
        <w:spacing w:after="0" w:line="286"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73" w:name="page74"/>
    <w:bookmarkEnd w:id="73"/>
    <w:p>
      <w:pPr>
        <w:ind w:right="100"/>
        <w:spacing w:after="0"/>
        <w:rPr>
          <w:sz w:val="20"/>
          <w:szCs w:val="20"/>
          <w:color w:val="auto"/>
        </w:rPr>
      </w:pPr>
      <w:r>
        <w:rPr>
          <w:rFonts w:ascii="Arial" w:cs="Arial" w:eastAsia="Arial" w:hAnsi="Arial"/>
          <w:sz w:val="18"/>
          <w:szCs w:val="18"/>
          <w:color w:val="auto"/>
        </w:rPr>
        <w:t>is included above in the reconciliation of the effective tax rate includes the difference between tax expense calculated at the U.S. federal statutory tax rate of 35% and the expense accrued based on lower statutory tax rates that apply in the jurisdictions where the income or loss is earned.</w:t>
      </w:r>
    </w:p>
    <w:p>
      <w:pPr>
        <w:spacing w:after="0" w:line="17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During the periods reported, income outside of the U.S. was heavily concentrated within Brazil, China, (25% tax rates) and Switzerland (8% tax rate). As a result, the foreign income tax rate differential was primarily attributable to these tax rate differences. Also, in 2013 and 2012 the income tax rate differential was significantly reduced by the pension settlement and restructuring charges outside of the U.S. that resulted in a lower tax rate benefit, as compared to the benefit calculated using the higher U.S. tax rate.</w:t>
      </w:r>
    </w:p>
    <w:p>
      <w:pPr>
        <w:spacing w:after="0" w:line="161"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2014, we identified an error in the presentation of deferred tax assets and liabilities in balance sheets prior to 2014. The previously filed Consolidated Balance Sheets presented deferred tax assets and liabilities within the same tax jurisdiction on a gross basis. ASC 740-10-45-6 requires netting of current deferred tax assets and liabilities, and netting of noncurrent deferred tax assets and liabilities. The error had no impact on Shareholders’ equity, the Consolidated Statements of Income, or the Consolidated Statements of Cash Flows. The Company concluded that the error is immaterial to any previously filed balance sheet and, accordingly, the correction is being handled as a revision to previously filed financial statements.</w:t>
      </w:r>
    </w:p>
    <w:p>
      <w:pPr>
        <w:spacing w:after="0" w:line="165"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The following table presents amounts previously reported in the 2013 Consolidated Balance Sheet, the correction, and the 2013 amounts in the accompanying Consolidated Balance Sheet.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4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Total deferred taxes Taxes receivable or</w:t>
            </w:r>
          </w:p>
        </w:tc>
        <w:tc>
          <w:tcPr>
            <w:tcW w:w="1620" w:type="dxa"/>
            <w:vAlign w:val="bottom"/>
            <w:tcBorders>
              <w:top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Total as previously</w:t>
            </w:r>
          </w:p>
        </w:tc>
        <w:tc>
          <w:tcPr>
            <w:tcW w:w="13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2013</w:t>
            </w:r>
          </w:p>
        </w:tc>
        <w:tc>
          <w:tcPr>
            <w:tcW w:w="2220" w:type="dxa"/>
            <w:vAlign w:val="bottom"/>
          </w:tcPr>
          <w:p>
            <w:pPr>
              <w:jc w:val="right"/>
              <w:ind w:right="76"/>
              <w:spacing w:after="0"/>
              <w:rPr>
                <w:sz w:val="20"/>
                <w:szCs w:val="20"/>
                <w:color w:val="auto"/>
              </w:rPr>
            </w:pPr>
            <w:r>
              <w:rPr>
                <w:rFonts w:ascii="Arial" w:cs="Arial" w:eastAsia="Arial" w:hAnsi="Arial"/>
                <w:sz w:val="14"/>
                <w:szCs w:val="14"/>
                <w:b w:val="1"/>
                <w:bCs w:val="1"/>
                <w:color w:val="auto"/>
              </w:rPr>
              <w:t>as reported in tax</w:t>
            </w:r>
          </w:p>
        </w:tc>
        <w:tc>
          <w:tcPr>
            <w:tcW w:w="1400" w:type="dxa"/>
            <w:vAlign w:val="bottom"/>
          </w:tcPr>
          <w:p>
            <w:pPr>
              <w:jc w:val="right"/>
              <w:ind w:right="134"/>
              <w:spacing w:after="0"/>
              <w:rPr>
                <w:sz w:val="20"/>
                <w:szCs w:val="20"/>
                <w:color w:val="auto"/>
              </w:rPr>
            </w:pPr>
            <w:r>
              <w:rPr>
                <w:rFonts w:ascii="Arial" w:cs="Arial" w:eastAsia="Arial" w:hAnsi="Arial"/>
                <w:sz w:val="14"/>
                <w:szCs w:val="14"/>
                <w:b w:val="1"/>
                <w:bCs w:val="1"/>
                <w:color w:val="auto"/>
              </w:rPr>
              <w:t>payable, and tax</w:t>
            </w:r>
          </w:p>
        </w:tc>
        <w:tc>
          <w:tcPr>
            <w:tcW w:w="1620" w:type="dxa"/>
            <w:vAlign w:val="bottom"/>
          </w:tcPr>
          <w:p>
            <w:pPr>
              <w:jc w:val="center"/>
              <w:ind w:right="16"/>
              <w:spacing w:after="0"/>
              <w:rPr>
                <w:sz w:val="20"/>
                <w:szCs w:val="20"/>
                <w:color w:val="auto"/>
              </w:rPr>
            </w:pPr>
            <w:r>
              <w:rPr>
                <w:rFonts w:ascii="Arial" w:cs="Arial" w:eastAsia="Arial" w:hAnsi="Arial"/>
                <w:sz w:val="14"/>
                <w:szCs w:val="14"/>
                <w:b w:val="1"/>
                <w:bCs w:val="1"/>
                <w:color w:val="auto"/>
              </w:rPr>
              <w:t>reported in Balance</w:t>
            </w:r>
          </w:p>
        </w:tc>
        <w:tc>
          <w:tcPr>
            <w:tcW w:w="1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Corrected Balance</w:t>
            </w:r>
          </w:p>
        </w:tc>
      </w:tr>
      <w:tr>
        <w:trPr>
          <w:trHeight w:val="175"/>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footnote</w:t>
            </w: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reserves</w:t>
            </w:r>
          </w:p>
        </w:tc>
        <w:tc>
          <w:tcPr>
            <w:tcW w:w="1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Sheet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 of revision</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sheet as revised</w:t>
            </w:r>
          </w:p>
        </w:tc>
      </w:tr>
      <w:tr>
        <w:trPr>
          <w:trHeight w:val="195"/>
        </w:trPr>
        <w:tc>
          <w:tcPr>
            <w:tcW w:w="3460" w:type="dxa"/>
            <w:vAlign w:val="bottom"/>
            <w:gridSpan w:val="2"/>
          </w:tcPr>
          <w:p>
            <w:pPr>
              <w:spacing w:after="0" w:line="195" w:lineRule="exact"/>
              <w:rPr>
                <w:sz w:val="20"/>
                <w:szCs w:val="20"/>
                <w:color w:val="auto"/>
              </w:rPr>
            </w:pPr>
            <w:r>
              <w:rPr>
                <w:rFonts w:ascii="Arial" w:cs="Arial" w:eastAsia="Arial" w:hAnsi="Arial"/>
                <w:sz w:val="18"/>
                <w:szCs w:val="18"/>
                <w:color w:val="auto"/>
              </w:rPr>
              <w:t>Assets</w:t>
            </w:r>
          </w:p>
        </w:tc>
        <w:tc>
          <w:tcPr>
            <w:tcW w:w="2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80"/>
              <w:spacing w:after="0" w:line="202" w:lineRule="exact"/>
              <w:rPr>
                <w:sz w:val="20"/>
                <w:szCs w:val="20"/>
                <w:color w:val="auto"/>
              </w:rPr>
            </w:pPr>
            <w:r>
              <w:rPr>
                <w:rFonts w:ascii="Arial" w:cs="Arial" w:eastAsia="Arial" w:hAnsi="Arial"/>
                <w:sz w:val="18"/>
                <w:szCs w:val="18"/>
                <w:color w:val="auto"/>
              </w:rPr>
              <w:t>Deferred taxes</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$13,873</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$13,873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($968)</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$12,905</w:t>
            </w: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Taxes receivable and deferred</w:t>
            </w:r>
          </w:p>
        </w:tc>
        <w:tc>
          <w:tcPr>
            <w:tcW w:w="2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103,185</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16,427</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119,612</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(39,763)</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79,849</w:t>
            </w:r>
          </w:p>
        </w:tc>
      </w:tr>
      <w:tr>
        <w:trPr>
          <w:trHeight w:val="196"/>
        </w:trPr>
        <w:tc>
          <w:tcPr>
            <w:tcW w:w="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$117,058</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$16,427</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$133,485</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($40,731)</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$92,754</w:t>
            </w:r>
          </w:p>
        </w:tc>
      </w:tr>
      <w:tr>
        <w:trPr>
          <w:trHeight w:val="398"/>
        </w:trPr>
        <w:tc>
          <w:tcPr>
            <w:tcW w:w="34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80"/>
              <w:spacing w:after="0" w:line="202" w:lineRule="exact"/>
              <w:rPr>
                <w:sz w:val="20"/>
                <w:szCs w:val="20"/>
                <w:color w:val="auto"/>
              </w:rPr>
            </w:pPr>
            <w:r>
              <w:rPr>
                <w:rFonts w:ascii="Arial" w:cs="Arial" w:eastAsia="Arial" w:hAnsi="Arial"/>
                <w:sz w:val="18"/>
                <w:szCs w:val="18"/>
                <w:color w:val="auto"/>
              </w:rPr>
              <w:t>Taxes payable and deferred</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$3,855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$1,536</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$5,391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$4,429</w:t>
            </w: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Deferred taxes and other credits</w:t>
            </w:r>
          </w:p>
        </w:tc>
        <w:tc>
          <w:tcPr>
            <w:tcW w:w="2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46,690</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7,786</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54,476</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(39,769)</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14,707</w:t>
            </w:r>
          </w:p>
        </w:tc>
      </w:tr>
      <w:tr>
        <w:trPr>
          <w:trHeight w:val="196"/>
        </w:trPr>
        <w:tc>
          <w:tcPr>
            <w:tcW w:w="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$50,545</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$9,322</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$59,867</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($40,731)</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$19,136</w:t>
            </w:r>
          </w:p>
        </w:tc>
      </w:tr>
    </w:tbl>
    <w:p>
      <w:pPr>
        <w:spacing w:after="0" w:line="377"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and the amounts used for income tax expense purposes. Significant components of the Company’s deferred tax assets and liabilities are as follows:</w:t>
      </w:r>
    </w:p>
    <w:p>
      <w:pPr>
        <w:spacing w:after="0" w:line="284"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U.S.</w:t>
            </w:r>
          </w:p>
        </w:tc>
        <w:tc>
          <w:tcPr>
            <w:tcW w:w="1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Non-U.S.</w:t>
            </w:r>
          </w:p>
        </w:tc>
        <w:tc>
          <w:tcPr>
            <w:tcW w:w="8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4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Borders>
              <w:bottom w:val="single" w:sz="8" w:color="auto"/>
            </w:tcBorders>
            <w:gridSpan w:val="2"/>
            <w:vMerge w:val="continue"/>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00" w:type="dxa"/>
            <w:vAlign w:val="bottom"/>
            <w:gridSpan w:val="2"/>
          </w:tcPr>
          <w:p>
            <w:pPr>
              <w:spacing w:after="0" w:line="195" w:lineRule="exact"/>
              <w:rPr>
                <w:sz w:val="20"/>
                <w:szCs w:val="20"/>
                <w:color w:val="auto"/>
              </w:rPr>
            </w:pPr>
            <w:r>
              <w:rPr>
                <w:rFonts w:ascii="Arial" w:cs="Arial" w:eastAsia="Arial" w:hAnsi="Arial"/>
                <w:sz w:val="18"/>
                <w:szCs w:val="18"/>
                <w:color w:val="auto"/>
              </w:rPr>
              <w:t>Current deferred tax assets:</w:t>
            </w:r>
          </w:p>
        </w:tc>
        <w:tc>
          <w:tcPr>
            <w:tcW w:w="3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$1,597</w:t>
            </w:r>
          </w:p>
        </w:tc>
        <w:tc>
          <w:tcPr>
            <w:tcW w:w="1300" w:type="dxa"/>
            <w:vAlign w:val="bottom"/>
          </w:tcPr>
          <w:p>
            <w:pPr>
              <w:spacing w:after="0"/>
              <w:rPr>
                <w:sz w:val="16"/>
                <w:szCs w:val="16"/>
                <w:color w:val="auto"/>
              </w:rPr>
            </w:pP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$1,537</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80"/>
              <w:spacing w:after="0" w:line="181" w:lineRule="exact"/>
              <w:rPr>
                <w:sz w:val="20"/>
                <w:szCs w:val="20"/>
                <w:color w:val="auto"/>
              </w:rPr>
            </w:pPr>
            <w:r>
              <w:rPr>
                <w:rFonts w:ascii="Arial" w:cs="Arial" w:eastAsia="Arial" w:hAnsi="Arial"/>
                <w:sz w:val="18"/>
                <w:szCs w:val="18"/>
                <w:color w:val="auto"/>
              </w:rPr>
              <w:t>Accounts receivable</w:t>
            </w:r>
          </w:p>
        </w:tc>
        <w:tc>
          <w:tcPr>
            <w:tcW w:w="3040" w:type="dxa"/>
            <w:vAlign w:val="bottom"/>
            <w:vMerge w:val="continue"/>
          </w:tcPr>
          <w:p>
            <w:pPr>
              <w:spacing w:after="0"/>
              <w:rPr>
                <w:sz w:val="15"/>
                <w:szCs w:val="15"/>
                <w:color w:val="auto"/>
              </w:rPr>
            </w:pPr>
          </w:p>
        </w:tc>
        <w:tc>
          <w:tcPr>
            <w:tcW w:w="13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$1,526</w:t>
            </w:r>
          </w:p>
        </w:tc>
        <w:tc>
          <w:tcPr>
            <w:tcW w:w="1440" w:type="dxa"/>
            <w:vAlign w:val="bottom"/>
            <w:vMerge w:val="continue"/>
          </w:tcPr>
          <w:p>
            <w:pPr>
              <w:spacing w:after="0"/>
              <w:rPr>
                <w:sz w:val="15"/>
                <w:szCs w:val="15"/>
                <w:color w:val="auto"/>
              </w:rPr>
            </w:pPr>
          </w:p>
        </w:tc>
        <w:tc>
          <w:tcPr>
            <w:tcW w:w="88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Inventories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343</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1,432</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1,240</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Tax credit carryforwards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1,000</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Other</w:t>
            </w:r>
          </w:p>
        </w:tc>
        <w:tc>
          <w:tcPr>
            <w:tcW w:w="3040" w:type="dxa"/>
            <w:vAlign w:val="bottom"/>
          </w:tcPr>
          <w:p>
            <w:pPr>
              <w:jc w:val="right"/>
              <w:ind w:right="190"/>
              <w:spacing w:after="0"/>
              <w:rPr>
                <w:sz w:val="20"/>
                <w:szCs w:val="20"/>
                <w:color w:val="auto"/>
              </w:rPr>
            </w:pPr>
            <w:r>
              <w:rPr>
                <w:rFonts w:ascii="Arial" w:cs="Arial" w:eastAsia="Arial" w:hAnsi="Arial"/>
                <w:sz w:val="18"/>
                <w:szCs w:val="18"/>
                <w:b w:val="1"/>
                <w:bCs w:val="1"/>
                <w:color w:val="auto"/>
              </w:rPr>
              <w:t>2,662</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2,867</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3,574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Current deferred tax assets</w:t>
            </w:r>
          </w:p>
        </w:tc>
        <w:tc>
          <w:tcPr>
            <w:tcW w:w="304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$4,602</w:t>
            </w:r>
          </w:p>
        </w:tc>
        <w:tc>
          <w:tcPr>
            <w:tcW w:w="1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80"/>
              <w:spacing w:after="0" w:line="181" w:lineRule="exact"/>
              <w:rPr>
                <w:sz w:val="20"/>
                <w:szCs w:val="20"/>
                <w:color w:val="auto"/>
              </w:rPr>
            </w:pPr>
            <w:r>
              <w:rPr>
                <w:rFonts w:ascii="Arial" w:cs="Arial" w:eastAsia="Arial" w:hAnsi="Arial"/>
                <w:sz w:val="18"/>
                <w:szCs w:val="18"/>
                <w:color w:val="auto"/>
              </w:rPr>
              <w:t>before valuation allowance</w:t>
            </w:r>
          </w:p>
        </w:tc>
        <w:tc>
          <w:tcPr>
            <w:tcW w:w="3040" w:type="dxa"/>
            <w:vAlign w:val="bottom"/>
            <w:vMerge w:val="continue"/>
          </w:tcPr>
          <w:p>
            <w:pPr>
              <w:spacing w:after="0"/>
              <w:rPr>
                <w:sz w:val="15"/>
                <w:szCs w:val="15"/>
                <w:color w:val="auto"/>
              </w:rPr>
            </w:pPr>
          </w:p>
        </w:tc>
        <w:tc>
          <w:tcPr>
            <w:tcW w:w="13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$6,825</w:t>
            </w:r>
          </w:p>
        </w:tc>
        <w:tc>
          <w:tcPr>
            <w:tcW w:w="144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$6,351</w:t>
            </w:r>
          </w:p>
        </w:tc>
        <w:tc>
          <w:tcPr>
            <w:tcW w:w="840" w:type="dxa"/>
            <w:vAlign w:val="bottom"/>
          </w:tcPr>
          <w:p>
            <w:pPr>
              <w:jc w:val="right"/>
              <w:spacing w:after="0" w:line="181" w:lineRule="exact"/>
              <w:rPr>
                <w:sz w:val="20"/>
                <w:szCs w:val="20"/>
                <w:color w:val="auto"/>
              </w:rPr>
            </w:pPr>
            <w:r>
              <w:rPr>
                <w:rFonts w:ascii="Arial" w:cs="Arial" w:eastAsia="Arial" w:hAnsi="Arial"/>
                <w:sz w:val="18"/>
                <w:szCs w:val="18"/>
                <w:color w:val="auto"/>
              </w:rPr>
              <w:t>$7,866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80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30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(497)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current deferred tax assets</w:t>
            </w:r>
          </w:p>
        </w:tc>
        <w:tc>
          <w:tcPr>
            <w:tcW w:w="304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$4,602</w:t>
            </w:r>
          </w:p>
        </w:tc>
        <w:tc>
          <w:tcPr>
            <w:tcW w:w="1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$6,825</w:t>
            </w:r>
          </w:p>
        </w:tc>
        <w:tc>
          <w:tcPr>
            <w:tcW w:w="14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$5,854</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800" w:type="dxa"/>
            <w:vAlign w:val="bottom"/>
            <w:gridSpan w:val="2"/>
          </w:tcPr>
          <w:p>
            <w:pPr>
              <w:spacing w:after="0"/>
              <w:rPr>
                <w:sz w:val="20"/>
                <w:szCs w:val="20"/>
                <w:color w:val="auto"/>
              </w:rPr>
            </w:pPr>
            <w:r>
              <w:rPr>
                <w:rFonts w:ascii="Arial" w:cs="Arial" w:eastAsia="Arial" w:hAnsi="Arial"/>
                <w:sz w:val="18"/>
                <w:szCs w:val="18"/>
                <w:color w:val="auto"/>
              </w:rPr>
              <w:t>Noncurrent deferred tax assets:</w:t>
            </w:r>
          </w:p>
        </w:tc>
        <w:tc>
          <w:tcPr>
            <w:tcW w:w="3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5,981</w:t>
            </w:r>
          </w:p>
        </w:tc>
        <w:tc>
          <w:tcPr>
            <w:tcW w:w="1300" w:type="dxa"/>
            <w:vAlign w:val="bottom"/>
          </w:tcPr>
          <w:p>
            <w:pPr>
              <w:spacing w:after="0"/>
              <w:rPr>
                <w:sz w:val="24"/>
                <w:szCs w:val="24"/>
                <w:color w:val="auto"/>
              </w:rPr>
            </w:pP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80"/>
              <w:spacing w:after="0" w:line="181" w:lineRule="exact"/>
              <w:rPr>
                <w:sz w:val="20"/>
                <w:szCs w:val="20"/>
                <w:color w:val="auto"/>
              </w:rPr>
            </w:pPr>
            <w:r>
              <w:rPr>
                <w:rFonts w:ascii="Arial" w:cs="Arial" w:eastAsia="Arial" w:hAnsi="Arial"/>
                <w:sz w:val="18"/>
                <w:szCs w:val="18"/>
                <w:color w:val="auto"/>
              </w:rPr>
              <w:t>Deferred compensation</w:t>
            </w:r>
          </w:p>
        </w:tc>
        <w:tc>
          <w:tcPr>
            <w:tcW w:w="3040" w:type="dxa"/>
            <w:vAlign w:val="bottom"/>
            <w:vMerge w:val="continue"/>
          </w:tcPr>
          <w:p>
            <w:pPr>
              <w:spacing w:after="0"/>
              <w:rPr>
                <w:sz w:val="15"/>
                <w:szCs w:val="15"/>
                <w:color w:val="auto"/>
              </w:rPr>
            </w:pPr>
          </w:p>
        </w:tc>
        <w:tc>
          <w:tcPr>
            <w:tcW w:w="13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5,794</w:t>
            </w:r>
          </w:p>
        </w:tc>
        <w:tc>
          <w:tcPr>
            <w:tcW w:w="1440" w:type="dxa"/>
            <w:vAlign w:val="bottom"/>
            <w:vMerge w:val="continue"/>
          </w:tcPr>
          <w:p>
            <w:pPr>
              <w:spacing w:after="0"/>
              <w:rPr>
                <w:sz w:val="15"/>
                <w:szCs w:val="15"/>
                <w:color w:val="auto"/>
              </w:rPr>
            </w:pPr>
          </w:p>
        </w:tc>
        <w:tc>
          <w:tcPr>
            <w:tcW w:w="86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Depreciation and amortization</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3,575</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4,289</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4,460</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Postretirement benefits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28,344</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28,038</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4,804</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Tax loss carryforwards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1,358</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1,457</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34,980</w:t>
            </w:r>
          </w:p>
        </w:tc>
        <w:tc>
          <w:tcPr>
            <w:tcW w:w="8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76,026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Tax credit carryforwards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24,426</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23,992</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1,772</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Other</w:t>
            </w:r>
          </w:p>
        </w:tc>
        <w:tc>
          <w:tcPr>
            <w:tcW w:w="3040" w:type="dxa"/>
            <w:vAlign w:val="bottom"/>
          </w:tcPr>
          <w:p>
            <w:pPr>
              <w:jc w:val="right"/>
              <w:ind w:right="190"/>
              <w:spacing w:after="0"/>
              <w:rPr>
                <w:sz w:val="20"/>
                <w:szCs w:val="20"/>
                <w:color w:val="auto"/>
              </w:rPr>
            </w:pPr>
            <w:r>
              <w:rPr>
                <w:rFonts w:ascii="Arial" w:cs="Arial" w:eastAsia="Arial" w:hAnsi="Arial"/>
                <w:sz w:val="18"/>
                <w:szCs w:val="18"/>
                <w:b w:val="1"/>
                <w:bCs w:val="1"/>
                <w:color w:val="auto"/>
              </w:rPr>
              <w:t>2,939</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2,834</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428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Noncurrent deferred tax assets</w:t>
            </w:r>
          </w:p>
        </w:tc>
        <w:tc>
          <w:tcPr>
            <w:tcW w:w="304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66,623</w:t>
            </w:r>
          </w:p>
        </w:tc>
        <w:tc>
          <w:tcPr>
            <w:tcW w:w="1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46,444</w:t>
            </w: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before valuation allowance</w:t>
            </w:r>
          </w:p>
        </w:tc>
        <w:tc>
          <w:tcPr>
            <w:tcW w:w="3040" w:type="dxa"/>
            <w:vAlign w:val="bottom"/>
            <w:vMerge w:val="continue"/>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66,404</w:t>
            </w:r>
          </w:p>
        </w:tc>
        <w:tc>
          <w:tcPr>
            <w:tcW w:w="14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30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(21,363)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(49,169)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noncurrent deferred tax assets</w:t>
            </w:r>
          </w:p>
        </w:tc>
        <w:tc>
          <w:tcPr>
            <w:tcW w:w="3040" w:type="dxa"/>
            <w:vAlign w:val="bottom"/>
            <w:tcBorders>
              <w:top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66,623</w:t>
            </w:r>
          </w:p>
        </w:tc>
        <w:tc>
          <w:tcPr>
            <w:tcW w:w="1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66,404</w:t>
            </w:r>
          </w:p>
        </w:tc>
        <w:tc>
          <w:tcPr>
            <w:tcW w:w="1440" w:type="dxa"/>
            <w:vAlign w:val="bottom"/>
            <w:tcBorders>
              <w:top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25,081</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36,781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8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w:t>
            </w:r>
          </w:p>
        </w:tc>
        <w:tc>
          <w:tcPr>
            <w:tcW w:w="3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$71,225</w:t>
            </w:r>
          </w:p>
        </w:tc>
        <w:tc>
          <w:tcPr>
            <w:tcW w:w="13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$73,229</w:t>
            </w:r>
          </w:p>
        </w:tc>
        <w:tc>
          <w:tcPr>
            <w:tcW w:w="14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$30,935</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$43,829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8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00" w:type="dxa"/>
            <w:vAlign w:val="bottom"/>
            <w:gridSpan w:val="2"/>
          </w:tcPr>
          <w:p>
            <w:pPr>
              <w:spacing w:after="0" w:line="195" w:lineRule="exact"/>
              <w:rPr>
                <w:sz w:val="20"/>
                <w:szCs w:val="20"/>
                <w:color w:val="auto"/>
              </w:rPr>
            </w:pPr>
            <w:r>
              <w:rPr>
                <w:rFonts w:ascii="Arial" w:cs="Arial" w:eastAsia="Arial" w:hAnsi="Arial"/>
                <w:sz w:val="18"/>
                <w:szCs w:val="18"/>
                <w:color w:val="auto"/>
              </w:rPr>
              <w:t>Current deferred tax liabilities:</w:t>
            </w:r>
          </w:p>
        </w:tc>
        <w:tc>
          <w:tcPr>
            <w:tcW w:w="3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$3,679</w:t>
            </w:r>
          </w:p>
        </w:tc>
        <w:tc>
          <w:tcPr>
            <w:tcW w:w="1300" w:type="dxa"/>
            <w:vAlign w:val="bottom"/>
          </w:tcPr>
          <w:p>
            <w:pPr>
              <w:spacing w:after="0"/>
              <w:rPr>
                <w:sz w:val="16"/>
                <w:szCs w:val="16"/>
                <w:color w:val="auto"/>
              </w:rPr>
            </w:pP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80"/>
              <w:spacing w:after="0" w:line="181" w:lineRule="exact"/>
              <w:rPr>
                <w:sz w:val="20"/>
                <w:szCs w:val="20"/>
                <w:color w:val="auto"/>
              </w:rPr>
            </w:pPr>
            <w:r>
              <w:rPr>
                <w:rFonts w:ascii="Arial" w:cs="Arial" w:eastAsia="Arial" w:hAnsi="Arial"/>
                <w:sz w:val="18"/>
                <w:szCs w:val="18"/>
                <w:color w:val="auto"/>
              </w:rPr>
              <w:t>Unrepatriated foreign earnings</w:t>
            </w:r>
          </w:p>
        </w:tc>
        <w:tc>
          <w:tcPr>
            <w:tcW w:w="3040" w:type="dxa"/>
            <w:vAlign w:val="bottom"/>
            <w:vMerge w:val="continue"/>
          </w:tcPr>
          <w:p>
            <w:pPr>
              <w:spacing w:after="0"/>
              <w:rPr>
                <w:sz w:val="15"/>
                <w:szCs w:val="15"/>
                <w:color w:val="auto"/>
              </w:rPr>
            </w:pPr>
          </w:p>
        </w:tc>
        <w:tc>
          <w:tcPr>
            <w:tcW w:w="13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$667</w:t>
            </w:r>
          </w:p>
        </w:tc>
        <w:tc>
          <w:tcPr>
            <w:tcW w:w="1440" w:type="dxa"/>
            <w:vAlign w:val="bottom"/>
            <w:vMerge w:val="continue"/>
          </w:tcPr>
          <w:p>
            <w:pPr>
              <w:spacing w:after="0"/>
              <w:rPr>
                <w:sz w:val="15"/>
                <w:szCs w:val="15"/>
                <w:color w:val="auto"/>
              </w:rPr>
            </w:pPr>
          </w:p>
        </w:tc>
        <w:tc>
          <w:tcPr>
            <w:tcW w:w="86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Inventories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32</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577</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Pr>
          <w:p>
            <w:pPr>
              <w:spacing w:after="0" w:line="196" w:lineRule="exact"/>
              <w:rPr>
                <w:sz w:val="20"/>
                <w:szCs w:val="20"/>
                <w:color w:val="auto"/>
              </w:rPr>
            </w:pPr>
            <w:r>
              <w:rPr>
                <w:rFonts w:ascii="Arial" w:cs="Arial" w:eastAsia="Arial" w:hAnsi="Arial"/>
                <w:sz w:val="18"/>
                <w:szCs w:val="18"/>
                <w:color w:val="auto"/>
              </w:rPr>
              <w:t>Total current deferred tax liabilities</w:t>
            </w:r>
          </w:p>
        </w:tc>
        <w:tc>
          <w:tcPr>
            <w:tcW w:w="3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3,679</w:t>
            </w:r>
          </w:p>
        </w:tc>
        <w:tc>
          <w:tcPr>
            <w:tcW w:w="13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667</w:t>
            </w:r>
          </w:p>
        </w:tc>
        <w:tc>
          <w:tcPr>
            <w:tcW w:w="14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609</w:t>
            </w:r>
          </w:p>
        </w:tc>
        <w:tc>
          <w:tcPr>
            <w:tcW w:w="8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Noncurrent deferred tax liabilities:</w:t>
            </w:r>
          </w:p>
        </w:tc>
        <w:tc>
          <w:tcPr>
            <w:tcW w:w="304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11,587</w:t>
            </w:r>
          </w:p>
        </w:tc>
        <w:tc>
          <w:tcPr>
            <w:tcW w:w="1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3,106</w:t>
            </w: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80"/>
              <w:spacing w:after="0" w:line="181" w:lineRule="exact"/>
              <w:rPr>
                <w:sz w:val="20"/>
                <w:szCs w:val="20"/>
                <w:color w:val="auto"/>
              </w:rPr>
            </w:pPr>
            <w:r>
              <w:rPr>
                <w:rFonts w:ascii="Arial" w:cs="Arial" w:eastAsia="Arial" w:hAnsi="Arial"/>
                <w:sz w:val="18"/>
                <w:szCs w:val="18"/>
                <w:color w:val="auto"/>
              </w:rPr>
              <w:t>Depreciation and amortization</w:t>
            </w:r>
          </w:p>
        </w:tc>
        <w:tc>
          <w:tcPr>
            <w:tcW w:w="3040" w:type="dxa"/>
            <w:vAlign w:val="bottom"/>
            <w:vMerge w:val="continue"/>
          </w:tcPr>
          <w:p>
            <w:pPr>
              <w:spacing w:after="0"/>
              <w:rPr>
                <w:sz w:val="15"/>
                <w:szCs w:val="15"/>
                <w:color w:val="auto"/>
              </w:rPr>
            </w:pPr>
          </w:p>
        </w:tc>
        <w:tc>
          <w:tcPr>
            <w:tcW w:w="13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13,169</w:t>
            </w:r>
          </w:p>
        </w:tc>
        <w:tc>
          <w:tcPr>
            <w:tcW w:w="1440" w:type="dxa"/>
            <w:vAlign w:val="bottom"/>
            <w:vMerge w:val="continue"/>
          </w:tcPr>
          <w:p>
            <w:pPr>
              <w:spacing w:after="0"/>
              <w:rPr>
                <w:sz w:val="15"/>
                <w:szCs w:val="15"/>
                <w:color w:val="auto"/>
              </w:rPr>
            </w:pPr>
          </w:p>
        </w:tc>
        <w:tc>
          <w:tcPr>
            <w:tcW w:w="86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8,357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Postretirement benefits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1,917</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Deferred Gain</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8,396</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9,013</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Branch losses subject to recapture</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11,369</w:t>
            </w:r>
          </w:p>
        </w:tc>
        <w:tc>
          <w:tcPr>
            <w:tcW w:w="8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1,888</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Pr>
          <w:p>
            <w:pPr>
              <w:spacing w:after="0" w:line="196" w:lineRule="exact"/>
              <w:rPr>
                <w:sz w:val="20"/>
                <w:szCs w:val="20"/>
                <w:color w:val="auto"/>
              </w:rPr>
            </w:pPr>
            <w:r>
              <w:rPr>
                <w:rFonts w:ascii="Arial" w:cs="Arial" w:eastAsia="Arial" w:hAnsi="Arial"/>
                <w:sz w:val="18"/>
                <w:szCs w:val="18"/>
                <w:color w:val="auto"/>
              </w:rPr>
              <w:t>Total noncurrent deferred tax liabilities</w:t>
            </w:r>
          </w:p>
        </w:tc>
        <w:tc>
          <w:tcPr>
            <w:tcW w:w="3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19,983</w:t>
            </w:r>
          </w:p>
        </w:tc>
        <w:tc>
          <w:tcPr>
            <w:tcW w:w="13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22,182</w:t>
            </w:r>
          </w:p>
        </w:tc>
        <w:tc>
          <w:tcPr>
            <w:tcW w:w="14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18,280</w:t>
            </w:r>
          </w:p>
        </w:tc>
        <w:tc>
          <w:tcPr>
            <w:tcW w:w="8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24,508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8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3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23,662</w:t>
            </w:r>
          </w:p>
        </w:tc>
        <w:tc>
          <w:tcPr>
            <w:tcW w:w="13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22,849</w:t>
            </w:r>
          </w:p>
        </w:tc>
        <w:tc>
          <w:tcPr>
            <w:tcW w:w="14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18,889</w:t>
            </w:r>
          </w:p>
        </w:tc>
        <w:tc>
          <w:tcPr>
            <w:tcW w:w="8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27,696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8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deferred tax asset</w:t>
            </w:r>
          </w:p>
        </w:tc>
        <w:tc>
          <w:tcPr>
            <w:tcW w:w="30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$47,563</w:t>
            </w:r>
          </w:p>
        </w:tc>
        <w:tc>
          <w:tcPr>
            <w:tcW w:w="1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$50,380</w:t>
            </w:r>
          </w:p>
        </w:tc>
        <w:tc>
          <w:tcPr>
            <w:tcW w:w="14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$12,046</w:t>
            </w:r>
          </w:p>
        </w:tc>
        <w:tc>
          <w:tcPr>
            <w:tcW w:w="8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$16,133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2014, the Company recorded a net decrease in its valuation allowance of $28.1 million. The reduction in deferred valuation allowances in 2014 was principally due to the recognition of an uncertain tax benefit of $12.5 million that decreased a reserved deferred tax asset and $9.7 million related to a write-off of a reserved deferred tax loss that expired.</w:t>
      </w:r>
    </w:p>
    <w:p>
      <w:pPr>
        <w:spacing w:after="0" w:line="161"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At December 31, 2014, the Company had available approximately $250.2 million of net operating loss carryforwards, for which we have a deferred tax asset of $36.3 million, with expiration dates ranging from one year to indefinite that may be applied against future taxable income. We believe that it is more likely than not that certain benefits from these net operating loss carryforwards will not be realized and, accordingly, we have recorded a valuation allowance of $17.8 million as of December 31, 2014. Included in the net operating loss</w:t>
      </w:r>
    </w:p>
    <w:p>
      <w:pPr>
        <w:spacing w:after="0" w:line="28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75" w:name="page76"/>
    <w:bookmarkEnd w:id="75"/>
    <w:p>
      <w:pPr>
        <w:ind w:right="120"/>
        <w:spacing w:after="0" w:line="239" w:lineRule="auto"/>
        <w:rPr>
          <w:sz w:val="20"/>
          <w:szCs w:val="20"/>
          <w:color w:val="auto"/>
        </w:rPr>
      </w:pPr>
      <w:r>
        <w:rPr>
          <w:rFonts w:ascii="Arial" w:cs="Arial" w:eastAsia="Arial" w:hAnsi="Arial"/>
          <w:sz w:val="18"/>
          <w:szCs w:val="18"/>
          <w:color w:val="auto"/>
        </w:rPr>
        <w:t>carryforwards is approximately $22.3 million of state net operating loss carryforwards that are subject to various business apportionment factors and multiple jurisdictional requirements when utilized. In addition, the Company had available a foreign tax credit carryforward of $17.3 million that will begin to expire in 2019, research and development credit carryforwards of $6.6 million that will begin to expire in 2025, and alternative minimum tax credit carryforwards of $1.2 million with no expiration date.</w:t>
      </w:r>
    </w:p>
    <w:p>
      <w:pPr>
        <w:spacing w:after="0" w:line="161"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The Company reported a U.S. net deferred tax asset of $ 47.6 million at December 31, 2014, which contained $25.8 million of tax attributes with limited lives. The Company is in a cumulative book income position over the evaluation period (three-year period ending December 31, 2014). Management has evaluated its ability to utilize these tax attributes during the carryforward period. The Company’s future profits from operations, coupled with the repatriation of non-U.S. earnings will generate income of sufficient character to utilize the remaining tax attributes. Accordingly, no valuation allowance has been established for the remaining U.S. net deferred tax assets.</w:t>
      </w:r>
    </w:p>
    <w:p>
      <w:pPr>
        <w:spacing w:after="0" w:line="17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As a result, such amounts are not considered to be permanently reinvested, and the Company accrued for the residual taxes on these earnings to the extent they cannot be repatriated in a tax-free manner.</w:t>
      </w:r>
    </w:p>
    <w:p>
      <w:pPr>
        <w:spacing w:after="0" w:line="162" w:lineRule="exact"/>
        <w:rPr>
          <w:sz w:val="20"/>
          <w:szCs w:val="20"/>
          <w:color w:val="auto"/>
        </w:rPr>
      </w:pPr>
    </w:p>
    <w:p>
      <w:pPr>
        <w:jc w:val="both"/>
        <w:ind w:right="400" w:firstLine="648"/>
        <w:spacing w:after="0"/>
        <w:rPr>
          <w:sz w:val="20"/>
          <w:szCs w:val="20"/>
          <w:color w:val="auto"/>
        </w:rPr>
      </w:pPr>
      <w:r>
        <w:rPr>
          <w:rFonts w:ascii="Arial" w:cs="Arial" w:eastAsia="Arial" w:hAnsi="Arial"/>
          <w:sz w:val="18"/>
          <w:szCs w:val="18"/>
          <w:color w:val="auto"/>
        </w:rPr>
        <w:t>At December 31, 2014 the Company reported a deferred tax liability of $3.7 million on $59.4 million of non-U.S. earnings that have been targeted for future repatriation to the U.S. Included in these amounts is $1.5 million of tax expense on approximately $22.2 million of foreign earnings that were generated in 2014.</w:t>
      </w:r>
    </w:p>
    <w:p>
      <w:pPr>
        <w:spacing w:after="0" w:line="16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accumulated undistributed earnings of the Company’s foreign operations not targeted for repatriation to the U.S. were approximately $334.3 million, and are intended to remain permanently invested in foreign operations. Accordingly, no taxes have been provided on these earnings at December 31, 2014. If these earnings were distributed, the Company would be subject to both foreign withholding taxes and U.S. income taxes that may not be fully offset by foreign tax credits. Determination of the amount of any unrecognized deferred tax liability on these earnings is not practicable because of the complexities of the hypothetical calculation.</w:t>
      </w:r>
    </w:p>
    <w:p>
      <w:pPr>
        <w:spacing w:after="0" w:line="176"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following table provides a reconciliation of the beginning and ending amount of unrecognized tax benefits, all of which, if recognized, would impact the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r>
      <w:tr>
        <w:trPr>
          <w:trHeight w:val="412"/>
        </w:trPr>
        <w:tc>
          <w:tcPr>
            <w:tcW w:w="6300" w:type="dxa"/>
            <w:vAlign w:val="bottom"/>
          </w:tcPr>
          <w:p>
            <w:pPr>
              <w:spacing w:after="0"/>
              <w:rPr>
                <w:sz w:val="20"/>
                <w:szCs w:val="20"/>
                <w:color w:val="auto"/>
              </w:rPr>
            </w:pPr>
            <w:r>
              <w:rPr>
                <w:rFonts w:ascii="Arial" w:cs="Arial" w:eastAsia="Arial" w:hAnsi="Arial"/>
                <w:sz w:val="18"/>
                <w:szCs w:val="18"/>
                <w:color w:val="auto"/>
              </w:rPr>
              <w:t>Unrecognized tax benefits balance at January 1</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$12,538</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$24,386</w:t>
            </w:r>
          </w:p>
        </w:tc>
        <w:tc>
          <w:tcPr>
            <w:tcW w:w="1040" w:type="dxa"/>
            <w:vAlign w:val="bottom"/>
          </w:tcPr>
          <w:p>
            <w:pPr>
              <w:jc w:val="right"/>
              <w:spacing w:after="0"/>
              <w:rPr>
                <w:sz w:val="20"/>
                <w:szCs w:val="20"/>
                <w:color w:val="auto"/>
              </w:rPr>
            </w:pPr>
            <w:r>
              <w:rPr>
                <w:rFonts w:ascii="Arial" w:cs="Arial" w:eastAsia="Arial" w:hAnsi="Arial"/>
                <w:sz w:val="18"/>
                <w:szCs w:val="18"/>
                <w:color w:val="auto"/>
              </w:rPr>
              <w:t>$27,053</w:t>
            </w:r>
          </w:p>
        </w:tc>
      </w:tr>
      <w:tr>
        <w:trPr>
          <w:trHeight w:val="405"/>
        </w:trPr>
        <w:tc>
          <w:tcPr>
            <w:tcW w:w="6300" w:type="dxa"/>
            <w:vAlign w:val="bottom"/>
          </w:tcPr>
          <w:p>
            <w:pPr>
              <w:spacing w:after="0"/>
              <w:rPr>
                <w:sz w:val="20"/>
                <w:szCs w:val="20"/>
                <w:color w:val="auto"/>
              </w:rPr>
            </w:pPr>
            <w:r>
              <w:rPr>
                <w:rFonts w:ascii="Arial" w:cs="Arial" w:eastAsia="Arial" w:hAnsi="Arial"/>
                <w:sz w:val="18"/>
                <w:szCs w:val="18"/>
                <w:color w:val="auto"/>
              </w:rPr>
              <w:t>Increase in gross amounts of tax positions related to prior years</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14,699</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2,121</w:t>
            </w:r>
          </w:p>
        </w:tc>
        <w:tc>
          <w:tcPr>
            <w:tcW w:w="1040" w:type="dxa"/>
            <w:vAlign w:val="bottom"/>
          </w:tcPr>
          <w:p>
            <w:pPr>
              <w:jc w:val="right"/>
              <w:spacing w:after="0"/>
              <w:rPr>
                <w:sz w:val="20"/>
                <w:szCs w:val="20"/>
                <w:color w:val="auto"/>
              </w:rPr>
            </w:pPr>
            <w:r>
              <w:rPr>
                <w:rFonts w:ascii="Arial" w:cs="Arial" w:eastAsia="Arial" w:hAnsi="Arial"/>
                <w:sz w:val="18"/>
                <w:szCs w:val="18"/>
                <w:color w:val="auto"/>
              </w:rPr>
              <w:t>9,454</w:t>
            </w:r>
          </w:p>
        </w:tc>
      </w:tr>
      <w:tr>
        <w:trPr>
          <w:trHeight w:val="405"/>
        </w:trPr>
        <w:tc>
          <w:tcPr>
            <w:tcW w:w="6300" w:type="dxa"/>
            <w:vAlign w:val="bottom"/>
          </w:tcPr>
          <w:p>
            <w:pPr>
              <w:spacing w:after="0"/>
              <w:rPr>
                <w:sz w:val="20"/>
                <w:szCs w:val="20"/>
                <w:color w:val="auto"/>
              </w:rPr>
            </w:pPr>
            <w:r>
              <w:rPr>
                <w:rFonts w:ascii="Arial" w:cs="Arial" w:eastAsia="Arial" w:hAnsi="Arial"/>
                <w:sz w:val="18"/>
                <w:szCs w:val="18"/>
                <w:color w:val="auto"/>
              </w:rPr>
              <w:t>Decrease in gross amounts of tax positions related to prior years</w:t>
            </w:r>
          </w:p>
        </w:tc>
        <w:tc>
          <w:tcPr>
            <w:tcW w:w="2440" w:type="dxa"/>
            <w:vAlign w:val="bottom"/>
          </w:tcPr>
          <w:p>
            <w:pPr>
              <w:jc w:val="right"/>
              <w:ind w:right="530"/>
              <w:spacing w:after="0"/>
              <w:rPr>
                <w:sz w:val="20"/>
                <w:szCs w:val="20"/>
                <w:color w:val="auto"/>
              </w:rPr>
            </w:pPr>
            <w:r>
              <w:rPr>
                <w:rFonts w:ascii="Arial" w:cs="Arial" w:eastAsia="Arial" w:hAnsi="Arial"/>
                <w:sz w:val="18"/>
                <w:szCs w:val="18"/>
                <w:b w:val="1"/>
                <w:bCs w:val="1"/>
                <w:color w:val="auto"/>
              </w:rPr>
              <w:t>(67)</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6300" w:type="dxa"/>
            <w:vAlign w:val="bottom"/>
          </w:tcPr>
          <w:p>
            <w:pPr>
              <w:spacing w:after="0"/>
              <w:rPr>
                <w:sz w:val="20"/>
                <w:szCs w:val="20"/>
                <w:color w:val="auto"/>
              </w:rPr>
            </w:pPr>
            <w:r>
              <w:rPr>
                <w:rFonts w:ascii="Arial" w:cs="Arial" w:eastAsia="Arial" w:hAnsi="Arial"/>
                <w:sz w:val="18"/>
                <w:szCs w:val="18"/>
                <w:color w:val="auto"/>
              </w:rPr>
              <w:t>Increase in gross amounts of tax positions related to current year</w:t>
            </w:r>
          </w:p>
        </w:tc>
        <w:tc>
          <w:tcPr>
            <w:tcW w:w="2440" w:type="dxa"/>
            <w:vAlign w:val="bottom"/>
          </w:tcPr>
          <w:p>
            <w:pPr>
              <w:jc w:val="right"/>
              <w:ind w:right="530"/>
              <w:spacing w:after="0"/>
              <w:rPr>
                <w:sz w:val="20"/>
                <w:szCs w:val="20"/>
                <w:color w:val="auto"/>
              </w:rPr>
            </w:pPr>
            <w:r>
              <w:rPr>
                <w:rFonts w:ascii="Arial" w:cs="Arial" w:eastAsia="Arial" w:hAnsi="Arial"/>
                <w:sz w:val="18"/>
                <w:szCs w:val="18"/>
                <w:b w:val="1"/>
                <w:bCs w:val="1"/>
                <w:color w:val="auto"/>
              </w:rPr>
              <w:t>1,077</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2,622</w:t>
            </w:r>
          </w:p>
        </w:tc>
        <w:tc>
          <w:tcPr>
            <w:tcW w:w="10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405"/>
        </w:trPr>
        <w:tc>
          <w:tcPr>
            <w:tcW w:w="6300" w:type="dxa"/>
            <w:vAlign w:val="bottom"/>
          </w:tcPr>
          <w:p>
            <w:pPr>
              <w:spacing w:after="0"/>
              <w:rPr>
                <w:sz w:val="20"/>
                <w:szCs w:val="20"/>
                <w:color w:val="auto"/>
              </w:rPr>
            </w:pPr>
            <w:r>
              <w:rPr>
                <w:rFonts w:ascii="Arial" w:cs="Arial" w:eastAsia="Arial" w:hAnsi="Arial"/>
                <w:sz w:val="18"/>
                <w:szCs w:val="18"/>
                <w:color w:val="auto"/>
              </w:rPr>
              <w:t>Decrease due to settlements with tax authorities</w:t>
            </w:r>
          </w:p>
        </w:tc>
        <w:tc>
          <w:tcPr>
            <w:tcW w:w="2440" w:type="dxa"/>
            <w:vAlign w:val="bottom"/>
          </w:tcPr>
          <w:p>
            <w:pPr>
              <w:jc w:val="right"/>
              <w:ind w:right="530"/>
              <w:spacing w:after="0"/>
              <w:rPr>
                <w:sz w:val="20"/>
                <w:szCs w:val="20"/>
                <w:color w:val="auto"/>
              </w:rPr>
            </w:pPr>
            <w:r>
              <w:rPr>
                <w:rFonts w:ascii="Arial" w:cs="Arial" w:eastAsia="Arial" w:hAnsi="Arial"/>
                <w:sz w:val="18"/>
                <w:szCs w:val="18"/>
                <w:b w:val="1"/>
                <w:bCs w:val="1"/>
                <w:color w:val="auto"/>
              </w:rPr>
              <w:t>(32)</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(16,721)</w:t>
            </w:r>
          </w:p>
        </w:tc>
        <w:tc>
          <w:tcPr>
            <w:tcW w:w="1040" w:type="dxa"/>
            <w:vAlign w:val="bottom"/>
          </w:tcPr>
          <w:p>
            <w:pPr>
              <w:jc w:val="right"/>
              <w:spacing w:after="0"/>
              <w:rPr>
                <w:sz w:val="20"/>
                <w:szCs w:val="20"/>
                <w:color w:val="auto"/>
              </w:rPr>
            </w:pPr>
            <w:r>
              <w:rPr>
                <w:rFonts w:ascii="Arial" w:cs="Arial" w:eastAsia="Arial" w:hAnsi="Arial"/>
                <w:sz w:val="18"/>
                <w:szCs w:val="18"/>
                <w:color w:val="auto"/>
              </w:rPr>
              <w:t>(13,099)</w:t>
            </w:r>
          </w:p>
        </w:tc>
      </w:tr>
      <w:tr>
        <w:trPr>
          <w:trHeight w:val="405"/>
        </w:trPr>
        <w:tc>
          <w:tcPr>
            <w:tcW w:w="6300" w:type="dxa"/>
            <w:vAlign w:val="bottom"/>
          </w:tcPr>
          <w:p>
            <w:pPr>
              <w:spacing w:after="0"/>
              <w:rPr>
                <w:sz w:val="20"/>
                <w:szCs w:val="20"/>
                <w:color w:val="auto"/>
              </w:rPr>
            </w:pPr>
            <w:r>
              <w:rPr>
                <w:rFonts w:ascii="Arial" w:cs="Arial" w:eastAsia="Arial" w:hAnsi="Arial"/>
                <w:sz w:val="18"/>
                <w:szCs w:val="18"/>
                <w:color w:val="auto"/>
              </w:rPr>
              <w:t>Decrease due to lapse in statute of limitations</w:t>
            </w:r>
          </w:p>
        </w:tc>
        <w:tc>
          <w:tcPr>
            <w:tcW w:w="2440" w:type="dxa"/>
            <w:vAlign w:val="bottom"/>
          </w:tcPr>
          <w:p>
            <w:pPr>
              <w:jc w:val="right"/>
              <w:ind w:right="530"/>
              <w:spacing w:after="0"/>
              <w:rPr>
                <w:sz w:val="20"/>
                <w:szCs w:val="20"/>
                <w:color w:val="auto"/>
              </w:rPr>
            </w:pPr>
            <w:r>
              <w:rPr>
                <w:rFonts w:ascii="Arial" w:cs="Arial" w:eastAsia="Arial" w:hAnsi="Arial"/>
                <w:sz w:val="18"/>
                <w:szCs w:val="18"/>
                <w:b w:val="1"/>
                <w:bCs w:val="1"/>
                <w:color w:val="auto"/>
              </w:rPr>
              <w:t>(6,775)</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05"/>
        </w:trPr>
        <w:tc>
          <w:tcPr>
            <w:tcW w:w="6300" w:type="dxa"/>
            <w:vAlign w:val="bottom"/>
          </w:tcPr>
          <w:p>
            <w:pPr>
              <w:spacing w:after="0"/>
              <w:rPr>
                <w:sz w:val="20"/>
                <w:szCs w:val="20"/>
                <w:color w:val="auto"/>
              </w:rPr>
            </w:pPr>
            <w:r>
              <w:rPr>
                <w:rFonts w:ascii="Arial" w:cs="Arial" w:eastAsia="Arial" w:hAnsi="Arial"/>
                <w:sz w:val="18"/>
                <w:szCs w:val="18"/>
                <w:color w:val="auto"/>
              </w:rPr>
              <w:t>Currency translation</w:t>
            </w:r>
          </w:p>
        </w:tc>
        <w:tc>
          <w:tcPr>
            <w:tcW w:w="2440" w:type="dxa"/>
            <w:vAlign w:val="bottom"/>
          </w:tcPr>
          <w:p>
            <w:pPr>
              <w:jc w:val="right"/>
              <w:ind w:right="530"/>
              <w:spacing w:after="0"/>
              <w:rPr>
                <w:sz w:val="20"/>
                <w:szCs w:val="20"/>
                <w:color w:val="auto"/>
              </w:rPr>
            </w:pPr>
            <w:r>
              <w:rPr>
                <w:rFonts w:ascii="Arial" w:cs="Arial" w:eastAsia="Arial" w:hAnsi="Arial"/>
                <w:sz w:val="18"/>
                <w:szCs w:val="18"/>
                <w:b w:val="1"/>
                <w:bCs w:val="1"/>
                <w:color w:val="auto"/>
              </w:rPr>
              <w:t>(1,931)</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130</w:t>
            </w: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189"/>
        </w:trPr>
        <w:tc>
          <w:tcPr>
            <w:tcW w:w="6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6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Unrecognized tax benefits balance at December 31</w:t>
            </w:r>
          </w:p>
        </w:tc>
        <w:tc>
          <w:tcPr>
            <w:tcW w:w="24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$19,509</w:t>
            </w:r>
          </w:p>
        </w:tc>
        <w:tc>
          <w:tcPr>
            <w:tcW w:w="16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$12,538</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$24,386</w:t>
            </w:r>
          </w:p>
        </w:tc>
      </w:tr>
      <w:tr>
        <w:trPr>
          <w:trHeight w:val="709"/>
        </w:trPr>
        <w:tc>
          <w:tcPr>
            <w:tcW w:w="6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68"/>
        </w:trPr>
        <w:tc>
          <w:tcPr>
            <w:tcW w:w="63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68"/>
        </w:trPr>
        <w:tc>
          <w:tcPr>
            <w:tcW w:w="6300" w:type="dxa"/>
            <w:vAlign w:val="bottom"/>
            <w:shd w:val="clear" w:color="auto" w:fill="000000"/>
          </w:tcPr>
          <w:p>
            <w:pPr>
              <w:spacing w:after="0"/>
              <w:rPr>
                <w:sz w:val="5"/>
                <w:szCs w:val="5"/>
                <w:color w:val="auto"/>
              </w:rPr>
            </w:pPr>
          </w:p>
        </w:tc>
        <w:tc>
          <w:tcPr>
            <w:tcW w:w="244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w:t>
      </w:r>
    </w:p>
    <w:p>
      <w:pPr>
        <w:spacing w:after="0" w:line="234" w:lineRule="auto"/>
        <w:rPr>
          <w:sz w:val="20"/>
          <w:szCs w:val="20"/>
          <w:color w:val="auto"/>
        </w:rPr>
      </w:pPr>
      <w:r>
        <w:rPr>
          <w:rFonts w:ascii="Arial" w:cs="Arial" w:eastAsia="Arial" w:hAnsi="Arial"/>
          <w:sz w:val="18"/>
          <w:szCs w:val="18"/>
          <w:color w:val="auto"/>
        </w:rPr>
        <w:t>income tax expense. The Company recognized interest and penalties related to the unrecognized tax benefits noted above of $1.0 million,</w:t>
      </w:r>
    </w:p>
    <w:p>
      <w:pPr>
        <w:spacing w:after="0" w:line="235" w:lineRule="auto"/>
        <w:rPr>
          <w:sz w:val="20"/>
          <w:szCs w:val="20"/>
          <w:color w:val="auto"/>
        </w:rPr>
      </w:pPr>
      <w:r>
        <w:rPr>
          <w:rFonts w:ascii="Arial" w:cs="Arial" w:eastAsia="Arial" w:hAnsi="Arial"/>
          <w:sz w:val="18"/>
          <w:szCs w:val="18"/>
          <w:color w:val="auto"/>
        </w:rPr>
        <w:t>($1.3) million and ($6.4) million in the Consolidated Statements of Income in 2014, 2013 and 2012, respectively. The 2013 and 2012 negative</w:t>
      </w:r>
    </w:p>
    <w:p>
      <w:pPr>
        <w:spacing w:after="0" w:line="235" w:lineRule="auto"/>
        <w:rPr>
          <w:sz w:val="20"/>
          <w:szCs w:val="20"/>
          <w:color w:val="auto"/>
        </w:rPr>
      </w:pPr>
      <w:r>
        <w:rPr>
          <w:rFonts w:ascii="Arial" w:cs="Arial" w:eastAsia="Arial" w:hAnsi="Arial"/>
          <w:sz w:val="18"/>
          <w:szCs w:val="18"/>
          <w:color w:val="auto"/>
        </w:rPr>
        <w:t>amounts include the reversal of $1.4 million and $7.4 million of interest and penalties related to the settlement of audits, respectively. As of</w:t>
      </w:r>
    </w:p>
    <w:p>
      <w:pPr>
        <w:spacing w:after="0" w:line="235" w:lineRule="auto"/>
        <w:rPr>
          <w:sz w:val="20"/>
          <w:szCs w:val="20"/>
          <w:color w:val="auto"/>
        </w:rPr>
      </w:pPr>
      <w:r>
        <w:rPr>
          <w:rFonts w:ascii="Arial" w:cs="Arial" w:eastAsia="Arial" w:hAnsi="Arial"/>
          <w:sz w:val="18"/>
          <w:szCs w:val="18"/>
          <w:color w:val="auto"/>
        </w:rPr>
        <w:t>December 31, 2014, 2013, and 2012 the Company had approximately $0.4 million, $0.1 million, and $1.4 million respectively, of accrued</w:t>
      </w:r>
    </w:p>
    <w:p>
      <w:pPr>
        <w:spacing w:after="0"/>
        <w:rPr>
          <w:sz w:val="20"/>
          <w:szCs w:val="20"/>
          <w:color w:val="auto"/>
        </w:rPr>
      </w:pPr>
      <w:r>
        <w:rPr>
          <w:rFonts w:ascii="Arial" w:cs="Arial" w:eastAsia="Arial" w:hAnsi="Arial"/>
          <w:sz w:val="18"/>
          <w:szCs w:val="18"/>
          <w:color w:val="auto"/>
        </w:rPr>
        <w:t>interest and penalties related to unrecognized tax benefits.</w:t>
      </w:r>
    </w:p>
    <w:p>
      <w:pPr>
        <w:spacing w:after="0" w:line="185"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We conduct business globally and, as a result, the Company files income tax returns in the U.S. federal jurisdiction and various state and foreign jurisdictions. In the normal course of business we are subject to examination by taxing authorities throughout the world, including major jurisdictions such as the United States, Brazil, Canada, France, Germany, Italy, Mexico, and Switzerland. The open tax years in these jurisdictions range from 2000 to 2014. We are currently under audit in the U.S. and in other non-U.S. tax jurisdictions, including but not limited to Canada, Germany, and Italy.</w:t>
      </w:r>
    </w:p>
    <w:p>
      <w:pPr>
        <w:spacing w:after="0" w:line="162" w:lineRule="exact"/>
        <w:rPr>
          <w:sz w:val="20"/>
          <w:szCs w:val="20"/>
          <w:color w:val="auto"/>
        </w:rPr>
      </w:pPr>
    </w:p>
    <w:p>
      <w:pPr>
        <w:jc w:val="both"/>
        <w:ind w:right="80"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$ 8.8 million to a net decrease of $2.4 million, from the reevaluation of uncertain tax positions arising in examinations, in appeals, or in the courts, or from the closure of tax statutes.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Company recognized current and deferred tax benefits of approximately $25.3 million on their corporate income tax returns filed in Germany related to a 1999 reorganization that have been challenged by the German tax authorities in the course of an audit.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On July 2, 2014, the FTC conducted a hearing in the aforementioned case involving the other taxpayer, and the taxpayer lost. The final written decision of the FTC was published during the fourth quarter of 2014. Although the decision of the FTC in the case is not determinative of the outcome in our case, management views the conclusion of this matter as an opportunity to approach the German tax authorities with the goal of a settlement agreement. We were required to pay tax and interest of approximately $14.5 million to the German tax authorities in order to pursue our appeal position. In anticipation of a settlement, a portion of the prepaid taxes and interest along with certain deferred tax assets were adjusted downward by $6.3 million in 2014. The recognition of the uncertain tax position in deferred tax assets was partially offset by a reduction in a valuation allowance that offset the deferred tax assets. The remaining tax benefits sustained on the books are related to current tax benefits that were recognized in earlier tax years. Included in the range above is approximately $8.8 million of tax benefits that will continue to be challenged by the German tax authorities.</w:t>
      </w:r>
    </w:p>
    <w:p>
      <w:pPr>
        <w:spacing w:after="0" w:line="187"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deferred tax amounts reported below and in the Consolidated Balance Sheets have been revised to properly reflect the netting of current and noncurrent deferred tax assets and liabilities that had previously not been completed in accordance with ASC 740-10-45-6.</w:t>
      </w:r>
    </w:p>
    <w:p>
      <w:pPr>
        <w:spacing w:after="0" w:line="156"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As of December 31, 2014 and 2013 and including the effect of the revision to 2013 described above, noncurrent taxes receivable and deferred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5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r>
      <w:tr>
        <w:trPr>
          <w:trHeight w:val="173"/>
        </w:trPr>
        <w:tc>
          <w:tcPr>
            <w:tcW w:w="6400" w:type="dxa"/>
            <w:vAlign w:val="bottom"/>
          </w:tcPr>
          <w:p>
            <w:pPr>
              <w:spacing w:after="0" w:line="173" w:lineRule="exact"/>
              <w:rPr>
                <w:sz w:val="20"/>
                <w:szCs w:val="20"/>
                <w:color w:val="auto"/>
              </w:rPr>
            </w:pPr>
            <w:r>
              <w:rPr>
                <w:rFonts w:ascii="Arial" w:cs="Arial" w:eastAsia="Arial" w:hAnsi="Arial"/>
                <w:sz w:val="18"/>
                <w:szCs w:val="18"/>
                <w:color w:val="auto"/>
              </w:rPr>
              <w:t>Income taxes receivable</w:t>
            </w:r>
          </w:p>
        </w:tc>
        <w:tc>
          <w:tcPr>
            <w:tcW w:w="356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$10,518</w:t>
            </w:r>
          </w:p>
        </w:tc>
        <w:tc>
          <w:tcPr>
            <w:tcW w:w="1460" w:type="dxa"/>
            <w:vAlign w:val="bottom"/>
          </w:tcPr>
          <w:p>
            <w:pPr>
              <w:jc w:val="right"/>
              <w:spacing w:after="0" w:line="173" w:lineRule="exact"/>
              <w:rPr>
                <w:sz w:val="20"/>
                <w:szCs w:val="20"/>
                <w:color w:val="auto"/>
              </w:rPr>
            </w:pPr>
            <w:r>
              <w:rPr>
                <w:rFonts w:ascii="Arial" w:cs="Arial" w:eastAsia="Arial" w:hAnsi="Arial"/>
                <w:sz w:val="18"/>
                <w:szCs w:val="18"/>
                <w:color w:val="auto"/>
              </w:rPr>
              <w:t>$16,427</w:t>
            </w:r>
          </w:p>
        </w:tc>
        <w:tc>
          <w:tcPr>
            <w:tcW w:w="20" w:type="dxa"/>
            <w:vAlign w:val="bottom"/>
          </w:tcPr>
          <w:p>
            <w:pPr>
              <w:spacing w:after="0"/>
              <w:rPr>
                <w:sz w:val="15"/>
                <w:szCs w:val="15"/>
                <w:color w:val="auto"/>
              </w:rPr>
            </w:pPr>
          </w:p>
        </w:tc>
      </w:tr>
      <w:tr>
        <w:trPr>
          <w:trHeight w:val="225"/>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59,022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103,185</w:t>
            </w:r>
          </w:p>
        </w:tc>
        <w:tc>
          <w:tcPr>
            <w:tcW w:w="20" w:type="dxa"/>
            <w:vAlign w:val="bottom"/>
          </w:tcPr>
          <w:p>
            <w:pPr>
              <w:spacing w:after="0"/>
              <w:rPr>
                <w:sz w:val="19"/>
                <w:szCs w:val="19"/>
                <w:color w:val="auto"/>
              </w:rPr>
            </w:pPr>
          </w:p>
        </w:tc>
      </w:tr>
      <w:tr>
        <w:trPr>
          <w:trHeight w:val="196"/>
        </w:trPr>
        <w:tc>
          <w:tcPr>
            <w:tcW w:w="6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noncurrent deferred taxes and taxes receivable</w:t>
            </w:r>
          </w:p>
        </w:tc>
        <w:tc>
          <w:tcPr>
            <w:tcW w:w="35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$69,540</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$119,612</w:t>
            </w:r>
          </w:p>
        </w:tc>
        <w:tc>
          <w:tcPr>
            <w:tcW w:w="20" w:type="dxa"/>
            <w:vAlign w:val="bottom"/>
            <w:tcBorders>
              <w:bottom w:val="single" w:sz="8" w:color="auto"/>
            </w:tcBorders>
          </w:tcPr>
          <w:p>
            <w:pPr>
              <w:spacing w:after="0"/>
              <w:rPr>
                <w:sz w:val="17"/>
                <w:szCs w:val="17"/>
                <w:color w:val="auto"/>
              </w:rPr>
            </w:pPr>
          </w:p>
        </w:tc>
      </w:tr>
      <w:tr>
        <w:trPr>
          <w:trHeight w:val="709"/>
        </w:trPr>
        <w:tc>
          <w:tcPr>
            <w:tcW w:w="6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81"/>
        </w:trPr>
        <w:tc>
          <w:tcPr>
            <w:tcW w:w="64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8"/>
        </w:trPr>
        <w:tc>
          <w:tcPr>
            <w:tcW w:w="6400" w:type="dxa"/>
            <w:vAlign w:val="bottom"/>
            <w:shd w:val="clear" w:color="auto" w:fill="000000"/>
          </w:tcPr>
          <w:p>
            <w:pPr>
              <w:spacing w:after="0"/>
              <w:rPr>
                <w:sz w:val="5"/>
                <w:szCs w:val="5"/>
                <w:color w:val="auto"/>
              </w:rPr>
            </w:pPr>
          </w:p>
        </w:tc>
        <w:tc>
          <w:tcPr>
            <w:tcW w:w="356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052" w:right="239" w:bottom="1440" w:gutter="0" w:footer="0" w:header="0"/>
        </w:sectPr>
      </w:pPr>
    </w:p>
    <w:bookmarkStart w:id="77" w:name="page78"/>
    <w:bookmarkEnd w:id="77"/>
    <w:p>
      <w:pPr>
        <w:spacing w:after="0" w:line="9"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As of December 31, 2014 and 2013 and including the effect of the revision to 2013 described above, current taxes payable and deferred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7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r>
      <w:tr>
        <w:trPr>
          <w:trHeight w:val="173"/>
        </w:trPr>
        <w:tc>
          <w:tcPr>
            <w:tcW w:w="6400" w:type="dxa"/>
            <w:vAlign w:val="bottom"/>
          </w:tcPr>
          <w:p>
            <w:pPr>
              <w:spacing w:after="0" w:line="173" w:lineRule="exact"/>
              <w:rPr>
                <w:sz w:val="20"/>
                <w:szCs w:val="20"/>
                <w:color w:val="auto"/>
              </w:rPr>
            </w:pPr>
            <w:r>
              <w:rPr>
                <w:rFonts w:ascii="Arial" w:cs="Arial" w:eastAsia="Arial" w:hAnsi="Arial"/>
                <w:sz w:val="18"/>
                <w:szCs w:val="18"/>
                <w:color w:val="auto"/>
              </w:rPr>
              <w:t>Taxes payable</w:t>
            </w:r>
          </w:p>
        </w:tc>
        <w:tc>
          <w:tcPr>
            <w:tcW w:w="378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$2,211</w:t>
            </w:r>
          </w:p>
        </w:tc>
        <w:tc>
          <w:tcPr>
            <w:tcW w:w="1240" w:type="dxa"/>
            <w:vAlign w:val="bottom"/>
          </w:tcPr>
          <w:p>
            <w:pPr>
              <w:jc w:val="right"/>
              <w:spacing w:after="0" w:line="173" w:lineRule="exact"/>
              <w:rPr>
                <w:sz w:val="20"/>
                <w:szCs w:val="20"/>
                <w:color w:val="auto"/>
              </w:rPr>
            </w:pPr>
            <w:r>
              <w:rPr>
                <w:rFonts w:ascii="Arial" w:cs="Arial" w:eastAsia="Arial" w:hAnsi="Arial"/>
                <w:sz w:val="18"/>
                <w:szCs w:val="18"/>
                <w:color w:val="auto"/>
              </w:rPr>
              <w:t>$1,536</w:t>
            </w:r>
          </w:p>
        </w:tc>
        <w:tc>
          <w:tcPr>
            <w:tcW w:w="20" w:type="dxa"/>
            <w:vAlign w:val="bottom"/>
          </w:tcPr>
          <w:p>
            <w:pPr>
              <w:spacing w:after="0"/>
              <w:rPr>
                <w:sz w:val="15"/>
                <w:szCs w:val="15"/>
                <w:color w:val="auto"/>
              </w:rPr>
            </w:pPr>
          </w:p>
        </w:tc>
      </w:tr>
      <w:tr>
        <w:trPr>
          <w:trHeight w:val="225"/>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575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20" w:type="dxa"/>
            <w:vAlign w:val="bottom"/>
          </w:tcPr>
          <w:p>
            <w:pPr>
              <w:spacing w:after="0"/>
              <w:rPr>
                <w:sz w:val="19"/>
                <w:szCs w:val="19"/>
                <w:color w:val="auto"/>
              </w:rPr>
            </w:pPr>
          </w:p>
        </w:tc>
      </w:tr>
      <w:tr>
        <w:trPr>
          <w:trHeight w:val="196"/>
        </w:trPr>
        <w:tc>
          <w:tcPr>
            <w:tcW w:w="6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income taxes payable and deferred</w:t>
            </w:r>
          </w:p>
        </w:tc>
        <w:tc>
          <w:tcPr>
            <w:tcW w:w="37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$2,786</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$5,391</w:t>
            </w:r>
          </w:p>
        </w:tc>
        <w:tc>
          <w:tcPr>
            <w:tcW w:w="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paid, net of refunds, amounted to $17.6 million in 2014, $29.4 million in 2013, and $15.1 million in 2012.</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and earnings per share)</w:t>
            </w:r>
          </w:p>
        </w:tc>
        <w:tc>
          <w:tcPr>
            <w:tcW w:w="2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9"/>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2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$41,569</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$17,517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$30,977</w:t>
            </w:r>
          </w:p>
        </w:tc>
        <w:tc>
          <w:tcPr>
            <w:tcW w:w="0" w:type="dxa"/>
            <w:vAlign w:val="bottom"/>
          </w:tcPr>
          <w:p>
            <w:pPr>
              <w:spacing w:after="0"/>
              <w:rPr>
                <w:sz w:val="1"/>
                <w:szCs w:val="1"/>
                <w:color w:val="auto"/>
              </w:rPr>
            </w:pPr>
          </w:p>
        </w:tc>
      </w:tr>
      <w:tr>
        <w:trPr>
          <w:trHeight w:val="412"/>
        </w:trPr>
        <w:tc>
          <w:tcPr>
            <w:tcW w:w="6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320" w:type="dxa"/>
            <w:vAlign w:val="bottom"/>
          </w:tcPr>
          <w:p>
            <w:pPr>
              <w:ind w:left="160"/>
              <w:spacing w:after="0"/>
              <w:rPr>
                <w:sz w:val="20"/>
                <w:szCs w:val="20"/>
                <w:color w:val="auto"/>
              </w:rPr>
            </w:pPr>
            <w:r>
              <w:rPr>
                <w:rFonts w:ascii="Arial" w:cs="Arial" w:eastAsia="Arial" w:hAnsi="Arial"/>
                <w:sz w:val="18"/>
                <w:szCs w:val="18"/>
                <w:color w:val="auto"/>
              </w:rPr>
              <w:t>Weighted average number of shares used in</w:t>
            </w:r>
          </w:p>
        </w:tc>
        <w:tc>
          <w:tcPr>
            <w:tcW w:w="2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31,832</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320" w:type="dxa"/>
            <w:vAlign w:val="bottom"/>
          </w:tcPr>
          <w:p>
            <w:pPr>
              <w:ind w:left="160"/>
              <w:spacing w:after="0"/>
              <w:rPr>
                <w:sz w:val="20"/>
                <w:szCs w:val="20"/>
                <w:color w:val="auto"/>
              </w:rPr>
            </w:pPr>
            <w:r>
              <w:rPr>
                <w:rFonts w:ascii="Arial" w:cs="Arial" w:eastAsia="Arial" w:hAnsi="Arial"/>
                <w:sz w:val="18"/>
                <w:szCs w:val="18"/>
                <w:color w:val="auto"/>
              </w:rPr>
              <w:t>calculating basic net income/(loss) per share</w:t>
            </w:r>
          </w:p>
        </w:tc>
        <w:tc>
          <w:tcPr>
            <w:tcW w:w="2780" w:type="dxa"/>
            <w:vAlign w:val="bottom"/>
            <w:vMerge w:val="continue"/>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31,649</w:t>
            </w:r>
          </w:p>
        </w:tc>
        <w:tc>
          <w:tcPr>
            <w:tcW w:w="980" w:type="dxa"/>
            <w:vAlign w:val="bottom"/>
          </w:tcPr>
          <w:p>
            <w:pPr>
              <w:jc w:val="right"/>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405"/>
        </w:trPr>
        <w:tc>
          <w:tcPr>
            <w:tcW w:w="632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780" w:type="dxa"/>
            <w:vAlign w:val="bottom"/>
          </w:tcPr>
          <w:p>
            <w:pPr>
              <w:jc w:val="right"/>
              <w:ind w:right="310"/>
              <w:spacing w:after="0"/>
              <w:rPr>
                <w:sz w:val="20"/>
                <w:szCs w:val="20"/>
                <w:color w:val="auto"/>
              </w:rPr>
            </w:pPr>
            <w:r>
              <w:rPr>
                <w:rFonts w:ascii="Arial" w:cs="Arial" w:eastAsia="Arial" w:hAnsi="Arial"/>
                <w:sz w:val="18"/>
                <w:szCs w:val="18"/>
                <w:b w:val="1"/>
                <w:bCs w:val="1"/>
                <w:color w:val="auto"/>
              </w:rPr>
              <w:t>99</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129</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05"/>
        </w:trPr>
        <w:tc>
          <w:tcPr>
            <w:tcW w:w="6320" w:type="dxa"/>
            <w:vAlign w:val="bottom"/>
          </w:tcPr>
          <w:p>
            <w:pPr>
              <w:ind w:left="100"/>
              <w:spacing w:after="0"/>
              <w:rPr>
                <w:sz w:val="20"/>
                <w:szCs w:val="20"/>
                <w:color w:val="auto"/>
              </w:rPr>
            </w:pPr>
            <w:r>
              <w:rPr>
                <w:rFonts w:ascii="Arial" w:cs="Arial" w:eastAsia="Arial" w:hAnsi="Arial"/>
                <w:sz w:val="18"/>
                <w:szCs w:val="18"/>
                <w:color w:val="auto"/>
              </w:rPr>
              <w:t>Long-term incentive plan</w:t>
            </w:r>
          </w:p>
        </w:tc>
        <w:tc>
          <w:tcPr>
            <w:tcW w:w="2780" w:type="dxa"/>
            <w:vAlign w:val="bottom"/>
          </w:tcPr>
          <w:p>
            <w:pPr>
              <w:jc w:val="right"/>
              <w:ind w:right="310"/>
              <w:spacing w:after="0"/>
              <w:rPr>
                <w:sz w:val="20"/>
                <w:szCs w:val="20"/>
                <w:color w:val="auto"/>
              </w:rPr>
            </w:pPr>
            <w:r>
              <w:rPr>
                <w:rFonts w:ascii="Arial" w:cs="Arial" w:eastAsia="Arial" w:hAnsi="Arial"/>
                <w:sz w:val="18"/>
                <w:szCs w:val="18"/>
                <w:b w:val="1"/>
                <w:bCs w:val="1"/>
                <w:color w:val="auto"/>
              </w:rPr>
              <w:t>57</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156</w:t>
            </w: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391"/>
        </w:trPr>
        <w:tc>
          <w:tcPr>
            <w:tcW w:w="632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31,988</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78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31,934</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31,636</w:t>
            </w:r>
          </w:p>
        </w:tc>
        <w:tc>
          <w:tcPr>
            <w:tcW w:w="0" w:type="dxa"/>
            <w:vAlign w:val="bottom"/>
          </w:tcPr>
          <w:p>
            <w:pPr>
              <w:spacing w:after="0"/>
              <w:rPr>
                <w:sz w:val="1"/>
                <w:szCs w:val="1"/>
                <w:color w:val="auto"/>
              </w:rPr>
            </w:pPr>
          </w:p>
        </w:tc>
      </w:tr>
      <w:tr>
        <w:trPr>
          <w:trHeight w:val="398"/>
        </w:trPr>
        <w:tc>
          <w:tcPr>
            <w:tcW w:w="632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$36.29</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78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$31.85</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412"/>
        </w:trPr>
        <w:tc>
          <w:tcPr>
            <w:tcW w:w="632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20" w:type="dxa"/>
            <w:vAlign w:val="bottom"/>
          </w:tcPr>
          <w:p>
            <w:pPr>
              <w:ind w:left="160"/>
              <w:spacing w:after="0"/>
              <w:rPr>
                <w:sz w:val="20"/>
                <w:szCs w:val="20"/>
                <w:color w:val="auto"/>
              </w:rPr>
            </w:pPr>
            <w:r>
              <w:rPr>
                <w:rFonts w:ascii="Arial" w:cs="Arial" w:eastAsia="Arial" w:hAnsi="Arial"/>
                <w:sz w:val="18"/>
                <w:szCs w:val="18"/>
                <w:color w:val="auto"/>
              </w:rPr>
              <w:t>Basic</w:t>
            </w:r>
          </w:p>
        </w:tc>
        <w:tc>
          <w:tcPr>
            <w:tcW w:w="2780" w:type="dxa"/>
            <w:vAlign w:val="bottom"/>
          </w:tcPr>
          <w:p>
            <w:pPr>
              <w:jc w:val="right"/>
              <w:ind w:right="310"/>
              <w:spacing w:after="0"/>
              <w:rPr>
                <w:sz w:val="20"/>
                <w:szCs w:val="20"/>
                <w:color w:val="auto"/>
              </w:rPr>
            </w:pPr>
            <w:r>
              <w:rPr>
                <w:rFonts w:ascii="Arial" w:cs="Arial" w:eastAsia="Arial" w:hAnsi="Arial"/>
                <w:sz w:val="18"/>
                <w:szCs w:val="18"/>
                <w:b w:val="1"/>
                <w:bCs w:val="1"/>
                <w:color w:val="auto"/>
              </w:rPr>
              <w:t>$1.31</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$0.55</w:t>
            </w:r>
          </w:p>
        </w:tc>
        <w:tc>
          <w:tcPr>
            <w:tcW w:w="98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392"/>
        </w:trPr>
        <w:tc>
          <w:tcPr>
            <w:tcW w:w="6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$1.30</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0" w:firstLine="8"/>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a loss from continuing operations in 2012, the calculation of diluted income per share cannot be calculated by dividing net income by the diluted shares in the table above. See Statement of Income.</w:t>
      </w:r>
    </w:p>
    <w:p>
      <w:pPr>
        <w:spacing w:after="0" w:line="365"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Shares outstanding, net of treasury shares, were 31.9 million as of December 31, 2014, 31.8 million as of December 31, 2013, and 31.4 million as of December 31, 2012.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2012 to December 31,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9"/>
              </w:rPr>
              <w:t>Pension and</w:t>
            </w:r>
          </w:p>
        </w:tc>
        <w:tc>
          <w:tcPr>
            <w:tcW w:w="13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Derivative</w:t>
            </w:r>
          </w:p>
        </w:tc>
        <w:tc>
          <w:tcPr>
            <w:tcW w:w="16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7"/>
              </w:rPr>
              <w:t>Total Other</w:t>
            </w:r>
          </w:p>
        </w:tc>
        <w:tc>
          <w:tcPr>
            <w:tcW w:w="40" w:type="dxa"/>
            <w:vAlign w:val="bottom"/>
            <w:gridSpan w:val="2"/>
          </w:tcPr>
          <w:p>
            <w:pPr>
              <w:spacing w:after="0"/>
              <w:rPr>
                <w:sz w:val="18"/>
                <w:szCs w:val="18"/>
                <w:color w:val="auto"/>
              </w:rPr>
            </w:pPr>
          </w:p>
        </w:tc>
      </w:tr>
      <w:tr>
        <w:trPr>
          <w:trHeight w:val="203"/>
        </w:trPr>
        <w:tc>
          <w:tcPr>
            <w:tcW w:w="5220" w:type="dxa"/>
            <w:vAlign w:val="bottom"/>
          </w:tcPr>
          <w:p>
            <w:pPr>
              <w:spacing w:after="0"/>
              <w:rPr>
                <w:sz w:val="17"/>
                <w:szCs w:val="17"/>
                <w:color w:val="auto"/>
              </w:rPr>
            </w:pPr>
          </w:p>
        </w:tc>
        <w:tc>
          <w:tcPr>
            <w:tcW w:w="14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Translation</w:t>
            </w:r>
          </w:p>
        </w:tc>
        <w:tc>
          <w:tcPr>
            <w:tcW w:w="1760" w:type="dxa"/>
            <w:vAlign w:val="bottom"/>
          </w:tcPr>
          <w:p>
            <w:pPr>
              <w:jc w:val="center"/>
              <w:ind w:right="30"/>
              <w:spacing w:after="0" w:line="202" w:lineRule="exact"/>
              <w:rPr>
                <w:sz w:val="20"/>
                <w:szCs w:val="20"/>
                <w:color w:val="auto"/>
              </w:rPr>
            </w:pPr>
            <w:r>
              <w:rPr>
                <w:rFonts w:ascii="Arial" w:cs="Arial" w:eastAsia="Arial" w:hAnsi="Arial"/>
                <w:sz w:val="18"/>
                <w:szCs w:val="18"/>
                <w:color w:val="auto"/>
              </w:rPr>
              <w:t>postretirement</w:t>
            </w:r>
          </w:p>
        </w:tc>
        <w:tc>
          <w:tcPr>
            <w:tcW w:w="130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9"/>
              </w:rPr>
              <w:t>valuation</w:t>
            </w:r>
          </w:p>
        </w:tc>
        <w:tc>
          <w:tcPr>
            <w:tcW w:w="172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522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14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adjustments</w:t>
            </w:r>
          </w:p>
        </w:tc>
        <w:tc>
          <w:tcPr>
            <w:tcW w:w="1760" w:type="dxa"/>
            <w:vAlign w:val="bottom"/>
          </w:tcPr>
          <w:p>
            <w:pPr>
              <w:jc w:val="center"/>
              <w:ind w:right="30"/>
              <w:spacing w:after="0" w:line="203" w:lineRule="exact"/>
              <w:rPr>
                <w:sz w:val="20"/>
                <w:szCs w:val="20"/>
                <w:color w:val="auto"/>
              </w:rPr>
            </w:pPr>
            <w:r>
              <w:rPr>
                <w:rFonts w:ascii="Arial" w:cs="Arial" w:eastAsia="Arial" w:hAnsi="Arial"/>
                <w:sz w:val="18"/>
                <w:szCs w:val="18"/>
                <w:color w:val="auto"/>
                <w:w w:val="99"/>
              </w:rPr>
              <w:t>liability adjustments</w:t>
            </w:r>
          </w:p>
        </w:tc>
        <w:tc>
          <w:tcPr>
            <w:tcW w:w="1300" w:type="dxa"/>
            <w:vAlign w:val="bottom"/>
          </w:tcPr>
          <w:p>
            <w:pPr>
              <w:jc w:val="center"/>
              <w:ind w:right="130"/>
              <w:spacing w:after="0" w:line="203" w:lineRule="exact"/>
              <w:rPr>
                <w:sz w:val="20"/>
                <w:szCs w:val="20"/>
                <w:color w:val="auto"/>
              </w:rPr>
            </w:pPr>
            <w:r>
              <w:rPr>
                <w:rFonts w:ascii="Arial" w:cs="Arial" w:eastAsia="Arial" w:hAnsi="Arial"/>
                <w:sz w:val="18"/>
                <w:szCs w:val="18"/>
                <w:color w:val="auto"/>
                <w:w w:val="99"/>
              </w:rPr>
              <w:t>adjustment</w:t>
            </w:r>
          </w:p>
        </w:tc>
        <w:tc>
          <w:tcPr>
            <w:tcW w:w="1720" w:type="dxa"/>
            <w:vAlign w:val="bottom"/>
            <w:gridSpan w:val="3"/>
          </w:tcPr>
          <w:p>
            <w:pPr>
              <w:jc w:val="center"/>
              <w:ind w:right="180"/>
              <w:spacing w:after="0" w:line="203" w:lineRule="exact"/>
              <w:rPr>
                <w:sz w:val="20"/>
                <w:szCs w:val="20"/>
                <w:color w:val="auto"/>
              </w:rPr>
            </w:pPr>
            <w:r>
              <w:rPr>
                <w:rFonts w:ascii="Arial" w:cs="Arial" w:eastAsia="Arial" w:hAnsi="Arial"/>
                <w:sz w:val="18"/>
                <w:szCs w:val="18"/>
                <w:color w:val="auto"/>
                <w:w w:val="98"/>
              </w:rPr>
              <w:t>Income</w:t>
            </w:r>
          </w:p>
        </w:tc>
      </w:tr>
      <w:tr>
        <w:trPr>
          <w:trHeight w:val="196"/>
        </w:trPr>
        <w:tc>
          <w:tcPr>
            <w:tcW w:w="5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2012</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($7,659)</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($69,484)</w:t>
            </w:r>
          </w:p>
        </w:tc>
        <w:tc>
          <w:tcPr>
            <w:tcW w:w="13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($2,878)</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($80,021)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20" w:type="dxa"/>
            <w:vAlign w:val="bottom"/>
          </w:tcPr>
          <w:p>
            <w:pPr>
              <w:spacing w:after="0" w:line="195" w:lineRule="exact"/>
              <w:rPr>
                <w:sz w:val="20"/>
                <w:szCs w:val="20"/>
                <w:color w:val="auto"/>
              </w:rPr>
            </w:pPr>
            <w:r>
              <w:rPr>
                <w:rFonts w:ascii="Arial" w:cs="Arial" w:eastAsia="Arial" w:hAnsi="Arial"/>
                <w:sz w:val="18"/>
                <w:szCs w:val="18"/>
                <w:color w:val="auto"/>
              </w:rPr>
              <w:t>Other comprehensive income before reclassifications</w:t>
            </w:r>
          </w:p>
        </w:tc>
        <w:tc>
          <w:tcPr>
            <w:tcW w:w="14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7,521</w:t>
            </w:r>
          </w:p>
        </w:tc>
        <w:tc>
          <w:tcPr>
            <w:tcW w:w="17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614</w:t>
            </w:r>
          </w:p>
        </w:tc>
        <w:tc>
          <w:tcPr>
            <w:tcW w:w="13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742</w:t>
            </w:r>
          </w:p>
        </w:tc>
        <w:tc>
          <w:tcPr>
            <w:tcW w:w="1680" w:type="dxa"/>
            <w:vAlign w:val="bottom"/>
          </w:tcPr>
          <w:p>
            <w:pPr>
              <w:jc w:val="right"/>
              <w:spacing w:after="0" w:line="195" w:lineRule="exact"/>
              <w:rPr>
                <w:sz w:val="20"/>
                <w:szCs w:val="20"/>
                <w:color w:val="auto"/>
              </w:rPr>
            </w:pPr>
            <w:r>
              <w:rPr>
                <w:rFonts w:ascii="Arial" w:cs="Arial" w:eastAsia="Arial" w:hAnsi="Arial"/>
                <w:sz w:val="18"/>
                <w:szCs w:val="18"/>
                <w:color w:val="auto"/>
              </w:rPr>
              <w:t>8,877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Postretirement plan change in benefits</w:t>
            </w:r>
          </w:p>
        </w:tc>
        <w:tc>
          <w:tcPr>
            <w:tcW w:w="1460" w:type="dxa"/>
            <w:vAlign w:val="bottom"/>
          </w:tcPr>
          <w:p>
            <w:pPr>
              <w:spacing w:after="0"/>
              <w:rPr>
                <w:sz w:val="17"/>
                <w:szCs w:val="17"/>
                <w:color w:val="auto"/>
              </w:rPr>
            </w:pP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4,864</w:t>
            </w:r>
          </w:p>
        </w:tc>
        <w:tc>
          <w:tcPr>
            <w:tcW w:w="13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4,864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Pension/postretirement plan remeasurement</w:t>
            </w:r>
          </w:p>
        </w:tc>
        <w:tc>
          <w:tcPr>
            <w:tcW w:w="1460" w:type="dxa"/>
            <w:vAlign w:val="bottom"/>
          </w:tcPr>
          <w:p>
            <w:pPr>
              <w:spacing w:after="0"/>
              <w:rPr>
                <w:sz w:val="17"/>
                <w:szCs w:val="17"/>
                <w:color w:val="auto"/>
              </w:rPr>
            </w:pP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13,771</w:t>
            </w:r>
          </w:p>
        </w:tc>
        <w:tc>
          <w:tcPr>
            <w:tcW w:w="13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13,771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Pension plan change in benefits</w:t>
            </w:r>
          </w:p>
        </w:tc>
        <w:tc>
          <w:tcPr>
            <w:tcW w:w="14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c>
          <w:tcPr>
            <w:tcW w:w="130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(374)</w:t>
            </w: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of Income, net of tax</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1,159</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Statement of Income, net of tax</w:t>
            </w:r>
          </w:p>
        </w:tc>
        <w:tc>
          <w:tcPr>
            <w:tcW w:w="1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2,226</w:t>
            </w:r>
          </w:p>
        </w:tc>
        <w:tc>
          <w:tcPr>
            <w:tcW w:w="1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7,521</w:t>
            </w:r>
          </w:p>
        </w:tc>
        <w:tc>
          <w:tcPr>
            <w:tcW w:w="17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21,101</w:t>
            </w:r>
          </w:p>
        </w:tc>
        <w:tc>
          <w:tcPr>
            <w:tcW w:w="1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1,901</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($138)</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($48,383)</w:t>
            </w:r>
          </w:p>
        </w:tc>
        <w:tc>
          <w:tcPr>
            <w:tcW w:w="13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($977)</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($49,498)</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20" w:type="dxa"/>
            <w:vAlign w:val="bottom"/>
          </w:tcPr>
          <w:p>
            <w:pPr>
              <w:spacing w:after="0" w:line="195" w:lineRule="exact"/>
              <w:rPr>
                <w:sz w:val="20"/>
                <w:szCs w:val="20"/>
                <w:color w:val="auto"/>
              </w:rPr>
            </w:pPr>
            <w:r>
              <w:rPr>
                <w:rFonts w:ascii="Arial" w:cs="Arial" w:eastAsia="Arial" w:hAnsi="Arial"/>
                <w:sz w:val="18"/>
                <w:szCs w:val="18"/>
                <w:color w:val="auto"/>
              </w:rPr>
              <w:t>Other comprehensive income before reclassifications</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(55,102)</w:t>
            </w:r>
          </w:p>
        </w:tc>
        <w:tc>
          <w:tcPr>
            <w:tcW w:w="17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252</w:t>
            </w:r>
          </w:p>
        </w:tc>
        <w:tc>
          <w:tcPr>
            <w:tcW w:w="13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(1,052)</w:t>
            </w:r>
          </w:p>
        </w:tc>
        <w:tc>
          <w:tcPr>
            <w:tcW w:w="17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(55,902)</w:t>
            </w:r>
          </w:p>
        </w:tc>
        <w:tc>
          <w:tcPr>
            <w:tcW w:w="20" w:type="dxa"/>
            <w:vAlign w:val="bottom"/>
          </w:tcPr>
          <w:p>
            <w:pPr>
              <w:spacing w:after="0"/>
              <w:rPr>
                <w:sz w:val="16"/>
                <w:szCs w:val="16"/>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460" w:type="dxa"/>
            <w:vAlign w:val="bottom"/>
          </w:tcPr>
          <w:p>
            <w:pPr>
              <w:spacing w:after="0"/>
              <w:rPr>
                <w:sz w:val="17"/>
                <w:szCs w:val="17"/>
                <w:color w:val="auto"/>
              </w:rPr>
            </w:pP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5,167</w:t>
            </w:r>
          </w:p>
        </w:tc>
        <w:tc>
          <w:tcPr>
            <w:tcW w:w="130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5,167</w:t>
            </w: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Pension/postretirement plan remeasurement</w:t>
            </w:r>
          </w:p>
        </w:tc>
        <w:tc>
          <w:tcPr>
            <w:tcW w:w="14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(9,265)</w:t>
            </w:r>
          </w:p>
        </w:tc>
        <w:tc>
          <w:tcPr>
            <w:tcW w:w="1300" w:type="dxa"/>
            <w:vAlign w:val="bottom"/>
          </w:tcPr>
          <w:p>
            <w:pPr>
              <w:spacing w:after="0"/>
              <w:rPr>
                <w:sz w:val="17"/>
                <w:szCs w:val="17"/>
                <w:color w:val="auto"/>
              </w:rPr>
            </w:pPr>
          </w:p>
        </w:tc>
        <w:tc>
          <w:tcPr>
            <w:tcW w:w="17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(9,265)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of Income, net of tax</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1,168</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Statement of Income, net of tax</w:t>
            </w:r>
          </w:p>
        </w:tc>
        <w:tc>
          <w:tcPr>
            <w:tcW w:w="1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563</w:t>
            </w:r>
          </w:p>
        </w:tc>
        <w:tc>
          <w:tcPr>
            <w:tcW w:w="1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(55,102)</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(3,283)</w:t>
            </w:r>
          </w:p>
        </w:tc>
        <w:tc>
          <w:tcPr>
            <w:tcW w:w="1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116</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(58,269)</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($55,240)</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($51,666)</w:t>
            </w:r>
          </w:p>
        </w:tc>
        <w:tc>
          <w:tcPr>
            <w:tcW w:w="13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($861)</w:t>
            </w:r>
          </w:p>
        </w:tc>
        <w:tc>
          <w:tcPr>
            <w:tcW w:w="17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($107,767)</w:t>
            </w: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31"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As part of the Company’s pension de-risking strategy, in 2014, certain U.S. participants received a lump-sum distribution from the pension plan, which led to a pension settlement charge of $8.2 million. Including other 2014 pension plan settlements and curtailments, the amount reclassified from AOCI was $8.4 million before tax, and $5.2 million after tax effects.</w:t>
      </w:r>
    </w:p>
    <w:p>
      <w:pPr>
        <w:spacing w:after="0" w:line="162"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In 2013, the Company modified certain provisions of its U.S. postretirement plan. The change in plan benefits decreased pretax liabilities by $8.0 million, resulting in a $4.9 million increase to AOCI.</w:t>
      </w:r>
    </w:p>
    <w:p>
      <w:pPr>
        <w:spacing w:after="0" w:line="17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8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period December 31, 2014 and 2013.</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8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18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5"/>
        </w:trPr>
        <w:tc>
          <w:tcPr>
            <w:tcW w:w="84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Pretax Derivative valuation reclassified from Accumulated Other Comprehensive Income:</w:t>
            </w:r>
          </w:p>
        </w:tc>
        <w:tc>
          <w:tcPr>
            <w:tcW w:w="18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$1,914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20" w:type="dxa"/>
            <w:vAlign w:val="bottom"/>
          </w:tcPr>
          <w:p>
            <w:pPr>
              <w:ind w:left="140"/>
              <w:spacing w:after="0" w:line="181" w:lineRule="exact"/>
              <w:rPr>
                <w:sz w:val="20"/>
                <w:szCs w:val="20"/>
                <w:color w:val="auto"/>
              </w:rPr>
            </w:pPr>
            <w:r>
              <w:rPr>
                <w:rFonts w:ascii="Arial" w:cs="Arial" w:eastAsia="Arial" w:hAnsi="Arial"/>
                <w:sz w:val="18"/>
                <w:szCs w:val="18"/>
                <w:color w:val="auto"/>
              </w:rPr>
              <w:t>Payments made on interest rate swaps included in Income before taxes (a)</w:t>
            </w:r>
          </w:p>
        </w:tc>
        <w:tc>
          <w:tcPr>
            <w:tcW w:w="1880" w:type="dxa"/>
            <w:vAlign w:val="bottom"/>
            <w:vMerge w:val="continue"/>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effect</w:t>
            </w: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(746)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8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$1,168</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37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8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$8,377</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20" w:type="dxa"/>
            <w:vAlign w:val="bottom"/>
          </w:tcPr>
          <w:p>
            <w:pPr>
              <w:ind w:left="14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1880" w:type="dxa"/>
            <w:vAlign w:val="bottom"/>
            <w:vMerge w:val="continue"/>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Amortization of prior service cost/(credit)</w:t>
            </w: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(4,436)</w:t>
            </w:r>
          </w:p>
        </w:tc>
        <w:tc>
          <w:tcPr>
            <w:tcW w:w="1100" w:type="dxa"/>
            <w:vAlign w:val="bottom"/>
          </w:tcPr>
          <w:p>
            <w:pPr>
              <w:jc w:val="right"/>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120"/>
              <w:spacing w:after="0" w:line="202" w:lineRule="exact"/>
              <w:rPr>
                <w:sz w:val="20"/>
                <w:szCs w:val="20"/>
                <w:color w:val="auto"/>
              </w:rPr>
            </w:pPr>
            <w:r>
              <w:rPr>
                <w:rFonts w:ascii="Arial" w:cs="Arial" w:eastAsia="Arial" w:hAnsi="Arial"/>
                <w:sz w:val="18"/>
                <w:szCs w:val="18"/>
                <w:color w:val="auto"/>
              </w:rPr>
              <w:t>Amortization of transition obligation</w:t>
            </w:r>
          </w:p>
        </w:tc>
        <w:tc>
          <w:tcPr>
            <w:tcW w:w="188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Amortization of net actuarial loss</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5,329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Total pretax amount reclassified (b)</w:t>
            </w:r>
          </w:p>
        </w:tc>
        <w:tc>
          <w:tcPr>
            <w:tcW w:w="1880" w:type="dxa"/>
            <w:vAlign w:val="bottom"/>
          </w:tcPr>
          <w:p>
            <w:pPr>
              <w:jc w:val="right"/>
              <w:ind w:right="450"/>
              <w:spacing w:after="0"/>
              <w:rPr>
                <w:sz w:val="20"/>
                <w:szCs w:val="20"/>
                <w:color w:val="auto"/>
              </w:rPr>
            </w:pPr>
            <w:r>
              <w:rPr>
                <w:rFonts w:ascii="Arial" w:cs="Arial" w:eastAsia="Arial" w:hAnsi="Arial"/>
                <w:sz w:val="18"/>
                <w:szCs w:val="18"/>
                <w:b w:val="1"/>
                <w:bCs w:val="1"/>
                <w:color w:val="auto"/>
              </w:rPr>
              <w:t>9,270</w:t>
            </w:r>
          </w:p>
        </w:tc>
        <w:tc>
          <w:tcPr>
            <w:tcW w:w="1100" w:type="dxa"/>
            <w:vAlign w:val="bottom"/>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369"/>
        </w:trPr>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(3,540)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8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$5,730</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980" w:hanging="324"/>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Included in Interest expense.</w:t>
      </w:r>
    </w:p>
    <w:p>
      <w:pPr>
        <w:ind w:left="980" w:right="280" w:hanging="324"/>
        <w:spacing w:after="0" w:line="246"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07"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Balances of property, plant and equipment for 2013 have been revised from previously filed reports to correct an error that resulted in the misstatement of cost and accumulated depreciation and amortization by the same amount. The Company has determined that the error is immaterial to previously filed financial reports and, accordingly, has corrected the error by revising the previously disclosed amounts.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revision and the components of property, plant and equipment.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As previously</w:t>
            </w:r>
          </w:p>
        </w:tc>
        <w:tc>
          <w:tcPr>
            <w:tcW w:w="2380" w:type="dxa"/>
            <w:vAlign w:val="bottom"/>
            <w:tcBorders>
              <w:top w:val="single" w:sz="8" w:color="auto"/>
            </w:tcBorders>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4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reported</w:t>
            </w:r>
          </w:p>
        </w:tc>
        <w:tc>
          <w:tcPr>
            <w:tcW w:w="2380" w:type="dxa"/>
            <w:vAlign w:val="bottom"/>
          </w:tcPr>
          <w:p>
            <w:pPr>
              <w:spacing w:after="0"/>
              <w:rPr>
                <w:sz w:val="14"/>
                <w:szCs w:val="14"/>
                <w:color w:val="auto"/>
              </w:rPr>
            </w:pPr>
          </w:p>
        </w:tc>
      </w:tr>
      <w:tr>
        <w:trPr>
          <w:trHeight w:val="17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revised balance</w:t>
            </w: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Error correction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Estimated useful life</w:t>
            </w:r>
          </w:p>
        </w:tc>
      </w:tr>
      <w:tr>
        <w:trPr>
          <w:trHeight w:val="453"/>
        </w:trPr>
        <w:tc>
          <w:tcPr>
            <w:tcW w:w="380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$22,967</w:t>
            </w:r>
          </w:p>
        </w:tc>
        <w:tc>
          <w:tcPr>
            <w:tcW w:w="1360" w:type="dxa"/>
            <w:vAlign w:val="bottom"/>
          </w:tcPr>
          <w:p>
            <w:pPr>
              <w:jc w:val="right"/>
              <w:spacing w:after="0"/>
              <w:rPr>
                <w:sz w:val="20"/>
                <w:szCs w:val="20"/>
                <w:color w:val="auto"/>
              </w:rPr>
            </w:pPr>
            <w:r>
              <w:rPr>
                <w:rFonts w:ascii="Arial" w:cs="Arial" w:eastAsia="Arial" w:hAnsi="Arial"/>
                <w:sz w:val="18"/>
                <w:szCs w:val="18"/>
                <w:color w:val="auto"/>
              </w:rPr>
              <w:t>$25,321</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($1,760)</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$27,081</w:t>
            </w:r>
          </w:p>
        </w:tc>
        <w:tc>
          <w:tcPr>
            <w:tcW w:w="2380" w:type="dxa"/>
            <w:vAlign w:val="bottom"/>
          </w:tcPr>
          <w:p>
            <w:pPr>
              <w:ind w:left="120"/>
              <w:spacing w:after="0"/>
              <w:rPr>
                <w:sz w:val="20"/>
                <w:szCs w:val="20"/>
                <w:color w:val="auto"/>
              </w:rPr>
            </w:pPr>
            <w:r>
              <w:rPr>
                <w:rFonts w:ascii="Arial" w:cs="Arial" w:eastAsia="Arial" w:hAnsi="Arial"/>
                <w:sz w:val="18"/>
                <w:szCs w:val="18"/>
                <w:color w:val="auto"/>
              </w:rPr>
              <w:t>25 years for improvements</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Buildings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225,094</w:t>
            </w:r>
          </w:p>
        </w:tc>
        <w:tc>
          <w:tcPr>
            <w:tcW w:w="1360" w:type="dxa"/>
            <w:vAlign w:val="bottom"/>
          </w:tcPr>
          <w:p>
            <w:pPr>
              <w:jc w:val="right"/>
              <w:spacing w:after="0"/>
              <w:rPr>
                <w:sz w:val="20"/>
                <w:szCs w:val="20"/>
                <w:color w:val="auto"/>
              </w:rPr>
            </w:pPr>
            <w:r>
              <w:rPr>
                <w:rFonts w:ascii="Arial" w:cs="Arial" w:eastAsia="Arial" w:hAnsi="Arial"/>
                <w:sz w:val="18"/>
                <w:szCs w:val="18"/>
                <w:color w:val="auto"/>
              </w:rPr>
              <w:t>236,963</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(3,886)</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240,849</w:t>
            </w:r>
          </w:p>
        </w:tc>
        <w:tc>
          <w:tcPr>
            <w:tcW w:w="2380" w:type="dxa"/>
            <w:vAlign w:val="bottom"/>
          </w:tcPr>
          <w:p>
            <w:pPr>
              <w:ind w:left="120"/>
              <w:spacing w:after="0"/>
              <w:rPr>
                <w:sz w:val="20"/>
                <w:szCs w:val="20"/>
                <w:color w:val="auto"/>
              </w:rPr>
            </w:pPr>
            <w:r>
              <w:rPr>
                <w:rFonts w:ascii="Arial" w:cs="Arial" w:eastAsia="Arial" w:hAnsi="Arial"/>
                <w:sz w:val="18"/>
                <w:szCs w:val="18"/>
                <w:color w:val="auto"/>
              </w:rPr>
              <w:t>25 to 40 years</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940,764</w:t>
            </w:r>
          </w:p>
        </w:tc>
        <w:tc>
          <w:tcPr>
            <w:tcW w:w="1360" w:type="dxa"/>
            <w:vAlign w:val="bottom"/>
          </w:tcPr>
          <w:p>
            <w:pPr>
              <w:jc w:val="right"/>
              <w:spacing w:after="0"/>
              <w:rPr>
                <w:sz w:val="20"/>
                <w:szCs w:val="20"/>
                <w:color w:val="auto"/>
              </w:rPr>
            </w:pPr>
            <w:r>
              <w:rPr>
                <w:rFonts w:ascii="Arial" w:cs="Arial" w:eastAsia="Arial" w:hAnsi="Arial"/>
                <w:sz w:val="18"/>
                <w:szCs w:val="18"/>
                <w:color w:val="auto"/>
              </w:rPr>
              <w:t>980,055</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77,018</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903,037</w:t>
            </w:r>
          </w:p>
        </w:tc>
        <w:tc>
          <w:tcPr>
            <w:tcW w:w="2380" w:type="dxa"/>
            <w:vAlign w:val="bottom"/>
          </w:tcPr>
          <w:p>
            <w:pPr>
              <w:ind w:left="120"/>
              <w:spacing w:after="0"/>
              <w:rPr>
                <w:sz w:val="20"/>
                <w:szCs w:val="20"/>
                <w:color w:val="auto"/>
              </w:rPr>
            </w:pPr>
            <w:r>
              <w:rPr>
                <w:rFonts w:ascii="Arial" w:cs="Arial" w:eastAsia="Arial" w:hAnsi="Arial"/>
                <w:sz w:val="18"/>
                <w:szCs w:val="18"/>
                <w:color w:val="auto"/>
              </w:rPr>
              <w:t>10 years</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6,716</w:t>
            </w:r>
          </w:p>
        </w:tc>
        <w:tc>
          <w:tcPr>
            <w:tcW w:w="1360" w:type="dxa"/>
            <w:vAlign w:val="bottom"/>
          </w:tcPr>
          <w:p>
            <w:pPr>
              <w:jc w:val="right"/>
              <w:spacing w:after="0"/>
              <w:rPr>
                <w:sz w:val="20"/>
                <w:szCs w:val="20"/>
                <w:color w:val="auto"/>
              </w:rPr>
            </w:pPr>
            <w:r>
              <w:rPr>
                <w:rFonts w:ascii="Arial" w:cs="Arial" w:eastAsia="Arial" w:hAnsi="Arial"/>
                <w:sz w:val="18"/>
                <w:szCs w:val="18"/>
                <w:color w:val="auto"/>
              </w:rPr>
              <w:t>7,465</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647</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6,818</w:t>
            </w:r>
          </w:p>
        </w:tc>
        <w:tc>
          <w:tcPr>
            <w:tcW w:w="2380" w:type="dxa"/>
            <w:vAlign w:val="bottom"/>
          </w:tcPr>
          <w:p>
            <w:pPr>
              <w:ind w:left="120"/>
              <w:spacing w:after="0"/>
              <w:rPr>
                <w:sz w:val="20"/>
                <w:szCs w:val="20"/>
                <w:color w:val="auto"/>
              </w:rPr>
            </w:pPr>
            <w:r>
              <w:rPr>
                <w:rFonts w:ascii="Arial" w:cs="Arial" w:eastAsia="Arial" w:hAnsi="Arial"/>
                <w:sz w:val="18"/>
                <w:szCs w:val="18"/>
                <w:color w:val="auto"/>
              </w:rPr>
              <w:t>5 years</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Computer and other equipment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13,692</w:t>
            </w:r>
          </w:p>
        </w:tc>
        <w:tc>
          <w:tcPr>
            <w:tcW w:w="1360" w:type="dxa"/>
            <w:vAlign w:val="bottom"/>
          </w:tcPr>
          <w:p>
            <w:pPr>
              <w:jc w:val="right"/>
              <w:spacing w:after="0"/>
              <w:rPr>
                <w:sz w:val="20"/>
                <w:szCs w:val="20"/>
                <w:color w:val="auto"/>
              </w:rPr>
            </w:pPr>
            <w:r>
              <w:rPr>
                <w:rFonts w:ascii="Arial" w:cs="Arial" w:eastAsia="Arial" w:hAnsi="Arial"/>
                <w:sz w:val="18"/>
                <w:szCs w:val="18"/>
                <w:color w:val="auto"/>
              </w:rPr>
              <w:t>12,086</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(757)</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12,843</w:t>
            </w:r>
          </w:p>
        </w:tc>
        <w:tc>
          <w:tcPr>
            <w:tcW w:w="2380" w:type="dxa"/>
            <w:vAlign w:val="bottom"/>
          </w:tcPr>
          <w:p>
            <w:pPr>
              <w:ind w:left="120"/>
              <w:spacing w:after="0"/>
              <w:rPr>
                <w:sz w:val="20"/>
                <w:szCs w:val="20"/>
                <w:color w:val="auto"/>
              </w:rPr>
            </w:pPr>
            <w:r>
              <w:rPr>
                <w:rFonts w:ascii="Arial" w:cs="Arial" w:eastAsia="Arial" w:hAnsi="Arial"/>
                <w:sz w:val="18"/>
                <w:szCs w:val="18"/>
                <w:color w:val="auto"/>
              </w:rPr>
              <w:t>3 to 10 years</w:t>
            </w:r>
          </w:p>
        </w:tc>
      </w:tr>
      <w:tr>
        <w:trPr>
          <w:trHeight w:val="432"/>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Software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50,586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50,100</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(146)</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50,246</w:t>
            </w:r>
          </w:p>
        </w:tc>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 to 8 years</w:t>
            </w:r>
          </w:p>
        </w:tc>
      </w:tr>
      <w:tr>
        <w:trPr>
          <w:trHeight w:val="493"/>
        </w:trPr>
        <w:tc>
          <w:tcPr>
            <w:tcW w:w="380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1,259,819</w:t>
            </w:r>
          </w:p>
        </w:tc>
        <w:tc>
          <w:tcPr>
            <w:tcW w:w="1360" w:type="dxa"/>
            <w:vAlign w:val="bottom"/>
          </w:tcPr>
          <w:p>
            <w:pPr>
              <w:jc w:val="right"/>
              <w:spacing w:after="0"/>
              <w:rPr>
                <w:sz w:val="20"/>
                <w:szCs w:val="20"/>
                <w:color w:val="auto"/>
              </w:rPr>
            </w:pPr>
            <w:r>
              <w:rPr>
                <w:rFonts w:ascii="Arial" w:cs="Arial" w:eastAsia="Arial" w:hAnsi="Arial"/>
                <w:sz w:val="18"/>
                <w:szCs w:val="18"/>
                <w:color w:val="auto"/>
              </w:rPr>
              <w:t>1,311,990</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71,116</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1,240,874</w:t>
            </w:r>
          </w:p>
        </w:tc>
        <w:tc>
          <w:tcPr>
            <w:tcW w:w="2380" w:type="dxa"/>
            <w:vAlign w:val="bottom"/>
          </w:tcPr>
          <w:p>
            <w:pPr>
              <w:spacing w:after="0"/>
              <w:rPr>
                <w:sz w:val="24"/>
                <w:szCs w:val="24"/>
                <w:color w:val="auto"/>
              </w:rPr>
            </w:pPr>
          </w:p>
        </w:tc>
      </w:tr>
      <w:tr>
        <w:trPr>
          <w:trHeight w:val="432"/>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(864,706)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(893,160)</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(71,116)</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(822,044)</w:t>
            </w:r>
          </w:p>
        </w:tc>
        <w:tc>
          <w:tcPr>
            <w:tcW w:w="2380" w:type="dxa"/>
            <w:vAlign w:val="bottom"/>
            <w:tcBorders>
              <w:bottom w:val="single" w:sz="8" w:color="auto"/>
            </w:tcBorders>
          </w:tcPr>
          <w:p>
            <w:pPr>
              <w:spacing w:after="0"/>
              <w:rPr>
                <w:sz w:val="24"/>
                <w:szCs w:val="24"/>
                <w:color w:val="auto"/>
              </w:rPr>
            </w:pPr>
          </w:p>
        </w:tc>
      </w:tr>
      <w:tr>
        <w:trPr>
          <w:trHeight w:val="439"/>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$395,113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$418,830</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$418,830</w:t>
            </w:r>
          </w:p>
        </w:tc>
        <w:tc>
          <w:tcPr>
            <w:tcW w:w="23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1" w:right="239" w:bottom="1440" w:gutter="0" w:footer="0" w:header="0"/>
        </w:sectPr>
      </w:pPr>
    </w:p>
    <w:bookmarkStart w:id="80" w:name="page81"/>
    <w:bookmarkEnd w:id="80"/>
    <w:p>
      <w:pPr>
        <w:ind w:right="240" w:firstLine="648"/>
        <w:spacing w:after="0" w:line="246" w:lineRule="auto"/>
        <w:rPr>
          <w:sz w:val="20"/>
          <w:szCs w:val="20"/>
          <w:color w:val="auto"/>
        </w:rPr>
      </w:pPr>
      <w:r>
        <w:rPr>
          <w:rFonts w:ascii="Arial" w:cs="Arial" w:eastAsia="Arial" w:hAnsi="Arial"/>
          <w:sz w:val="18"/>
          <w:szCs w:val="18"/>
          <w:color w:val="auto"/>
        </w:rPr>
        <w:t>Expenditures for maintenance and repairs are charged to income as incurred and amounted to $17.4 million in 2014, $17.5 million in 2013, and $17.0 million in 2012.</w:t>
      </w:r>
    </w:p>
    <w:p>
      <w:pPr>
        <w:spacing w:after="0" w:line="170"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Depreciation expense was $56.6 million in 2014, $ 57.2 million in 2013, $56.7 million in 2012. Software amortization is recorded in Selling, general, and administrative expense and was $6.2 million in 2014, $6.0 million in 2013 and $5.8 million in 2012. Capital expenditures, including purchased software, were $58.9 million in 2014, $64.5 million in 2013, and $37.2 million in 2012. Unamortized software cost was $13.8 million and $19.2 million as of December 31, 2014 and 2013,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 and Other Intangible Assets</w:t>
      </w:r>
    </w:p>
    <w:p>
      <w:pPr>
        <w:spacing w:after="0" w:line="193"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7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6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62" w:lineRule="exact"/>
        <w:rPr>
          <w:sz w:val="20"/>
          <w:szCs w:val="20"/>
          <w:color w:val="auto"/>
        </w:rPr>
      </w:pPr>
    </w:p>
    <w:p>
      <w:pPr>
        <w:jc w:val="both"/>
        <w:ind w:right="580" w:firstLine="648"/>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2014, the Company applied the qualitative assessment approach in performing its annual evaluation of goodwill and concluded that no impairment provision was required. In addition, there were no amounts at risk due to the large spread between the fair and carrying values.</w:t>
      </w:r>
    </w:p>
    <w:p>
      <w:pPr>
        <w:spacing w:after="0" w:line="176"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2012 to December 31, 2014, were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Balance at</w:t>
            </w:r>
          </w:p>
        </w:tc>
        <w:tc>
          <w:tcPr>
            <w:tcW w:w="18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Currency</w:t>
            </w:r>
          </w:p>
        </w:tc>
        <w:tc>
          <w:tcPr>
            <w:tcW w:w="1780" w:type="dxa"/>
            <w:vAlign w:val="bottom"/>
            <w:tcBorders>
              <w:top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December 31, 2013</w:t>
            </w:r>
          </w:p>
        </w:tc>
        <w:tc>
          <w:tcPr>
            <w:tcW w:w="18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Amortization</w:t>
            </w:r>
          </w:p>
        </w:tc>
        <w:tc>
          <w:tcPr>
            <w:tcW w:w="14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Translation</w:t>
            </w:r>
          </w:p>
        </w:tc>
        <w:tc>
          <w:tcPr>
            <w:tcW w:w="1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December 31, 2014</w:t>
            </w:r>
          </w:p>
        </w:tc>
      </w:tr>
      <w:tr>
        <w:trPr>
          <w:trHeight w:val="398"/>
        </w:trPr>
        <w:tc>
          <w:tcPr>
            <w:tcW w:w="350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120"/>
              <w:spacing w:after="0" w:line="202" w:lineRule="exact"/>
              <w:rPr>
                <w:sz w:val="20"/>
                <w:szCs w:val="20"/>
                <w:color w:val="auto"/>
              </w:rPr>
            </w:pPr>
            <w:r>
              <w:rPr>
                <w:rFonts w:ascii="Arial" w:cs="Arial" w:eastAsia="Arial" w:hAnsi="Arial"/>
                <w:sz w:val="18"/>
                <w:szCs w:val="18"/>
                <w:color w:val="auto"/>
              </w:rPr>
              <w:t>AEC trade names</w:t>
            </w:r>
          </w:p>
        </w:tc>
        <w:tc>
          <w:tcPr>
            <w:tcW w:w="28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$33</w:t>
            </w:r>
          </w:p>
        </w:tc>
        <w:tc>
          <w:tcPr>
            <w:tcW w:w="18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w:t>
            </w:r>
          </w:p>
        </w:tc>
        <w:tc>
          <w:tcPr>
            <w:tcW w:w="14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 w:type="dxa"/>
            <w:vAlign w:val="bottom"/>
          </w:tcPr>
          <w:p>
            <w:pPr>
              <w:spacing w:after="0"/>
              <w:rPr>
                <w:sz w:val="17"/>
                <w:szCs w:val="17"/>
                <w:color w:val="auto"/>
              </w:rPr>
            </w:pPr>
          </w:p>
        </w:tc>
        <w:tc>
          <w:tcPr>
            <w:tcW w:w="3480" w:type="dxa"/>
            <w:vAlign w:val="bottom"/>
          </w:tcPr>
          <w:p>
            <w:pPr>
              <w:ind w:left="120"/>
              <w:spacing w:after="0" w:line="202" w:lineRule="exact"/>
              <w:rPr>
                <w:sz w:val="20"/>
                <w:szCs w:val="20"/>
                <w:color w:val="auto"/>
              </w:rPr>
            </w:pPr>
            <w:r>
              <w:rPr>
                <w:rFonts w:ascii="Arial" w:cs="Arial" w:eastAsia="Arial" w:hAnsi="Arial"/>
                <w:sz w:val="18"/>
                <w:szCs w:val="18"/>
                <w:color w:val="auto"/>
              </w:rPr>
              <w:t>AEC customer contracts</w:t>
            </w:r>
          </w:p>
        </w:tc>
        <w:tc>
          <w:tcPr>
            <w:tcW w:w="28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404</w:t>
            </w:r>
          </w:p>
        </w:tc>
        <w:tc>
          <w:tcPr>
            <w:tcW w:w="18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(202)</w:t>
            </w:r>
          </w:p>
        </w:tc>
        <w:tc>
          <w:tcPr>
            <w:tcW w:w="14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203"/>
        </w:trPr>
        <w:tc>
          <w:tcPr>
            <w:tcW w:w="20" w:type="dxa"/>
            <w:vAlign w:val="bottom"/>
          </w:tcPr>
          <w:p>
            <w:pPr>
              <w:spacing w:after="0"/>
              <w:rPr>
                <w:sz w:val="17"/>
                <w:szCs w:val="17"/>
                <w:color w:val="auto"/>
              </w:rPr>
            </w:pPr>
          </w:p>
        </w:tc>
        <w:tc>
          <w:tcPr>
            <w:tcW w:w="34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AEC technology</w:t>
            </w:r>
          </w:p>
        </w:tc>
        <w:tc>
          <w:tcPr>
            <w:tcW w:w="2840" w:type="dxa"/>
            <w:vAlign w:val="bottom"/>
            <w:tcBorders>
              <w:bottom w:val="single" w:sz="8" w:color="auto"/>
            </w:tcBorders>
          </w:tcPr>
          <w:p>
            <w:pPr>
              <w:jc w:val="right"/>
              <w:ind w:right="175"/>
              <w:spacing w:after="0" w:line="203" w:lineRule="exact"/>
              <w:rPr>
                <w:sz w:val="20"/>
                <w:szCs w:val="20"/>
                <w:color w:val="auto"/>
              </w:rPr>
            </w:pPr>
            <w:r>
              <w:rPr>
                <w:rFonts w:ascii="Arial" w:cs="Arial" w:eastAsia="Arial" w:hAnsi="Arial"/>
                <w:sz w:val="18"/>
                <w:szCs w:val="18"/>
                <w:color w:val="auto"/>
              </w:rPr>
              <w:t>179</w:t>
            </w:r>
          </w:p>
        </w:tc>
        <w:tc>
          <w:tcPr>
            <w:tcW w:w="186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(25)</w:t>
            </w:r>
          </w:p>
        </w:tc>
        <w:tc>
          <w:tcPr>
            <w:tcW w:w="1440" w:type="dxa"/>
            <w:vAlign w:val="bottom"/>
            <w:tcBorders>
              <w:bottom w:val="single" w:sz="8" w:color="auto"/>
            </w:tcBorders>
          </w:tcPr>
          <w:p>
            <w:pPr>
              <w:jc w:val="right"/>
              <w:ind w:right="75"/>
              <w:spacing w:after="0" w:line="203"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w:t>
            </w:r>
          </w:p>
        </w:tc>
      </w:tr>
      <w:tr>
        <w:trPr>
          <w:trHeight w:val="196"/>
        </w:trPr>
        <w:tc>
          <w:tcPr>
            <w:tcW w:w="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840" w:type="dxa"/>
            <w:vAlign w:val="bottom"/>
            <w:tcBorders>
              <w:bottom w:val="single" w:sz="8" w:color="auto"/>
            </w:tcBorders>
          </w:tcPr>
          <w:p>
            <w:pPr>
              <w:jc w:val="right"/>
              <w:ind w:right="175"/>
              <w:spacing w:after="0" w:line="196" w:lineRule="exact"/>
              <w:rPr>
                <w:sz w:val="20"/>
                <w:szCs w:val="20"/>
                <w:color w:val="auto"/>
              </w:rPr>
            </w:pPr>
            <w:r>
              <w:rPr>
                <w:rFonts w:ascii="Arial" w:cs="Arial" w:eastAsia="Arial" w:hAnsi="Arial"/>
                <w:sz w:val="18"/>
                <w:szCs w:val="18"/>
                <w:color w:val="auto"/>
              </w:rPr>
              <w:t>$616</w:t>
            </w:r>
          </w:p>
        </w:tc>
        <w:tc>
          <w:tcPr>
            <w:tcW w:w="18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($231)</w:t>
            </w:r>
          </w:p>
        </w:tc>
        <w:tc>
          <w:tcPr>
            <w:tcW w:w="144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w:t>
            </w:r>
          </w:p>
        </w:tc>
      </w:tr>
      <w:tr>
        <w:trPr>
          <w:trHeight w:val="39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Unamortized intangible assets:</w:t>
            </w:r>
          </w:p>
        </w:tc>
        <w:tc>
          <w:tcPr>
            <w:tcW w:w="2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8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Goodwill</w:t>
            </w:r>
          </w:p>
        </w:tc>
        <w:tc>
          <w:tcPr>
            <w:tcW w:w="2840" w:type="dxa"/>
            <w:vAlign w:val="bottom"/>
            <w:tcBorders>
              <w:bottom w:val="single" w:sz="8" w:color="auto"/>
            </w:tcBorders>
          </w:tcPr>
          <w:p>
            <w:pPr>
              <w:jc w:val="right"/>
              <w:ind w:right="175"/>
              <w:spacing w:after="0" w:line="203" w:lineRule="exact"/>
              <w:rPr>
                <w:sz w:val="20"/>
                <w:szCs w:val="20"/>
                <w:color w:val="auto"/>
              </w:rPr>
            </w:pPr>
            <w:r>
              <w:rPr>
                <w:rFonts w:ascii="Arial" w:cs="Arial" w:eastAsia="Arial" w:hAnsi="Arial"/>
                <w:sz w:val="18"/>
                <w:szCs w:val="18"/>
                <w:color w:val="auto"/>
              </w:rPr>
              <w:t>$78,890</w:t>
            </w:r>
          </w:p>
        </w:tc>
        <w:tc>
          <w:tcPr>
            <w:tcW w:w="186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5"/>
              <w:spacing w:after="0" w:line="203" w:lineRule="exact"/>
              <w:rPr>
                <w:sz w:val="20"/>
                <w:szCs w:val="20"/>
                <w:color w:val="auto"/>
              </w:rPr>
            </w:pPr>
            <w:r>
              <w:rPr>
                <w:rFonts w:ascii="Arial" w:cs="Arial" w:eastAsia="Arial" w:hAnsi="Arial"/>
                <w:sz w:val="18"/>
                <w:szCs w:val="18"/>
                <w:color w:val="auto"/>
              </w:rPr>
              <w:t>($7,210)</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$71,680</w:t>
            </w:r>
          </w:p>
        </w:tc>
      </w:tr>
      <w:tr>
        <w:trPr>
          <w:trHeight w:val="70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81"/>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68"/>
        </w:trPr>
        <w:tc>
          <w:tcPr>
            <w:tcW w:w="20" w:type="dxa"/>
            <w:vAlign w:val="bottom"/>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057" w:right="23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40" w:type="dxa"/>
            <w:vAlign w:val="bottom"/>
          </w:tcPr>
          <w:p>
            <w:pPr>
              <w:jc w:val="right"/>
              <w:ind w:right="915"/>
              <w:spacing w:after="0"/>
              <w:rPr>
                <w:sz w:val="20"/>
                <w:szCs w:val="20"/>
                <w:color w:val="auto"/>
              </w:rPr>
            </w:pPr>
            <w:r>
              <w:rPr>
                <w:rFonts w:ascii="Arial" w:cs="Arial" w:eastAsia="Arial" w:hAnsi="Arial"/>
                <w:sz w:val="14"/>
                <w:szCs w:val="14"/>
                <w:b w:val="1"/>
                <w:bCs w:val="1"/>
                <w:color w:val="auto"/>
              </w:rPr>
              <w:t>Balance at</w:t>
            </w:r>
          </w:p>
        </w:tc>
        <w:tc>
          <w:tcPr>
            <w:tcW w:w="1860" w:type="dxa"/>
            <w:vAlign w:val="bottom"/>
          </w:tcPr>
          <w:p>
            <w:pPr>
              <w:spacing w:after="0"/>
              <w:rPr>
                <w:sz w:val="14"/>
                <w:szCs w:val="14"/>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Currency</w:t>
            </w:r>
          </w:p>
        </w:tc>
        <w:tc>
          <w:tcPr>
            <w:tcW w:w="1780" w:type="dxa"/>
            <w:vAlign w:val="bottom"/>
          </w:tcPr>
          <w:p>
            <w:pPr>
              <w:jc w:val="right"/>
              <w:ind w:right="515"/>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December 31, 2012</w:t>
            </w:r>
          </w:p>
        </w:tc>
        <w:tc>
          <w:tcPr>
            <w:tcW w:w="18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Amortization</w:t>
            </w:r>
          </w:p>
        </w:tc>
        <w:tc>
          <w:tcPr>
            <w:tcW w:w="14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Translation</w:t>
            </w:r>
          </w:p>
        </w:tc>
        <w:tc>
          <w:tcPr>
            <w:tcW w:w="1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2013</w:t>
            </w:r>
          </w:p>
        </w:tc>
      </w:tr>
      <w:tr>
        <w:trPr>
          <w:trHeight w:val="398"/>
        </w:trPr>
        <w:tc>
          <w:tcPr>
            <w:tcW w:w="350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120"/>
              <w:spacing w:after="0" w:line="202" w:lineRule="exact"/>
              <w:rPr>
                <w:sz w:val="20"/>
                <w:szCs w:val="20"/>
                <w:color w:val="auto"/>
              </w:rPr>
            </w:pPr>
            <w:r>
              <w:rPr>
                <w:rFonts w:ascii="Arial" w:cs="Arial" w:eastAsia="Arial" w:hAnsi="Arial"/>
                <w:sz w:val="18"/>
                <w:szCs w:val="18"/>
                <w:color w:val="auto"/>
              </w:rPr>
              <w:t>AEC trade names</w:t>
            </w:r>
          </w:p>
        </w:tc>
        <w:tc>
          <w:tcPr>
            <w:tcW w:w="28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$38</w:t>
            </w:r>
          </w:p>
        </w:tc>
        <w:tc>
          <w:tcPr>
            <w:tcW w:w="18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w:t>
            </w:r>
          </w:p>
        </w:tc>
        <w:tc>
          <w:tcPr>
            <w:tcW w:w="14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20" w:type="dxa"/>
            <w:vAlign w:val="bottom"/>
          </w:tcPr>
          <w:p>
            <w:pPr>
              <w:spacing w:after="0"/>
              <w:rPr>
                <w:sz w:val="17"/>
                <w:szCs w:val="17"/>
                <w:color w:val="auto"/>
              </w:rPr>
            </w:pPr>
          </w:p>
        </w:tc>
        <w:tc>
          <w:tcPr>
            <w:tcW w:w="3480" w:type="dxa"/>
            <w:vAlign w:val="bottom"/>
          </w:tcPr>
          <w:p>
            <w:pPr>
              <w:ind w:left="120"/>
              <w:spacing w:after="0" w:line="202" w:lineRule="exact"/>
              <w:rPr>
                <w:sz w:val="20"/>
                <w:szCs w:val="20"/>
                <w:color w:val="auto"/>
              </w:rPr>
            </w:pPr>
            <w:r>
              <w:rPr>
                <w:rFonts w:ascii="Arial" w:cs="Arial" w:eastAsia="Arial" w:hAnsi="Arial"/>
                <w:sz w:val="18"/>
                <w:szCs w:val="18"/>
                <w:color w:val="auto"/>
              </w:rPr>
              <w:t>AEC customer contracts</w:t>
            </w:r>
          </w:p>
        </w:tc>
        <w:tc>
          <w:tcPr>
            <w:tcW w:w="28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606</w:t>
            </w:r>
          </w:p>
        </w:tc>
        <w:tc>
          <w:tcPr>
            <w:tcW w:w="18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(202)</w:t>
            </w:r>
          </w:p>
        </w:tc>
        <w:tc>
          <w:tcPr>
            <w:tcW w:w="14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r>
      <w:tr>
        <w:trPr>
          <w:trHeight w:val="203"/>
        </w:trPr>
        <w:tc>
          <w:tcPr>
            <w:tcW w:w="20" w:type="dxa"/>
            <w:vAlign w:val="bottom"/>
          </w:tcPr>
          <w:p>
            <w:pPr>
              <w:spacing w:after="0"/>
              <w:rPr>
                <w:sz w:val="17"/>
                <w:szCs w:val="17"/>
                <w:color w:val="auto"/>
              </w:rPr>
            </w:pPr>
          </w:p>
        </w:tc>
        <w:tc>
          <w:tcPr>
            <w:tcW w:w="34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AEC technology</w:t>
            </w:r>
          </w:p>
        </w:tc>
        <w:tc>
          <w:tcPr>
            <w:tcW w:w="2840" w:type="dxa"/>
            <w:vAlign w:val="bottom"/>
            <w:tcBorders>
              <w:bottom w:val="single" w:sz="8" w:color="auto"/>
            </w:tcBorders>
          </w:tcPr>
          <w:p>
            <w:pPr>
              <w:jc w:val="right"/>
              <w:ind w:right="175"/>
              <w:spacing w:after="0" w:line="203" w:lineRule="exact"/>
              <w:rPr>
                <w:sz w:val="20"/>
                <w:szCs w:val="20"/>
                <w:color w:val="auto"/>
              </w:rPr>
            </w:pPr>
            <w:r>
              <w:rPr>
                <w:rFonts w:ascii="Arial" w:cs="Arial" w:eastAsia="Arial" w:hAnsi="Arial"/>
                <w:sz w:val="18"/>
                <w:szCs w:val="18"/>
                <w:color w:val="auto"/>
              </w:rPr>
              <w:t>204</w:t>
            </w:r>
          </w:p>
        </w:tc>
        <w:tc>
          <w:tcPr>
            <w:tcW w:w="186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(25)</w:t>
            </w:r>
          </w:p>
        </w:tc>
        <w:tc>
          <w:tcPr>
            <w:tcW w:w="1440" w:type="dxa"/>
            <w:vAlign w:val="bottom"/>
            <w:tcBorders>
              <w:bottom w:val="single" w:sz="8" w:color="auto"/>
            </w:tcBorders>
          </w:tcPr>
          <w:p>
            <w:pPr>
              <w:jc w:val="right"/>
              <w:ind w:right="75"/>
              <w:spacing w:after="0" w:line="203"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w:t>
            </w:r>
          </w:p>
        </w:tc>
      </w:tr>
      <w:tr>
        <w:trPr>
          <w:trHeight w:val="196"/>
        </w:trPr>
        <w:tc>
          <w:tcPr>
            <w:tcW w:w="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840" w:type="dxa"/>
            <w:vAlign w:val="bottom"/>
            <w:tcBorders>
              <w:bottom w:val="single" w:sz="8" w:color="auto"/>
            </w:tcBorders>
          </w:tcPr>
          <w:p>
            <w:pPr>
              <w:jc w:val="right"/>
              <w:ind w:right="175"/>
              <w:spacing w:after="0" w:line="196" w:lineRule="exact"/>
              <w:rPr>
                <w:sz w:val="20"/>
                <w:szCs w:val="20"/>
                <w:color w:val="auto"/>
              </w:rPr>
            </w:pPr>
            <w:r>
              <w:rPr>
                <w:rFonts w:ascii="Arial" w:cs="Arial" w:eastAsia="Arial" w:hAnsi="Arial"/>
                <w:sz w:val="18"/>
                <w:szCs w:val="18"/>
                <w:color w:val="auto"/>
              </w:rPr>
              <w:t>$848</w:t>
            </w:r>
          </w:p>
        </w:tc>
        <w:tc>
          <w:tcPr>
            <w:tcW w:w="18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($232)</w:t>
            </w:r>
          </w:p>
        </w:tc>
        <w:tc>
          <w:tcPr>
            <w:tcW w:w="144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w:t>
            </w:r>
          </w:p>
        </w:tc>
      </w:tr>
      <w:tr>
        <w:trPr>
          <w:trHeight w:val="39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Unamortized intangible assets:</w:t>
            </w:r>
          </w:p>
        </w:tc>
        <w:tc>
          <w:tcPr>
            <w:tcW w:w="2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8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Goodwill</w:t>
            </w:r>
          </w:p>
        </w:tc>
        <w:tc>
          <w:tcPr>
            <w:tcW w:w="2840" w:type="dxa"/>
            <w:vAlign w:val="bottom"/>
            <w:tcBorders>
              <w:bottom w:val="single" w:sz="8" w:color="auto"/>
            </w:tcBorders>
          </w:tcPr>
          <w:p>
            <w:pPr>
              <w:jc w:val="right"/>
              <w:ind w:right="175"/>
              <w:spacing w:after="0" w:line="203" w:lineRule="exact"/>
              <w:rPr>
                <w:sz w:val="20"/>
                <w:szCs w:val="20"/>
                <w:color w:val="auto"/>
              </w:rPr>
            </w:pPr>
            <w:r>
              <w:rPr>
                <w:rFonts w:ascii="Arial" w:cs="Arial" w:eastAsia="Arial" w:hAnsi="Arial"/>
                <w:sz w:val="18"/>
                <w:szCs w:val="18"/>
                <w:color w:val="auto"/>
              </w:rPr>
              <w:t>$76,522</w:t>
            </w:r>
          </w:p>
        </w:tc>
        <w:tc>
          <w:tcPr>
            <w:tcW w:w="186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5"/>
              <w:spacing w:after="0" w:line="203" w:lineRule="exact"/>
              <w:rPr>
                <w:sz w:val="20"/>
                <w:szCs w:val="20"/>
                <w:color w:val="auto"/>
              </w:rPr>
            </w:pPr>
            <w:r>
              <w:rPr>
                <w:rFonts w:ascii="Arial" w:cs="Arial" w:eastAsia="Arial" w:hAnsi="Arial"/>
                <w:sz w:val="18"/>
                <w:szCs w:val="18"/>
                <w:color w:val="auto"/>
              </w:rPr>
              <w:t>$2,368</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$78,890</w:t>
            </w:r>
          </w:p>
        </w:tc>
      </w:tr>
    </w:tbl>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2015 through 2019,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Borders>
              <w:top w:val="single" w:sz="8" w:color="auto"/>
            </w:tcBorders>
          </w:tcPr>
          <w:p>
            <w:pPr>
              <w:spacing w:after="0"/>
              <w:rPr>
                <w:sz w:val="14"/>
                <w:szCs w:val="14"/>
                <w:color w:val="auto"/>
              </w:rPr>
            </w:pPr>
          </w:p>
        </w:tc>
        <w:tc>
          <w:tcPr>
            <w:tcW w:w="3200" w:type="dxa"/>
            <w:vAlign w:val="bottom"/>
            <w:tcBorders>
              <w:top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Annual amortization</w:t>
            </w:r>
          </w:p>
        </w:tc>
        <w:tc>
          <w:tcPr>
            <w:tcW w:w="20" w:type="dxa"/>
            <w:vAlign w:val="bottom"/>
          </w:tcPr>
          <w:p>
            <w:pPr>
              <w:spacing w:after="0"/>
              <w:rPr>
                <w:sz w:val="14"/>
                <w:szCs w:val="14"/>
                <w:color w:val="auto"/>
              </w:rPr>
            </w:pPr>
          </w:p>
        </w:tc>
      </w:tr>
      <w:tr>
        <w:trPr>
          <w:trHeight w:val="175"/>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2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(in thousands)</w:t>
            </w:r>
          </w:p>
        </w:tc>
      </w:tr>
      <w:tr>
        <w:trPr>
          <w:trHeight w:val="195"/>
        </w:trPr>
        <w:tc>
          <w:tcPr>
            <w:tcW w:w="2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2015</w:t>
            </w:r>
          </w:p>
        </w:tc>
        <w:tc>
          <w:tcPr>
            <w:tcW w:w="3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6"/>
                <w:szCs w:val="16"/>
                <w:color w:val="auto"/>
              </w:rPr>
            </w:pPr>
          </w:p>
        </w:tc>
      </w:tr>
      <w:tr>
        <w:trPr>
          <w:trHeight w:val="203"/>
        </w:trPr>
        <w:tc>
          <w:tcPr>
            <w:tcW w:w="2500" w:type="dxa"/>
            <w:vAlign w:val="bottom"/>
          </w:tcPr>
          <w:p>
            <w:pPr>
              <w:jc w:val="center"/>
              <w:spacing w:after="0" w:line="202" w:lineRule="exact"/>
              <w:rPr>
                <w:sz w:val="20"/>
                <w:szCs w:val="20"/>
                <w:color w:val="auto"/>
              </w:rPr>
            </w:pPr>
            <w:r>
              <w:rPr>
                <w:rFonts w:ascii="Arial" w:cs="Arial" w:eastAsia="Arial" w:hAnsi="Arial"/>
                <w:sz w:val="18"/>
                <w:szCs w:val="18"/>
                <w:color w:val="auto"/>
              </w:rPr>
              <w:t>2016</w:t>
            </w:r>
          </w:p>
        </w:tc>
        <w:tc>
          <w:tcPr>
            <w:tcW w:w="3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500" w:type="dxa"/>
            <w:vAlign w:val="bottom"/>
          </w:tcPr>
          <w:p>
            <w:pPr>
              <w:jc w:val="center"/>
              <w:spacing w:after="0" w:line="202" w:lineRule="exact"/>
              <w:rPr>
                <w:sz w:val="20"/>
                <w:szCs w:val="20"/>
                <w:color w:val="auto"/>
              </w:rPr>
            </w:pPr>
            <w:r>
              <w:rPr>
                <w:rFonts w:ascii="Arial" w:cs="Arial" w:eastAsia="Arial" w:hAnsi="Arial"/>
                <w:sz w:val="18"/>
                <w:szCs w:val="18"/>
                <w:color w:val="auto"/>
              </w:rPr>
              <w:t>2017</w:t>
            </w:r>
          </w:p>
        </w:tc>
        <w:tc>
          <w:tcPr>
            <w:tcW w:w="3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500" w:type="dxa"/>
            <w:vAlign w:val="bottom"/>
          </w:tcPr>
          <w:p>
            <w:pPr>
              <w:jc w:val="center"/>
              <w:spacing w:after="0" w:line="202" w:lineRule="exact"/>
              <w:rPr>
                <w:sz w:val="20"/>
                <w:szCs w:val="20"/>
                <w:color w:val="auto"/>
              </w:rPr>
            </w:pPr>
            <w:r>
              <w:rPr>
                <w:rFonts w:ascii="Arial" w:cs="Arial" w:eastAsia="Arial" w:hAnsi="Arial"/>
                <w:sz w:val="18"/>
                <w:szCs w:val="18"/>
                <w:color w:val="auto"/>
              </w:rPr>
              <w:t>2018</w:t>
            </w:r>
          </w:p>
        </w:tc>
        <w:tc>
          <w:tcPr>
            <w:tcW w:w="3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5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2019</w:t>
            </w:r>
          </w:p>
        </w:tc>
        <w:tc>
          <w:tcPr>
            <w:tcW w:w="32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99"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99"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13. Accrued Liabilities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r>
      <w:tr>
        <w:trPr>
          <w:trHeight w:val="173"/>
        </w:trPr>
        <w:tc>
          <w:tcPr>
            <w:tcW w:w="6580" w:type="dxa"/>
            <w:vAlign w:val="bottom"/>
          </w:tcPr>
          <w:p>
            <w:pPr>
              <w:spacing w:after="0" w:line="173" w:lineRule="exact"/>
              <w:rPr>
                <w:sz w:val="20"/>
                <w:szCs w:val="20"/>
                <w:color w:val="auto"/>
              </w:rPr>
            </w:pPr>
            <w:r>
              <w:rPr>
                <w:rFonts w:ascii="Arial" w:cs="Arial" w:eastAsia="Arial" w:hAnsi="Arial"/>
                <w:sz w:val="18"/>
                <w:szCs w:val="18"/>
                <w:color w:val="auto"/>
              </w:rPr>
              <w:t>Salaries and wages</w:t>
            </w:r>
          </w:p>
        </w:tc>
        <w:tc>
          <w:tcPr>
            <w:tcW w:w="37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$19,229</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$18,177</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Accrual for compensated absences</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11,330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12,886</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Employee benefits</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11,525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9,960</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Pension liability - current portion</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2,141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2,321</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Postretirement medical benefits - current portion</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4,750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5,056</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Returns and allowances</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17,265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22,428</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2,052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2,131</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1,873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9,656</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Dividends</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5,098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4,765</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Workers' compensation</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2,502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Billings in excess of revenue recognized</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2,024</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7,081</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2,051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2,486</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Utilities</w:t>
            </w:r>
          </w:p>
        </w:tc>
        <w:tc>
          <w:tcPr>
            <w:tcW w:w="3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962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1,175</w:t>
            </w:r>
          </w:p>
        </w:tc>
      </w:tr>
      <w:tr>
        <w:trPr>
          <w:trHeight w:val="225"/>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12,347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w:t>
            </w:r>
          </w:p>
        </w:tc>
      </w:tr>
      <w:tr>
        <w:trPr>
          <w:trHeight w:val="196"/>
        </w:trPr>
        <w:tc>
          <w:tcPr>
            <w:tcW w:w="6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$95,149</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$112,331</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2"/>
        </w:trPr>
        <w:tc>
          <w:tcPr>
            <w:tcW w:w="836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2015 and 2017</w:t>
            </w: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rPr>
              <w:t>$100,000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91"/>
        </w:trPr>
        <w:tc>
          <w:tcPr>
            <w:tcW w:w="836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 of 2.69% in 2014</w:t>
            </w: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and 2.53% in 2013 (including the effect of interest rate hedging transactions, as described</w:t>
            </w:r>
          </w:p>
        </w:tc>
        <w:tc>
          <w:tcPr>
            <w:tcW w:w="18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172,000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below), due in 2018</w:t>
            </w:r>
          </w:p>
        </w:tc>
        <w:tc>
          <w:tcPr>
            <w:tcW w:w="188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391"/>
        </w:trPr>
        <w:tc>
          <w:tcPr>
            <w:tcW w:w="8360" w:type="dxa"/>
            <w:vAlign w:val="bottom"/>
          </w:tcPr>
          <w:p>
            <w:pPr>
              <w:spacing w:after="0"/>
              <w:rPr>
                <w:sz w:val="20"/>
                <w:szCs w:val="20"/>
                <w:color w:val="auto"/>
              </w:rPr>
            </w:pPr>
            <w:r>
              <w:rPr>
                <w:rFonts w:ascii="Arial" w:cs="Arial" w:eastAsia="Arial" w:hAnsi="Arial"/>
                <w:sz w:val="18"/>
                <w:szCs w:val="18"/>
                <w:color w:val="auto"/>
              </w:rPr>
              <w:t>Various notes and mortgages, at an average end of period rate of 5.50% in 2014 and 3.10% in</w:t>
            </w:r>
          </w:p>
        </w:tc>
        <w:tc>
          <w:tcPr>
            <w:tcW w:w="18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111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2013, due in varying amounts through 2021</w:t>
            </w:r>
          </w:p>
        </w:tc>
        <w:tc>
          <w:tcPr>
            <w:tcW w:w="18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412"/>
        </w:trPr>
        <w:tc>
          <w:tcPr>
            <w:tcW w:w="8360" w:type="dxa"/>
            <w:vAlign w:val="bottom"/>
          </w:tcPr>
          <w:p>
            <w:pPr>
              <w:spacing w:after="0"/>
              <w:rPr>
                <w:sz w:val="20"/>
                <w:szCs w:val="20"/>
                <w:color w:val="auto"/>
              </w:rPr>
            </w:pPr>
            <w:r>
              <w:rPr>
                <w:rFonts w:ascii="Arial" w:cs="Arial" w:eastAsia="Arial" w:hAnsi="Arial"/>
                <w:sz w:val="18"/>
                <w:szCs w:val="18"/>
                <w:color w:val="auto"/>
              </w:rPr>
              <w:t>Long-term debt</w:t>
            </w: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rPr>
              <w:t>272,111</w:t>
            </w:r>
          </w:p>
        </w:tc>
        <w:tc>
          <w:tcPr>
            <w:tcW w:w="1180" w:type="dxa"/>
            <w:vAlign w:val="bottom"/>
          </w:tcPr>
          <w:p>
            <w:pPr>
              <w:jc w:val="right"/>
              <w:spacing w:after="0"/>
              <w:rPr>
                <w:sz w:val="20"/>
                <w:szCs w:val="20"/>
                <w:color w:val="auto"/>
              </w:rPr>
            </w:pPr>
            <w:r>
              <w:rPr>
                <w:rFonts w:ascii="Arial" w:cs="Arial" w:eastAsia="Arial" w:hAnsi="Arial"/>
                <w:sz w:val="18"/>
                <w:szCs w:val="18"/>
                <w:color w:val="auto"/>
              </w:rPr>
              <w:t>303,875</w:t>
            </w:r>
          </w:p>
        </w:tc>
        <w:tc>
          <w:tcPr>
            <w:tcW w:w="0" w:type="dxa"/>
            <w:vAlign w:val="bottom"/>
          </w:tcPr>
          <w:p>
            <w:pPr>
              <w:spacing w:after="0"/>
              <w:rPr>
                <w:sz w:val="1"/>
                <w:szCs w:val="1"/>
                <w:color w:val="auto"/>
              </w:rPr>
            </w:pPr>
          </w:p>
        </w:tc>
      </w:tr>
      <w:tr>
        <w:trPr>
          <w:trHeight w:val="392"/>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(50,015)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399"/>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$222,096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$300,111</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Principal payments due on long-term debt are: 2015, $ 50.0 million; 2017, $50.0 million and 2018, $172.0 million. Total principal payments in 2016, 2019 and thereafter total $0.1 million. Cash payments of interest amounted to $13.0 million in 2014, $16.1 million in 2013 and $18.4 million in 2012.</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83" w:name="page84"/>
    <w:bookmarkEnd w:id="83"/>
    <w:p>
      <w:pPr>
        <w:ind w:right="320" w:firstLine="648"/>
        <w:spacing w:after="0" w:line="234" w:lineRule="auto"/>
        <w:rPr>
          <w:sz w:val="20"/>
          <w:szCs w:val="20"/>
          <w:color w:val="auto"/>
        </w:rPr>
      </w:pPr>
      <w:r>
        <w:rPr>
          <w:rFonts w:ascii="Arial" w:cs="Arial" w:eastAsia="Arial" w:hAnsi="Arial"/>
          <w:sz w:val="18"/>
          <w:szCs w:val="18"/>
          <w:color w:val="auto"/>
        </w:rPr>
        <w:t>A note agreement and guaranty (“Prudential Agreement”) was entered into in October 2005, and was amended and restated as September 17, 2010 and March 26, 2013, with the Prudential Insurance Company of America, and certain other purchasers, with interest at</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6.84% and a maturity date of October 25, 2017. The remaining obligation under the Prudential Agreement has a mandatory payment of $50 million due on October 25, 2015, and the final payment is due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December 31, 2014, the fair value of this debt was approximately $110.6 million, which was measured using active market interest rates, which would be considered Level 2 for fair value measurement purposes.</w:t>
      </w:r>
    </w:p>
    <w:p>
      <w:pPr>
        <w:spacing w:after="0" w:line="17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$172 million of borrowings were outstanding as of December 31, 2014. The Credit Agreement replaces the previous $390 million five-year Credit Agreement made in 2010. The applicable interest rate for borrowings under the Credit Agreement, as well as under the former agreement, is LIBOR plus a spread, based on our leverage ratio at the time of borrowing. At the time of the last borrowing on December 22, 2014, the spread was 1.375%. The spread is based on a pricing grid, which ranges from 1.25% to 1.875%, based on our leverage ratio.</w:t>
      </w:r>
    </w:p>
    <w:p>
      <w:pPr>
        <w:spacing w:after="0" w:line="162"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December 31, 2014, we would have been able to borrow an additional $158 million under our agreement.</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October 16, 2014 was 0.23%. The net effect is to fix the effective interest rate on $105 million of indebtedness at 2.04%, plus the applicable spread, until these swap agreements expire. On December 31, 2014, the all-in rate on the $105 million of debt was 3.415%.</w:t>
      </w:r>
    </w:p>
    <w:p>
      <w:pPr>
        <w:spacing w:after="0" w:line="17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December 31, 2014 was 0.17%. The net effect is to fix the effective interest rate on $110 million of indebtedness at 1.414%, plus the applicable spread, during the swap period.</w:t>
      </w:r>
    </w:p>
    <w:p>
      <w:pPr>
        <w:spacing w:after="0" w:line="165" w:lineRule="exact"/>
        <w:rPr>
          <w:sz w:val="20"/>
          <w:szCs w:val="20"/>
          <w:color w:val="auto"/>
        </w:rPr>
      </w:pPr>
    </w:p>
    <w:p>
      <w:pPr>
        <w:ind w:right="92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of the Notes to Consolidated Financial Statements. No cash collateral was received or pledged in relation to the swap agreements.</w:t>
      </w:r>
    </w:p>
    <w:p>
      <w:pPr>
        <w:spacing w:after="0" w:line="156"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84" w:name="page85"/>
    <w:bookmarkEnd w:id="84"/>
    <w:p>
      <w:pPr>
        <w:ind w:right="40" w:firstLine="648"/>
        <w:spacing w:after="0"/>
        <w:rPr>
          <w:sz w:val="20"/>
          <w:szCs w:val="20"/>
          <w:color w:val="auto"/>
        </w:rPr>
      </w:pPr>
      <w:r>
        <w:rPr>
          <w:rFonts w:ascii="Arial" w:cs="Arial" w:eastAsia="Arial" w:hAnsi="Arial"/>
          <w:sz w:val="18"/>
          <w:szCs w:val="18"/>
          <w:color w:val="auto"/>
        </w:rPr>
        <w:t>As of December 31, 2014, our leverage ratio was 1.30 to 1.00 and our interest coverage ratio was 13.01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7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December 31, 2014.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Fair-Value Measurements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As of December 31, 2014 and 2013, we have no Level 3 financial assets or liabilities.</w:t>
      </w:r>
    </w:p>
    <w:p>
      <w:pPr>
        <w:spacing w:after="0" w:line="165"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assets and liabilities measured at fair value on a recurring basis: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gridSpan w:val="2"/>
          </w:tcPr>
          <w:p>
            <w:pPr>
              <w:jc w:val="right"/>
              <w:ind w:right="397"/>
              <w:spacing w:after="0" w:line="216" w:lineRule="exact"/>
              <w:rPr>
                <w:sz w:val="20"/>
                <w:szCs w:val="20"/>
                <w:color w:val="auto"/>
              </w:rPr>
            </w:pPr>
            <w:r>
              <w:rPr>
                <w:rFonts w:ascii="Arial" w:cs="Arial" w:eastAsia="Arial" w:hAnsi="Arial"/>
                <w:sz w:val="20"/>
                <w:szCs w:val="20"/>
                <w:b w:val="1"/>
                <w:bCs w:val="1"/>
                <w:color w:val="auto"/>
              </w:rPr>
              <w:t>December 31, 2014</w:t>
            </w:r>
          </w:p>
        </w:tc>
        <w:tc>
          <w:tcPr>
            <w:tcW w:w="3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2"/>
          </w:tcPr>
          <w:p>
            <w:pPr>
              <w:jc w:val="right"/>
              <w:ind w:right="377"/>
              <w:spacing w:after="0" w:line="216" w:lineRule="exact"/>
              <w:rPr>
                <w:sz w:val="20"/>
                <w:szCs w:val="20"/>
                <w:color w:val="auto"/>
              </w:rPr>
            </w:pPr>
            <w:r>
              <w:rPr>
                <w:rFonts w:ascii="Arial" w:cs="Arial" w:eastAsia="Arial" w:hAnsi="Arial"/>
                <w:sz w:val="20"/>
                <w:szCs w:val="20"/>
                <w:b w:val="1"/>
                <w:bCs w:val="1"/>
                <w:color w:val="auto"/>
              </w:rPr>
              <w:t>December 31, 2013</w:t>
            </w:r>
          </w:p>
        </w:tc>
        <w:tc>
          <w:tcPr>
            <w:tcW w:w="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2220" w:type="dxa"/>
            <w:vAlign w:val="bottom"/>
          </w:tcPr>
          <w:p>
            <w:pPr>
              <w:jc w:val="center"/>
              <w:ind w:left="755"/>
              <w:spacing w:after="0"/>
              <w:rPr>
                <w:sz w:val="20"/>
                <w:szCs w:val="20"/>
                <w:color w:val="auto"/>
              </w:rPr>
            </w:pPr>
            <w:r>
              <w:rPr>
                <w:rFonts w:ascii="Arial" w:cs="Arial" w:eastAsia="Arial" w:hAnsi="Arial"/>
                <w:sz w:val="14"/>
                <w:szCs w:val="14"/>
                <w:b w:val="1"/>
                <w:bCs w:val="1"/>
                <w:color w:val="auto"/>
              </w:rPr>
              <w:t>Quoted prices in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Pr>
          <w:p>
            <w:pPr>
              <w:jc w:val="center"/>
              <w:ind w:left="775"/>
              <w:spacing w:after="0"/>
              <w:rPr>
                <w:sz w:val="20"/>
                <w:szCs w:val="20"/>
                <w:color w:val="auto"/>
              </w:rPr>
            </w:pPr>
            <w:r>
              <w:rPr>
                <w:rFonts w:ascii="Arial" w:cs="Arial" w:eastAsia="Arial" w:hAnsi="Arial"/>
                <w:sz w:val="14"/>
                <w:szCs w:val="14"/>
                <w:b w:val="1"/>
                <w:bCs w:val="1"/>
                <w:color w:val="auto"/>
              </w:rPr>
              <w:t>active markets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3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active markets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00" w:type="dxa"/>
            <w:vAlign w:val="bottom"/>
            <w:tcBorders>
              <w:bottom w:val="single" w:sz="8" w:color="auto"/>
            </w:tcBorders>
            <w:vMerge w:val="continue"/>
          </w:tcPr>
          <w:p>
            <w:pPr>
              <w:spacing w:after="0"/>
              <w:rPr>
                <w:sz w:val="17"/>
                <w:szCs w:val="17"/>
                <w:color w:val="auto"/>
              </w:rPr>
            </w:pPr>
          </w:p>
        </w:tc>
        <w:tc>
          <w:tcPr>
            <w:tcW w:w="2220" w:type="dxa"/>
            <w:vAlign w:val="bottom"/>
            <w:tcBorders>
              <w:bottom w:val="single" w:sz="8" w:color="auto"/>
            </w:tcBorders>
          </w:tcPr>
          <w:p>
            <w:pPr>
              <w:jc w:val="center"/>
              <w:ind w:left="755"/>
              <w:spacing w:after="0"/>
              <w:rPr>
                <w:sz w:val="20"/>
                <w:szCs w:val="20"/>
                <w:color w:val="auto"/>
              </w:rPr>
            </w:pPr>
            <w:r>
              <w:rPr>
                <w:rFonts w:ascii="Arial" w:cs="Arial" w:eastAsia="Arial" w:hAnsi="Arial"/>
                <w:sz w:val="14"/>
                <w:szCs w:val="14"/>
                <w:b w:val="1"/>
                <w:bCs w:val="1"/>
                <w:color w:val="auto"/>
              </w:rPr>
              <w:t>(Level 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60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2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$14,096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$25,073</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00" w:type="dxa"/>
            <w:vAlign w:val="bottom"/>
          </w:tcPr>
          <w:p>
            <w:pPr>
              <w:ind w:left="300"/>
              <w:spacing w:after="0" w:line="185" w:lineRule="exact"/>
              <w:rPr>
                <w:sz w:val="20"/>
                <w:szCs w:val="20"/>
                <w:color w:val="auto"/>
              </w:rPr>
            </w:pPr>
            <w:r>
              <w:rPr>
                <w:rFonts w:ascii="Arial" w:cs="Arial" w:eastAsia="Arial" w:hAnsi="Arial"/>
                <w:sz w:val="18"/>
                <w:szCs w:val="18"/>
                <w:color w:val="auto"/>
              </w:rPr>
              <w:t>Foreign currency options</w:t>
            </w:r>
          </w:p>
        </w:tc>
        <w:tc>
          <w:tcPr>
            <w:tcW w:w="2220" w:type="dxa"/>
            <w:vAlign w:val="bottom"/>
          </w:tcPr>
          <w:p>
            <w:pPr>
              <w:jc w:val="right"/>
              <w:spacing w:after="0" w:line="185" w:lineRule="exact"/>
              <w:rPr>
                <w:sz w:val="20"/>
                <w:szCs w:val="20"/>
                <w:color w:val="auto"/>
              </w:rPr>
            </w:pPr>
            <w:r>
              <w:rPr>
                <w:rFonts w:ascii="Arial" w:cs="Arial" w:eastAsia="Arial" w:hAnsi="Arial"/>
                <w:sz w:val="18"/>
                <w:szCs w:val="18"/>
                <w:color w:val="auto"/>
              </w:rPr>
              <w:t>69</w:t>
            </w:r>
          </w:p>
        </w:tc>
        <w:tc>
          <w:tcPr>
            <w:tcW w:w="138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600" w:type="dxa"/>
            <w:vAlign w:val="bottom"/>
          </w:tcPr>
          <w:p>
            <w:pPr>
              <w:ind w:left="160"/>
              <w:spacing w:after="0"/>
              <w:rPr>
                <w:sz w:val="20"/>
                <w:szCs w:val="20"/>
                <w:color w:val="auto"/>
              </w:rPr>
            </w:pPr>
            <w:r>
              <w:rPr>
                <w:rFonts w:ascii="Arial" w:cs="Arial" w:eastAsia="Arial" w:hAnsi="Arial"/>
                <w:sz w:val="18"/>
                <w:szCs w:val="18"/>
                <w:i w:val="1"/>
                <w:iCs w:val="1"/>
                <w:color w:val="auto"/>
              </w:rPr>
              <w:t>Other Assets: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300"/>
              <w:spacing w:after="0" w:line="202" w:lineRule="exact"/>
              <w:rPr>
                <w:sz w:val="20"/>
                <w:szCs w:val="20"/>
                <w:color w:val="auto"/>
              </w:rPr>
            </w:pPr>
            <w:r>
              <w:rPr>
                <w:rFonts w:ascii="Arial" w:cs="Arial" w:eastAsia="Arial" w:hAnsi="Arial"/>
                <w:sz w:val="18"/>
                <w:szCs w:val="18"/>
                <w:color w:val="auto"/>
              </w:rPr>
              <w:t>Common stock of foreign public company</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952</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00" w:type="dxa"/>
            <w:vAlign w:val="bottom"/>
          </w:tcPr>
          <w:p>
            <w:pPr>
              <w:ind w:left="300"/>
              <w:spacing w:after="0" w:line="185" w:lineRule="exact"/>
              <w:rPr>
                <w:sz w:val="20"/>
                <w:szCs w:val="20"/>
                <w:color w:val="auto"/>
              </w:rPr>
            </w:pPr>
            <w:r>
              <w:rPr>
                <w:rFonts w:ascii="Arial" w:cs="Arial" w:eastAsia="Arial" w:hAnsi="Arial"/>
                <w:sz w:val="18"/>
                <w:szCs w:val="18"/>
                <w:color w:val="auto"/>
              </w:rPr>
              <w:t>Interest rate swaps</w:t>
            </w:r>
          </w:p>
        </w:tc>
        <w:tc>
          <w:tcPr>
            <w:tcW w:w="222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5" w:lineRule="exact"/>
              <w:rPr>
                <w:sz w:val="20"/>
                <w:szCs w:val="20"/>
                <w:color w:val="auto"/>
              </w:rPr>
            </w:pPr>
            <w:r>
              <w:rPr>
                <w:rFonts w:ascii="Arial" w:cs="Arial" w:eastAsia="Arial" w:hAnsi="Arial"/>
                <w:sz w:val="18"/>
                <w:szCs w:val="18"/>
                <w:color w:val="auto"/>
              </w:rPr>
              <w:t>1,517</w:t>
            </w:r>
          </w:p>
        </w:tc>
        <w:tc>
          <w:tcPr>
            <w:tcW w:w="280" w:type="dxa"/>
            <w:vAlign w:val="bottom"/>
          </w:tcPr>
          <w:p>
            <w:pPr>
              <w:jc w:val="right"/>
              <w:spacing w:after="0" w:line="185"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60"/>
              <w:spacing w:after="0" w:line="202" w:lineRule="exact"/>
              <w:rPr>
                <w:sz w:val="20"/>
                <w:szCs w:val="20"/>
                <w:color w:val="auto"/>
              </w:rPr>
            </w:pPr>
            <w:r>
              <w:rPr>
                <w:rFonts w:ascii="Arial" w:cs="Arial" w:eastAsia="Arial" w:hAnsi="Arial"/>
                <w:sz w:val="18"/>
                <w:szCs w:val="18"/>
                <w:color w:val="auto"/>
              </w:rPr>
              <w:t>Other noncurrent liabilities</w:t>
            </w:r>
          </w:p>
        </w:tc>
        <w:tc>
          <w:tcPr>
            <w:tcW w:w="2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300"/>
              <w:spacing w:after="0"/>
              <w:rPr>
                <w:sz w:val="20"/>
                <w:szCs w:val="20"/>
                <w:color w:val="auto"/>
              </w:rPr>
            </w:pPr>
            <w:r>
              <w:rPr>
                <w:rFonts w:ascii="Arial" w:cs="Arial" w:eastAsia="Arial" w:hAnsi="Arial"/>
                <w:sz w:val="18"/>
                <w:szCs w:val="18"/>
                <w:color w:val="auto"/>
              </w:rPr>
              <w:t>Interest rate swaps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(1,411)</w:t>
            </w: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(3,119)</w:t>
            </w:r>
          </w:p>
        </w:tc>
        <w:tc>
          <w:tcPr>
            <w:tcW w:w="280" w:type="dxa"/>
            <w:vAlign w:val="bottom"/>
          </w:tcPr>
          <w:p>
            <w:pPr>
              <w:jc w:val="right"/>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of $4.3 million receivable floating leg and $5.7 million liability fixed leg</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of $5.6 million receivable floating leg and $4.1 million liability fixed leg</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of $0.7 million receivable floating leg and $3.8 million liability fixed leg</w:t>
      </w:r>
    </w:p>
    <w:p>
      <w:pPr>
        <w:spacing w:after="0" w:line="171"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70"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85" w:name="page86"/>
    <w:bookmarkEnd w:id="85"/>
    <w:p>
      <w:pPr>
        <w:ind w:right="40"/>
        <w:spacing w:after="0" w:line="239" w:lineRule="auto"/>
        <w:rPr>
          <w:sz w:val="20"/>
          <w:szCs w:val="20"/>
          <w:color w:val="auto"/>
        </w:rPr>
      </w:pPr>
      <w:r>
        <w:rPr>
          <w:rFonts w:ascii="Arial" w:cs="Arial" w:eastAsia="Arial" w:hAnsi="Arial"/>
          <w:sz w:val="18"/>
          <w:szCs w:val="18"/>
          <w:color w:val="auto"/>
        </w:rPr>
        <w:t>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will be reported in the Consolidated Statements of Income. Investments are considered to be impaired when a decline in fair value is judged to be other than temporary.</w:t>
      </w:r>
    </w:p>
    <w:p>
      <w:pPr>
        <w:spacing w:after="0" w:line="175"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16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16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61"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Sheets. As of December 31, 2014, these interest rate swaps were determined to be 100% effective hedges of interest rate cash flow risk, and accordingly, unrealized gains and losses on the swaps will flow through the caption Derivative valuation adjustment in the Shareholders’ equity section of the Consolidated Balance Sheets. Amounts accumulated in Other comprehensive income are reclassified as Interest expense, net when the related interest payments (that is, the hedged forecasted transactions) affect earnings. Interest expense related to the swaps totaled $1.9 million in both 2014 and 2013.</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3"/>
        </w:trPr>
        <w:tc>
          <w:tcPr>
            <w:tcW w:w="732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3"/>
          </w:tcPr>
          <w:p>
            <w:pPr>
              <w:jc w:val="right"/>
              <w:ind w:right="390"/>
              <w:spacing w:after="0" w:line="194" w:lineRule="exact"/>
              <w:rPr>
                <w:sz w:val="20"/>
                <w:szCs w:val="20"/>
                <w:color w:val="auto"/>
              </w:rPr>
            </w:pPr>
            <w:r>
              <w:rPr>
                <w:rFonts w:ascii="Arial" w:cs="Arial" w:eastAsia="Arial" w:hAnsi="Arial"/>
                <w:sz w:val="18"/>
                <w:szCs w:val="18"/>
                <w:b w:val="1"/>
                <w:bCs w:val="1"/>
                <w:color w:val="auto"/>
              </w:rPr>
              <w:t>Years ended December 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r>
      <w:tr>
        <w:trPr>
          <w:trHeight w:val="398"/>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Derivatives not designated as hedging instruments</w:t>
            </w:r>
          </w:p>
        </w:tc>
        <w:tc>
          <w:tcPr>
            <w:tcW w:w="20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320" w:type="dxa"/>
            <w:vAlign w:val="bottom"/>
          </w:tcPr>
          <w:p>
            <w:pPr>
              <w:ind w:left="260"/>
              <w:spacing w:after="0" w:line="203" w:lineRule="exact"/>
              <w:rPr>
                <w:sz w:val="20"/>
                <w:szCs w:val="20"/>
                <w:color w:val="auto"/>
              </w:rPr>
            </w:pPr>
            <w:r>
              <w:rPr>
                <w:rFonts w:ascii="Arial" w:cs="Arial" w:eastAsia="Arial" w:hAnsi="Arial"/>
                <w:sz w:val="18"/>
                <w:szCs w:val="18"/>
                <w:color w:val="auto"/>
              </w:rPr>
              <w:t>Foreign currency options</w:t>
            </w:r>
          </w:p>
        </w:tc>
        <w:tc>
          <w:tcPr>
            <w:tcW w:w="202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($81)</w:t>
            </w:r>
          </w:p>
        </w:tc>
        <w:tc>
          <w:tcPr>
            <w:tcW w:w="10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($107)</w:t>
            </w: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r>
      <w:tr>
        <w:trPr>
          <w:trHeight w:val="601"/>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16. Other Noncurrent Liabilities</w:t>
            </w:r>
          </w:p>
        </w:tc>
        <w:tc>
          <w:tcPr>
            <w:tcW w:w="20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320" w:type="dxa"/>
            <w:vAlign w:val="bottom"/>
          </w:tcPr>
          <w:p>
            <w:pPr>
              <w:ind w:left="660"/>
              <w:spacing w:after="0"/>
              <w:rPr>
                <w:sz w:val="20"/>
                <w:szCs w:val="20"/>
                <w:color w:val="auto"/>
              </w:rPr>
            </w:pPr>
            <w:r>
              <w:rPr>
                <w:rFonts w:ascii="Arial" w:cs="Arial" w:eastAsia="Arial" w:hAnsi="Arial"/>
                <w:sz w:val="18"/>
                <w:szCs w:val="18"/>
                <w:color w:val="auto"/>
              </w:rPr>
              <w:t>As of December 31 of each year, Other noncurrent liabilities consists of:</w:t>
            </w:r>
          </w:p>
        </w:tc>
        <w:tc>
          <w:tcPr>
            <w:tcW w:w="2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r>
      <w:tr>
        <w:trPr>
          <w:trHeight w:val="376"/>
        </w:trPr>
        <w:tc>
          <w:tcPr>
            <w:tcW w:w="7320" w:type="dxa"/>
            <w:vAlign w:val="bottom"/>
          </w:tcPr>
          <w:p>
            <w:pPr>
              <w:spacing w:after="0"/>
              <w:rPr>
                <w:sz w:val="20"/>
                <w:szCs w:val="20"/>
                <w:color w:val="auto"/>
              </w:rPr>
            </w:pPr>
            <w:r>
              <w:rPr>
                <w:rFonts w:ascii="Arial" w:cs="Arial" w:eastAsia="Arial" w:hAnsi="Arial"/>
                <w:sz w:val="18"/>
                <w:szCs w:val="18"/>
                <w:color w:val="auto"/>
              </w:rPr>
              <w:t>Pension liabilities</w:t>
            </w:r>
          </w:p>
        </w:tc>
        <w:tc>
          <w:tcPr>
            <w:tcW w:w="2020" w:type="dxa"/>
            <w:vAlign w:val="bottom"/>
          </w:tcPr>
          <w:p>
            <w:pPr>
              <w:jc w:val="right"/>
              <w:ind w:right="230"/>
              <w:spacing w:after="0"/>
              <w:rPr>
                <w:sz w:val="20"/>
                <w:szCs w:val="20"/>
                <w:color w:val="auto"/>
              </w:rPr>
            </w:pPr>
            <w:r>
              <w:rPr>
                <w:rFonts w:ascii="Arial" w:cs="Arial" w:eastAsia="Arial" w:hAnsi="Arial"/>
                <w:sz w:val="18"/>
                <w:szCs w:val="18"/>
                <w:b w:val="1"/>
                <w:bCs w:val="1"/>
                <w:color w:val="auto"/>
              </w:rPr>
              <w:t>$37,867</w:t>
            </w:r>
          </w:p>
        </w:tc>
        <w:tc>
          <w:tcPr>
            <w:tcW w:w="10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$40,981</w:t>
            </w:r>
          </w:p>
        </w:tc>
        <w:tc>
          <w:tcPr>
            <w:tcW w:w="20" w:type="dxa"/>
            <w:vAlign w:val="bottom"/>
          </w:tcPr>
          <w:p>
            <w:pPr>
              <w:spacing w:after="0"/>
              <w:rPr>
                <w:sz w:val="24"/>
                <w:szCs w:val="24"/>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Postretirement benefits other than pensions</w:t>
            </w:r>
          </w:p>
        </w:tc>
        <w:tc>
          <w:tcPr>
            <w:tcW w:w="20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60,237</w:t>
            </w:r>
          </w:p>
        </w:tc>
        <w:tc>
          <w:tcPr>
            <w:tcW w:w="1080" w:type="dxa"/>
            <w:vAlign w:val="bottom"/>
          </w:tcPr>
          <w:p>
            <w:pPr>
              <w:spacing w:after="0"/>
              <w:rPr>
                <w:sz w:val="17"/>
                <w:szCs w:val="17"/>
                <w:color w:val="auto"/>
              </w:rPr>
            </w:pPr>
          </w:p>
        </w:tc>
        <w:tc>
          <w:tcPr>
            <w:tcW w:w="10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56,052</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Interest rate swap agreement</w:t>
            </w:r>
          </w:p>
        </w:tc>
        <w:tc>
          <w:tcPr>
            <w:tcW w:w="20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1,411</w:t>
            </w:r>
          </w:p>
        </w:tc>
        <w:tc>
          <w:tcPr>
            <w:tcW w:w="10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3,119</w:t>
            </w:r>
          </w:p>
        </w:tc>
        <w:tc>
          <w:tcPr>
            <w:tcW w:w="20" w:type="dxa"/>
            <w:vAlign w:val="bottom"/>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Incentive and deferred compensation</w:t>
            </w:r>
          </w:p>
        </w:tc>
        <w:tc>
          <w:tcPr>
            <w:tcW w:w="20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2,730</w:t>
            </w:r>
          </w:p>
        </w:tc>
        <w:tc>
          <w:tcPr>
            <w:tcW w:w="10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4,960</w:t>
            </w:r>
          </w:p>
        </w:tc>
        <w:tc>
          <w:tcPr>
            <w:tcW w:w="20" w:type="dxa"/>
            <w:vAlign w:val="bottom"/>
          </w:tcPr>
          <w:p>
            <w:pPr>
              <w:spacing w:after="0"/>
              <w:rPr>
                <w:sz w:val="17"/>
                <w:szCs w:val="17"/>
                <w:color w:val="auto"/>
              </w:rPr>
            </w:pPr>
          </w:p>
        </w:tc>
      </w:tr>
      <w:tr>
        <w:trPr>
          <w:trHeight w:val="225"/>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834</w:t>
            </w:r>
          </w:p>
        </w:tc>
        <w:tc>
          <w:tcPr>
            <w:tcW w:w="10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9"/>
                <w:szCs w:val="19"/>
                <w:color w:val="auto"/>
              </w:rPr>
            </w:pPr>
          </w:p>
        </w:tc>
      </w:tr>
      <w:tr>
        <w:trPr>
          <w:trHeight w:val="196"/>
        </w:trPr>
        <w:tc>
          <w:tcPr>
            <w:tcW w:w="7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$103,079</w:t>
            </w:r>
          </w:p>
        </w:tc>
        <w:tc>
          <w:tcPr>
            <w:tcW w:w="10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$106,014</w:t>
            </w:r>
          </w:p>
        </w:tc>
        <w:tc>
          <w:tcPr>
            <w:tcW w:w="20" w:type="dxa"/>
            <w:vAlign w:val="bottom"/>
            <w:tcBorders>
              <w:bottom w:val="single" w:sz="8" w:color="auto"/>
            </w:tcBorders>
          </w:tcPr>
          <w:p>
            <w:pPr>
              <w:spacing w:after="0"/>
              <w:rPr>
                <w:sz w:val="17"/>
                <w:szCs w:val="17"/>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93"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Principal leases are for machinery and equipment, vehicles, and real property. Certain leases contain renewal and purchase option provisions at fair values. There were no significant capital leases entered into during 2014. Total rental expense amounted to $4.2 million in 2014, $4.6 million in 2013 and $5.8 million in 2012.</w:t>
      </w:r>
    </w:p>
    <w:p>
      <w:pPr>
        <w:spacing w:after="0" w:line="16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Future rental payments required under operating leases that have initial or remaining non-cancelable lease terms in excess of one year, as of December 31, 2014 are: 2015, $3.5 million; 2016, $2.5 million; 2017, $1.5 million; 2018, $0.8 million, and 2019 and thereafter, $1.6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3,821 claims as of December 31, 2014.</w:t>
      </w:r>
    </w:p>
    <w:p>
      <w:pPr>
        <w:spacing w:after="0" w:line="185"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87" w:name="page88"/>
    <w:bookmarkEnd w:id="87"/>
    <w:tbl>
      <w:tblPr>
        <w:tblLayout w:type="fixed"/>
        <w:tblInd w:w="10" w:type="dxa"/>
        <w:tblCellMar>
          <w:top w:w="0" w:type="dxa"/>
          <w:left w:w="0" w:type="dxa"/>
          <w:bottom w:w="0" w:type="dxa"/>
          <w:right w:w="0" w:type="dxa"/>
        </w:tblCellMar>
      </w:tblPr>
      <w:tr>
        <w:trPr>
          <w:trHeight w:val="193"/>
        </w:trPr>
        <w:tc>
          <w:tcPr>
            <w:tcW w:w="1860" w:type="dxa"/>
            <w:vAlign w:val="bottom"/>
            <w:tcBorders>
              <w:top w:val="single" w:sz="8" w:color="auto"/>
              <w:left w:val="single" w:sz="8" w:color="auto"/>
              <w:right w:val="single" w:sz="8" w:color="auto"/>
            </w:tcBorders>
          </w:tcPr>
          <w:p>
            <w:pPr>
              <w:jc w:val="right"/>
              <w:ind w:right="390"/>
              <w:spacing w:after="0" w:line="194" w:lineRule="exact"/>
              <w:rPr>
                <w:sz w:val="20"/>
                <w:szCs w:val="20"/>
                <w:color w:val="auto"/>
              </w:rPr>
            </w:pPr>
            <w:r>
              <w:rPr>
                <w:rFonts w:ascii="Arial" w:cs="Arial" w:eastAsia="Arial" w:hAnsi="Arial"/>
                <w:sz w:val="18"/>
                <w:szCs w:val="18"/>
                <w:b w:val="1"/>
                <w:bCs w:val="1"/>
                <w:color w:val="auto"/>
              </w:rPr>
              <w:t>Year ended</w:t>
            </w:r>
          </w:p>
        </w:tc>
        <w:tc>
          <w:tcPr>
            <w:tcW w:w="19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Opening</w:t>
            </w:r>
          </w:p>
        </w:tc>
        <w:tc>
          <w:tcPr>
            <w:tcW w:w="1460" w:type="dxa"/>
            <w:vAlign w:val="bottom"/>
            <w:tcBorders>
              <w:top w:val="single" w:sz="8" w:color="auto"/>
            </w:tcBorders>
          </w:tcPr>
          <w:p>
            <w:pPr>
              <w:jc w:val="center"/>
              <w:ind w:left="330"/>
              <w:spacing w:after="0" w:line="194" w:lineRule="exact"/>
              <w:rPr>
                <w:sz w:val="20"/>
                <w:szCs w:val="20"/>
                <w:color w:val="auto"/>
              </w:rPr>
            </w:pPr>
            <w:r>
              <w:rPr>
                <w:rFonts w:ascii="Arial" w:cs="Arial" w:eastAsia="Arial" w:hAnsi="Arial"/>
                <w:sz w:val="18"/>
                <w:szCs w:val="18"/>
                <w:b w:val="1"/>
                <w:bCs w:val="1"/>
                <w:color w:val="auto"/>
              </w:rPr>
              <w:t>Claims</w:t>
            </w:r>
          </w:p>
        </w:tc>
        <w:tc>
          <w:tcPr>
            <w:tcW w:w="480" w:type="dxa"/>
            <w:vAlign w:val="bottom"/>
            <w:tcBorders>
              <w:top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jc w:val="right"/>
              <w:ind w:right="330"/>
              <w:spacing w:after="0" w:line="194" w:lineRule="exact"/>
              <w:rPr>
                <w:sz w:val="20"/>
                <w:szCs w:val="20"/>
                <w:color w:val="auto"/>
              </w:rPr>
            </w:pPr>
            <w:r>
              <w:rPr>
                <w:rFonts w:ascii="Arial" w:cs="Arial" w:eastAsia="Arial" w:hAnsi="Arial"/>
                <w:sz w:val="18"/>
                <w:szCs w:val="18"/>
                <w:b w:val="1"/>
                <w:bCs w:val="1"/>
                <w:color w:val="auto"/>
              </w:rPr>
              <w:t>New Claims</w:t>
            </w:r>
          </w:p>
        </w:tc>
        <w:tc>
          <w:tcPr>
            <w:tcW w:w="19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Closing</w:t>
            </w:r>
          </w:p>
        </w:tc>
        <w:tc>
          <w:tcPr>
            <w:tcW w:w="19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Amounts Paid</w:t>
            </w:r>
          </w:p>
        </w:tc>
      </w:tr>
      <w:tr>
        <w:trPr>
          <w:trHeight w:val="203"/>
        </w:trPr>
        <w:tc>
          <w:tcPr>
            <w:tcW w:w="1860" w:type="dxa"/>
            <w:vAlign w:val="bottom"/>
            <w:tcBorders>
              <w:left w:val="single" w:sz="8" w:color="auto"/>
              <w:right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December 31,</w:t>
            </w:r>
          </w:p>
        </w:tc>
        <w:tc>
          <w:tcPr>
            <w:tcW w:w="1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460" w:type="dxa"/>
            <w:vAlign w:val="bottom"/>
          </w:tcPr>
          <w:p>
            <w:pPr>
              <w:jc w:val="center"/>
              <w:ind w:left="370"/>
              <w:spacing w:after="0" w:line="202" w:lineRule="exact"/>
              <w:rPr>
                <w:sz w:val="20"/>
                <w:szCs w:val="20"/>
                <w:color w:val="auto"/>
              </w:rPr>
            </w:pPr>
            <w:r>
              <w:rPr>
                <w:rFonts w:ascii="Arial" w:cs="Arial" w:eastAsia="Arial" w:hAnsi="Arial"/>
                <w:sz w:val="18"/>
                <w:szCs w:val="18"/>
                <w:b w:val="1"/>
                <w:bCs w:val="1"/>
                <w:color w:val="auto"/>
              </w:rPr>
              <w:t>Dismissed,</w:t>
            </w:r>
          </w:p>
        </w:tc>
        <w:tc>
          <w:tcPr>
            <w:tcW w:w="4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 to</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46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Settled, or</w:t>
            </w:r>
          </w:p>
        </w:tc>
        <w:tc>
          <w:tcPr>
            <w:tcW w:w="4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 or</w:t>
            </w:r>
          </w:p>
        </w:tc>
      </w:tr>
      <w:tr>
        <w:trPr>
          <w:trHeight w:val="225"/>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Resolved</w:t>
            </w:r>
          </w:p>
        </w:tc>
        <w:tc>
          <w:tcPr>
            <w:tcW w:w="48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Resolve</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2005</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6,257</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2006</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6,841</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2008</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2009</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9,482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2010</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3,963</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2011</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2012</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2013</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b w:val="1"/>
                <w:bCs w:val="1"/>
                <w:color w:val="auto"/>
                <w:w w:val="99"/>
              </w:rPr>
              <w:t>2014</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4,299</w:t>
            </w:r>
          </w:p>
        </w:tc>
        <w:tc>
          <w:tcPr>
            <w:tcW w:w="1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625</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3,821</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$437</w:t>
            </w:r>
          </w:p>
        </w:tc>
      </w:tr>
    </w:tbl>
    <w:p>
      <w:pPr>
        <w:spacing w:after="0" w:line="391"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December 31, 2014, we had resolved, by means of settlement or dismissal, 37,225 claims. The total cost of resolving all claims was $9.2 million. Of this amount, almost 100% was paid by our insurance carrier. The Company’s insurer has confirmed that although coverage limits under two (of approximately 23) primary insurance policies have been exhausted, there still remains approximately $3 million in coverage under other applicable primary policies, and $140 million in coverage under excess umbrella coverage policies that should be available for current and future asbestos claims.</w:t>
      </w:r>
    </w:p>
    <w:p>
      <w:pPr>
        <w:spacing w:after="0" w:line="176"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7,730 claims as of December 31, 2014.</w:t>
      </w:r>
    </w:p>
    <w:p>
      <w:pPr>
        <w:spacing w:after="0" w:line="16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78"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193"/>
        </w:trPr>
        <w:tc>
          <w:tcPr>
            <w:tcW w:w="1860" w:type="dxa"/>
            <w:vAlign w:val="bottom"/>
            <w:tcBorders>
              <w:top w:val="single" w:sz="8" w:color="auto"/>
              <w:left w:val="single" w:sz="8" w:color="auto"/>
              <w:right w:val="single" w:sz="8" w:color="auto"/>
            </w:tcBorders>
          </w:tcPr>
          <w:p>
            <w:pPr>
              <w:jc w:val="right"/>
              <w:ind w:right="350"/>
              <w:spacing w:after="0" w:line="194" w:lineRule="exact"/>
              <w:rPr>
                <w:sz w:val="20"/>
                <w:szCs w:val="20"/>
                <w:color w:val="auto"/>
              </w:rPr>
            </w:pPr>
            <w:r>
              <w:rPr>
                <w:rFonts w:ascii="Arial" w:cs="Arial" w:eastAsia="Arial" w:hAnsi="Arial"/>
                <w:sz w:val="18"/>
                <w:szCs w:val="18"/>
                <w:b w:val="1"/>
                <w:bCs w:val="1"/>
                <w:color w:val="auto"/>
              </w:rPr>
              <w:t>Year ended</w:t>
            </w:r>
          </w:p>
        </w:tc>
        <w:tc>
          <w:tcPr>
            <w:tcW w:w="1440" w:type="dxa"/>
            <w:vAlign w:val="bottom"/>
            <w:tcBorders>
              <w:top w:val="single" w:sz="8" w:color="auto"/>
            </w:tcBorders>
          </w:tcPr>
          <w:p>
            <w:pPr>
              <w:jc w:val="center"/>
              <w:ind w:left="350"/>
              <w:spacing w:after="0" w:line="194" w:lineRule="exact"/>
              <w:rPr>
                <w:sz w:val="20"/>
                <w:szCs w:val="20"/>
                <w:color w:val="auto"/>
              </w:rPr>
            </w:pPr>
            <w:r>
              <w:rPr>
                <w:rFonts w:ascii="Arial" w:cs="Arial" w:eastAsia="Arial" w:hAnsi="Arial"/>
                <w:sz w:val="18"/>
                <w:szCs w:val="18"/>
                <w:b w:val="1"/>
                <w:bCs w:val="1"/>
                <w:color w:val="auto"/>
                <w:w w:val="98"/>
              </w:rPr>
              <w:t>Opening</w:t>
            </w:r>
          </w:p>
        </w:tc>
        <w:tc>
          <w:tcPr>
            <w:tcW w:w="500" w:type="dxa"/>
            <w:vAlign w:val="bottom"/>
            <w:tcBorders>
              <w:top w:val="single" w:sz="8" w:color="auto"/>
              <w:right w:val="single" w:sz="8" w:color="auto"/>
            </w:tcBorders>
          </w:tcPr>
          <w:p>
            <w:pPr>
              <w:spacing w:after="0"/>
              <w:rPr>
                <w:sz w:val="16"/>
                <w:szCs w:val="16"/>
                <w:color w:val="auto"/>
              </w:rPr>
            </w:pPr>
          </w:p>
        </w:tc>
        <w:tc>
          <w:tcPr>
            <w:tcW w:w="19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820" w:type="dxa"/>
            <w:vAlign w:val="bottom"/>
            <w:tcBorders>
              <w:top w:val="single" w:sz="8" w:color="auto"/>
              <w:right w:val="single" w:sz="8" w:color="auto"/>
            </w:tcBorders>
          </w:tcPr>
          <w:p>
            <w:pPr>
              <w:jc w:val="right"/>
              <w:ind w:right="330"/>
              <w:spacing w:after="0" w:line="194" w:lineRule="exact"/>
              <w:rPr>
                <w:sz w:val="20"/>
                <w:szCs w:val="20"/>
                <w:color w:val="auto"/>
              </w:rPr>
            </w:pPr>
            <w:r>
              <w:rPr>
                <w:rFonts w:ascii="Arial" w:cs="Arial" w:eastAsia="Arial" w:hAnsi="Arial"/>
                <w:sz w:val="18"/>
                <w:szCs w:val="18"/>
                <w:b w:val="1"/>
                <w:bCs w:val="1"/>
                <w:color w:val="auto"/>
              </w:rPr>
              <w:t>New Claims</w:t>
            </w:r>
          </w:p>
        </w:tc>
        <w:tc>
          <w:tcPr>
            <w:tcW w:w="1940" w:type="dxa"/>
            <w:vAlign w:val="bottom"/>
            <w:tcBorders>
              <w:top w:val="single" w:sz="8" w:color="auto"/>
              <w:right w:val="single" w:sz="8" w:color="auto"/>
            </w:tcBorders>
          </w:tcPr>
          <w:p>
            <w:pPr>
              <w:jc w:val="right"/>
              <w:ind w:right="90"/>
              <w:spacing w:after="0" w:line="194" w:lineRule="exact"/>
              <w:rPr>
                <w:sz w:val="20"/>
                <w:szCs w:val="20"/>
                <w:color w:val="auto"/>
              </w:rPr>
            </w:pPr>
            <w:r>
              <w:rPr>
                <w:rFonts w:ascii="Arial" w:cs="Arial" w:eastAsia="Arial" w:hAnsi="Arial"/>
                <w:sz w:val="18"/>
                <w:szCs w:val="18"/>
                <w:b w:val="1"/>
                <w:bCs w:val="1"/>
                <w:color w:val="auto"/>
              </w:rPr>
              <w:t>Closing Number of</w:t>
            </w:r>
          </w:p>
        </w:tc>
        <w:tc>
          <w:tcPr>
            <w:tcW w:w="19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1860" w:type="dxa"/>
            <w:vAlign w:val="bottom"/>
            <w:tcBorders>
              <w:left w:val="single" w:sz="8" w:color="auto"/>
              <w:right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December 31,</w:t>
            </w:r>
          </w:p>
        </w:tc>
        <w:tc>
          <w:tcPr>
            <w:tcW w:w="144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Number of</w:t>
            </w:r>
          </w:p>
        </w:tc>
        <w:tc>
          <w:tcPr>
            <w:tcW w:w="5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8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right"/>
              <w:ind w:right="590"/>
              <w:spacing w:after="0" w:line="202" w:lineRule="exact"/>
              <w:rPr>
                <w:sz w:val="20"/>
                <w:szCs w:val="20"/>
                <w:color w:val="auto"/>
              </w:rPr>
            </w:pPr>
            <w:r>
              <w:rPr>
                <w:rFonts w:ascii="Arial" w:cs="Arial" w:eastAsia="Arial" w:hAnsi="Arial"/>
                <w:sz w:val="18"/>
                <w:szCs w:val="18"/>
                <w:b w:val="1"/>
                <w:bCs w:val="1"/>
                <w:color w:val="auto"/>
              </w:rPr>
              <w:t>Claims</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440" w:type="dxa"/>
            <w:vAlign w:val="bottom"/>
          </w:tcPr>
          <w:p>
            <w:pPr>
              <w:jc w:val="center"/>
              <w:ind w:left="390"/>
              <w:spacing w:after="0" w:line="202" w:lineRule="exact"/>
              <w:rPr>
                <w:sz w:val="20"/>
                <w:szCs w:val="20"/>
                <w:color w:val="auto"/>
              </w:rPr>
            </w:pPr>
            <w:r>
              <w:rPr>
                <w:rFonts w:ascii="Arial" w:cs="Arial" w:eastAsia="Arial" w:hAnsi="Arial"/>
                <w:sz w:val="18"/>
                <w:szCs w:val="18"/>
                <w:b w:val="1"/>
                <w:bCs w:val="1"/>
                <w:color w:val="auto"/>
              </w:rPr>
              <w:t>Claims</w:t>
            </w:r>
          </w:p>
        </w:tc>
        <w:tc>
          <w:tcPr>
            <w:tcW w:w="5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8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Resolved</w:t>
            </w:r>
          </w:p>
        </w:tc>
        <w:tc>
          <w:tcPr>
            <w:tcW w:w="18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5"/>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Resolve</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2005</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2006</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730</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2007</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2008</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2009</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2010</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2011</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2012</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color w:val="auto"/>
                <w:w w:val="99"/>
              </w:rPr>
              <w:t>2013</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60" w:type="dxa"/>
            <w:vAlign w:val="bottom"/>
            <w:tcBorders>
              <w:left w:val="single" w:sz="8" w:color="auto"/>
              <w:bottom w:val="single" w:sz="8" w:color="auto"/>
              <w:right w:val="single" w:sz="8" w:color="auto"/>
            </w:tcBorders>
          </w:tcPr>
          <w:p>
            <w:pPr>
              <w:jc w:val="right"/>
              <w:ind w:right="1350"/>
              <w:spacing w:after="0" w:line="196" w:lineRule="exact"/>
              <w:rPr>
                <w:sz w:val="20"/>
                <w:szCs w:val="20"/>
                <w:color w:val="auto"/>
              </w:rPr>
            </w:pPr>
            <w:r>
              <w:rPr>
                <w:rFonts w:ascii="Arial" w:cs="Arial" w:eastAsia="Arial" w:hAnsi="Arial"/>
                <w:sz w:val="18"/>
                <w:szCs w:val="18"/>
                <w:b w:val="1"/>
                <w:bCs w:val="1"/>
                <w:color w:val="auto"/>
                <w:w w:val="99"/>
              </w:rPr>
              <w:t>2014</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7,815</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7,730</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391"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December 31, 2014, Brandon has resolved, by means of settlement or dismissal, 9,875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78"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284"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89" w:name="page90"/>
    <w:bookmarkEnd w:id="89"/>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Translation Adjustments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Statements of Cash Flows were affected by translation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76"/>
        </w:trPr>
        <w:tc>
          <w:tcPr>
            <w:tcW w:w="7000" w:type="dxa"/>
            <w:vAlign w:val="bottom"/>
            <w:gridSpan w:val="2"/>
          </w:tcPr>
          <w:p>
            <w:pPr>
              <w:spacing w:after="0"/>
              <w:rPr>
                <w:sz w:val="20"/>
                <w:szCs w:val="20"/>
                <w:color w:val="auto"/>
              </w:rPr>
            </w:pPr>
            <w:r>
              <w:rPr>
                <w:rFonts w:ascii="Arial" w:cs="Arial" w:eastAsia="Arial" w:hAnsi="Arial"/>
                <w:sz w:val="18"/>
                <w:szCs w:val="18"/>
                <w:color w:val="auto"/>
              </w:rPr>
              <w:t>Change in cumulative translation adjustments</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($55,102)</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$7,521</w:t>
            </w:r>
          </w:p>
        </w:tc>
        <w:tc>
          <w:tcPr>
            <w:tcW w:w="1040" w:type="dxa"/>
            <w:vAlign w:val="bottom"/>
          </w:tcPr>
          <w:p>
            <w:pPr>
              <w:jc w:val="right"/>
              <w:spacing w:after="0"/>
              <w:rPr>
                <w:sz w:val="20"/>
                <w:szCs w:val="20"/>
                <w:color w:val="auto"/>
              </w:rPr>
            </w:pPr>
            <w:r>
              <w:rPr>
                <w:rFonts w:ascii="Arial" w:cs="Arial" w:eastAsia="Arial" w:hAnsi="Arial"/>
                <w:sz w:val="18"/>
                <w:szCs w:val="18"/>
                <w:color w:val="auto"/>
              </w:rPr>
              <w:t>$18,287</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w:t>
            </w:r>
          </w:p>
        </w:tc>
        <w:tc>
          <w:tcPr>
            <w:tcW w:w="184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10,949</w:t>
            </w:r>
          </w:p>
        </w:tc>
        <w:tc>
          <w:tcPr>
            <w:tcW w:w="15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69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Inventories</w:t>
            </w:r>
          </w:p>
        </w:tc>
        <w:tc>
          <w:tcPr>
            <w:tcW w:w="184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7,244</w:t>
            </w:r>
          </w:p>
        </w:tc>
        <w:tc>
          <w:tcPr>
            <w:tcW w:w="15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705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84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16,959</w:t>
            </w:r>
          </w:p>
        </w:tc>
        <w:tc>
          <w:tcPr>
            <w:tcW w:w="15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(625)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Goodwill and intangibles</w:t>
            </w:r>
          </w:p>
        </w:tc>
        <w:tc>
          <w:tcPr>
            <w:tcW w:w="184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7,210</w:t>
            </w:r>
          </w:p>
        </w:tc>
        <w:tc>
          <w:tcPr>
            <w:tcW w:w="15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(2,368)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w:t>
            </w:r>
          </w:p>
        </w:tc>
        <w:tc>
          <w:tcPr>
            <w:tcW w:w="184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4,734</w:t>
            </w:r>
          </w:p>
        </w:tc>
        <w:tc>
          <w:tcPr>
            <w:tcW w:w="15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(4,363)</w:t>
            </w:r>
          </w:p>
        </w:tc>
        <w:tc>
          <w:tcPr>
            <w:tcW w:w="15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952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5"/>
        </w:trPr>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(6,461)</w:t>
            </w: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706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196"/>
        </w:trPr>
        <w:tc>
          <w:tcPr>
            <w:tcW w:w="7000" w:type="dxa"/>
            <w:vAlign w:val="bottom"/>
            <w:gridSpan w:val="2"/>
          </w:tcPr>
          <w:p>
            <w:pPr>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8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($18,830)</w:t>
            </w:r>
          </w:p>
        </w:tc>
        <w:tc>
          <w:tcPr>
            <w:tcW w:w="154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$6,844</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69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The change in cumulative translation adjustments includes the following:</w:t>
            </w:r>
          </w:p>
        </w:tc>
        <w:tc>
          <w:tcPr>
            <w:tcW w:w="18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6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2014</w:t>
            </w:r>
          </w:p>
        </w:tc>
        <w:tc>
          <w:tcPr>
            <w:tcW w:w="1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76"/>
        </w:trPr>
        <w:tc>
          <w:tcPr>
            <w:tcW w:w="7000" w:type="dxa"/>
            <w:vAlign w:val="bottom"/>
            <w:gridSpan w:val="2"/>
          </w:tcPr>
          <w:p>
            <w:pPr>
              <w:spacing w:after="0"/>
              <w:rPr>
                <w:sz w:val="20"/>
                <w:szCs w:val="20"/>
                <w:color w:val="auto"/>
              </w:rPr>
            </w:pPr>
            <w:r>
              <w:rPr>
                <w:rFonts w:ascii="Arial" w:cs="Arial" w:eastAsia="Arial" w:hAnsi="Arial"/>
                <w:sz w:val="18"/>
                <w:szCs w:val="18"/>
                <w:color w:val="auto"/>
              </w:rPr>
              <w:t>Foreign currency translation of non-U.S. subsidiaries</w:t>
            </w: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rPr>
              <w:t>($60,419)</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$25,573</w:t>
            </w:r>
          </w:p>
        </w:tc>
        <w:tc>
          <w:tcPr>
            <w:tcW w:w="1040" w:type="dxa"/>
            <w:vAlign w:val="bottom"/>
          </w:tcPr>
          <w:p>
            <w:pPr>
              <w:jc w:val="right"/>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225"/>
        </w:trPr>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Gain/(loss) on long-term intercompany loans</w:t>
            </w: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5,317</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(18,052)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Change in cumulative translation adjustments</w:t>
            </w:r>
          </w:p>
        </w:tc>
        <w:tc>
          <w:tcPr>
            <w:tcW w:w="1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($55,102)</w:t>
            </w:r>
          </w:p>
        </w:tc>
        <w:tc>
          <w:tcPr>
            <w:tcW w:w="15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$7,521</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 Options and Incentive Plans</w:t>
      </w:r>
    </w:p>
    <w:p>
      <w:pPr>
        <w:spacing w:after="0" w:line="193"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We recognized no stock option expense during 2014, 2013 or 2012 and there are currently no remaining unvested options for which stock-option compensation costs will be recognized in future periods.</w:t>
      </w:r>
    </w:p>
    <w:p>
      <w:pPr>
        <w:spacing w:after="0" w:line="170"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There have been no stock options granted since November 2002 and we have no stock option plan under which options may be granted. Options issued under previous plans and still outstanding were exercisable in five cumulative annual amounts beginning twelve months after date of grant. Option exercise prices were normally equal to and were not permitted to be less than the market value on the date of grant. Unexercised options generally terminate twenty years after the date of grant for all plans, and must be exercised within ten years of retirement.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with respect to these plans is as follows: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r>
      <w:tr>
        <w:trPr>
          <w:trHeight w:val="173"/>
        </w:trPr>
        <w:tc>
          <w:tcPr>
            <w:tcW w:w="20" w:type="dxa"/>
            <w:vAlign w:val="bottom"/>
          </w:tcPr>
          <w:p>
            <w:pPr>
              <w:spacing w:after="0"/>
              <w:rPr>
                <w:sz w:val="15"/>
                <w:szCs w:val="15"/>
                <w:color w:val="auto"/>
              </w:rPr>
            </w:pPr>
          </w:p>
        </w:tc>
        <w:tc>
          <w:tcPr>
            <w:tcW w:w="7100" w:type="dxa"/>
            <w:vAlign w:val="bottom"/>
          </w:tcPr>
          <w:p>
            <w:pPr>
              <w:spacing w:after="0" w:line="173" w:lineRule="exact"/>
              <w:rPr>
                <w:sz w:val="20"/>
                <w:szCs w:val="20"/>
                <w:color w:val="auto"/>
              </w:rPr>
            </w:pPr>
            <w:r>
              <w:rPr>
                <w:rFonts w:ascii="Arial" w:cs="Arial" w:eastAsia="Arial" w:hAnsi="Arial"/>
                <w:sz w:val="18"/>
                <w:szCs w:val="18"/>
                <w:color w:val="auto"/>
              </w:rPr>
              <w:t>Shares under option January 1</w:t>
            </w:r>
          </w:p>
        </w:tc>
        <w:tc>
          <w:tcPr>
            <w:tcW w:w="1800" w:type="dxa"/>
            <w:vAlign w:val="bottom"/>
          </w:tcPr>
          <w:p>
            <w:pPr>
              <w:jc w:val="right"/>
              <w:ind w:right="1050"/>
              <w:spacing w:after="0" w:line="173" w:lineRule="exact"/>
              <w:rPr>
                <w:sz w:val="20"/>
                <w:szCs w:val="20"/>
                <w:color w:val="auto"/>
              </w:rPr>
            </w:pPr>
            <w:r>
              <w:rPr>
                <w:rFonts w:ascii="Arial" w:cs="Arial" w:eastAsia="Arial" w:hAnsi="Arial"/>
                <w:sz w:val="18"/>
                <w:szCs w:val="18"/>
                <w:b w:val="1"/>
                <w:bCs w:val="1"/>
                <w:color w:val="auto"/>
                <w:w w:val="98"/>
              </w:rPr>
              <w:t>228,533</w:t>
            </w:r>
          </w:p>
        </w:tc>
        <w:tc>
          <w:tcPr>
            <w:tcW w:w="104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507,313</w:t>
            </w:r>
          </w:p>
        </w:tc>
        <w:tc>
          <w:tcPr>
            <w:tcW w:w="1460" w:type="dxa"/>
            <w:vAlign w:val="bottom"/>
          </w:tcPr>
          <w:p>
            <w:pPr>
              <w:jc w:val="right"/>
              <w:spacing w:after="0" w:line="173" w:lineRule="exact"/>
              <w:rPr>
                <w:sz w:val="20"/>
                <w:szCs w:val="20"/>
                <w:color w:val="auto"/>
              </w:rPr>
            </w:pPr>
            <w:r>
              <w:rPr>
                <w:rFonts w:ascii="Arial" w:cs="Arial" w:eastAsia="Arial" w:hAnsi="Arial"/>
                <w:sz w:val="18"/>
                <w:szCs w:val="18"/>
                <w:color w:val="auto"/>
              </w:rPr>
              <w:t>597,313</w:t>
            </w: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Options canceled</w:t>
            </w:r>
          </w:p>
        </w:tc>
        <w:tc>
          <w:tcPr>
            <w:tcW w:w="1800" w:type="dxa"/>
            <w:vAlign w:val="bottom"/>
          </w:tcPr>
          <w:p>
            <w:pPr>
              <w:jc w:val="right"/>
              <w:ind w:right="105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23,300</w:t>
            </w:r>
          </w:p>
        </w:tc>
      </w:tr>
      <w:tr>
        <w:trPr>
          <w:trHeight w:val="225"/>
        </w:trPr>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Options exercised</w:t>
            </w:r>
          </w:p>
        </w:tc>
        <w:tc>
          <w:tcPr>
            <w:tcW w:w="18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41,300</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278,780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66,700</w:t>
            </w:r>
          </w:p>
        </w:tc>
      </w:tr>
      <w:tr>
        <w:trPr>
          <w:trHeight w:val="173"/>
        </w:trPr>
        <w:tc>
          <w:tcPr>
            <w:tcW w:w="7120" w:type="dxa"/>
            <w:vAlign w:val="bottom"/>
            <w:gridSpan w:val="2"/>
          </w:tcPr>
          <w:p>
            <w:pPr>
              <w:spacing w:after="0" w:line="173" w:lineRule="exact"/>
              <w:rPr>
                <w:sz w:val="20"/>
                <w:szCs w:val="20"/>
                <w:color w:val="auto"/>
              </w:rPr>
            </w:pPr>
            <w:r>
              <w:rPr>
                <w:rFonts w:ascii="Arial" w:cs="Arial" w:eastAsia="Arial" w:hAnsi="Arial"/>
                <w:sz w:val="18"/>
                <w:szCs w:val="18"/>
                <w:color w:val="auto"/>
              </w:rPr>
              <w:t>Shares under option at December 31</w:t>
            </w:r>
          </w:p>
        </w:tc>
        <w:tc>
          <w:tcPr>
            <w:tcW w:w="1800" w:type="dxa"/>
            <w:vAlign w:val="bottom"/>
          </w:tcPr>
          <w:p>
            <w:pPr>
              <w:jc w:val="right"/>
              <w:ind w:right="1050"/>
              <w:spacing w:after="0" w:line="173" w:lineRule="exact"/>
              <w:rPr>
                <w:sz w:val="20"/>
                <w:szCs w:val="20"/>
                <w:color w:val="auto"/>
              </w:rPr>
            </w:pPr>
            <w:r>
              <w:rPr>
                <w:rFonts w:ascii="Arial" w:cs="Arial" w:eastAsia="Arial" w:hAnsi="Arial"/>
                <w:sz w:val="18"/>
                <w:szCs w:val="18"/>
                <w:b w:val="1"/>
                <w:bCs w:val="1"/>
                <w:color w:val="auto"/>
                <w:w w:val="98"/>
              </w:rPr>
              <w:t>187,233</w:t>
            </w:r>
          </w:p>
        </w:tc>
        <w:tc>
          <w:tcPr>
            <w:tcW w:w="104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228,533</w:t>
            </w:r>
          </w:p>
        </w:tc>
        <w:tc>
          <w:tcPr>
            <w:tcW w:w="1460" w:type="dxa"/>
            <w:vAlign w:val="bottom"/>
          </w:tcPr>
          <w:p>
            <w:pPr>
              <w:jc w:val="right"/>
              <w:spacing w:after="0" w:line="173" w:lineRule="exact"/>
              <w:rPr>
                <w:sz w:val="20"/>
                <w:szCs w:val="20"/>
                <w:color w:val="auto"/>
              </w:rPr>
            </w:pPr>
            <w:r>
              <w:rPr>
                <w:rFonts w:ascii="Arial" w:cs="Arial" w:eastAsia="Arial" w:hAnsi="Arial"/>
                <w:sz w:val="18"/>
                <w:szCs w:val="18"/>
                <w:color w:val="auto"/>
              </w:rPr>
              <w:t>507,313</w:t>
            </w:r>
          </w:p>
        </w:tc>
      </w:tr>
      <w:tr>
        <w:trPr>
          <w:trHeight w:val="225"/>
        </w:trPr>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Options exercisable at December 31</w:t>
            </w:r>
          </w:p>
        </w:tc>
        <w:tc>
          <w:tcPr>
            <w:tcW w:w="18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w w:val="98"/>
              </w:rPr>
              <w:t>187,233</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228,533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507,313</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exercise price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8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7600" w:type="dxa"/>
            <w:vAlign w:val="bottom"/>
          </w:tcPr>
          <w:p>
            <w:pPr>
              <w:spacing w:after="0" w:line="173" w:lineRule="exact"/>
              <w:rPr>
                <w:sz w:val="20"/>
                <w:szCs w:val="20"/>
                <w:color w:val="auto"/>
              </w:rPr>
            </w:pPr>
            <w:r>
              <w:rPr>
                <w:rFonts w:ascii="Arial" w:cs="Arial" w:eastAsia="Arial" w:hAnsi="Arial"/>
                <w:sz w:val="18"/>
                <w:szCs w:val="18"/>
                <w:color w:val="auto"/>
              </w:rPr>
              <w:t>Shares under option January 1</w:t>
            </w:r>
          </w:p>
        </w:tc>
        <w:tc>
          <w:tcPr>
            <w:tcW w:w="1720" w:type="dxa"/>
            <w:vAlign w:val="bottom"/>
          </w:tcPr>
          <w:p>
            <w:pPr>
              <w:jc w:val="right"/>
              <w:ind w:right="1010"/>
              <w:spacing w:after="0" w:line="173" w:lineRule="exact"/>
              <w:rPr>
                <w:sz w:val="20"/>
                <w:szCs w:val="20"/>
                <w:color w:val="auto"/>
              </w:rPr>
            </w:pPr>
            <w:r>
              <w:rPr>
                <w:rFonts w:ascii="Arial" w:cs="Arial" w:eastAsia="Arial" w:hAnsi="Arial"/>
                <w:sz w:val="18"/>
                <w:szCs w:val="18"/>
                <w:b w:val="1"/>
                <w:bCs w:val="1"/>
                <w:color w:val="auto"/>
              </w:rPr>
              <w:t>$18.94</w:t>
            </w:r>
          </w:p>
        </w:tc>
        <w:tc>
          <w:tcPr>
            <w:tcW w:w="88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$19.45</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$19.54</w:t>
            </w:r>
          </w:p>
        </w:tc>
        <w:tc>
          <w:tcPr>
            <w:tcW w:w="20" w:type="dxa"/>
            <w:vAlign w:val="bottom"/>
          </w:tcPr>
          <w:p>
            <w:pPr>
              <w:spacing w:after="0"/>
              <w:rPr>
                <w:sz w:val="15"/>
                <w:szCs w:val="15"/>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Options canceled</w:t>
            </w:r>
          </w:p>
        </w:tc>
        <w:tc>
          <w:tcPr>
            <w:tcW w:w="172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21.23</w:t>
            </w:r>
          </w:p>
        </w:tc>
        <w:tc>
          <w:tcPr>
            <w:tcW w:w="20" w:type="dxa"/>
            <w:vAlign w:val="bottom"/>
          </w:tcPr>
          <w:p>
            <w:pPr>
              <w:spacing w:after="0"/>
              <w:rPr>
                <w:sz w:val="17"/>
                <w:szCs w:val="17"/>
                <w:color w:val="auto"/>
              </w:rPr>
            </w:pPr>
          </w:p>
        </w:tc>
      </w:tr>
      <w:tr>
        <w:trPr>
          <w:trHeight w:val="225"/>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18.71</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19.87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Borders>
              <w:bottom w:val="single" w:sz="8" w:color="auto"/>
            </w:tcBorders>
          </w:tcPr>
          <w:p>
            <w:pPr>
              <w:spacing w:after="0"/>
              <w:rPr>
                <w:sz w:val="19"/>
                <w:szCs w:val="19"/>
                <w:color w:val="auto"/>
              </w:rPr>
            </w:pPr>
          </w:p>
        </w:tc>
      </w:tr>
      <w:tr>
        <w:trPr>
          <w:trHeight w:val="173"/>
        </w:trPr>
        <w:tc>
          <w:tcPr>
            <w:tcW w:w="7620" w:type="dxa"/>
            <w:vAlign w:val="bottom"/>
            <w:gridSpan w:val="2"/>
          </w:tcPr>
          <w:p>
            <w:pPr>
              <w:spacing w:after="0" w:line="173" w:lineRule="exact"/>
              <w:rPr>
                <w:sz w:val="20"/>
                <w:szCs w:val="20"/>
                <w:color w:val="auto"/>
              </w:rPr>
            </w:pPr>
            <w:r>
              <w:rPr>
                <w:rFonts w:ascii="Arial" w:cs="Arial" w:eastAsia="Arial" w:hAnsi="Arial"/>
                <w:sz w:val="18"/>
                <w:szCs w:val="18"/>
                <w:color w:val="auto"/>
              </w:rPr>
              <w:t>Shares under option December 31</w:t>
            </w:r>
          </w:p>
        </w:tc>
        <w:tc>
          <w:tcPr>
            <w:tcW w:w="1720" w:type="dxa"/>
            <w:vAlign w:val="bottom"/>
          </w:tcPr>
          <w:p>
            <w:pPr>
              <w:jc w:val="right"/>
              <w:ind w:right="1010"/>
              <w:spacing w:after="0" w:line="173" w:lineRule="exact"/>
              <w:rPr>
                <w:sz w:val="20"/>
                <w:szCs w:val="20"/>
                <w:color w:val="auto"/>
              </w:rPr>
            </w:pPr>
            <w:r>
              <w:rPr>
                <w:rFonts w:ascii="Arial" w:cs="Arial" w:eastAsia="Arial" w:hAnsi="Arial"/>
                <w:sz w:val="18"/>
                <w:szCs w:val="18"/>
                <w:b w:val="1"/>
                <w:bCs w:val="1"/>
                <w:color w:val="auto"/>
              </w:rPr>
              <w:t>18.99</w:t>
            </w:r>
          </w:p>
        </w:tc>
        <w:tc>
          <w:tcPr>
            <w:tcW w:w="88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18.94</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19.45</w:t>
            </w:r>
          </w:p>
        </w:tc>
        <w:tc>
          <w:tcPr>
            <w:tcW w:w="20" w:type="dxa"/>
            <w:vAlign w:val="bottom"/>
          </w:tcPr>
          <w:p>
            <w:pPr>
              <w:spacing w:after="0"/>
              <w:rPr>
                <w:sz w:val="15"/>
                <w:szCs w:val="15"/>
                <w:color w:val="auto"/>
              </w:rPr>
            </w:pPr>
          </w:p>
        </w:tc>
      </w:tr>
      <w:tr>
        <w:trPr>
          <w:trHeight w:val="225"/>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Options exercisable December 31</w:t>
            </w:r>
          </w:p>
        </w:tc>
        <w:tc>
          <w:tcPr>
            <w:tcW w:w="17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18.99</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18.94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Borders>
              <w:bottom w:val="single" w:sz="8" w:color="auto"/>
            </w:tcBorders>
          </w:tcPr>
          <w:p>
            <w:pPr>
              <w:spacing w:after="0"/>
              <w:rPr>
                <w:sz w:val="19"/>
                <w:szCs w:val="19"/>
                <w:color w:val="auto"/>
              </w:rPr>
            </w:pPr>
          </w:p>
        </w:tc>
      </w:tr>
    </w:tbl>
    <w:p>
      <w:pPr>
        <w:spacing w:after="0" w:line="377"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As of December 31, 2014, the aggregate intrinsic value of vested options was $3.5 million. The aggregate intrinsic value of options exercised was $0.7 million in 2014, $3.1 million in 2013, and $0.2 million in 2012.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 share-based compensation:</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In 2011, shareholders approved the Albany International 2011 Incentive Plan, replacing the similar 2005 Incentive Plan approved by shareholders in 2005. Awards granted to date under these plans provide key members of management with incentive compensation based on achieving certain performance targets over a three year period. Such awards are paid out partly in cash and partly in shares of Class A Common Stock. Participants may elect to receive shares net of applicable income taxes. In March 2014 we issued 29,321 shares and made cash payments totaling $ 1.1 million. In March 2013 we issued 40,255 shares and made cash payments totaling $1.1 million. In March 2012 we issued 6,727 shares and made cash payments totaling $0.2 million. If a person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the award. Expense associated with these awards is recognized over the three year vesting period. In connection with this plan, we recognized expense of $2.4 million in each of 2014, 2013 and 2012. For share-based awards that are dependent on performance after 2014, we expect to record additional compensation expense of approximately $0.4 million in each of 2015 and 2016.</w:t>
      </w:r>
    </w:p>
    <w:p>
      <w:pPr>
        <w:spacing w:after="0" w:line="16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2011, the Board of Directors modified the annual incentive plan for executive management whereby 40 to 50 percent of the earned incentive compensation is payable in the form of shares of Class A Common Stock. Participants may elect to receive shares net of applicable income taxes. In March 2014, the Company issued 15,910 shares and made cash payments totaling $1.4 million as a result of performance in 2013. In March 2013, the Company issued 34,988 shares and made cash payments totaling $2.0 million as a result of performance in 2012. In March 2012, the Company issued 27,768 shares and made cash payments totaling $ 1.5 million as a result of performance in 2011. The allocation of the award between cash and shares is determined by an average share price after the year of performance. Expense recorded for this plan was $2.7 million in 2014, $2.3 million in 2013, and $3.4 million in 2012.</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91" w:name="page92"/>
    <w:bookmarkEnd w:id="91"/>
    <w:p>
      <w:pPr>
        <w:ind w:right="120" w:firstLine="648"/>
        <w:spacing w:after="0" w:line="246" w:lineRule="auto"/>
        <w:rPr>
          <w:sz w:val="20"/>
          <w:szCs w:val="20"/>
          <w:color w:val="auto"/>
        </w:rPr>
      </w:pPr>
      <w:r>
        <w:rPr>
          <w:rFonts w:ascii="Arial" w:cs="Arial" w:eastAsia="Arial" w:hAnsi="Arial"/>
          <w:sz w:val="18"/>
          <w:szCs w:val="18"/>
          <w:color w:val="auto"/>
        </w:rPr>
        <w:t>Shares payable under these plans generally vest immediately prior to payment. As of December 31, 2014, there were 343,183 shares of Company stock authorized for the payment of awards under these plans. Information with respect to these plans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0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Number of</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Weighted average grant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Year-end intrinsic</w:t>
            </w:r>
          </w:p>
        </w:tc>
      </w:tr>
      <w:tr>
        <w:trPr>
          <w:trHeight w:val="203"/>
        </w:trPr>
        <w:tc>
          <w:tcPr>
            <w:tcW w:w="20" w:type="dxa"/>
            <w:vAlign w:val="bottom"/>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shares</w:t>
            </w:r>
          </w:p>
        </w:tc>
        <w:tc>
          <w:tcPr>
            <w:tcW w:w="20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date value per share</w:t>
            </w:r>
          </w:p>
        </w:tc>
        <w:tc>
          <w:tcPr>
            <w:tcW w:w="15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value (000's)</w:t>
            </w:r>
          </w:p>
        </w:tc>
      </w:tr>
      <w:tr>
        <w:trPr>
          <w:trHeight w:val="196"/>
        </w:trPr>
        <w:tc>
          <w:tcPr>
            <w:tcW w:w="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Shares potentially payable at January 1, 2012</w:t>
            </w:r>
          </w:p>
        </w:tc>
        <w:tc>
          <w:tcPr>
            <w:tcW w:w="2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161,280</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$23.74</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$3,729</w:t>
            </w:r>
          </w:p>
        </w:tc>
      </w:tr>
      <w:tr>
        <w:trPr>
          <w:trHeight w:val="195"/>
        </w:trPr>
        <w:tc>
          <w:tcPr>
            <w:tcW w:w="5320" w:type="dxa"/>
            <w:vAlign w:val="bottom"/>
            <w:gridSpan w:val="2"/>
          </w:tcPr>
          <w:p>
            <w:pPr>
              <w:spacing w:after="0" w:line="195" w:lineRule="exact"/>
              <w:rPr>
                <w:sz w:val="20"/>
                <w:szCs w:val="20"/>
                <w:color w:val="auto"/>
              </w:rPr>
            </w:pPr>
            <w:r>
              <w:rPr>
                <w:rFonts w:ascii="Arial" w:cs="Arial" w:eastAsia="Arial" w:hAnsi="Arial"/>
                <w:sz w:val="18"/>
                <w:szCs w:val="18"/>
                <w:color w:val="auto"/>
              </w:rPr>
              <w:t>Forfeitures</w:t>
            </w:r>
          </w:p>
        </w:tc>
        <w:tc>
          <w:tcPr>
            <w:tcW w:w="24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560" w:type="dxa"/>
            <w:vAlign w:val="bottom"/>
          </w:tcPr>
          <w:p>
            <w:pPr>
              <w:spacing w:after="0"/>
              <w:rPr>
                <w:sz w:val="16"/>
                <w:szCs w:val="16"/>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(44,347)</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1560" w:type="dxa"/>
            <w:vAlign w:val="bottom"/>
          </w:tcPr>
          <w:p>
            <w:pPr>
              <w:spacing w:after="0"/>
              <w:rPr>
                <w:sz w:val="17"/>
                <w:szCs w:val="17"/>
                <w:color w:val="auto"/>
              </w:rPr>
            </w:pPr>
          </w:p>
        </w:tc>
      </w:tr>
      <w:tr>
        <w:trPr>
          <w:trHeight w:val="203"/>
        </w:trPr>
        <w:tc>
          <w:tcPr>
            <w:tcW w:w="53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Shares accrued based on 2012 performance</w:t>
            </w:r>
          </w:p>
        </w:tc>
        <w:tc>
          <w:tcPr>
            <w:tcW w:w="2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112,428</w:t>
            </w:r>
          </w:p>
        </w:tc>
        <w:tc>
          <w:tcPr>
            <w:tcW w:w="2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$27.15</w:t>
            </w:r>
          </w:p>
        </w:tc>
        <w:tc>
          <w:tcPr>
            <w:tcW w:w="1560" w:type="dxa"/>
            <w:vAlign w:val="bottom"/>
            <w:tcBorders>
              <w:bottom w:val="single" w:sz="8" w:color="auto"/>
            </w:tcBorders>
          </w:tcPr>
          <w:p>
            <w:pPr>
              <w:spacing w:after="0"/>
              <w:rPr>
                <w:sz w:val="17"/>
                <w:szCs w:val="17"/>
                <w:color w:val="auto"/>
              </w:rPr>
            </w:pP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Shares potentially payable at December 31, 2012</w:t>
            </w:r>
          </w:p>
        </w:tc>
        <w:tc>
          <w:tcPr>
            <w:tcW w:w="2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229,361</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$24.13</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$5,202</w:t>
            </w:r>
          </w:p>
        </w:tc>
      </w:tr>
      <w:tr>
        <w:trPr>
          <w:trHeight w:val="195"/>
        </w:trPr>
        <w:tc>
          <w:tcPr>
            <w:tcW w:w="5320" w:type="dxa"/>
            <w:vAlign w:val="bottom"/>
            <w:gridSpan w:val="2"/>
          </w:tcPr>
          <w:p>
            <w:pPr>
              <w:spacing w:after="0" w:line="195" w:lineRule="exact"/>
              <w:rPr>
                <w:sz w:val="20"/>
                <w:szCs w:val="20"/>
                <w:color w:val="auto"/>
              </w:rPr>
            </w:pPr>
            <w:r>
              <w:rPr>
                <w:rFonts w:ascii="Arial" w:cs="Arial" w:eastAsia="Arial" w:hAnsi="Arial"/>
                <w:sz w:val="18"/>
                <w:szCs w:val="18"/>
                <w:color w:val="auto"/>
              </w:rPr>
              <w:t>Forfeitures</w:t>
            </w:r>
          </w:p>
        </w:tc>
        <w:tc>
          <w:tcPr>
            <w:tcW w:w="24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560" w:type="dxa"/>
            <w:vAlign w:val="bottom"/>
          </w:tcPr>
          <w:p>
            <w:pPr>
              <w:spacing w:after="0"/>
              <w:rPr>
                <w:sz w:val="16"/>
                <w:szCs w:val="16"/>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(118,364)</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$23.05</w:t>
            </w:r>
          </w:p>
        </w:tc>
        <w:tc>
          <w:tcPr>
            <w:tcW w:w="1560" w:type="dxa"/>
            <w:vAlign w:val="bottom"/>
          </w:tcPr>
          <w:p>
            <w:pPr>
              <w:spacing w:after="0"/>
              <w:rPr>
                <w:sz w:val="17"/>
                <w:szCs w:val="17"/>
                <w:color w:val="auto"/>
              </w:rPr>
            </w:pPr>
          </w:p>
        </w:tc>
      </w:tr>
      <w:tr>
        <w:trPr>
          <w:trHeight w:val="203"/>
        </w:trPr>
        <w:tc>
          <w:tcPr>
            <w:tcW w:w="53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Shares accrued based on 2013 performance</w:t>
            </w:r>
          </w:p>
        </w:tc>
        <w:tc>
          <w:tcPr>
            <w:tcW w:w="2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74,567</w:t>
            </w:r>
          </w:p>
        </w:tc>
        <w:tc>
          <w:tcPr>
            <w:tcW w:w="2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$31.62</w:t>
            </w:r>
          </w:p>
        </w:tc>
        <w:tc>
          <w:tcPr>
            <w:tcW w:w="1560" w:type="dxa"/>
            <w:vAlign w:val="bottom"/>
            <w:tcBorders>
              <w:bottom w:val="single" w:sz="8" w:color="auto"/>
            </w:tcBorders>
          </w:tcPr>
          <w:p>
            <w:pPr>
              <w:spacing w:after="0"/>
              <w:rPr>
                <w:sz w:val="17"/>
                <w:szCs w:val="17"/>
                <w:color w:val="auto"/>
              </w:rPr>
            </w:pP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Shares potentially payable at December 31, 2013</w:t>
            </w:r>
          </w:p>
        </w:tc>
        <w:tc>
          <w:tcPr>
            <w:tcW w:w="2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185,564</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$27.51</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$6,667</w:t>
            </w:r>
          </w:p>
        </w:tc>
      </w:tr>
      <w:tr>
        <w:trPr>
          <w:trHeight w:val="195"/>
        </w:trPr>
        <w:tc>
          <w:tcPr>
            <w:tcW w:w="5320" w:type="dxa"/>
            <w:vAlign w:val="bottom"/>
            <w:gridSpan w:val="2"/>
          </w:tcPr>
          <w:p>
            <w:pPr>
              <w:spacing w:after="0" w:line="195" w:lineRule="exact"/>
              <w:rPr>
                <w:sz w:val="20"/>
                <w:szCs w:val="20"/>
                <w:color w:val="auto"/>
              </w:rPr>
            </w:pPr>
            <w:r>
              <w:rPr>
                <w:rFonts w:ascii="Arial" w:cs="Arial" w:eastAsia="Arial" w:hAnsi="Arial"/>
                <w:sz w:val="18"/>
                <w:szCs w:val="18"/>
                <w:color w:val="auto"/>
              </w:rPr>
              <w:t>Forfeitures</w:t>
            </w:r>
          </w:p>
        </w:tc>
        <w:tc>
          <w:tcPr>
            <w:tcW w:w="24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560" w:type="dxa"/>
            <w:vAlign w:val="bottom"/>
          </w:tcPr>
          <w:p>
            <w:pPr>
              <w:spacing w:after="0"/>
              <w:rPr>
                <w:sz w:val="16"/>
                <w:szCs w:val="16"/>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(75,385)</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$28.60</w:t>
            </w:r>
          </w:p>
        </w:tc>
        <w:tc>
          <w:tcPr>
            <w:tcW w:w="1560" w:type="dxa"/>
            <w:vAlign w:val="bottom"/>
          </w:tcPr>
          <w:p>
            <w:pPr>
              <w:spacing w:after="0"/>
              <w:rPr>
                <w:sz w:val="17"/>
                <w:szCs w:val="17"/>
                <w:color w:val="auto"/>
              </w:rPr>
            </w:pPr>
          </w:p>
        </w:tc>
      </w:tr>
      <w:tr>
        <w:trPr>
          <w:trHeight w:val="203"/>
        </w:trPr>
        <w:tc>
          <w:tcPr>
            <w:tcW w:w="53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Shares accrued based on 2014 performance</w:t>
            </w:r>
          </w:p>
        </w:tc>
        <w:tc>
          <w:tcPr>
            <w:tcW w:w="2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75,020</w:t>
            </w:r>
          </w:p>
        </w:tc>
        <w:tc>
          <w:tcPr>
            <w:tcW w:w="2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$34.65</w:t>
            </w:r>
          </w:p>
        </w:tc>
        <w:tc>
          <w:tcPr>
            <w:tcW w:w="1560" w:type="dxa"/>
            <w:vAlign w:val="bottom"/>
            <w:tcBorders>
              <w:bottom w:val="single" w:sz="8" w:color="auto"/>
            </w:tcBorders>
          </w:tcPr>
          <w:p>
            <w:pPr>
              <w:spacing w:after="0"/>
              <w:rPr>
                <w:sz w:val="17"/>
                <w:szCs w:val="17"/>
                <w:color w:val="auto"/>
              </w:rPr>
            </w:pP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Shares potentially payable at December 31, 2014</w:t>
            </w:r>
          </w:p>
        </w:tc>
        <w:tc>
          <w:tcPr>
            <w:tcW w:w="2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185,199</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$30.69</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$5,683</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Other Management share-based compensation:</w:t>
      </w:r>
    </w:p>
    <w:p>
      <w:pPr>
        <w:spacing w:after="0" w:line="171"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In 2003, the Company adopted a Restricted Stock Program under which certain key employees are awarded restricted stock units. Such units vest over a five-year period and are paid annually in cash based on current market prices of the Company’s stock. The amount of compensation expense is subject to changes in the market price of the Company’s stock. The amount of compensation cost attributable to such units is recorded in Selling, general and administrative expenses and was $ 1.4 million in 2014, $2.5 million in 2013, and $1.9 million in 2012. The Company has not awarded new restricted stock units since November 2010. However, awards up to that time will continue to vest until 2015. We expect to record $0.7 million of expense in 2015 related to outstanding restricted stock units.</w:t>
      </w:r>
    </w:p>
    <w:p>
      <w:pPr>
        <w:spacing w:after="0" w:line="178"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2012, the Company adopted a Phantom Stock Plan that replaces the Restricted Stock Program. Awards under this program also vest over a five-year period and are paid annually in cash based on current market prices of the Company’s stock. Under this program, employees may earn more or less than the target award based on the Company’s results in the year of the award. Expense recognized for this plan amounted to $2.2 million in 2014, $1.5 million in 2013, and $0.5 million in 2012. Based on awards outstanding at December 31, 2014, we expect to record $6.5 million of compensation cost from 2015 to 2018. The weighted average period for recognition of that cost is approximately 2 years.</w:t>
      </w:r>
    </w:p>
    <w:p>
      <w:pPr>
        <w:spacing w:after="0" w:line="16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2012, the Company granted restricted stock units to two executives. The amount of compensation expense is subject to changes in the market price of the Company’s stock and is recorded in Selling, general, and administrative expenses. These grants will vest in various periods from 2015 to 2017. Expense recognized for these grants was $0.7 million in 2014, $1.0 million in 2013, and $0.4 million in 2012. Based on awards outstanding at December 31, 2014, we expect to record $0.3 million of compensation cost, principally in 2015.</w:t>
      </w:r>
    </w:p>
    <w:p>
      <w:pPr>
        <w:spacing w:after="0" w:line="16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determination of compensation expense for other management share-based compensation plans is based on the number of outstanding share units, the end-of-period share price, and Company performance. Information with respect to these plans is presented below:</w:t>
      </w:r>
    </w:p>
    <w:p>
      <w:pPr>
        <w:spacing w:after="0" w:line="278"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Cash paid for</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2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Number of</w:t>
            </w:r>
          </w:p>
        </w:tc>
        <w:tc>
          <w:tcPr>
            <w:tcW w:w="226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Weighted average</w:t>
            </w:r>
          </w:p>
        </w:tc>
        <w:tc>
          <w:tcPr>
            <w:tcW w:w="17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share based</w:t>
            </w:r>
          </w:p>
        </w:tc>
      </w:tr>
      <w:tr>
        <w:trPr>
          <w:trHeight w:val="203"/>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20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shares</w:t>
            </w:r>
          </w:p>
        </w:tc>
        <w:tc>
          <w:tcPr>
            <w:tcW w:w="2260" w:type="dxa"/>
            <w:vAlign w:val="bottom"/>
          </w:tcPr>
          <w:p>
            <w:pPr>
              <w:jc w:val="right"/>
              <w:ind w:right="610"/>
              <w:spacing w:after="0" w:line="203" w:lineRule="exact"/>
              <w:rPr>
                <w:sz w:val="20"/>
                <w:szCs w:val="20"/>
                <w:color w:val="auto"/>
              </w:rPr>
            </w:pPr>
            <w:r>
              <w:rPr>
                <w:rFonts w:ascii="Arial" w:cs="Arial" w:eastAsia="Arial" w:hAnsi="Arial"/>
                <w:sz w:val="18"/>
                <w:szCs w:val="18"/>
                <w:color w:val="auto"/>
              </w:rPr>
              <w:t>value per share</w:t>
            </w:r>
          </w:p>
        </w:tc>
        <w:tc>
          <w:tcPr>
            <w:tcW w:w="178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liabilities(000's)</w:t>
            </w:r>
          </w:p>
        </w:tc>
      </w:tr>
      <w:tr>
        <w:trPr>
          <w:trHeight w:val="196"/>
        </w:trPr>
        <w:tc>
          <w:tcPr>
            <w:tcW w:w="20" w:type="dxa"/>
            <w:vAlign w:val="bottom"/>
            <w:tcBorders>
              <w:bottom w:val="single" w:sz="8" w:color="auto"/>
            </w:tcBorders>
          </w:tcPr>
          <w:p>
            <w:pPr>
              <w:spacing w:after="0"/>
              <w:rPr>
                <w:sz w:val="17"/>
                <w:szCs w:val="17"/>
                <w:color w:val="auto"/>
              </w:rPr>
            </w:pPr>
          </w:p>
        </w:tc>
        <w:tc>
          <w:tcPr>
            <w:tcW w:w="5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Share units potentially payable at January 1, 2012</w:t>
            </w:r>
          </w:p>
        </w:tc>
        <w:tc>
          <w:tcPr>
            <w:tcW w:w="22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361,419</w:t>
            </w:r>
          </w:p>
        </w:tc>
        <w:tc>
          <w:tcPr>
            <w:tcW w:w="22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gridSpan w:val="2"/>
          </w:tcPr>
          <w:p>
            <w:pPr>
              <w:spacing w:after="0" w:line="195" w:lineRule="exact"/>
              <w:rPr>
                <w:sz w:val="20"/>
                <w:szCs w:val="20"/>
                <w:color w:val="auto"/>
              </w:rPr>
            </w:pPr>
            <w:r>
              <w:rPr>
                <w:rFonts w:ascii="Arial" w:cs="Arial" w:eastAsia="Arial" w:hAnsi="Arial"/>
                <w:sz w:val="18"/>
                <w:szCs w:val="18"/>
                <w:color w:val="auto"/>
              </w:rPr>
              <w:t>Grants</w:t>
            </w:r>
          </w:p>
        </w:tc>
        <w:tc>
          <w:tcPr>
            <w:tcW w:w="22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220,090</w:t>
            </w:r>
          </w:p>
        </w:tc>
        <w:tc>
          <w:tcPr>
            <w:tcW w:w="2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(196,360)</w:t>
            </w:r>
          </w:p>
        </w:tc>
        <w:tc>
          <w:tcPr>
            <w:tcW w:w="2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$21.43</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$4,206</w:t>
            </w:r>
          </w:p>
        </w:tc>
      </w:tr>
      <w:tr>
        <w:trPr>
          <w:trHeight w:val="203"/>
        </w:trPr>
        <w:tc>
          <w:tcPr>
            <w:tcW w:w="52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Forfeitures</w:t>
            </w:r>
          </w:p>
        </w:tc>
        <w:tc>
          <w:tcPr>
            <w:tcW w:w="22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(34,389)</w:t>
            </w:r>
          </w:p>
        </w:tc>
        <w:tc>
          <w:tcPr>
            <w:tcW w:w="2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Share units potentially payable at December 31, 2012</w:t>
            </w:r>
          </w:p>
        </w:tc>
        <w:tc>
          <w:tcPr>
            <w:tcW w:w="22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350,760</w:t>
            </w:r>
          </w:p>
        </w:tc>
        <w:tc>
          <w:tcPr>
            <w:tcW w:w="2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gridSpan w:val="2"/>
          </w:tcPr>
          <w:p>
            <w:pPr>
              <w:spacing w:after="0" w:line="195" w:lineRule="exact"/>
              <w:rPr>
                <w:sz w:val="20"/>
                <w:szCs w:val="20"/>
                <w:color w:val="auto"/>
              </w:rPr>
            </w:pPr>
            <w:r>
              <w:rPr>
                <w:rFonts w:ascii="Arial" w:cs="Arial" w:eastAsia="Arial" w:hAnsi="Arial"/>
                <w:sz w:val="18"/>
                <w:szCs w:val="18"/>
                <w:color w:val="auto"/>
              </w:rPr>
              <w:t>Grants</w:t>
            </w:r>
          </w:p>
        </w:tc>
        <w:tc>
          <w:tcPr>
            <w:tcW w:w="22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104,554</w:t>
            </w:r>
          </w:p>
        </w:tc>
        <w:tc>
          <w:tcPr>
            <w:tcW w:w="2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(85,902)</w:t>
            </w:r>
          </w:p>
        </w:tc>
        <w:tc>
          <w:tcPr>
            <w:tcW w:w="2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$32.71</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$2,810</w:t>
            </w:r>
          </w:p>
        </w:tc>
      </w:tr>
      <w:tr>
        <w:trPr>
          <w:trHeight w:val="203"/>
        </w:trPr>
        <w:tc>
          <w:tcPr>
            <w:tcW w:w="52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Forfeitures</w:t>
            </w:r>
          </w:p>
        </w:tc>
        <w:tc>
          <w:tcPr>
            <w:tcW w:w="22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(8,223)</w:t>
            </w:r>
          </w:p>
        </w:tc>
        <w:tc>
          <w:tcPr>
            <w:tcW w:w="2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Share units potentially payable at December 31, 2013</w:t>
            </w:r>
          </w:p>
        </w:tc>
        <w:tc>
          <w:tcPr>
            <w:tcW w:w="22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361,189</w:t>
            </w:r>
          </w:p>
        </w:tc>
        <w:tc>
          <w:tcPr>
            <w:tcW w:w="2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gridSpan w:val="2"/>
          </w:tcPr>
          <w:p>
            <w:pPr>
              <w:spacing w:after="0" w:line="195" w:lineRule="exact"/>
              <w:rPr>
                <w:sz w:val="20"/>
                <w:szCs w:val="20"/>
                <w:color w:val="auto"/>
              </w:rPr>
            </w:pPr>
            <w:r>
              <w:rPr>
                <w:rFonts w:ascii="Arial" w:cs="Arial" w:eastAsia="Arial" w:hAnsi="Arial"/>
                <w:sz w:val="18"/>
                <w:szCs w:val="18"/>
                <w:color w:val="auto"/>
              </w:rPr>
              <w:t>Grants</w:t>
            </w:r>
          </w:p>
        </w:tc>
        <w:tc>
          <w:tcPr>
            <w:tcW w:w="22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91,631</w:t>
            </w:r>
          </w:p>
        </w:tc>
        <w:tc>
          <w:tcPr>
            <w:tcW w:w="2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Changes due to performance</w:t>
            </w:r>
          </w:p>
        </w:tc>
        <w:tc>
          <w:tcPr>
            <w:tcW w:w="2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(8,793)</w:t>
            </w:r>
          </w:p>
        </w:tc>
        <w:tc>
          <w:tcPr>
            <w:tcW w:w="2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(86,840)</w:t>
            </w:r>
          </w:p>
        </w:tc>
        <w:tc>
          <w:tcPr>
            <w:tcW w:w="2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$35.01</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$3,040</w:t>
            </w:r>
          </w:p>
        </w:tc>
      </w:tr>
      <w:tr>
        <w:trPr>
          <w:trHeight w:val="203"/>
        </w:trPr>
        <w:tc>
          <w:tcPr>
            <w:tcW w:w="52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Forfeitures</w:t>
            </w:r>
          </w:p>
        </w:tc>
        <w:tc>
          <w:tcPr>
            <w:tcW w:w="22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(9,246)</w:t>
            </w:r>
          </w:p>
        </w:tc>
        <w:tc>
          <w:tcPr>
            <w:tcW w:w="2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Share units potentially payable at December 31, 2014</w:t>
            </w:r>
          </w:p>
        </w:tc>
        <w:tc>
          <w:tcPr>
            <w:tcW w:w="22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347,941</w:t>
            </w:r>
          </w:p>
        </w:tc>
        <w:tc>
          <w:tcPr>
            <w:tcW w:w="2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391"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ProsperityPlus Savings Plan, is a qualified plan under section 401(k) of the U.S. Internal Revenue Code. Under the plan, employees may make contributions of 1% to 15% of their wages, subject to contribution limitations specified in the Internal Revenue Code. The Company matches, in the form of cash, between 50% and 100% of each dollar contributed by employees up to a maximum of 5% of pretax income. The investment of employee contributions to the plan is self-directed. The Company’s cost of the plan amounted to $4.3 million in 2014, $4.1 million in 2013, and $3.8 million for 2012.</w:t>
      </w:r>
    </w:p>
    <w:p>
      <w:pPr>
        <w:spacing w:after="0" w:line="165"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Company contributions to the plan are in the form of cash. The expense recorded for this plan was $1.5 million in 2014, $1.6 million in 2013, and $1.8 million in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Shareholders’ Equity</w:t>
      </w:r>
    </w:p>
    <w:p>
      <w:pPr>
        <w:spacing w:after="0" w:line="207"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 At December 31, 2014, 3.4 million shares of Class A Common Stock were reserved for the conversion of Class B Common Stock and the exercise of stock options.</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August 2006, we announced that the Board of Directors authorized management to purchase up to 2.0 million additional shares of our Class A Common Stock. The Board’s action authorizes management to purchase shares from time to time, in the open market or otherwise, whenever it believes such purchase to be advantageous to our shareholders, and it is otherwise legally permitted to do so. We have made no share purchases under the August 2006 authorization. Activity in Shareholders’ equity for 2012, 2013, and 2014 is presented below:</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57"/>
        </w:trPr>
        <w:tc>
          <w:tcPr>
            <w:tcW w:w="3940" w:type="dxa"/>
            <w:vAlign w:val="bottom"/>
          </w:tcPr>
          <w:p>
            <w:pPr>
              <w:spacing w:after="0"/>
              <w:rPr>
                <w:sz w:val="13"/>
                <w:szCs w:val="13"/>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Class A</w:t>
            </w:r>
          </w:p>
        </w:tc>
        <w:tc>
          <w:tcPr>
            <w:tcW w:w="840" w:type="dxa"/>
            <w:vAlign w:val="bottom"/>
          </w:tcPr>
          <w:p>
            <w:pPr>
              <w:jc w:val="center"/>
              <w:ind w:left="189"/>
              <w:spacing w:after="0"/>
              <w:rPr>
                <w:sz w:val="20"/>
                <w:szCs w:val="20"/>
                <w:color w:val="auto"/>
              </w:rPr>
            </w:pPr>
            <w:r>
              <w:rPr>
                <w:rFonts w:ascii="Arial" w:cs="Arial" w:eastAsia="Arial" w:hAnsi="Arial"/>
                <w:sz w:val="13"/>
                <w:szCs w:val="13"/>
                <w:b w:val="1"/>
                <w:bCs w:val="1"/>
                <w:color w:val="auto"/>
                <w:w w:val="96"/>
              </w:rPr>
              <w:t>Class B</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Accumulated</w:t>
            </w:r>
          </w:p>
        </w:tc>
        <w:tc>
          <w:tcPr>
            <w:tcW w:w="144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Class A</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18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rPr>
              <w:t>Common Stock</w:t>
            </w:r>
          </w:p>
        </w:tc>
        <w:tc>
          <w:tcPr>
            <w:tcW w:w="108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Preferred Stock</w:t>
            </w:r>
          </w:p>
        </w:tc>
        <w:tc>
          <w:tcPr>
            <w:tcW w:w="82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Additional</w:t>
            </w:r>
          </w:p>
        </w:tc>
        <w:tc>
          <w:tcPr>
            <w:tcW w:w="74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items of other</w:t>
            </w:r>
          </w:p>
        </w:tc>
        <w:tc>
          <w:tcPr>
            <w:tcW w:w="1440" w:type="dxa"/>
            <w:vAlign w:val="bottom"/>
            <w:gridSpan w:val="3"/>
          </w:tcPr>
          <w:p>
            <w:pPr>
              <w:jc w:val="right"/>
              <w:ind w:right="320"/>
              <w:spacing w:after="0" w:line="135" w:lineRule="exact"/>
              <w:rPr>
                <w:sz w:val="20"/>
                <w:szCs w:val="20"/>
                <w:color w:val="auto"/>
              </w:rPr>
            </w:pPr>
            <w:r>
              <w:rPr>
                <w:rFonts w:ascii="Arial" w:cs="Arial" w:eastAsia="Arial" w:hAnsi="Arial"/>
                <w:sz w:val="13"/>
                <w:szCs w:val="13"/>
                <w:b w:val="1"/>
                <w:bCs w:val="1"/>
                <w:color w:val="auto"/>
              </w:rPr>
              <w:t>Treasury Stock</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9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restart"/>
          </w:tcPr>
          <w:p>
            <w:pPr>
              <w:jc w:val="center"/>
              <w:ind w:right="29"/>
              <w:spacing w:after="0" w:line="113" w:lineRule="exact"/>
              <w:rPr>
                <w:sz w:val="20"/>
                <w:szCs w:val="20"/>
                <w:color w:val="auto"/>
              </w:rPr>
            </w:pPr>
            <w:r>
              <w:rPr>
                <w:rFonts w:ascii="Arial" w:cs="Arial" w:eastAsia="Arial" w:hAnsi="Arial"/>
                <w:sz w:val="13"/>
                <w:szCs w:val="13"/>
                <w:b w:val="1"/>
                <w:bCs w:val="1"/>
                <w:color w:val="auto"/>
                <w:w w:val="93"/>
              </w:rPr>
              <w:t>paid-in</w:t>
            </w:r>
          </w:p>
        </w:tc>
        <w:tc>
          <w:tcPr>
            <w:tcW w:w="740" w:type="dxa"/>
            <w:vAlign w:val="bottom"/>
            <w:vMerge w:val="restart"/>
          </w:tcPr>
          <w:p>
            <w:pPr>
              <w:jc w:val="right"/>
              <w:ind w:right="89"/>
              <w:spacing w:after="0" w:line="113" w:lineRule="exact"/>
              <w:rPr>
                <w:sz w:val="20"/>
                <w:szCs w:val="20"/>
                <w:color w:val="auto"/>
              </w:rPr>
            </w:pPr>
            <w:r>
              <w:rPr>
                <w:rFonts w:ascii="Arial" w:cs="Arial" w:eastAsia="Arial" w:hAnsi="Arial"/>
                <w:sz w:val="13"/>
                <w:szCs w:val="13"/>
                <w:b w:val="1"/>
                <w:bCs w:val="1"/>
                <w:color w:val="auto"/>
              </w:rPr>
              <w:t>Retained</w:t>
            </w:r>
          </w:p>
        </w:tc>
        <w:tc>
          <w:tcPr>
            <w:tcW w:w="1160" w:type="dxa"/>
            <w:vAlign w:val="bottom"/>
            <w:gridSpan w:val="2"/>
            <w:vMerge w:val="restart"/>
          </w:tcPr>
          <w:p>
            <w:pPr>
              <w:jc w:val="center"/>
              <w:ind w:right="160"/>
              <w:spacing w:after="0" w:line="113" w:lineRule="exact"/>
              <w:rPr>
                <w:sz w:val="20"/>
                <w:szCs w:val="20"/>
                <w:color w:val="auto"/>
              </w:rPr>
            </w:pPr>
            <w:r>
              <w:rPr>
                <w:rFonts w:ascii="Arial" w:cs="Arial" w:eastAsia="Arial" w:hAnsi="Arial"/>
                <w:sz w:val="13"/>
                <w:szCs w:val="13"/>
                <w:b w:val="1"/>
                <w:bCs w:val="1"/>
                <w:color w:val="auto"/>
                <w:w w:val="96"/>
              </w:rPr>
              <w:t>comprehensive</w:t>
            </w: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restart"/>
          </w:tcPr>
          <w:p>
            <w:pPr>
              <w:jc w:val="right"/>
              <w:ind w:right="9"/>
              <w:spacing w:after="0" w:line="113" w:lineRule="exact"/>
              <w:rPr>
                <w:sz w:val="20"/>
                <w:szCs w:val="20"/>
                <w:color w:val="auto"/>
              </w:rPr>
            </w:pPr>
            <w:r>
              <w:rPr>
                <w:rFonts w:ascii="Arial" w:cs="Arial" w:eastAsia="Arial" w:hAnsi="Arial"/>
                <w:sz w:val="13"/>
                <w:szCs w:val="13"/>
                <w:b w:val="1"/>
                <w:bCs w:val="1"/>
                <w:color w:val="auto"/>
              </w:rPr>
              <w:t>Noncontrolling</w:t>
            </w:r>
          </w:p>
        </w:tc>
        <w:tc>
          <w:tcPr>
            <w:tcW w:w="0" w:type="dxa"/>
            <w:vAlign w:val="bottom"/>
          </w:tcPr>
          <w:p>
            <w:pPr>
              <w:spacing w:after="0"/>
              <w:rPr>
                <w:sz w:val="1"/>
                <w:szCs w:val="1"/>
                <w:color w:val="auto"/>
              </w:rPr>
            </w:pPr>
          </w:p>
        </w:tc>
      </w:tr>
      <w:tr>
        <w:trPr>
          <w:trHeight w:val="66"/>
        </w:trPr>
        <w:tc>
          <w:tcPr>
            <w:tcW w:w="39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94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3"/>
              </w:rPr>
              <w:t>Amount</w:t>
            </w: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Shares Amount</w:t>
            </w:r>
          </w:p>
        </w:tc>
        <w:tc>
          <w:tcPr>
            <w:tcW w:w="8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7"/>
              </w:rPr>
              <w:t>capital</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earnings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3"/>
                <w:szCs w:val="13"/>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Shares</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20"/>
                <w:szCs w:val="20"/>
                <w:color w:val="auto"/>
              </w:rPr>
            </w:pPr>
            <w:r>
              <w:rPr>
                <w:rFonts w:ascii="Arial" w:cs="Arial" w:eastAsia="Arial" w:hAnsi="Arial"/>
                <w:sz w:val="14"/>
                <w:szCs w:val="14"/>
                <w:color w:val="auto"/>
              </w:rPr>
              <w:t>January 1, 2012</w:t>
            </w:r>
          </w:p>
        </w:tc>
        <w:tc>
          <w:tcPr>
            <w:tcW w:w="540" w:type="dxa"/>
            <w:vAlign w:val="bottom"/>
          </w:tcPr>
          <w:p>
            <w:pPr>
              <w:jc w:val="right"/>
              <w:spacing w:after="0"/>
              <w:rPr>
                <w:sz w:val="20"/>
                <w:szCs w:val="20"/>
                <w:color w:val="auto"/>
              </w:rPr>
            </w:pPr>
            <w:r>
              <w:rPr>
                <w:rFonts w:ascii="Arial" w:cs="Arial" w:eastAsia="Arial" w:hAnsi="Arial"/>
                <w:sz w:val="14"/>
                <w:szCs w:val="14"/>
                <w:color w:val="auto"/>
              </w:rPr>
              <w:t>36,541</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3,236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$391,495</w:t>
            </w:r>
          </w:p>
        </w:tc>
        <w:tc>
          <w:tcPr>
            <w:tcW w:w="740" w:type="dxa"/>
            <w:vAlign w:val="bottom"/>
          </w:tcPr>
          <w:p>
            <w:pPr>
              <w:jc w:val="right"/>
              <w:spacing w:after="0"/>
              <w:rPr>
                <w:sz w:val="20"/>
                <w:szCs w:val="20"/>
                <w:color w:val="auto"/>
              </w:rPr>
            </w:pPr>
            <w:r>
              <w:rPr>
                <w:rFonts w:ascii="Arial" w:cs="Arial" w:eastAsia="Arial" w:hAnsi="Arial"/>
                <w:sz w:val="14"/>
                <w:szCs w:val="14"/>
                <w:color w:val="auto"/>
              </w:rPr>
              <w:t>$422,044</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($139,809)</w:t>
            </w:r>
          </w:p>
        </w:tc>
        <w:tc>
          <w:tcPr>
            <w:tcW w:w="580" w:type="dxa"/>
            <w:vAlign w:val="bottom"/>
          </w:tcPr>
          <w:p>
            <w:pPr>
              <w:jc w:val="right"/>
              <w:spacing w:after="0"/>
              <w:rPr>
                <w:sz w:val="20"/>
                <w:szCs w:val="20"/>
                <w:color w:val="auto"/>
              </w:rPr>
            </w:pPr>
            <w:r>
              <w:rPr>
                <w:rFonts w:ascii="Arial" w:cs="Arial" w:eastAsia="Arial" w:hAnsi="Arial"/>
                <w:sz w:val="14"/>
                <w:szCs w:val="14"/>
                <w:color w:val="auto"/>
              </w:rPr>
              <w:t>8,480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($257,920)</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Compensation and benefits paid or payable in shares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6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2,573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Options exercised</w:t>
            </w:r>
          </w:p>
        </w:tc>
        <w:tc>
          <w:tcPr>
            <w:tcW w:w="540" w:type="dxa"/>
            <w:vAlign w:val="bottom"/>
          </w:tcPr>
          <w:p>
            <w:pPr>
              <w:jc w:val="right"/>
              <w:spacing w:after="0"/>
              <w:rPr>
                <w:sz w:val="20"/>
                <w:szCs w:val="20"/>
                <w:color w:val="auto"/>
              </w:rPr>
            </w:pPr>
            <w:r>
              <w:rPr>
                <w:rFonts w:ascii="Arial" w:cs="Arial" w:eastAsia="Arial" w:hAnsi="Arial"/>
                <w:sz w:val="14"/>
                <w:szCs w:val="14"/>
                <w:color w:val="auto"/>
              </w:rPr>
              <w:t>67</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1,352</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256</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30,977</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Dividends declared</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(17,246)</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11,452</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Settlement of certain pension plan liabilities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79,204</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(30,584)</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 valuation adjustment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20"/>
                <w:szCs w:val="20"/>
                <w:color w:val="auto"/>
              </w:rPr>
            </w:pPr>
            <w:r>
              <w:rPr>
                <w:rFonts w:ascii="Arial" w:cs="Arial" w:eastAsia="Arial" w:hAnsi="Arial"/>
                <w:sz w:val="14"/>
                <w:szCs w:val="14"/>
                <w:color w:val="auto"/>
              </w:rPr>
              <w:t>December 31, 2012</w:t>
            </w:r>
          </w:p>
        </w:tc>
        <w:tc>
          <w:tcPr>
            <w:tcW w:w="540" w:type="dxa"/>
            <w:vAlign w:val="bottom"/>
          </w:tcPr>
          <w:p>
            <w:pPr>
              <w:jc w:val="right"/>
              <w:spacing w:after="0"/>
              <w:rPr>
                <w:sz w:val="20"/>
                <w:szCs w:val="20"/>
                <w:color w:val="auto"/>
              </w:rPr>
            </w:pPr>
            <w:r>
              <w:rPr>
                <w:rFonts w:ascii="Arial" w:cs="Arial" w:eastAsia="Arial" w:hAnsi="Arial"/>
                <w:sz w:val="14"/>
                <w:szCs w:val="14"/>
                <w:color w:val="auto"/>
              </w:rPr>
              <w:t>36,642</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3,236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$395,381</w:t>
            </w:r>
          </w:p>
        </w:tc>
        <w:tc>
          <w:tcPr>
            <w:tcW w:w="740" w:type="dxa"/>
            <w:vAlign w:val="bottom"/>
          </w:tcPr>
          <w:p>
            <w:pPr>
              <w:jc w:val="right"/>
              <w:spacing w:after="0"/>
              <w:rPr>
                <w:sz w:val="20"/>
                <w:szCs w:val="20"/>
                <w:color w:val="auto"/>
              </w:rPr>
            </w:pPr>
            <w:r>
              <w:rPr>
                <w:rFonts w:ascii="Arial" w:cs="Arial" w:eastAsia="Arial" w:hAnsi="Arial"/>
                <w:sz w:val="14"/>
                <w:szCs w:val="14"/>
                <w:color w:val="auto"/>
              </w:rPr>
              <w:t>$435,775</w:t>
            </w:r>
          </w:p>
        </w:tc>
        <w:tc>
          <w:tcPr>
            <w:tcW w:w="1040" w:type="dxa"/>
            <w:vAlign w:val="bottom"/>
          </w:tcPr>
          <w:p>
            <w:pPr>
              <w:jc w:val="right"/>
              <w:spacing w:after="0"/>
              <w:rPr>
                <w:sz w:val="20"/>
                <w:szCs w:val="20"/>
                <w:color w:val="auto"/>
              </w:rPr>
            </w:pPr>
            <w:r>
              <w:rPr>
                <w:rFonts w:ascii="Arial" w:cs="Arial" w:eastAsia="Arial" w:hAnsi="Arial"/>
                <w:sz w:val="14"/>
                <w:szCs w:val="14"/>
                <w:color w:val="auto"/>
              </w:rPr>
              <w:t>($80,021)</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8,468</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($257,664)</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Compensation and benefits paid or payable in shares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6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(902)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Initial equity related to Noncontrolling interest in ASC</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15,535</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3,341</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Options exercised</w:t>
            </w:r>
          </w:p>
        </w:tc>
        <w:tc>
          <w:tcPr>
            <w:tcW w:w="540" w:type="dxa"/>
            <w:vAlign w:val="bottom"/>
          </w:tcPr>
          <w:p>
            <w:pPr>
              <w:jc w:val="right"/>
              <w:spacing w:after="0"/>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6,670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93</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17,517</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Dividends declared</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(18,694)</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7,521</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21,101</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 valuation adjustment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w:t>
            </w:r>
          </w:p>
        </w:tc>
        <w:tc>
          <w:tcPr>
            <w:tcW w:w="1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20"/>
                <w:szCs w:val="20"/>
                <w:color w:val="auto"/>
              </w:rPr>
            </w:pPr>
            <w:r>
              <w:rPr>
                <w:rFonts w:ascii="Arial" w:cs="Arial" w:eastAsia="Arial" w:hAnsi="Arial"/>
                <w:sz w:val="14"/>
                <w:szCs w:val="14"/>
                <w:color w:val="auto"/>
              </w:rPr>
              <w:t>December 31, 2013</w:t>
            </w:r>
          </w:p>
        </w:tc>
        <w:tc>
          <w:tcPr>
            <w:tcW w:w="540" w:type="dxa"/>
            <w:vAlign w:val="bottom"/>
          </w:tcPr>
          <w:p>
            <w:pPr>
              <w:jc w:val="right"/>
              <w:spacing w:after="0"/>
              <w:rPr>
                <w:sz w:val="20"/>
                <w:szCs w:val="20"/>
                <w:color w:val="auto"/>
              </w:rPr>
            </w:pPr>
            <w:r>
              <w:rPr>
                <w:rFonts w:ascii="Arial" w:cs="Arial" w:eastAsia="Arial" w:hAnsi="Arial"/>
                <w:sz w:val="14"/>
                <w:szCs w:val="14"/>
                <w:color w:val="auto"/>
              </w:rPr>
              <w:t>36,996</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3,236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$416,728</w:t>
            </w:r>
          </w:p>
        </w:tc>
        <w:tc>
          <w:tcPr>
            <w:tcW w:w="740" w:type="dxa"/>
            <w:vAlign w:val="bottom"/>
          </w:tcPr>
          <w:p>
            <w:pPr>
              <w:jc w:val="right"/>
              <w:spacing w:after="0"/>
              <w:rPr>
                <w:sz w:val="20"/>
                <w:szCs w:val="20"/>
                <w:color w:val="auto"/>
              </w:rPr>
            </w:pPr>
            <w:r>
              <w:rPr>
                <w:rFonts w:ascii="Arial" w:cs="Arial" w:eastAsia="Arial" w:hAnsi="Arial"/>
                <w:sz w:val="14"/>
                <w:szCs w:val="14"/>
                <w:color w:val="auto"/>
              </w:rPr>
              <w:t>$434,598</w:t>
            </w:r>
          </w:p>
        </w:tc>
        <w:tc>
          <w:tcPr>
            <w:tcW w:w="1040" w:type="dxa"/>
            <w:vAlign w:val="bottom"/>
          </w:tcPr>
          <w:p>
            <w:pPr>
              <w:jc w:val="right"/>
              <w:spacing w:after="0"/>
              <w:rPr>
                <w:sz w:val="20"/>
                <w:szCs w:val="20"/>
                <w:color w:val="auto"/>
              </w:rPr>
            </w:pPr>
            <w:r>
              <w:rPr>
                <w:rFonts w:ascii="Arial" w:cs="Arial" w:eastAsia="Arial" w:hAnsi="Arial"/>
                <w:sz w:val="14"/>
                <w:szCs w:val="14"/>
                <w:color w:val="auto"/>
              </w:rPr>
              <w:t>($49,498)</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8,464</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($257,571)</w:t>
            </w:r>
          </w:p>
        </w:tc>
        <w:tc>
          <w:tcPr>
            <w:tcW w:w="1060" w:type="dxa"/>
            <w:vAlign w:val="bottom"/>
          </w:tcPr>
          <w:p>
            <w:pPr>
              <w:jc w:val="right"/>
              <w:spacing w:after="0"/>
              <w:rPr>
                <w:sz w:val="20"/>
                <w:szCs w:val="20"/>
                <w:color w:val="auto"/>
              </w:rPr>
            </w:pPr>
            <w:r>
              <w:rPr>
                <w:rFonts w:ascii="Arial" w:cs="Arial" w:eastAsia="Arial" w:hAnsi="Arial"/>
                <w:sz w:val="14"/>
                <w:szCs w:val="14"/>
                <w:color w:val="auto"/>
              </w:rPr>
              <w:t>$3,482</w:t>
            </w:r>
          </w:p>
        </w:tc>
        <w:tc>
          <w:tcPr>
            <w:tcW w:w="0" w:type="dxa"/>
            <w:vAlign w:val="bottom"/>
          </w:tcPr>
          <w:p>
            <w:pPr>
              <w:spacing w:after="0"/>
              <w:rPr>
                <w:sz w:val="1"/>
                <w:szCs w:val="1"/>
                <w:color w:val="auto"/>
              </w:rPr>
            </w:pPr>
          </w:p>
        </w:tc>
      </w:tr>
      <w:tr>
        <w:trPr>
          <w:trHeight w:val="211"/>
        </w:trPr>
        <w:tc>
          <w:tcPr>
            <w:tcW w:w="3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Compensation and benefits paid or payable in shares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6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1,234</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Conversion of Class B shares to Class A shares</w:t>
            </w: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Changes in equity related to Noncontrolling interest in ASC</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Options exercised</w:t>
            </w:r>
          </w:p>
        </w:tc>
        <w:tc>
          <w:tcPr>
            <w:tcW w:w="540" w:type="dxa"/>
            <w:vAlign w:val="bottom"/>
          </w:tcPr>
          <w:p>
            <w:pPr>
              <w:jc w:val="right"/>
              <w:spacing w:after="0"/>
              <w:rPr>
                <w:sz w:val="20"/>
                <w:szCs w:val="20"/>
                <w:color w:val="auto"/>
              </w:rPr>
            </w:pPr>
            <w:r>
              <w:rPr>
                <w:rFonts w:ascii="Arial" w:cs="Arial" w:eastAsia="Arial" w:hAnsi="Arial"/>
                <w:sz w:val="14"/>
                <w:szCs w:val="14"/>
                <w:color w:val="auto"/>
              </w:rPr>
              <w:t>41</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974</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90</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41,569</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Dividends declared</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(20,062)</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(55,102)</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(3,283)</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20"/>
                <w:szCs w:val="20"/>
                <w:color w:val="auto"/>
              </w:rPr>
            </w:pPr>
            <w:r>
              <w:rPr>
                <w:rFonts w:ascii="Arial" w:cs="Arial" w:eastAsia="Arial" w:hAnsi="Arial"/>
                <w:sz w:val="14"/>
                <w:szCs w:val="14"/>
                <w:color w:val="auto"/>
              </w:rPr>
              <w:t>Derivative valuation adjustment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116</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20"/>
                <w:szCs w:val="20"/>
                <w:color w:val="auto"/>
              </w:rPr>
            </w:pPr>
            <w:r>
              <w:rPr>
                <w:rFonts w:ascii="Arial" w:cs="Arial" w:eastAsia="Arial" w:hAnsi="Arial"/>
                <w:sz w:val="14"/>
                <w:szCs w:val="14"/>
                <w:color w:val="auto"/>
              </w:rPr>
              <w:t>December 31, 2014</w:t>
            </w:r>
          </w:p>
        </w:tc>
        <w:tc>
          <w:tcPr>
            <w:tcW w:w="540" w:type="dxa"/>
            <w:vAlign w:val="bottom"/>
          </w:tcPr>
          <w:p>
            <w:pPr>
              <w:jc w:val="right"/>
              <w:spacing w:after="0"/>
              <w:rPr>
                <w:sz w:val="20"/>
                <w:szCs w:val="20"/>
                <w:color w:val="auto"/>
              </w:rPr>
            </w:pPr>
            <w:r>
              <w:rPr>
                <w:rFonts w:ascii="Arial" w:cs="Arial" w:eastAsia="Arial" w:hAnsi="Arial"/>
                <w:sz w:val="14"/>
                <w:szCs w:val="14"/>
                <w:color w:val="auto"/>
              </w:rPr>
              <w:t>37,085</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840" w:type="dxa"/>
            <w:vAlign w:val="bottom"/>
          </w:tcPr>
          <w:p>
            <w:pPr>
              <w:jc w:val="right"/>
              <w:ind w:right="249"/>
              <w:spacing w:after="0"/>
              <w:rPr>
                <w:sz w:val="20"/>
                <w:szCs w:val="20"/>
                <w:color w:val="auto"/>
              </w:rPr>
            </w:pPr>
            <w:r>
              <w:rPr>
                <w:rFonts w:ascii="Arial" w:cs="Arial" w:eastAsia="Arial" w:hAnsi="Arial"/>
                <w:sz w:val="14"/>
                <w:szCs w:val="14"/>
                <w:color w:val="auto"/>
              </w:rPr>
              <w:t>3,235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$418,972</w:t>
            </w:r>
          </w:p>
        </w:tc>
        <w:tc>
          <w:tcPr>
            <w:tcW w:w="740" w:type="dxa"/>
            <w:vAlign w:val="bottom"/>
          </w:tcPr>
          <w:p>
            <w:pPr>
              <w:jc w:val="right"/>
              <w:spacing w:after="0"/>
              <w:rPr>
                <w:sz w:val="20"/>
                <w:szCs w:val="20"/>
                <w:color w:val="auto"/>
              </w:rPr>
            </w:pPr>
            <w:r>
              <w:rPr>
                <w:rFonts w:ascii="Arial" w:cs="Arial" w:eastAsia="Arial" w:hAnsi="Arial"/>
                <w:sz w:val="14"/>
                <w:szCs w:val="14"/>
                <w:color w:val="auto"/>
              </w:rPr>
              <w:t>$456,105</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($107,767)</w:t>
            </w:r>
          </w:p>
        </w:tc>
        <w:tc>
          <w:tcPr>
            <w:tcW w:w="580" w:type="dxa"/>
            <w:vAlign w:val="bottom"/>
          </w:tcPr>
          <w:p>
            <w:pPr>
              <w:jc w:val="right"/>
              <w:spacing w:after="0"/>
              <w:rPr>
                <w:sz w:val="20"/>
                <w:szCs w:val="20"/>
                <w:color w:val="auto"/>
              </w:rPr>
            </w:pPr>
            <w:r>
              <w:rPr>
                <w:rFonts w:ascii="Arial" w:cs="Arial" w:eastAsia="Arial" w:hAnsi="Arial"/>
                <w:sz w:val="14"/>
                <w:szCs w:val="14"/>
                <w:color w:val="auto"/>
              </w:rPr>
              <w:t>8,459</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($257,481)</w:t>
            </w:r>
          </w:p>
        </w:tc>
        <w:tc>
          <w:tcPr>
            <w:tcW w:w="1060" w:type="dxa"/>
            <w:vAlign w:val="bottom"/>
          </w:tcPr>
          <w:p>
            <w:pPr>
              <w:jc w:val="right"/>
              <w:spacing w:after="0"/>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20"/>
        </w:trPr>
        <w:tc>
          <w:tcPr>
            <w:tcW w:w="3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6"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(in millions, except per share amounts)</w:t>
            </w:r>
          </w:p>
        </w:tc>
        <w:tc>
          <w:tcPr>
            <w:tcW w:w="28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800" w:type="dxa"/>
            <w:vAlign w:val="bottom"/>
          </w:tcPr>
          <w:p>
            <w:pPr>
              <w:jc w:val="right"/>
              <w:ind w:right="730"/>
              <w:spacing w:after="0"/>
              <w:rPr>
                <w:sz w:val="20"/>
                <w:szCs w:val="20"/>
                <w:color w:val="auto"/>
              </w:rPr>
            </w:pPr>
            <w:r>
              <w:rPr>
                <w:rFonts w:ascii="Arial" w:cs="Arial" w:eastAsia="Arial" w:hAnsi="Arial"/>
                <w:sz w:val="18"/>
                <w:szCs w:val="18"/>
                <w:b w:val="1"/>
                <w:bCs w:val="1"/>
                <w:color w:val="auto"/>
              </w:rPr>
              <w:t>1st</w:t>
            </w: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2nd</w:t>
            </w: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3rd</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4th</w:t>
            </w:r>
          </w:p>
        </w:tc>
      </w:tr>
      <w:tr>
        <w:trPr>
          <w:trHeight w:val="173"/>
        </w:trPr>
        <w:tc>
          <w:tcPr>
            <w:tcW w:w="51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Net sales</w:t>
            </w:r>
          </w:p>
        </w:tc>
        <w:tc>
          <w:tcPr>
            <w:tcW w:w="2800" w:type="dxa"/>
            <w:vAlign w:val="bottom"/>
            <w:tcBorders>
              <w:top w:val="single" w:sz="8" w:color="auto"/>
            </w:tcBorders>
          </w:tcPr>
          <w:p>
            <w:pPr>
              <w:jc w:val="right"/>
              <w:ind w:right="290"/>
              <w:spacing w:after="0" w:line="173" w:lineRule="exact"/>
              <w:rPr>
                <w:sz w:val="20"/>
                <w:szCs w:val="20"/>
                <w:color w:val="auto"/>
              </w:rPr>
            </w:pPr>
            <w:r>
              <w:rPr>
                <w:rFonts w:ascii="Arial" w:cs="Arial" w:eastAsia="Arial" w:hAnsi="Arial"/>
                <w:sz w:val="18"/>
                <w:szCs w:val="18"/>
                <w:b w:val="1"/>
                <w:bCs w:val="1"/>
                <w:color w:val="auto"/>
              </w:rPr>
              <w:t>$180.3</w:t>
            </w:r>
          </w:p>
        </w:tc>
        <w:tc>
          <w:tcPr>
            <w:tcW w:w="1320" w:type="dxa"/>
            <w:vAlign w:val="bottom"/>
            <w:tcBorders>
              <w:top w:val="single" w:sz="8" w:color="auto"/>
            </w:tcBorders>
          </w:tcPr>
          <w:p>
            <w:pPr>
              <w:jc w:val="right"/>
              <w:ind w:right="230"/>
              <w:spacing w:after="0" w:line="173" w:lineRule="exact"/>
              <w:rPr>
                <w:sz w:val="20"/>
                <w:szCs w:val="20"/>
                <w:color w:val="auto"/>
              </w:rPr>
            </w:pPr>
            <w:r>
              <w:rPr>
                <w:rFonts w:ascii="Arial" w:cs="Arial" w:eastAsia="Arial" w:hAnsi="Arial"/>
                <w:sz w:val="18"/>
                <w:szCs w:val="18"/>
                <w:b w:val="1"/>
                <w:bCs w:val="1"/>
                <w:color w:val="auto"/>
              </w:rPr>
              <w:t>$193.5</w:t>
            </w:r>
          </w:p>
        </w:tc>
        <w:tc>
          <w:tcPr>
            <w:tcW w:w="1240" w:type="dxa"/>
            <w:vAlign w:val="bottom"/>
            <w:tcBorders>
              <w:top w:val="single" w:sz="8" w:color="auto"/>
            </w:tcBorders>
          </w:tcPr>
          <w:p>
            <w:pPr>
              <w:jc w:val="right"/>
              <w:ind w:right="230"/>
              <w:spacing w:after="0" w:line="173" w:lineRule="exact"/>
              <w:rPr>
                <w:sz w:val="20"/>
                <w:szCs w:val="20"/>
                <w:color w:val="auto"/>
              </w:rPr>
            </w:pPr>
            <w:r>
              <w:rPr>
                <w:rFonts w:ascii="Arial" w:cs="Arial" w:eastAsia="Arial" w:hAnsi="Arial"/>
                <w:sz w:val="18"/>
                <w:szCs w:val="18"/>
                <w:b w:val="1"/>
                <w:bCs w:val="1"/>
                <w:color w:val="auto"/>
              </w:rPr>
              <w:t>$179.9</w:t>
            </w:r>
          </w:p>
        </w:tc>
        <w:tc>
          <w:tcPr>
            <w:tcW w:w="9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$191.6</w:t>
            </w:r>
          </w:p>
        </w:tc>
        <w:tc>
          <w:tcPr>
            <w:tcW w:w="20" w:type="dxa"/>
            <w:vAlign w:val="bottom"/>
          </w:tcPr>
          <w:p>
            <w:pPr>
              <w:spacing w:after="0"/>
              <w:rPr>
                <w:sz w:val="15"/>
                <w:szCs w:val="15"/>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74.8</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75.3</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68.6</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72.9</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attributable to the Company</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10.6</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11.2</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11.8</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8.0</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0.33</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0.35</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0.37</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0.26</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0.33</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0.35</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0.37</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0.25</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Cash dividends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0.15</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0.16</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0.16</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0.16</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Class A Common Stock prices:</w:t>
            </w:r>
          </w:p>
        </w:tc>
        <w:tc>
          <w:tcPr>
            <w:tcW w:w="2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High</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37.59</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38.01</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38.53</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38.15</w:t>
            </w:r>
          </w:p>
        </w:tc>
      </w:tr>
      <w:tr>
        <w:trPr>
          <w:trHeight w:val="239"/>
        </w:trPr>
        <w:tc>
          <w:tcPr>
            <w:tcW w:w="5140" w:type="dxa"/>
            <w:vAlign w:val="bottom"/>
          </w:tcPr>
          <w:p>
            <w:pPr>
              <w:ind w:left="100"/>
              <w:spacing w:after="0"/>
              <w:rPr>
                <w:sz w:val="20"/>
                <w:szCs w:val="20"/>
                <w:color w:val="auto"/>
              </w:rPr>
            </w:pPr>
            <w:r>
              <w:rPr>
                <w:rFonts w:ascii="Arial" w:cs="Arial" w:eastAsia="Arial" w:hAnsi="Arial"/>
                <w:sz w:val="18"/>
                <w:szCs w:val="18"/>
                <w:b w:val="1"/>
                <w:bCs w:val="1"/>
                <w:color w:val="auto"/>
              </w:rPr>
              <w:t>Low</w:t>
            </w:r>
          </w:p>
        </w:tc>
        <w:tc>
          <w:tcPr>
            <w:tcW w:w="2800" w:type="dxa"/>
            <w:vAlign w:val="bottom"/>
          </w:tcPr>
          <w:p>
            <w:pPr>
              <w:jc w:val="right"/>
              <w:ind w:right="290"/>
              <w:spacing w:after="0"/>
              <w:rPr>
                <w:sz w:val="20"/>
                <w:szCs w:val="20"/>
                <w:color w:val="auto"/>
              </w:rPr>
            </w:pPr>
            <w:r>
              <w:rPr>
                <w:rFonts w:ascii="Arial" w:cs="Arial" w:eastAsia="Arial" w:hAnsi="Arial"/>
                <w:sz w:val="18"/>
                <w:szCs w:val="18"/>
                <w:b w:val="1"/>
                <w:bCs w:val="1"/>
                <w:color w:val="auto"/>
              </w:rPr>
              <w:t>32.85</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33.67</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34.04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32.46</w:t>
            </w:r>
          </w:p>
        </w:tc>
      </w:tr>
      <w:tr>
        <w:trPr>
          <w:trHeight w:val="392"/>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2013</w:t>
            </w:r>
          </w:p>
        </w:tc>
        <w:tc>
          <w:tcPr>
            <w:tcW w:w="28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140" w:type="dxa"/>
            <w:vAlign w:val="bottom"/>
          </w:tcPr>
          <w:p>
            <w:pPr>
              <w:spacing w:after="0" w:line="195" w:lineRule="exact"/>
              <w:rPr>
                <w:sz w:val="20"/>
                <w:szCs w:val="20"/>
                <w:color w:val="auto"/>
              </w:rPr>
            </w:pPr>
            <w:r>
              <w:rPr>
                <w:rFonts w:ascii="Arial" w:cs="Arial" w:eastAsia="Arial" w:hAnsi="Arial"/>
                <w:sz w:val="18"/>
                <w:szCs w:val="18"/>
                <w:color w:val="auto"/>
              </w:rPr>
              <w:t>Net sales</w:t>
            </w:r>
          </w:p>
        </w:tc>
        <w:tc>
          <w:tcPr>
            <w:tcW w:w="28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$186.7</w:t>
            </w:r>
          </w:p>
        </w:tc>
        <w:tc>
          <w:tcPr>
            <w:tcW w:w="13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$198.0</w:t>
            </w:r>
          </w:p>
        </w:tc>
        <w:tc>
          <w:tcPr>
            <w:tcW w:w="12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$183.1</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$189.6</w:t>
            </w:r>
          </w:p>
        </w:tc>
        <w:tc>
          <w:tcPr>
            <w:tcW w:w="20" w:type="dxa"/>
            <w:vAlign w:val="bottom"/>
          </w:tcPr>
          <w:p>
            <w:pPr>
              <w:spacing w:after="0"/>
              <w:rPr>
                <w:sz w:val="16"/>
                <w:szCs w:val="16"/>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72.8</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77.4</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68.0</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the Company</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11.5</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(7.4)</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4.7</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Basic earnings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0.36</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(0.23)</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0.15</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0.27</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0.36</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(0.23)</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0.15</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0.27</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Cash dividends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0.14</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0.15</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0.15</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0.15</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Class A Common Stock prices:</w:t>
            </w:r>
          </w:p>
        </w:tc>
        <w:tc>
          <w:tcPr>
            <w:tcW w:w="2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High</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29.87</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33.90</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36.53</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37.25</w:t>
            </w:r>
          </w:p>
        </w:tc>
      </w:tr>
      <w:tr>
        <w:trPr>
          <w:trHeight w:val="217"/>
        </w:trPr>
        <w:tc>
          <w:tcPr>
            <w:tcW w:w="5140" w:type="dxa"/>
            <w:vAlign w:val="bottom"/>
          </w:tcPr>
          <w:p>
            <w:pPr>
              <w:ind w:left="100"/>
              <w:spacing w:after="0"/>
              <w:rPr>
                <w:sz w:val="20"/>
                <w:szCs w:val="20"/>
                <w:color w:val="auto"/>
              </w:rPr>
            </w:pPr>
            <w:r>
              <w:rPr>
                <w:rFonts w:ascii="Arial" w:cs="Arial" w:eastAsia="Arial" w:hAnsi="Arial"/>
                <w:sz w:val="18"/>
                <w:szCs w:val="18"/>
                <w:color w:val="auto"/>
              </w:rPr>
              <w:t>Low</w:t>
            </w:r>
          </w:p>
        </w:tc>
        <w:tc>
          <w:tcPr>
            <w:tcW w:w="2800" w:type="dxa"/>
            <w:vAlign w:val="bottom"/>
          </w:tcPr>
          <w:p>
            <w:pPr>
              <w:jc w:val="right"/>
              <w:ind w:right="290"/>
              <w:spacing w:after="0"/>
              <w:rPr>
                <w:sz w:val="20"/>
                <w:szCs w:val="20"/>
                <w:color w:val="auto"/>
              </w:rPr>
            </w:pPr>
            <w:r>
              <w:rPr>
                <w:rFonts w:ascii="Arial" w:cs="Arial" w:eastAsia="Arial" w:hAnsi="Arial"/>
                <w:sz w:val="18"/>
                <w:szCs w:val="18"/>
                <w:color w:val="auto"/>
              </w:rPr>
              <w:t>23.21</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27.48</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32.27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33.81</w:t>
            </w:r>
          </w:p>
        </w:tc>
      </w:tr>
      <w:tr>
        <w:trPr>
          <w:trHeight w:val="392"/>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2012</w:t>
            </w:r>
          </w:p>
        </w:tc>
        <w:tc>
          <w:tcPr>
            <w:tcW w:w="28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140" w:type="dxa"/>
            <w:vAlign w:val="bottom"/>
          </w:tcPr>
          <w:p>
            <w:pPr>
              <w:spacing w:after="0" w:line="195" w:lineRule="exact"/>
              <w:rPr>
                <w:sz w:val="20"/>
                <w:szCs w:val="20"/>
                <w:color w:val="auto"/>
              </w:rPr>
            </w:pPr>
            <w:r>
              <w:rPr>
                <w:rFonts w:ascii="Arial" w:cs="Arial" w:eastAsia="Arial" w:hAnsi="Arial"/>
                <w:sz w:val="18"/>
                <w:szCs w:val="18"/>
                <w:color w:val="auto"/>
              </w:rPr>
              <w:t>Net sales</w:t>
            </w:r>
          </w:p>
        </w:tc>
        <w:tc>
          <w:tcPr>
            <w:tcW w:w="28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$180.1</w:t>
            </w:r>
          </w:p>
        </w:tc>
        <w:tc>
          <w:tcPr>
            <w:tcW w:w="13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$191.9</w:t>
            </w:r>
          </w:p>
        </w:tc>
        <w:tc>
          <w:tcPr>
            <w:tcW w:w="12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$194.6</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$194.3</w:t>
            </w:r>
          </w:p>
        </w:tc>
        <w:tc>
          <w:tcPr>
            <w:tcW w:w="20" w:type="dxa"/>
            <w:vAlign w:val="bottom"/>
          </w:tcPr>
          <w:p>
            <w:pPr>
              <w:spacing w:after="0"/>
              <w:rPr>
                <w:sz w:val="16"/>
                <w:szCs w:val="16"/>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68.3</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78.5</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79.7</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79.0</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the Company</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47.0</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(33.7)</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9.5</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Basic earnings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1.50</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(1.08)</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0.30</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0.27</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1.49</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(1.08)</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0.30</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0.26</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Cash dividends per share</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0.13</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0.14</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0.14</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Class A Common Stock prices:</w:t>
            </w:r>
          </w:p>
        </w:tc>
        <w:tc>
          <w:tcPr>
            <w:tcW w:w="2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High</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25.90</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24.70</w:t>
            </w:r>
          </w:p>
        </w:tc>
        <w:tc>
          <w:tcPr>
            <w:tcW w:w="1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22.78</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22.68</w:t>
            </w:r>
          </w:p>
        </w:tc>
      </w:tr>
      <w:tr>
        <w:trPr>
          <w:trHeight w:val="217"/>
        </w:trPr>
        <w:tc>
          <w:tcPr>
            <w:tcW w:w="5140" w:type="dxa"/>
            <w:vAlign w:val="bottom"/>
          </w:tcPr>
          <w:p>
            <w:pPr>
              <w:ind w:left="100"/>
              <w:spacing w:after="0"/>
              <w:rPr>
                <w:sz w:val="20"/>
                <w:szCs w:val="20"/>
                <w:color w:val="auto"/>
              </w:rPr>
            </w:pPr>
            <w:r>
              <w:rPr>
                <w:rFonts w:ascii="Arial" w:cs="Arial" w:eastAsia="Arial" w:hAnsi="Arial"/>
                <w:sz w:val="18"/>
                <w:szCs w:val="18"/>
                <w:color w:val="auto"/>
              </w:rPr>
              <w:t>Low</w:t>
            </w:r>
          </w:p>
        </w:tc>
        <w:tc>
          <w:tcPr>
            <w:tcW w:w="2800" w:type="dxa"/>
            <w:vAlign w:val="bottom"/>
          </w:tcPr>
          <w:p>
            <w:pPr>
              <w:jc w:val="right"/>
              <w:ind w:right="290"/>
              <w:spacing w:after="0"/>
              <w:rPr>
                <w:sz w:val="20"/>
                <w:szCs w:val="20"/>
                <w:color w:val="auto"/>
              </w:rPr>
            </w:pPr>
            <w:r>
              <w:rPr>
                <w:rFonts w:ascii="Arial" w:cs="Arial" w:eastAsia="Arial" w:hAnsi="Arial"/>
                <w:sz w:val="18"/>
                <w:szCs w:val="18"/>
                <w:color w:val="auto"/>
              </w:rPr>
              <w:t>22.35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17.15</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17.66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bl>
    <w:p>
      <w:pPr>
        <w:spacing w:after="0" w:line="364"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2014, restructuring charges reduced earnings per share by $0.02 in the first quarter, $0.04 in the second quarter, $0.02 in the third quarter, and $0.04 in the fourth quarter.</w:t>
      </w:r>
    </w:p>
    <w:p>
      <w:pPr>
        <w:spacing w:after="0" w:line="15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2014, we recognized a gain related to the insurance recovery due to damage to a Machine Clothing manufacturing facility, $0.03 per share in the second quarter and $0.01 per share in the third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2014, earnings per share included a pension plan settlement charge of $0.16 per share in the fourth quarter.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95" w:name="page96"/>
    <w:bookmarkEnd w:id="95"/>
    <w:p>
      <w:pPr>
        <w:ind w:right="220" w:firstLine="648"/>
        <w:spacing w:after="0" w:line="246" w:lineRule="auto"/>
        <w:rPr>
          <w:sz w:val="20"/>
          <w:szCs w:val="20"/>
          <w:color w:val="auto"/>
        </w:rPr>
      </w:pPr>
      <w:r>
        <w:rPr>
          <w:rFonts w:ascii="Arial" w:cs="Arial" w:eastAsia="Arial" w:hAnsi="Arial"/>
          <w:sz w:val="18"/>
          <w:szCs w:val="18"/>
          <w:color w:val="auto"/>
        </w:rPr>
        <w:t>In 2013, restructuring charges reduced earnings per share by $0.01 in the first quarter, $0.47 in the second quarter, $0.04 in the third quarter, and increased earnings per share by $0.03 in the fourth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2013, we recognized a gain of $0.08 per share related to the sale of a former manufacturing facility.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2012, earnings per share included pension plan settlement charges per share of $0.22 in the first quarter and $2.34 in the second</w:t>
      </w:r>
    </w:p>
    <w:p>
      <w:pPr>
        <w:spacing w:after="0"/>
        <w:rPr>
          <w:sz w:val="20"/>
          <w:szCs w:val="20"/>
          <w:color w:val="auto"/>
        </w:rPr>
      </w:pPr>
      <w:r>
        <w:rPr>
          <w:rFonts w:ascii="Arial" w:cs="Arial" w:eastAsia="Arial" w:hAnsi="Arial"/>
          <w:sz w:val="18"/>
          <w:szCs w:val="18"/>
          <w:color w:val="auto"/>
        </w:rPr>
        <w:t>quarter.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2012, income tax expense includes a favorable discrete adjustment for a Canadian audit settlement of $0.22 per share.</w:t>
      </w:r>
    </w:p>
    <w:p>
      <w:pPr>
        <w:spacing w:after="0" w:line="185"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2012, restructuring charges reduced earnings per share by $0.02 in the first quarter, $0.06 in the second quarter, $0.07 in the third quarter, and $0.01 in the fourth quarter.</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Company’s Class A Common Stock is traded principally on the New York Stock Exchange. As of December 31, 2014, there were approximately 7,000 beneficial owners of the Company’s common stock, including employees owning shares through the Company’s 401(k) defined contribution plan.</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96" w:name="page97"/>
    <w:bookmarkEnd w:id="96"/>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Certifying Accountants</w:t>
      </w:r>
    </w:p>
    <w:p>
      <w:pPr>
        <w:spacing w:after="0" w:line="126"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As previously reported by the Company in a Current Report on Form 8-K filed with Securities and Exchange Commission on May 22, 2014, on May 19, 2014, PricewaterhouseCoopers LLP (“PwC”) was dismissed as the Company’s independent registered public accounting firm. On May 19, 2014, the Company appointed KPMG LLP (“KPMG”) as its independent registered public accounting firm to audit the Company’s consolidated financial statements as of and for the fiscal year ending December 31, 2014. The Audit Committee recommended and approved the decision to change independent registered public accounting firms.</w:t>
      </w:r>
    </w:p>
    <w:p>
      <w:pPr>
        <w:spacing w:after="0" w:line="16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PwC’s reports on the Company’s consolidated financial statements for the fiscal years ended December 31, 2013 and 2012 did not contain an adverse opinion or disclaimer of opinion, and were not qualified or modified as to uncertainty, audit scope or accounting principles. During the fiscal years ended December 31, 2013 and 2012 and through May 19, 2014, there have been (1) no disagreements with PwC on any matter of accounting principles or practices, financial statement disclosure or auditing scope or procedure, which disagreement, if not resolved to the satisfaction of PwC, would have caused it to make reference to the subject matter of such disagreements in connection with its audit report and (2) no reportable events as defined by Item 304(a)(1)(v) of Regulation S-K of the Exchange Act. The Company has given permission to PwC to respond fully to the inquiries of the successor auditor.</w:t>
      </w:r>
    </w:p>
    <w:p>
      <w:pPr>
        <w:spacing w:after="0" w:line="163"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The Company previously furnished a copy of these disclosures to PwC, and requested that PwC furnish the Company with a letter addressed to the Securities and Exchange Commission stating whether it agreed with such disclosures. PwC provided such a letter, which was filed as an exhibit to the report.</w:t>
      </w:r>
    </w:p>
    <w:p>
      <w:pPr>
        <w:spacing w:after="0" w:line="17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During the two most recent fiscal years and through May 19, 2014, the Company did not consult with KPMG regarding either (1) the application of accounting principles to a specified transaction, either contemplated or proposed, or the type of audit opinion that might be rendered on the financial statements of the Company, or (2) any matter that was the subject of a disagreement or a reportable event described in Items 304(a)(1)(iv) or (v), respectively, of Regulation S-K under the Exchange Act.</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9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the end of the period covered by this annual report, to ensure:</w:t>
      </w:r>
    </w:p>
    <w:p>
      <w:pPr>
        <w:spacing w:after="0" w:line="176" w:lineRule="exact"/>
        <w:rPr>
          <w:sz w:val="20"/>
          <w:szCs w:val="20"/>
          <w:color w:val="auto"/>
        </w:rPr>
      </w:pPr>
    </w:p>
    <w:p>
      <w:pPr>
        <w:ind w:left="980" w:right="500" w:hanging="324"/>
        <w:spacing w:after="0" w:line="23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maintained disclosure controls and procedures (as defined in paragraph (e) of this section) and internal control over financial reporting (as defined in paragraph (f) of this section);</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evaluated the effectiveness of disclosure controls and procedures, as of the end of each fiscal quarter;</w:t>
      </w:r>
    </w:p>
    <w:p>
      <w:pPr>
        <w:ind w:left="980" w:right="220" w:hanging="324"/>
        <w:spacing w:after="0" w:line="23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evaluated the effectiveness, as of the end of each fiscal year, of internal control over financial reporting. The framework on which evaluation of internal control over financial reporting is based is a suitable, recognized control framework that is established by a body or group that has followed due-process procedures, including the broad distribution of the framework for public comment;</w:t>
      </w:r>
    </w:p>
    <w:p>
      <w:pPr>
        <w:spacing w:after="0" w:line="3" w:lineRule="exact"/>
        <w:rPr>
          <w:rFonts w:ascii="Arial" w:cs="Arial" w:eastAsia="Arial" w:hAnsi="Arial"/>
          <w:sz w:val="18"/>
          <w:szCs w:val="18"/>
          <w:color w:val="auto"/>
        </w:rPr>
      </w:pPr>
    </w:p>
    <w:p>
      <w:pPr>
        <w:ind w:left="980" w:right="680" w:hanging="324"/>
        <w:spacing w:after="0" w:line="23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evaluated any change in internal control over financial reporting, that occurred during each fiscal quarter, that has materially affected, or is reasonably likely to materially affect, the internal control over financial reporting;</w:t>
      </w:r>
    </w:p>
    <w:p>
      <w:pPr>
        <w:spacing w:after="0" w:line="1" w:lineRule="exact"/>
        <w:rPr>
          <w:rFonts w:ascii="Arial" w:cs="Arial" w:eastAsia="Arial" w:hAnsi="Arial"/>
          <w:sz w:val="18"/>
          <w:szCs w:val="18"/>
          <w:color w:val="auto"/>
        </w:rPr>
      </w:pPr>
    </w:p>
    <w:p>
      <w:pPr>
        <w:ind w:left="980" w:right="120" w:hanging="324"/>
        <w:spacing w:after="0" w:line="23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this section, the term disclosure controls and procedures means controls and other procedures that are designed to ensure that information required to be disclosed in reports under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under the Act is accumulated and communicated to management, including the Chief Executive Officer and Chief Financial Officer, as appropriate to allow timely decisions regarding required disclosure;</w:t>
      </w:r>
    </w:p>
    <w:p>
      <w:pPr>
        <w:spacing w:after="0" w:line="4" w:lineRule="exact"/>
        <w:rPr>
          <w:rFonts w:ascii="Arial" w:cs="Arial" w:eastAsia="Arial" w:hAnsi="Arial"/>
          <w:sz w:val="18"/>
          <w:szCs w:val="18"/>
          <w:color w:val="auto"/>
        </w:rPr>
      </w:pPr>
    </w:p>
    <w:p>
      <w:pPr>
        <w:ind w:left="980" w:right="60" w:hanging="324"/>
        <w:spacing w:after="0" w:line="23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internal control over financial reporting is defined as a process designed by, or under the supervision of, the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9" w:lineRule="exact"/>
        <w:rPr>
          <w:rFonts w:ascii="Arial" w:cs="Arial" w:eastAsia="Arial" w:hAnsi="Arial"/>
          <w:sz w:val="18"/>
          <w:szCs w:val="18"/>
          <w:color w:val="auto"/>
        </w:rPr>
      </w:pPr>
    </w:p>
    <w:p>
      <w:pPr>
        <w:ind w:left="1300" w:right="100" w:hanging="320"/>
        <w:spacing w:after="0" w:line="23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w:t>
      </w:r>
    </w:p>
    <w:p>
      <w:pPr>
        <w:spacing w:after="0" w:line="1" w:lineRule="exact"/>
        <w:rPr>
          <w:rFonts w:ascii="Arial" w:cs="Arial" w:eastAsia="Arial" w:hAnsi="Arial"/>
          <w:sz w:val="18"/>
          <w:szCs w:val="18"/>
          <w:color w:val="auto"/>
        </w:rPr>
      </w:pPr>
    </w:p>
    <w:p>
      <w:pPr>
        <w:ind w:left="1300" w:right="400" w:hanging="320"/>
        <w:spacing w:after="0" w:line="23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56"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Based upon and as of the date of that evaluation, the Chief Executive Officer and the Chief Financial Officer concluded that the disclosure controls and procedures of the Company were effective in ensuring that the</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97" w:name="page98"/>
    <w:bookmarkEnd w:id="97"/>
    <w:p>
      <w:pPr>
        <w:ind w:right="40"/>
        <w:spacing w:after="0" w:line="239" w:lineRule="auto"/>
        <w:rPr>
          <w:sz w:val="20"/>
          <w:szCs w:val="20"/>
          <w:color w:val="auto"/>
        </w:rPr>
      </w:pPr>
      <w:r>
        <w:rPr>
          <w:rFonts w:ascii="Arial" w:cs="Arial" w:eastAsia="Arial" w:hAnsi="Arial"/>
          <w:sz w:val="18"/>
          <w:szCs w:val="18"/>
          <w:color w:val="auto"/>
        </w:rPr>
        <w:t>information required to be disclosed in the periodic reports is recorded, processed, summarized and reported, within the time periods specified in the Commission’s rules and forms and ensuring that information required to be disclosed in reports is accumulated and communicated to the management of the Company, including its Chief Executive Officer and Chief Financial Officer, as appropriate to allow timely decisions regarding required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3"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7"/>
          <w:szCs w:val="17"/>
          <w:color w:val="auto"/>
        </w:rPr>
        <w:t xml:space="preserve">Management of the Company assessed the effectiveness of the Company’s internal control over financial reporting as of December 31, 2014. In making this assessment, management used the criteria set forth by the 2013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Based on that assessment, management concluded that, as of December 31, 2014, the Company’s internal control over financial reporting was effective at a reasonable assurance level based on those criteria.</w:t>
      </w:r>
    </w:p>
    <w:p>
      <w:pPr>
        <w:spacing w:after="0" w:line="14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KPMG LLP, an independent registered public accounting firm, as stated in their report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There were no changes in our internal control over financial reporting during our fourth fiscal quarter of 2014 that have materially affected, or are reasonably likely to materially affect, our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sz w:val="20"/>
                <w:szCs w:val="20"/>
                <w:color w:val="auto"/>
              </w:rPr>
            </w:pPr>
            <w:r>
              <w:rPr>
                <w:rFonts w:ascii="Arial" w:cs="Arial" w:eastAsia="Arial" w:hAnsi="Arial"/>
                <w:sz w:val="18"/>
                <w:szCs w:val="18"/>
                <w:color w:val="auto"/>
              </w:rPr>
              <w:t>/s/ Joseph G. Morone, Ph.D.</w:t>
            </w:r>
          </w:p>
        </w:tc>
        <w:tc>
          <w:tcPr>
            <w:tcW w:w="4340" w:type="dxa"/>
            <w:vAlign w:val="bottom"/>
            <w:gridSpan w:val="2"/>
          </w:tcPr>
          <w:p>
            <w:pPr>
              <w:spacing w:after="0"/>
              <w:rPr>
                <w:sz w:val="20"/>
                <w:szCs w:val="20"/>
                <w:color w:val="auto"/>
              </w:rPr>
            </w:pPr>
            <w:r>
              <w:rPr>
                <w:rFonts w:ascii="Arial" w:cs="Arial" w:eastAsia="Arial" w:hAnsi="Arial"/>
                <w:sz w:val="18"/>
                <w:szCs w:val="18"/>
                <w:color w:val="auto"/>
              </w:rPr>
              <w:t>/s/ John B. Cozzolino</w:t>
            </w:r>
          </w:p>
        </w:tc>
        <w:tc>
          <w:tcPr>
            <w:tcW w:w="3180" w:type="dxa"/>
            <w:vAlign w:val="bottom"/>
          </w:tcPr>
          <w:p>
            <w:pPr>
              <w:spacing w:after="0"/>
              <w:rPr>
                <w:sz w:val="20"/>
                <w:szCs w:val="20"/>
                <w:color w:val="auto"/>
              </w:rPr>
            </w:pPr>
            <w:r>
              <w:rPr>
                <w:rFonts w:ascii="Arial" w:cs="Arial" w:eastAsia="Arial" w:hAnsi="Arial"/>
                <w:sz w:val="18"/>
                <w:szCs w:val="18"/>
                <w:color w:val="auto"/>
              </w:rPr>
              <w:t>/s/ David M. Pawlick</w:t>
            </w:r>
          </w:p>
        </w:tc>
      </w:tr>
      <w:tr>
        <w:trPr>
          <w:trHeight w:val="195"/>
        </w:trPr>
        <w:tc>
          <w:tcPr>
            <w:tcW w:w="20" w:type="dxa"/>
            <w:vAlign w:val="bottom"/>
          </w:tcPr>
          <w:p>
            <w:pPr>
              <w:spacing w:after="0"/>
              <w:rPr>
                <w:sz w:val="16"/>
                <w:szCs w:val="16"/>
                <w:color w:val="auto"/>
              </w:rPr>
            </w:pPr>
          </w:p>
        </w:tc>
        <w:tc>
          <w:tcPr>
            <w:tcW w:w="34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Joseph G. Morone, Ph.D.</w:t>
            </w:r>
          </w:p>
        </w:tc>
        <w:tc>
          <w:tcPr>
            <w:tcW w:w="46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B. Cozzolino</w:t>
            </w:r>
          </w:p>
        </w:tc>
        <w:tc>
          <w:tcPr>
            <w:tcW w:w="58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M. Pawlick</w:t>
            </w:r>
          </w:p>
        </w:tc>
      </w:tr>
      <w:tr>
        <w:trPr>
          <w:trHeight w:val="203"/>
        </w:trPr>
        <w:tc>
          <w:tcPr>
            <w:tcW w:w="3900" w:type="dxa"/>
            <w:vAlign w:val="bottom"/>
            <w:gridSpan w:val="4"/>
          </w:tcPr>
          <w:p>
            <w:pPr>
              <w:spacing w:after="0" w:line="202" w:lineRule="exact"/>
              <w:rPr>
                <w:sz w:val="20"/>
                <w:szCs w:val="20"/>
                <w:color w:val="auto"/>
              </w:rPr>
            </w:pPr>
            <w:r>
              <w:rPr>
                <w:rFonts w:ascii="Arial" w:cs="Arial" w:eastAsia="Arial" w:hAnsi="Arial"/>
                <w:sz w:val="18"/>
                <w:szCs w:val="18"/>
                <w:color w:val="auto"/>
              </w:rPr>
              <w:t>President and</w:t>
            </w:r>
          </w:p>
        </w:tc>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Chief Financial Officer</w:t>
            </w: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Vice President and</w:t>
            </w:r>
          </w:p>
        </w:tc>
      </w:tr>
      <w:tr>
        <w:trPr>
          <w:trHeight w:val="203"/>
        </w:trPr>
        <w:tc>
          <w:tcPr>
            <w:tcW w:w="3900" w:type="dxa"/>
            <w:vAlign w:val="bottom"/>
            <w:gridSpan w:val="4"/>
          </w:tcPr>
          <w:p>
            <w:pPr>
              <w:spacing w:after="0" w:line="202" w:lineRule="exact"/>
              <w:rPr>
                <w:sz w:val="20"/>
                <w:szCs w:val="20"/>
                <w:color w:val="auto"/>
              </w:rPr>
            </w:pPr>
            <w:r>
              <w:rPr>
                <w:rFonts w:ascii="Arial" w:cs="Arial" w:eastAsia="Arial" w:hAnsi="Arial"/>
                <w:sz w:val="18"/>
                <w:szCs w:val="18"/>
                <w:color w:val="auto"/>
              </w:rPr>
              <w:t>Chief Executive Officer</w:t>
            </w:r>
          </w:p>
        </w:tc>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and Treasurer</w:t>
            </w: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Controller</w:t>
            </w:r>
          </w:p>
        </w:tc>
      </w:tr>
      <w:tr>
        <w:trPr>
          <w:trHeight w:val="203"/>
        </w:trPr>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w w:val="99"/>
              </w:rPr>
              <w:t>and Director</w:t>
            </w:r>
          </w:p>
        </w:tc>
        <w:tc>
          <w:tcPr>
            <w:tcW w:w="2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Officer)</w:t>
            </w: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(Principal Accounting Officer)</w:t>
            </w:r>
          </w:p>
        </w:tc>
      </w:tr>
      <w:tr>
        <w:trPr>
          <w:trHeight w:val="217"/>
        </w:trPr>
        <w:tc>
          <w:tcPr>
            <w:tcW w:w="390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c>
          <w:tcPr>
            <w:tcW w:w="3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581"/>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9B.</w:t>
            </w: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OTHER INFORMATION</w:t>
            </w:r>
          </w:p>
        </w:tc>
        <w:tc>
          <w:tcPr>
            <w:tcW w:w="3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98" w:name="page99"/>
    <w:bookmarkEnd w:id="98"/>
    <w:p>
      <w:pPr>
        <w:ind w:left="570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93" w:lineRule="exact"/>
        <w:rPr>
          <w:sz w:val="20"/>
          <w:szCs w:val="20"/>
          <w:color w:val="auto"/>
        </w:rPr>
      </w:pPr>
    </w:p>
    <w:p>
      <w:pPr>
        <w:ind w:left="1300" w:right="80" w:hanging="644"/>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xml:space="preserve"> Information about the officers of the Company is set forth in Item 1 above.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xml:space="preserve"> Same as Executive Officers.</w:t>
      </w:r>
    </w:p>
    <w:p>
      <w:pPr>
        <w:spacing w:after="0" w:line="171" w:lineRule="exact"/>
        <w:rPr>
          <w:rFonts w:ascii="Arial" w:cs="Arial" w:eastAsia="Arial" w:hAnsi="Arial"/>
          <w:sz w:val="18"/>
          <w:szCs w:val="18"/>
          <w:color w:val="auto"/>
        </w:rPr>
      </w:pPr>
    </w:p>
    <w:p>
      <w:pPr>
        <w:ind w:left="1300" w:right="16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 person nominated or chosen to become a director or executive officer.</w:t>
      </w:r>
      <w:r>
        <w:rPr>
          <w:rFonts w:ascii="Arial" w:cs="Arial" w:eastAsia="Arial" w:hAnsi="Arial"/>
          <w:sz w:val="18"/>
          <w:szCs w:val="18"/>
          <w:color w:val="auto"/>
        </w:rPr>
        <w:t xml:space="preserve"> The information set out in the section captioned “Certain Business Relationships and Related Person Transactions” in the Proxy Statement is incorporated herein by reference.</w:t>
      </w:r>
    </w:p>
    <w:p>
      <w:pPr>
        <w:spacing w:after="0" w:line="162" w:lineRule="exact"/>
        <w:rPr>
          <w:rFonts w:ascii="Arial" w:cs="Arial" w:eastAsia="Arial" w:hAnsi="Arial"/>
          <w:sz w:val="18"/>
          <w:szCs w:val="18"/>
          <w:color w:val="auto"/>
        </w:rPr>
      </w:pPr>
    </w:p>
    <w:p>
      <w:pPr>
        <w:ind w:left="1300" w:right="60" w:hanging="644"/>
        <w:spacing w:after="0" w:line="239"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8"/>
          <w:szCs w:val="18"/>
          <w:color w:val="auto"/>
        </w:rPr>
        <w:t xml:space="preserve"> Information about the officers of the Company is set forth in Item 1 above and the information set out in the section captioned “Election of Directors” in the Proxy Statement is incorporated herein by reference.</w:t>
      </w:r>
    </w:p>
    <w:p>
      <w:pPr>
        <w:spacing w:after="0" w:line="174" w:lineRule="exact"/>
        <w:rPr>
          <w:rFonts w:ascii="Arial" w:cs="Arial" w:eastAsia="Arial" w:hAnsi="Arial"/>
          <w:sz w:val="18"/>
          <w:szCs w:val="18"/>
          <w:color w:val="auto"/>
        </w:rPr>
      </w:pPr>
    </w:p>
    <w:p>
      <w:pPr>
        <w:ind w:left="1300" w:right="160" w:hanging="644"/>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 officer.</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xml:space="preserve"> None.</w:t>
      </w:r>
    </w:p>
    <w:p>
      <w:pPr>
        <w:spacing w:after="0" w:line="171" w:lineRule="exact"/>
        <w:rPr>
          <w:rFonts w:ascii="Arial" w:cs="Arial" w:eastAsia="Arial" w:hAnsi="Arial"/>
          <w:sz w:val="18"/>
          <w:szCs w:val="18"/>
          <w:color w:val="auto"/>
        </w:rPr>
      </w:pPr>
    </w:p>
    <w:p>
      <w:pPr>
        <w:ind w:left="1300" w:right="560" w:hanging="644"/>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xml:space="preserve"> The information set out in the section captioned “Corporate Governance” in the Proxy Statement is incorporated herein by reference.</w:t>
      </w:r>
    </w:p>
    <w:p>
      <w:pPr>
        <w:spacing w:after="0" w:line="169"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xml:space="preserve"> The Company has adopted a Code of Ethics that applies to its Chief Executive Officer, Chief Financial Officer and Controller. A copy of the Code of Ethics is filed as Exhibit 10(p) and is available at the Corporate Governance section of the Company’s website (www.albint.com).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9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set forth in the sections of the Proxy Statement captioned “Executive Compensation,” “Summary Compensation Table,”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99" w:name="page100"/>
    <w:bookmarkEnd w:id="99"/>
    <w:p>
      <w:pPr>
        <w:ind w:left="980" w:right="680" w:hanging="971"/>
        <w:spacing w:after="0" w:line="271"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68" w:lineRule="exact"/>
        <w:rPr>
          <w:sz w:val="20"/>
          <w:szCs w:val="20"/>
          <w:color w:val="auto"/>
        </w:rPr>
      </w:pPr>
    </w:p>
    <w:p>
      <w:pPr>
        <w:ind w:right="560" w:firstLine="648"/>
        <w:spacing w:after="0" w:line="446" w:lineRule="auto"/>
        <w:rPr>
          <w:sz w:val="20"/>
          <w:szCs w:val="20"/>
          <w:color w:val="auto"/>
        </w:rPr>
      </w:pPr>
      <w:r>
        <w:rPr>
          <w:rFonts w:ascii="Arial" w:cs="Arial" w:eastAsia="Arial" w:hAnsi="Arial"/>
          <w:sz w:val="18"/>
          <w:szCs w:val="18"/>
          <w:color w:val="auto"/>
        </w:rPr>
        <w:t xml:space="preserve">The information set forth in the section captioned "Share Ownership" in the Proxy Statement is incorporated herein by reference. </w:t>
      </w:r>
      <w:r>
        <w:rPr>
          <w:rFonts w:ascii="Arial" w:cs="Arial" w:eastAsia="Arial" w:hAnsi="Arial"/>
          <w:sz w:val="18"/>
          <w:szCs w:val="18"/>
          <w:b w:val="1"/>
          <w:bCs w:val="1"/>
          <w:color w:val="auto"/>
        </w:rPr>
        <w:t>Equity Compensation Plan Information</w:t>
      </w:r>
    </w:p>
    <w:tbl>
      <w:tblPr>
        <w:tblLayout w:type="fixed"/>
        <w:tblInd w:w="0" w:type="dxa"/>
        <w:tblCellMar>
          <w:top w:w="0" w:type="dxa"/>
          <w:left w:w="0" w:type="dxa"/>
          <w:bottom w:w="0" w:type="dxa"/>
          <w:right w:w="0" w:type="dxa"/>
        </w:tblCellMar>
      </w:tblPr>
      <w:tr>
        <w:trPr>
          <w:trHeight w:val="144"/>
        </w:trPr>
        <w:tc>
          <w:tcPr>
            <w:tcW w:w="52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Number of securities remaining</w:t>
            </w:r>
          </w:p>
        </w:tc>
      </w:tr>
      <w:tr>
        <w:trPr>
          <w:trHeight w:val="162"/>
        </w:trPr>
        <w:tc>
          <w:tcPr>
            <w:tcW w:w="5220" w:type="dxa"/>
            <w:vAlign w:val="bottom"/>
          </w:tcPr>
          <w:p>
            <w:pPr>
              <w:spacing w:after="0"/>
              <w:rPr>
                <w:sz w:val="14"/>
                <w:szCs w:val="14"/>
                <w:color w:val="auto"/>
              </w:rPr>
            </w:pPr>
          </w:p>
        </w:tc>
        <w:tc>
          <w:tcPr>
            <w:tcW w:w="2140" w:type="dxa"/>
            <w:vAlign w:val="bottom"/>
          </w:tcPr>
          <w:p>
            <w:pPr>
              <w:jc w:val="center"/>
              <w:ind w:left="280"/>
              <w:spacing w:after="0"/>
              <w:rPr>
                <w:sz w:val="20"/>
                <w:szCs w:val="20"/>
                <w:color w:val="auto"/>
              </w:rPr>
            </w:pPr>
            <w:r>
              <w:rPr>
                <w:rFonts w:ascii="Arial" w:cs="Arial" w:eastAsia="Arial" w:hAnsi="Arial"/>
                <w:sz w:val="14"/>
                <w:szCs w:val="14"/>
                <w:b w:val="1"/>
                <w:bCs w:val="1"/>
                <w:color w:val="auto"/>
              </w:rPr>
              <w:t>Number of securities to</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 under</w:t>
            </w:r>
          </w:p>
        </w:tc>
      </w:tr>
      <w:tr>
        <w:trPr>
          <w:trHeight w:val="162"/>
        </w:trPr>
        <w:tc>
          <w:tcPr>
            <w:tcW w:w="5220" w:type="dxa"/>
            <w:vAlign w:val="bottom"/>
          </w:tcPr>
          <w:p>
            <w:pPr>
              <w:spacing w:after="0"/>
              <w:rPr>
                <w:sz w:val="14"/>
                <w:szCs w:val="14"/>
                <w:color w:val="auto"/>
              </w:rPr>
            </w:pPr>
          </w:p>
        </w:tc>
        <w:tc>
          <w:tcPr>
            <w:tcW w:w="2140" w:type="dxa"/>
            <w:vAlign w:val="bottom"/>
          </w:tcPr>
          <w:p>
            <w:pPr>
              <w:jc w:val="center"/>
              <w:ind w:left="280"/>
              <w:spacing w:after="0"/>
              <w:rPr>
                <w:sz w:val="20"/>
                <w:szCs w:val="20"/>
                <w:color w:val="auto"/>
              </w:rPr>
            </w:pPr>
            <w:r>
              <w:rPr>
                <w:rFonts w:ascii="Arial" w:cs="Arial" w:eastAsia="Arial" w:hAnsi="Arial"/>
                <w:sz w:val="14"/>
                <w:szCs w:val="14"/>
                <w:b w:val="1"/>
                <w:bCs w:val="1"/>
                <w:color w:val="auto"/>
              </w:rPr>
              <w:t>be issued upon exercise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5220" w:type="dxa"/>
            <w:vAlign w:val="bottom"/>
          </w:tcPr>
          <w:p>
            <w:pPr>
              <w:spacing w:after="0"/>
              <w:rPr>
                <w:sz w:val="14"/>
                <w:szCs w:val="14"/>
                <w:color w:val="auto"/>
              </w:rPr>
            </w:pPr>
          </w:p>
        </w:tc>
        <w:tc>
          <w:tcPr>
            <w:tcW w:w="2140" w:type="dxa"/>
            <w:vAlign w:val="bottom"/>
          </w:tcPr>
          <w:p>
            <w:pPr>
              <w:jc w:val="center"/>
              <w:ind w:left="280"/>
              <w:spacing w:after="0"/>
              <w:rPr>
                <w:sz w:val="20"/>
                <w:szCs w:val="20"/>
                <w:color w:val="auto"/>
              </w:rPr>
            </w:pPr>
            <w:r>
              <w:rPr>
                <w:rFonts w:ascii="Arial" w:cs="Arial" w:eastAsia="Arial" w:hAnsi="Arial"/>
                <w:sz w:val="14"/>
                <w:szCs w:val="14"/>
                <w:b w:val="1"/>
                <w:bCs w:val="1"/>
                <w:color w:val="auto"/>
              </w:rPr>
              <w:t>of outstanding options,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 reflected in</w:t>
            </w:r>
          </w:p>
        </w:tc>
      </w:tr>
      <w:tr>
        <w:trPr>
          <w:trHeight w:val="175"/>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2140" w:type="dxa"/>
            <w:vAlign w:val="bottom"/>
            <w:tcBorders>
              <w:bottom w:val="single" w:sz="8" w:color="auto"/>
            </w:tcBorders>
          </w:tcPr>
          <w:p>
            <w:pPr>
              <w:jc w:val="center"/>
              <w:ind w:left="280"/>
              <w:spacing w:after="0"/>
              <w:rPr>
                <w:sz w:val="20"/>
                <w:szCs w:val="20"/>
                <w:color w:val="auto"/>
              </w:rPr>
            </w:pPr>
            <w:r>
              <w:rPr>
                <w:rFonts w:ascii="Arial" w:cs="Arial" w:eastAsia="Arial" w:hAnsi="Arial"/>
                <w:sz w:val="14"/>
                <w:szCs w:val="14"/>
                <w:b w:val="1"/>
                <w:bCs w:val="1"/>
                <w:color w:val="auto"/>
              </w:rPr>
              <w:t>warrants, and rights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r>
      <w:tr>
        <w:trPr>
          <w:trHeight w:val="195"/>
        </w:trPr>
        <w:tc>
          <w:tcPr>
            <w:tcW w:w="5220" w:type="dxa"/>
            <w:vAlign w:val="bottom"/>
          </w:tcPr>
          <w:p>
            <w:pPr>
              <w:spacing w:after="0"/>
              <w:rPr>
                <w:sz w:val="16"/>
                <w:szCs w:val="16"/>
                <w:color w:val="auto"/>
              </w:rPr>
            </w:pPr>
          </w:p>
        </w:tc>
        <w:tc>
          <w:tcPr>
            <w:tcW w:w="2140" w:type="dxa"/>
            <w:vAlign w:val="bottom"/>
          </w:tcPr>
          <w:p>
            <w:pPr>
              <w:jc w:val="center"/>
              <w:ind w:left="280"/>
              <w:spacing w:after="0" w:line="195" w:lineRule="exact"/>
              <w:rPr>
                <w:sz w:val="20"/>
                <w:szCs w:val="20"/>
                <w:color w:val="auto"/>
              </w:rPr>
            </w:pPr>
            <w:r>
              <w:rPr>
                <w:rFonts w:ascii="Arial" w:cs="Arial" w:eastAsia="Arial" w:hAnsi="Arial"/>
                <w:sz w:val="18"/>
                <w:szCs w:val="18"/>
                <w:color w:val="auto"/>
                <w:w w:val="99"/>
              </w:rPr>
              <w:t>(a)</w:t>
            </w: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99"/>
              </w:rPr>
              <w:t>(b)</w:t>
            </w: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rPr>
              <w:t>(c)</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140" w:type="dxa"/>
            <w:vAlign w:val="bottom"/>
          </w:tcPr>
          <w:p>
            <w:pPr>
              <w:jc w:val="center"/>
              <w:ind w:left="280"/>
              <w:spacing w:after="0" w:line="243" w:lineRule="exact"/>
              <w:rPr>
                <w:sz w:val="20"/>
                <w:szCs w:val="20"/>
                <w:color w:val="auto"/>
              </w:rPr>
            </w:pPr>
            <w:r>
              <w:rPr>
                <w:rFonts w:ascii="Arial" w:cs="Arial" w:eastAsia="Arial" w:hAnsi="Arial"/>
                <w:sz w:val="17"/>
                <w:szCs w:val="17"/>
                <w:color w:val="auto"/>
              </w:rPr>
              <w:t xml:space="preserve">187,233 </w:t>
            </w:r>
            <w:r>
              <w:rPr>
                <w:rFonts w:ascii="Arial" w:cs="Arial" w:eastAsia="Arial" w:hAnsi="Arial"/>
                <w:sz w:val="28"/>
                <w:szCs w:val="28"/>
                <w:color w:val="auto"/>
                <w:vertAlign w:val="superscript"/>
              </w:rPr>
              <w:t>1</w:t>
            </w:r>
          </w:p>
        </w:tc>
        <w:tc>
          <w:tcPr>
            <w:tcW w:w="1540" w:type="dxa"/>
            <w:vAlign w:val="bottom"/>
          </w:tcPr>
          <w:p>
            <w:pPr>
              <w:jc w:val="center"/>
              <w:spacing w:after="0"/>
              <w:rPr>
                <w:sz w:val="20"/>
                <w:szCs w:val="20"/>
                <w:color w:val="auto"/>
              </w:rPr>
            </w:pPr>
            <w:r>
              <w:rPr>
                <w:rFonts w:ascii="Arial" w:cs="Arial" w:eastAsia="Arial" w:hAnsi="Arial"/>
                <w:sz w:val="18"/>
                <w:szCs w:val="18"/>
                <w:color w:val="auto"/>
              </w:rPr>
              <w:t>$18.99</w:t>
            </w:r>
          </w:p>
        </w:tc>
        <w:tc>
          <w:tcPr>
            <w:tcW w:w="2520" w:type="dxa"/>
            <w:vAlign w:val="bottom"/>
          </w:tcPr>
          <w:p>
            <w:pPr>
              <w:jc w:val="center"/>
              <w:spacing w:after="0" w:line="243" w:lineRule="exact"/>
              <w:rPr>
                <w:sz w:val="20"/>
                <w:szCs w:val="20"/>
                <w:color w:val="auto"/>
              </w:rPr>
            </w:pPr>
            <w:r>
              <w:rPr>
                <w:rFonts w:ascii="Arial" w:cs="Arial" w:eastAsia="Arial" w:hAnsi="Arial"/>
                <w:sz w:val="17"/>
                <w:szCs w:val="17"/>
                <w:color w:val="auto"/>
                <w:w w:val="94"/>
              </w:rPr>
              <w:t xml:space="preserve">343,183 </w:t>
            </w:r>
            <w:r>
              <w:rPr>
                <w:rFonts w:ascii="Arial" w:cs="Arial" w:eastAsia="Arial" w:hAnsi="Arial"/>
                <w:sz w:val="28"/>
                <w:szCs w:val="28"/>
                <w:color w:val="auto"/>
                <w:w w:val="94"/>
                <w:vertAlign w:val="superscript"/>
              </w:rPr>
              <w:t>2,3,4</w:t>
            </w:r>
          </w:p>
        </w:tc>
      </w:tr>
      <w:tr>
        <w:trPr>
          <w:trHeight w:val="203"/>
        </w:trPr>
        <w:tc>
          <w:tcPr>
            <w:tcW w:w="5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Equity compensation plans not approved by security holders</w:t>
            </w:r>
          </w:p>
        </w:tc>
        <w:tc>
          <w:tcPr>
            <w:tcW w:w="2140" w:type="dxa"/>
            <w:vAlign w:val="bottom"/>
            <w:tcBorders>
              <w:bottom w:val="single" w:sz="8" w:color="auto"/>
            </w:tcBorders>
          </w:tcPr>
          <w:p>
            <w:pPr>
              <w:jc w:val="center"/>
              <w:ind w:left="280"/>
              <w:spacing w:after="0" w:line="203"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w:t>
            </w:r>
          </w:p>
        </w:tc>
      </w:tr>
      <w:tr>
        <w:trPr>
          <w:trHeight w:val="237"/>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center"/>
              <w:ind w:left="280"/>
              <w:spacing w:after="0" w:line="236" w:lineRule="exact"/>
              <w:rPr>
                <w:sz w:val="20"/>
                <w:szCs w:val="20"/>
                <w:color w:val="auto"/>
              </w:rPr>
            </w:pPr>
            <w:r>
              <w:rPr>
                <w:rFonts w:ascii="Arial" w:cs="Arial" w:eastAsia="Arial" w:hAnsi="Arial"/>
                <w:sz w:val="17"/>
                <w:szCs w:val="17"/>
                <w:color w:val="auto"/>
              </w:rPr>
              <w:t xml:space="preserve">187,233 </w:t>
            </w:r>
            <w:r>
              <w:rPr>
                <w:rFonts w:ascii="Arial" w:cs="Arial" w:eastAsia="Arial" w:hAnsi="Arial"/>
                <w:sz w:val="27"/>
                <w:szCs w:val="27"/>
                <w:color w:val="auto"/>
                <w:vertAlign w:val="superscript"/>
              </w:rPr>
              <w:t>1</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$18.99</w:t>
            </w:r>
          </w:p>
        </w:tc>
        <w:tc>
          <w:tcPr>
            <w:tcW w:w="252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7"/>
                <w:szCs w:val="17"/>
                <w:color w:val="auto"/>
                <w:w w:val="96"/>
              </w:rPr>
              <w:t xml:space="preserve">343,183 </w:t>
            </w:r>
            <w:r>
              <w:rPr>
                <w:rFonts w:ascii="Arial" w:cs="Arial" w:eastAsia="Arial" w:hAnsi="Arial"/>
                <w:sz w:val="27"/>
                <w:szCs w:val="27"/>
                <w:color w:val="auto"/>
                <w:w w:val="96"/>
                <w:vertAlign w:val="superscript"/>
              </w:rPr>
              <w:t>2,3,4</w:t>
            </w:r>
          </w:p>
        </w:tc>
      </w:tr>
    </w:tbl>
    <w:p>
      <w:pPr>
        <w:spacing w:after="0" w:line="377" w:lineRule="exact"/>
        <w:rPr>
          <w:sz w:val="20"/>
          <w:szCs w:val="20"/>
          <w:color w:val="auto"/>
        </w:rPr>
      </w:pPr>
    </w:p>
    <w:p>
      <w:pPr>
        <w:ind w:left="1060" w:right="160" w:hanging="404"/>
        <w:spacing w:after="0" w:line="23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Does not include 60,114, 46,649, and 75,942 shares that may be issued pursuant to 2012, 2013 and 2014, respectively, performance incentive awards granted to certain executive officers pursuant to the 2005 and 2011 Incentive Plans. Such awards are not “exercisable,” but will be paid out to the recipients in accordance with their terms, subject to certain conditions.</w:t>
      </w:r>
    </w:p>
    <w:p>
      <w:pPr>
        <w:spacing w:after="0" w:line="2" w:lineRule="exact"/>
        <w:rPr>
          <w:rFonts w:ascii="Arial" w:cs="Arial" w:eastAsia="Arial" w:hAnsi="Arial"/>
          <w:sz w:val="18"/>
          <w:szCs w:val="18"/>
          <w:color w:val="auto"/>
        </w:rPr>
      </w:pPr>
    </w:p>
    <w:p>
      <w:pPr>
        <w:ind w:left="1060" w:right="180" w:hanging="404"/>
        <w:spacing w:after="0" w:line="23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number of shares that may be issued pursuant to future awards under the 2011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3" w:lineRule="exact"/>
        <w:rPr>
          <w:rFonts w:ascii="Arial" w:cs="Arial" w:eastAsia="Arial" w:hAnsi="Arial"/>
          <w:sz w:val="18"/>
          <w:szCs w:val="18"/>
          <w:color w:val="auto"/>
        </w:rPr>
      </w:pPr>
    </w:p>
    <w:p>
      <w:pPr>
        <w:ind w:left="1060" w:right="80" w:hanging="404"/>
        <w:spacing w:after="0" w:line="23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343,183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If shares are tendered to the Company in payment of any obligation in connection with an award, the number of shares tendered shall be added to the number of shares available under the 2005 Incentive Plan. Assuming full exercise by the Board of its power to increase annually the number of shares available under the 2011 Incentive Plan, the maximum number of additional shares that could yet be issued pursuant to the Plan awards (including those set forth in column (c) above) would be 3,843,183.</w:t>
      </w:r>
    </w:p>
    <w:p>
      <w:pPr>
        <w:spacing w:after="0" w:line="9" w:lineRule="exact"/>
        <w:rPr>
          <w:rFonts w:ascii="Arial" w:cs="Arial" w:eastAsia="Arial" w:hAnsi="Arial"/>
          <w:sz w:val="18"/>
          <w:szCs w:val="18"/>
          <w:color w:val="auto"/>
        </w:rPr>
      </w:pPr>
    </w:p>
    <w:p>
      <w:pPr>
        <w:ind w:left="1060" w:right="160" w:hanging="404"/>
        <w:spacing w:after="0" w:line="239"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Directors’ Annual Retainer Plan provides that the aggregate dollar amount of the annual retainer payable for service as a member of the Company’s Board of Directors is $100,000, $50,000 of which is required to be paid in shares of Class A Common Stock, the exact number of shares to be paid for any year being determined on the basis of the per share closing price of such stock on the day of the Annual Meeting at which the election of the directors for such year occurs, as shown in the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00" w:name="page101"/>
    <w:bookmarkEnd w:id="100"/>
    <w:p>
      <w:pPr>
        <w:ind w:left="1060" w:right="20"/>
        <w:spacing w:after="0"/>
        <w:rPr>
          <w:sz w:val="20"/>
          <w:szCs w:val="20"/>
          <w:color w:val="auto"/>
        </w:rPr>
      </w:pPr>
      <w:r>
        <w:rPr>
          <w:rFonts w:ascii="Arial" w:cs="Arial" w:eastAsia="Arial" w:hAnsi="Arial"/>
          <w:sz w:val="18"/>
          <w:szCs w:val="18"/>
          <w:color w:val="auto"/>
        </w:rPr>
        <w:t>composite index published for such day in the Wall Street Journal, rounded down to the nearest whole share. A director who owns shares of Common Stock with a value of at least $300,000 may elect to receive, in cash, all or any portion of the retainer otherwise payable in shares of Common Stock.</w:t>
      </w:r>
    </w:p>
    <w:p>
      <w:pPr>
        <w:spacing w:after="0" w:line="176" w:lineRule="exact"/>
        <w:rPr>
          <w:sz w:val="20"/>
          <w:szCs w:val="20"/>
          <w:color w:val="auto"/>
        </w:rPr>
      </w:pPr>
    </w:p>
    <w:p>
      <w:pPr>
        <w:ind w:left="420" w:right="40" w:firstLine="243"/>
        <w:spacing w:after="0" w:line="239" w:lineRule="auto"/>
        <w:rPr>
          <w:sz w:val="20"/>
          <w:szCs w:val="20"/>
          <w:color w:val="auto"/>
        </w:rPr>
      </w:pPr>
      <w:r>
        <w:rPr>
          <w:rFonts w:ascii="Arial" w:cs="Arial" w:eastAsia="Arial" w:hAnsi="Arial"/>
          <w:sz w:val="18"/>
          <w:szCs w:val="18"/>
          <w:color w:val="auto"/>
        </w:rPr>
        <w:t>The following graph compares the cumulative 5-year total return to shareholders on Albany International Corp.'s common stock relative to the cumulative total returns of the S&amp;P 500 index and the Dow Jones US Paper index. An investment of $100 (with reinvestment of all dividends) is assumed to have been made in the Company's common stock and in each of the indexes on December 31, 2009, and its relative performance is tracked through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102870</wp:posOffset>
            </wp:positionV>
            <wp:extent cx="5120005" cy="42964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20005" cy="429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out in the section captioned “Election of Directors” in the Proxy Statement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section captioned “Independent Auditors” in the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p>
        </w:tc>
        <w:tc>
          <w:tcPr>
            <w:tcW w:w="8780" w:type="dxa"/>
            <w:vAlign w:val="bottom"/>
            <w:gridSpan w:val="3"/>
          </w:tcPr>
          <w:p>
            <w:pPr>
              <w:ind w:left="1800"/>
              <w:spacing w:after="0"/>
              <w:rPr>
                <w:sz w:val="20"/>
                <w:szCs w:val="20"/>
                <w:color w:val="auto"/>
              </w:rPr>
            </w:pPr>
            <w:r>
              <w:rPr>
                <w:rFonts w:ascii="Arial" w:cs="Arial" w:eastAsia="Arial" w:hAnsi="Arial"/>
                <w:sz w:val="18"/>
                <w:szCs w:val="18"/>
                <w:b w:val="1"/>
                <w:bCs w:val="1"/>
                <w:color w:val="auto"/>
              </w:rPr>
              <w:t>PART IV Item 15. EXHIBITS AND FINANCIAL STATEMENT SCHEDULES</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16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33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900" w:type="dxa"/>
            <w:vAlign w:val="bottom"/>
            <w:vMerge w:val="continue"/>
          </w:tcPr>
          <w:p>
            <w:pPr>
              <w:spacing w:after="0"/>
              <w:rPr>
                <w:sz w:val="15"/>
                <w:szCs w:val="15"/>
                <w:color w:val="auto"/>
              </w:rPr>
            </w:pPr>
          </w:p>
        </w:tc>
        <w:tc>
          <w:tcPr>
            <w:tcW w:w="6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100"/>
              <w:spacing w:after="0" w:line="173" w:lineRule="exact"/>
              <w:rPr>
                <w:sz w:val="20"/>
                <w:szCs w:val="20"/>
                <w:color w:val="auto"/>
              </w:rPr>
            </w:pPr>
            <w:r>
              <w:rPr>
                <w:rFonts w:ascii="Arial" w:cs="Arial" w:eastAsia="Arial" w:hAnsi="Arial"/>
                <w:sz w:val="18"/>
                <w:szCs w:val="18"/>
                <w:b w:val="1"/>
                <w:bCs w:val="1"/>
                <w:color w:val="auto"/>
              </w:rPr>
              <w:t>Period</w:t>
            </w:r>
          </w:p>
        </w:tc>
        <w:tc>
          <w:tcPr>
            <w:tcW w:w="9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Ending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95"/>
        </w:trPr>
        <w:tc>
          <w:tcPr>
            <w:tcW w:w="9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3 (a)</w:t>
            </w:r>
          </w:p>
        </w:tc>
        <w:tc>
          <w:tcPr>
            <w:tcW w:w="6160" w:type="dxa"/>
            <w:vAlign w:val="bottom"/>
          </w:tcPr>
          <w:p>
            <w:pPr>
              <w:ind w:left="140"/>
              <w:spacing w:after="0" w:line="195" w:lineRule="exact"/>
              <w:rPr>
                <w:sz w:val="20"/>
                <w:szCs w:val="20"/>
                <w:color w:val="auto"/>
              </w:rPr>
            </w:pPr>
            <w:r>
              <w:rPr>
                <w:rFonts w:ascii="Arial" w:cs="Arial" w:eastAsia="Arial" w:hAnsi="Arial"/>
                <w:sz w:val="18"/>
                <w:szCs w:val="18"/>
                <w:color w:val="auto"/>
              </w:rPr>
              <w:t>Certificate of Incorporation of Company</w:t>
            </w:r>
          </w:p>
        </w:tc>
        <w:tc>
          <w:tcPr>
            <w:tcW w:w="1080" w:type="dxa"/>
            <w:vAlign w:val="bottom"/>
          </w:tcPr>
          <w:p>
            <w:pPr>
              <w:spacing w:after="0"/>
              <w:rPr>
                <w:sz w:val="16"/>
                <w:szCs w:val="16"/>
                <w:color w:val="auto"/>
              </w:rPr>
            </w:pP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rPr>
              <w:t>8-A, File No. 1-</w:t>
            </w:r>
          </w:p>
        </w:tc>
        <w:tc>
          <w:tcPr>
            <w:tcW w:w="84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9/7/88</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10026</w:t>
            </w: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3 (b)</w:t>
            </w: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Bylaws of Company</w:t>
            </w:r>
          </w:p>
        </w:tc>
        <w:tc>
          <w:tcPr>
            <w:tcW w:w="10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40" w:type="dxa"/>
            <w:vAlign w:val="bottom"/>
          </w:tcPr>
          <w:p>
            <w:pPr>
              <w:spacing w:after="0"/>
              <w:rPr>
                <w:sz w:val="17"/>
                <w:szCs w:val="17"/>
                <w:color w:val="auto"/>
              </w:rPr>
            </w:pPr>
          </w:p>
        </w:tc>
        <w:tc>
          <w:tcPr>
            <w:tcW w:w="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4 (a)</w:t>
            </w: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Article IV of Certificate of Incorporation of Company</w:t>
            </w:r>
          </w:p>
        </w:tc>
        <w:tc>
          <w:tcPr>
            <w:tcW w:w="10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rPr>
              <w:t>8-A, File No. 1-</w:t>
            </w:r>
          </w:p>
        </w:tc>
        <w:tc>
          <w:tcPr>
            <w:tcW w:w="840" w:type="dxa"/>
            <w:vAlign w:val="bottom"/>
          </w:tcPr>
          <w:p>
            <w:pPr>
              <w:spacing w:after="0"/>
              <w:rPr>
                <w:sz w:val="17"/>
                <w:szCs w:val="17"/>
                <w:color w:val="auto"/>
              </w:rPr>
            </w:pPr>
          </w:p>
        </w:tc>
        <w:tc>
          <w:tcPr>
            <w:tcW w:w="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9/7/88</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10026</w:t>
            </w: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4 (b)</w:t>
            </w:r>
          </w:p>
        </w:tc>
        <w:tc>
          <w:tcPr>
            <w:tcW w:w="616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Specimen Stock Certificate for Class A Common Stock</w:t>
            </w: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S-1, No. 33-16254</w:t>
            </w: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196"/>
        </w:trPr>
        <w:tc>
          <w:tcPr>
            <w:tcW w:w="7060" w:type="dxa"/>
            <w:vAlign w:val="bottom"/>
            <w:tcBorders>
              <w:left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Credit Agreement</w:t>
            </w: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10(k)(xi)</w:t>
            </w:r>
          </w:p>
        </w:tc>
        <w:tc>
          <w:tcPr>
            <w:tcW w:w="6160" w:type="dxa"/>
            <w:vAlign w:val="bottom"/>
          </w:tcPr>
          <w:p>
            <w:pPr>
              <w:ind w:left="140"/>
              <w:spacing w:after="0" w:line="195" w:lineRule="exact"/>
              <w:rPr>
                <w:sz w:val="20"/>
                <w:szCs w:val="20"/>
                <w:color w:val="auto"/>
              </w:rPr>
            </w:pPr>
            <w:r>
              <w:rPr>
                <w:rFonts w:ascii="Arial" w:cs="Arial" w:eastAsia="Arial" w:hAnsi="Arial"/>
                <w:sz w:val="18"/>
                <w:szCs w:val="18"/>
                <w:color w:val="auto"/>
              </w:rPr>
              <w:t>$330 Million Five-Year Revolving Credit Facility Agreement among Albany</w:t>
            </w:r>
          </w:p>
        </w:tc>
        <w:tc>
          <w:tcPr>
            <w:tcW w:w="1080" w:type="dxa"/>
            <w:vAlign w:val="bottom"/>
          </w:tcPr>
          <w:p>
            <w:pPr>
              <w:spacing w:after="0"/>
              <w:rPr>
                <w:sz w:val="16"/>
                <w:szCs w:val="16"/>
                <w:color w:val="auto"/>
              </w:rPr>
            </w:pP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84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3/28/13</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International Corp., the other Borrowers named therein, the Lenders Party</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thereto, JPMorgan Chase Bank, N.A., as Administrative Agent, JPMorgan</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Chase Bank, N.A., Toronto Branch, as Canadian Agent; J.P. Morgan</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Europe Limited, as London Agent, dated as of March 26, 2013</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10(k)(xii)</w:t>
            </w: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Amended and Restated Note Agreement and Guaranty, dated as of July</w:t>
            </w:r>
          </w:p>
        </w:tc>
        <w:tc>
          <w:tcPr>
            <w:tcW w:w="10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40" w:type="dxa"/>
            <w:vAlign w:val="bottom"/>
          </w:tcPr>
          <w:p>
            <w:pPr>
              <w:spacing w:after="0"/>
              <w:rPr>
                <w:sz w:val="17"/>
                <w:szCs w:val="17"/>
                <w:color w:val="auto"/>
              </w:rPr>
            </w:pPr>
          </w:p>
        </w:tc>
        <w:tc>
          <w:tcPr>
            <w:tcW w:w="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9/23/10</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16, 2010, among the Company, the Guarantors named therein, and the</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holders of the Notes from time to time party thereto ("Amended and</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Restated Note Agreement")</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10(k)(xiii)</w:t>
            </w: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First Amendment, dated as of February 17, 2012, to Amended and</w:t>
            </w:r>
          </w:p>
        </w:tc>
        <w:tc>
          <w:tcPr>
            <w:tcW w:w="10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40" w:type="dxa"/>
            <w:vAlign w:val="bottom"/>
          </w:tcPr>
          <w:p>
            <w:pPr>
              <w:spacing w:after="0"/>
              <w:rPr>
                <w:sz w:val="17"/>
                <w:szCs w:val="17"/>
                <w:color w:val="auto"/>
              </w:rPr>
            </w:pPr>
          </w:p>
        </w:tc>
        <w:tc>
          <w:tcPr>
            <w:tcW w:w="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2/22/12</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Restated Note Agreement</w:t>
            </w: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10(k)(iv)</w:t>
            </w:r>
          </w:p>
        </w:tc>
        <w:tc>
          <w:tcPr>
            <w:tcW w:w="6160" w:type="dxa"/>
            <w:vAlign w:val="bottom"/>
          </w:tcPr>
          <w:p>
            <w:pPr>
              <w:ind w:left="140"/>
              <w:spacing w:after="0" w:line="202" w:lineRule="exact"/>
              <w:rPr>
                <w:sz w:val="20"/>
                <w:szCs w:val="20"/>
                <w:color w:val="auto"/>
              </w:rPr>
            </w:pPr>
            <w:r>
              <w:rPr>
                <w:rFonts w:ascii="Arial" w:cs="Arial" w:eastAsia="Arial" w:hAnsi="Arial"/>
                <w:sz w:val="18"/>
                <w:szCs w:val="18"/>
                <w:color w:val="auto"/>
              </w:rPr>
              <w:t>Second Amendment, dated as of March 26, 2013, to Amended and</w:t>
            </w:r>
          </w:p>
        </w:tc>
        <w:tc>
          <w:tcPr>
            <w:tcW w:w="10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840" w:type="dxa"/>
            <w:vAlign w:val="bottom"/>
          </w:tcPr>
          <w:p>
            <w:pPr>
              <w:spacing w:after="0"/>
              <w:rPr>
                <w:sz w:val="17"/>
                <w:szCs w:val="17"/>
                <w:color w:val="auto"/>
              </w:rPr>
            </w:pPr>
          </w:p>
        </w:tc>
        <w:tc>
          <w:tcPr>
            <w:tcW w:w="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3/28/13</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bottom w:val="single" w:sz="8" w:color="auto"/>
            </w:tcBorders>
          </w:tcPr>
          <w:p>
            <w:pPr>
              <w:spacing w:after="0"/>
              <w:rPr>
                <w:sz w:val="17"/>
                <w:szCs w:val="17"/>
                <w:color w:val="auto"/>
              </w:rPr>
            </w:pPr>
          </w:p>
        </w:tc>
        <w:tc>
          <w:tcPr>
            <w:tcW w:w="616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Restated Note Agreement</w:t>
            </w: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shd w:val="clear" w:color="auto" w:fill="000000"/>
          </w:tcPr>
          <w:p>
            <w:pPr>
              <w:spacing w:after="0"/>
              <w:rPr>
                <w:sz w:val="5"/>
                <w:szCs w:val="5"/>
                <w:color w:val="auto"/>
              </w:rPr>
            </w:pPr>
          </w:p>
        </w:tc>
        <w:tc>
          <w:tcPr>
            <w:tcW w:w="61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94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035" w:right="219" w:bottom="1440" w:gutter="0" w:footer="0" w:header="0"/>
        </w:sectPr>
      </w:pPr>
    </w:p>
    <w:bookmarkStart w:id="102" w:name="page103"/>
    <w:bookmarkEnd w:id="1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Incorporated by Reference</w:t>
            </w:r>
          </w:p>
        </w:tc>
        <w:tc>
          <w:tcPr>
            <w:tcW w:w="0" w:type="dxa"/>
            <w:vAlign w:val="bottom"/>
          </w:tcPr>
          <w:p>
            <w:pPr>
              <w:spacing w:after="0"/>
              <w:rPr>
                <w:sz w:val="1"/>
                <w:szCs w:val="1"/>
                <w:color w:val="auto"/>
              </w:rPr>
            </w:pPr>
          </w:p>
        </w:tc>
      </w:tr>
      <w:tr>
        <w:trPr>
          <w:trHeight w:val="173"/>
        </w:trPr>
        <w:tc>
          <w:tcPr>
            <w:tcW w:w="9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Period</w:t>
            </w:r>
          </w:p>
        </w:tc>
        <w:tc>
          <w:tcPr>
            <w:tcW w:w="880" w:type="dxa"/>
            <w:vAlign w:val="bottom"/>
            <w:tcBorders>
              <w:top w:val="single" w:sz="8" w:color="auto"/>
            </w:tcBorders>
          </w:tcPr>
          <w:p>
            <w:pPr>
              <w:jc w:val="center"/>
              <w:ind w:right="30"/>
              <w:spacing w:after="0" w:line="173"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3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Exhibit Description</w:t>
            </w:r>
          </w:p>
        </w:tc>
        <w:tc>
          <w:tcPr>
            <w:tcW w:w="2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Filed Herewith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Ending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96"/>
        </w:trPr>
        <w:tc>
          <w:tcPr>
            <w:tcW w:w="6280" w:type="dxa"/>
            <w:vAlign w:val="bottom"/>
            <w:tcBorders>
              <w:left w:val="single" w:sz="8" w:color="auto"/>
              <w:bottom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Restricted Stock Units</w:t>
            </w:r>
          </w:p>
        </w:tc>
        <w:tc>
          <w:tcPr>
            <w:tcW w:w="2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10(l)(i)</w:t>
            </w:r>
          </w:p>
        </w:tc>
        <w:tc>
          <w:tcPr>
            <w:tcW w:w="600" w:type="dxa"/>
            <w:vAlign w:val="bottom"/>
          </w:tcPr>
          <w:p>
            <w:pPr>
              <w:ind w:left="160"/>
              <w:spacing w:after="0" w:line="195" w:lineRule="exact"/>
              <w:rPr>
                <w:sz w:val="20"/>
                <w:szCs w:val="20"/>
                <w:color w:val="auto"/>
              </w:rPr>
            </w:pPr>
            <w:r>
              <w:rPr>
                <w:rFonts w:ascii="Arial" w:cs="Arial" w:eastAsia="Arial" w:hAnsi="Arial"/>
                <w:sz w:val="18"/>
                <w:szCs w:val="18"/>
                <w:color w:val="auto"/>
              </w:rPr>
              <w:t>2003</w:t>
            </w:r>
          </w:p>
        </w:tc>
        <w:tc>
          <w:tcPr>
            <w:tcW w:w="4760" w:type="dxa"/>
            <w:vAlign w:val="bottom"/>
          </w:tcPr>
          <w:p>
            <w:pPr>
              <w:ind w:left="20"/>
              <w:spacing w:after="0" w:line="195" w:lineRule="exact"/>
              <w:rPr>
                <w:sz w:val="20"/>
                <w:szCs w:val="20"/>
                <w:color w:val="auto"/>
              </w:rPr>
            </w:pPr>
            <w:r>
              <w:rPr>
                <w:rFonts w:ascii="Arial" w:cs="Arial" w:eastAsia="Arial" w:hAnsi="Arial"/>
                <w:sz w:val="18"/>
                <w:szCs w:val="18"/>
                <w:color w:val="auto"/>
              </w:rPr>
              <w:t>Restricted Stock Unit Plan, as adopted November 13,</w:t>
            </w:r>
          </w:p>
        </w:tc>
        <w:tc>
          <w:tcPr>
            <w:tcW w:w="250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6"/>
                <w:szCs w:val="16"/>
                <w:color w:val="auto"/>
              </w:rPr>
            </w:pP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rPr>
              <w:t>2003</w:t>
            </w:r>
          </w:p>
        </w:tc>
        <w:tc>
          <w:tcPr>
            <w:tcW w:w="4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10(l)(ii)</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rPr>
              <w:t>2003</w:t>
            </w:r>
          </w:p>
        </w:tc>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Form of Restricted Stock Unit Award, as adopted</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11/5/04</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November 13, 2003</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10(l)(iii)</w:t>
            </w: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Amendment No. 1, dated as of November 30, 2005, to the</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12/6/05</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rPr>
              <w:t>2003</w:t>
            </w:r>
          </w:p>
        </w:tc>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 Plan</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10(l)(iv)</w:t>
            </w: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Amendment No. 2, dated as of February 15, 2006, to the</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2/21/06</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rPr>
              <w:t>2003</w:t>
            </w:r>
          </w:p>
        </w:tc>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 Plan</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w:t>
            </w: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Form of Restricted Stock Unit Award for units granted on</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2/21/08</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February 15, 2008</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10(l)(vi)</w:t>
            </w: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Amended and Restated 2003 Restricted Stock Unit Plan as</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5/13/08</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adopted on May 7, 2008</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10(l)(vii)</w:t>
            </w: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Form of Restricted Stock Unit Award for units granted on</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7/2/09</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July 8, 2009</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10(l)(viii)</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rPr>
              <w:t>2011</w:t>
            </w:r>
          </w:p>
        </w:tc>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Performance Phantom Stock Plan as adopted on May</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6/30/11</w:t>
            </w: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8/9/11</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26, 2011 (42)</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10(l)(ix)</w:t>
            </w: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Form of Restricted Stock Unit Award for units granted on</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2/24/12</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bottom w:val="single" w:sz="8" w:color="auto"/>
            </w:tcBorders>
          </w:tcPr>
          <w:p>
            <w:pPr>
              <w:spacing w:after="0"/>
              <w:rPr>
                <w:sz w:val="17"/>
                <w:szCs w:val="17"/>
                <w:color w:val="auto"/>
              </w:rPr>
            </w:pPr>
          </w:p>
        </w:tc>
        <w:tc>
          <w:tcPr>
            <w:tcW w:w="5360" w:type="dxa"/>
            <w:vAlign w:val="bottom"/>
            <w:tcBorders>
              <w:bottom w:val="single" w:sz="8" w:color="auto"/>
            </w:tcBorders>
            <w:gridSpan w:val="2"/>
          </w:tcPr>
          <w:p>
            <w:pPr>
              <w:ind w:left="160"/>
              <w:spacing w:after="0" w:line="203" w:lineRule="exact"/>
              <w:rPr>
                <w:sz w:val="20"/>
                <w:szCs w:val="20"/>
                <w:color w:val="auto"/>
              </w:rPr>
            </w:pPr>
            <w:r>
              <w:rPr>
                <w:rFonts w:ascii="Arial" w:cs="Arial" w:eastAsia="Arial" w:hAnsi="Arial"/>
                <w:sz w:val="18"/>
                <w:szCs w:val="18"/>
                <w:color w:val="auto"/>
              </w:rPr>
              <w:t>February 17, 2012</w:t>
            </w:r>
          </w:p>
        </w:tc>
        <w:tc>
          <w:tcPr>
            <w:tcW w:w="2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Stock Options</w:t>
            </w:r>
          </w:p>
        </w:tc>
        <w:tc>
          <w:tcPr>
            <w:tcW w:w="47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10(m)(i)</w:t>
            </w:r>
          </w:p>
        </w:tc>
        <w:tc>
          <w:tcPr>
            <w:tcW w:w="600" w:type="dxa"/>
            <w:vAlign w:val="bottom"/>
          </w:tcPr>
          <w:p>
            <w:pPr>
              <w:ind w:left="160"/>
              <w:spacing w:after="0" w:line="195" w:lineRule="exact"/>
              <w:rPr>
                <w:sz w:val="20"/>
                <w:szCs w:val="20"/>
                <w:color w:val="auto"/>
              </w:rPr>
            </w:pPr>
            <w:r>
              <w:rPr>
                <w:rFonts w:ascii="Arial" w:cs="Arial" w:eastAsia="Arial" w:hAnsi="Arial"/>
                <w:sz w:val="18"/>
                <w:szCs w:val="18"/>
                <w:color w:val="auto"/>
              </w:rPr>
              <w:t>1992</w:t>
            </w:r>
          </w:p>
        </w:tc>
        <w:tc>
          <w:tcPr>
            <w:tcW w:w="4760" w:type="dxa"/>
            <w:vAlign w:val="bottom"/>
          </w:tcPr>
          <w:p>
            <w:pPr>
              <w:ind w:left="20"/>
              <w:spacing w:after="0" w:line="195" w:lineRule="exact"/>
              <w:rPr>
                <w:sz w:val="20"/>
                <w:szCs w:val="20"/>
                <w:color w:val="auto"/>
              </w:rPr>
            </w:pPr>
            <w:r>
              <w:rPr>
                <w:rFonts w:ascii="Arial" w:cs="Arial" w:eastAsia="Arial" w:hAnsi="Arial"/>
                <w:sz w:val="18"/>
                <w:szCs w:val="18"/>
                <w:color w:val="auto"/>
              </w:rPr>
              <w:t>Stock Option Plan</w:t>
            </w:r>
          </w:p>
        </w:tc>
        <w:tc>
          <w:tcPr>
            <w:tcW w:w="250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6"/>
                <w:szCs w:val="16"/>
                <w:color w:val="auto"/>
              </w:rPr>
            </w:pP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1/18/93</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10(m)(ii)</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rPr>
              <w:t>1997</w:t>
            </w:r>
          </w:p>
        </w:tc>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Executive Stock Option Agreement</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12/31/97</w:t>
            </w: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3/16/98</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10(m)(iii)</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rPr>
              <w:t>2011</w:t>
            </w:r>
          </w:p>
        </w:tc>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Incentive Plan</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6/1/11</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10(m)(iv)</w:t>
            </w: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Form of 2011 Annual Performance Bonus Agreement</w:t>
            </w:r>
          </w:p>
        </w:tc>
        <w:tc>
          <w:tcPr>
            <w:tcW w:w="25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80" w:type="dxa"/>
            <w:vAlign w:val="bottom"/>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10(m)(v)</w:t>
            </w:r>
          </w:p>
        </w:tc>
        <w:tc>
          <w:tcPr>
            <w:tcW w:w="5360" w:type="dxa"/>
            <w:vAlign w:val="bottom"/>
            <w:tcBorders>
              <w:bottom w:val="single" w:sz="8" w:color="auto"/>
            </w:tcBorders>
            <w:gridSpan w:val="2"/>
          </w:tcPr>
          <w:p>
            <w:pPr>
              <w:ind w:left="160"/>
              <w:spacing w:after="0" w:line="203" w:lineRule="exact"/>
              <w:rPr>
                <w:sz w:val="20"/>
                <w:szCs w:val="20"/>
                <w:color w:val="auto"/>
              </w:rPr>
            </w:pPr>
            <w:r>
              <w:rPr>
                <w:rFonts w:ascii="Arial" w:cs="Arial" w:eastAsia="Arial" w:hAnsi="Arial"/>
                <w:sz w:val="18"/>
                <w:szCs w:val="18"/>
                <w:color w:val="auto"/>
              </w:rPr>
              <w:t>Form of 2011 Multi-Year Performance Bonus Agreement</w:t>
            </w:r>
          </w:p>
        </w:tc>
        <w:tc>
          <w:tcPr>
            <w:tcW w:w="2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9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900" w:right="219" w:bottom="1440" w:gutter="0" w:footer="0" w:header="0"/>
        </w:sectPr>
      </w:pPr>
    </w:p>
    <w:bookmarkStart w:id="103" w:name="page104"/>
    <w:bookmarkEnd w:id="103"/>
    <w:tbl>
      <w:tblPr>
        <w:tblLayout w:type="fixed"/>
        <w:tblInd w:w="10" w:type="dxa"/>
        <w:tblCellMar>
          <w:top w:w="0" w:type="dxa"/>
          <w:left w:w="0" w:type="dxa"/>
          <w:bottom w:w="0" w:type="dxa"/>
          <w:right w:w="0" w:type="dxa"/>
        </w:tblCellMar>
      </w:tblPr>
      <w:tr>
        <w:trPr>
          <w:trHeight w:val="225"/>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300" w:type="dxa"/>
            <w:vAlign w:val="bottom"/>
          </w:tcPr>
          <w:p>
            <w:pPr>
              <w:spacing w:after="0"/>
              <w:rPr>
                <w:sz w:val="19"/>
                <w:szCs w:val="19"/>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Incorporated by Reference</w:t>
            </w:r>
          </w:p>
        </w:tc>
        <w:tc>
          <w:tcPr>
            <w:tcW w:w="0" w:type="dxa"/>
            <w:vAlign w:val="bottom"/>
          </w:tcPr>
          <w:p>
            <w:pPr>
              <w:spacing w:after="0"/>
              <w:rPr>
                <w:sz w:val="1"/>
                <w:szCs w:val="1"/>
                <w:color w:val="auto"/>
              </w:rPr>
            </w:pPr>
          </w:p>
        </w:tc>
      </w:tr>
      <w:tr>
        <w:trPr>
          <w:trHeight w:val="173"/>
        </w:trPr>
        <w:tc>
          <w:tcPr>
            <w:tcW w:w="980" w:type="dxa"/>
            <w:vAlign w:val="bottom"/>
            <w:vMerge w:val="continue"/>
          </w:tcPr>
          <w:p>
            <w:pPr>
              <w:spacing w:after="0"/>
              <w:rPr>
                <w:sz w:val="15"/>
                <w:szCs w:val="15"/>
                <w:color w:val="auto"/>
              </w:rPr>
            </w:pPr>
          </w:p>
        </w:tc>
        <w:tc>
          <w:tcPr>
            <w:tcW w:w="6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Period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Ending</w:t>
            </w: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96"/>
        </w:trPr>
        <w:tc>
          <w:tcPr>
            <w:tcW w:w="7280" w:type="dxa"/>
            <w:vAlign w:val="bottom"/>
            <w:tcBorders>
              <w:left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Executive Compensation</w:t>
            </w:r>
          </w:p>
        </w:tc>
        <w:tc>
          <w:tcPr>
            <w:tcW w:w="10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10(n)(i)</w:t>
            </w:r>
          </w:p>
        </w:tc>
        <w:tc>
          <w:tcPr>
            <w:tcW w:w="6300" w:type="dxa"/>
            <w:vAlign w:val="bottom"/>
          </w:tcPr>
          <w:p>
            <w:pPr>
              <w:ind w:left="280"/>
              <w:spacing w:after="0" w:line="195" w:lineRule="exact"/>
              <w:rPr>
                <w:sz w:val="20"/>
                <w:szCs w:val="20"/>
                <w:color w:val="auto"/>
              </w:rPr>
            </w:pPr>
            <w:r>
              <w:rPr>
                <w:rFonts w:ascii="Arial" w:cs="Arial" w:eastAsia="Arial" w:hAnsi="Arial"/>
                <w:sz w:val="18"/>
                <w:szCs w:val="18"/>
                <w:color w:val="auto"/>
              </w:rPr>
              <w:t>Supplemental Executive Retirement Plan, adopted as of January 1, 1994,</w:t>
            </w:r>
          </w:p>
        </w:tc>
        <w:tc>
          <w:tcPr>
            <w:tcW w:w="106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6"/>
                <w:szCs w:val="16"/>
                <w:color w:val="auto"/>
              </w:rPr>
            </w:pP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as amended and restated as of January 1, 2008</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10(n)(ii)</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Annual Bonus Program</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S-1, No. 33-</w:t>
            </w:r>
          </w:p>
        </w:tc>
        <w:tc>
          <w:tcPr>
            <w:tcW w:w="90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16254</w:t>
            </w: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10(n)(iii)</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Form of Executive Deferred Compensation Plan adopted September 1,</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1985, as amended and restated as of August 8, 2001</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10(o)(i)</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Form of Directors’ Deferred Compensation Plan adopted September 1,</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1985, as amended and restated as of August 8, 2001</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10(o)(ii)</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Deferred Compensation Plan of Albany International Corp., as amended</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12/31/02</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3/21/03</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and restated as of August 8, 2001</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10(o)(iii)</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Centennial Deferred Compensation Plan, as amended and restated as of</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9/30/01</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August 8, 2001</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10(o)(iv)</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Directors’ Annual Retainer Plan, as amended and restated as of</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12/23/09</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December 8, 2009</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10(o)(v)</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Excerpt from the Company’s Corporate Governance Guidelines describing</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director compensation</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10(o)(vi)</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Form of Severance Agreement between Albany International Corp. and</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1/3/13</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certain corporate officers or key executives</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10(p)</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Code of Ethics</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10(q)</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Directors Pension Plan, amendment dated as of January 12, 2005</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1/13/05</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10(r)</w:t>
            </w: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Employment agreement, dated May 12, 2005, between the Company and</w:t>
            </w:r>
          </w:p>
        </w:tc>
        <w:tc>
          <w:tcPr>
            <w:tcW w:w="10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5/18/05</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Joseph G. Morone</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10(s)</w:t>
            </w:r>
          </w:p>
        </w:tc>
        <w:tc>
          <w:tcPr>
            <w:tcW w:w="630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rPr>
              <w:t>Form of Indemnification Agreement</w:t>
            </w:r>
          </w:p>
        </w:tc>
        <w:tc>
          <w:tcPr>
            <w:tcW w:w="10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1035" w:right="21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25"/>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780" w:type="dxa"/>
            <w:vAlign w:val="bottom"/>
          </w:tcPr>
          <w:p>
            <w:pPr>
              <w:spacing w:after="0"/>
              <w:rPr>
                <w:sz w:val="19"/>
                <w:szCs w:val="19"/>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28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920" w:type="dxa"/>
            <w:vAlign w:val="bottom"/>
            <w:vMerge w:val="continue"/>
          </w:tcPr>
          <w:p>
            <w:pPr>
              <w:spacing w:after="0"/>
              <w:rPr>
                <w:sz w:val="15"/>
                <w:szCs w:val="15"/>
                <w:color w:val="auto"/>
              </w:rPr>
            </w:pPr>
          </w:p>
        </w:tc>
        <w:tc>
          <w:tcPr>
            <w:tcW w:w="67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jc w:val="center"/>
              <w:ind w:left="10"/>
              <w:spacing w:after="0" w:line="173" w:lineRule="exact"/>
              <w:rPr>
                <w:sz w:val="20"/>
                <w:szCs w:val="20"/>
                <w:color w:val="auto"/>
              </w:rPr>
            </w:pPr>
            <w:r>
              <w:rPr>
                <w:rFonts w:ascii="Arial" w:cs="Arial" w:eastAsia="Arial" w:hAnsi="Arial"/>
                <w:sz w:val="18"/>
                <w:szCs w:val="18"/>
                <w:b w:val="1"/>
                <w:bCs w:val="1"/>
                <w:color w:val="auto"/>
                <w:w w:val="99"/>
              </w:rPr>
              <w:t>Period</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7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9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8"/>
              </w:rPr>
              <w:t>Ending</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95"/>
        </w:trPr>
        <w:tc>
          <w:tcPr>
            <w:tcW w:w="9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10.1</w:t>
            </w:r>
          </w:p>
        </w:tc>
        <w:tc>
          <w:tcPr>
            <w:tcW w:w="6780" w:type="dxa"/>
            <w:vAlign w:val="bottom"/>
          </w:tcPr>
          <w:p>
            <w:pPr>
              <w:ind w:left="240"/>
              <w:spacing w:after="0" w:line="195" w:lineRule="exact"/>
              <w:rPr>
                <w:sz w:val="20"/>
                <w:szCs w:val="20"/>
                <w:color w:val="auto"/>
              </w:rPr>
            </w:pPr>
            <w:r>
              <w:rPr>
                <w:rFonts w:ascii="Arial" w:cs="Arial" w:eastAsia="Arial" w:hAnsi="Arial"/>
                <w:sz w:val="18"/>
                <w:szCs w:val="18"/>
                <w:color w:val="auto"/>
              </w:rPr>
              <w:t>Stock and Asset Purchase Agreement by and between Albany International Corp.</w:t>
            </w:r>
          </w:p>
        </w:tc>
        <w:tc>
          <w:tcPr>
            <w:tcW w:w="88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6"/>
                <w:szCs w:val="16"/>
                <w:color w:val="auto"/>
              </w:rPr>
            </w:pP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11/1/11</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and ASSA ABLOY AB, dated as of October 27, 2011</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10.2</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Amended and restated LLC operating agreement by and between Albany</w:t>
            </w:r>
          </w:p>
        </w:tc>
        <w:tc>
          <w:tcPr>
            <w:tcW w:w="88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9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12/31/13</w:t>
            </w:r>
          </w:p>
        </w:tc>
        <w:tc>
          <w:tcPr>
            <w:tcW w:w="10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2/26/14</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Engineered Composites and Safran Aerospace Composites, Inc. 10% equity</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interest in ASC for $28 million</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11</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Statement of Computation of Earnings per share (provided in Footnote 9 to the</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Consolidated Financial Statements)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21</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Subsidiaries of Company</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23</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Consent of Independent Registered Public Accounting Firms</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24</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Powers of Attorney</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31(a)</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required pursuant to Rule 13a-14(a) or Rule</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31(b)</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John B. Cozzolino required pursuant to Rule 13a-14(a) or Rule</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32(a)</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and John B. Cozzolino required pursuant to</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Rule 13a-14(b) or Rule 15d-14(b) and Section 1350 of Chapter 63 of Title 18 of</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bottom w:val="single" w:sz="8" w:color="auto"/>
            </w:tcBorders>
          </w:tcPr>
          <w:p>
            <w:pPr>
              <w:spacing w:after="0"/>
              <w:rPr>
                <w:sz w:val="17"/>
                <w:szCs w:val="17"/>
                <w:color w:val="auto"/>
              </w:rPr>
            </w:pPr>
          </w:p>
        </w:tc>
        <w:tc>
          <w:tcPr>
            <w:tcW w:w="678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rPr>
              <w:t>the United States Code</w:t>
            </w: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40" w:type="dxa"/>
            <w:vAlign w:val="bottom"/>
            <w:tcBorders>
              <w:left w:val="single" w:sz="8" w:color="auto"/>
              <w:right w:val="single" w:sz="8" w:color="auto"/>
            </w:tcBorders>
            <w:gridSpan w:val="6"/>
          </w:tcPr>
          <w:p>
            <w:pPr>
              <w:ind w:left="20"/>
              <w:spacing w:after="0" w:line="173" w:lineRule="exact"/>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2014, formatted in</w:t>
            </w:r>
          </w:p>
        </w:tc>
        <w:tc>
          <w:tcPr>
            <w:tcW w:w="0" w:type="dxa"/>
            <w:vAlign w:val="bottom"/>
          </w:tcPr>
          <w:p>
            <w:pPr>
              <w:spacing w:after="0"/>
              <w:rPr>
                <w:sz w:val="1"/>
                <w:szCs w:val="1"/>
                <w:color w:val="auto"/>
              </w:rPr>
            </w:pPr>
          </w:p>
        </w:tc>
      </w:tr>
      <w:tr>
        <w:trPr>
          <w:trHeight w:val="225"/>
        </w:trPr>
        <w:tc>
          <w:tcPr>
            <w:tcW w:w="77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eXtensible Business Reporting Language (XBRL), filed herewith:</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9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101(i)</w:t>
            </w:r>
          </w:p>
        </w:tc>
        <w:tc>
          <w:tcPr>
            <w:tcW w:w="6780" w:type="dxa"/>
            <w:vAlign w:val="bottom"/>
          </w:tcPr>
          <w:p>
            <w:pPr>
              <w:ind w:left="240"/>
              <w:spacing w:after="0" w:line="195" w:lineRule="exact"/>
              <w:rPr>
                <w:sz w:val="20"/>
                <w:szCs w:val="20"/>
                <w:color w:val="auto"/>
              </w:rPr>
            </w:pPr>
            <w:r>
              <w:rPr>
                <w:rFonts w:ascii="Arial" w:cs="Arial" w:eastAsia="Arial" w:hAnsi="Arial"/>
                <w:sz w:val="18"/>
                <w:szCs w:val="18"/>
                <w:color w:val="auto"/>
              </w:rPr>
              <w:t>Consolidated Statements of Income for the years ended December 31, 2014,</w:t>
            </w: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2013 and 2012</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101(ii)</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Consolidated Statements of Comprehensive Income/(loss) for years ended</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December 31, 2014, 2013, and 2012</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101(iii)</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Consolidated Balance Sheets as of December 31, 2014 and 2013</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101(iv)</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2014,</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2013, and 2012</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101(v)</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40" w:type="dxa"/>
            <w:vAlign w:val="bottom"/>
            <w:tcBorders>
              <w:left w:val="single" w:sz="8" w:color="auto"/>
              <w:right w:val="single" w:sz="8" w:color="auto"/>
            </w:tcBorders>
            <w:gridSpan w:val="6"/>
          </w:tcPr>
          <w:p>
            <w:pPr>
              <w:ind w:left="20"/>
              <w:spacing w:after="0" w:line="202" w:lineRule="exact"/>
              <w:rPr>
                <w:sz w:val="20"/>
                <w:szCs w:val="20"/>
                <w:color w:val="auto"/>
              </w:rPr>
            </w:pPr>
            <w:r>
              <w:rPr>
                <w:rFonts w:ascii="Arial" w:cs="Arial" w:eastAsia="Arial" w:hAnsi="Arial"/>
                <w:sz w:val="18"/>
                <w:szCs w:val="18"/>
                <w:color w:val="auto"/>
              </w:rPr>
              <w:t>* As provided in Rule 406T of Regulation S-T, this information shall not be deemed “filed” for purposes of Sections 11 and 12 of the Securities</w:t>
            </w:r>
          </w:p>
        </w:tc>
        <w:tc>
          <w:tcPr>
            <w:tcW w:w="0" w:type="dxa"/>
            <w:vAlign w:val="bottom"/>
          </w:tcPr>
          <w:p>
            <w:pPr>
              <w:spacing w:after="0"/>
              <w:rPr>
                <w:sz w:val="1"/>
                <w:szCs w:val="1"/>
                <w:color w:val="auto"/>
              </w:rPr>
            </w:pPr>
          </w:p>
        </w:tc>
      </w:tr>
      <w:tr>
        <w:trPr>
          <w:trHeight w:val="203"/>
        </w:trPr>
        <w:tc>
          <w:tcPr>
            <w:tcW w:w="8580" w:type="dxa"/>
            <w:vAlign w:val="bottom"/>
            <w:tcBorders>
              <w:left w:val="single" w:sz="8" w:color="auto"/>
              <w:bottom w:val="single" w:sz="8" w:color="auto"/>
            </w:tcBorders>
            <w:gridSpan w:val="3"/>
          </w:tcPr>
          <w:p>
            <w:pPr>
              <w:ind w:left="20"/>
              <w:spacing w:after="0" w:line="203" w:lineRule="exact"/>
              <w:rPr>
                <w:sz w:val="20"/>
                <w:szCs w:val="20"/>
                <w:color w:val="auto"/>
              </w:rPr>
            </w:pPr>
            <w:r>
              <w:rPr>
                <w:rFonts w:ascii="Arial" w:cs="Arial" w:eastAsia="Arial" w:hAnsi="Arial"/>
                <w:sz w:val="18"/>
                <w:szCs w:val="18"/>
                <w:color w:val="auto"/>
              </w:rPr>
              <w:t>Act and Section 18 of the Securities Exchange Act or otherwise subject to liability under those sections.</w:t>
            </w: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27th day of February, 2015.</w:t>
      </w:r>
    </w:p>
    <w:p>
      <w:pPr>
        <w:spacing w:after="0" w:line="15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ALBANY INTERNATIONAL CORP.</w:t>
      </w:r>
    </w:p>
    <w:p>
      <w:pPr>
        <w:spacing w:after="0" w:line="194" w:lineRule="exact"/>
        <w:rPr>
          <w:sz w:val="20"/>
          <w:szCs w:val="20"/>
          <w:color w:val="auto"/>
        </w:rPr>
      </w:pPr>
    </w:p>
    <w:p>
      <w:pPr>
        <w:ind w:left="7540"/>
        <w:spacing w:after="0"/>
        <w:rPr>
          <w:sz w:val="20"/>
          <w:szCs w:val="20"/>
          <w:color w:val="auto"/>
        </w:rPr>
      </w:pPr>
      <w:r>
        <w:rPr>
          <w:rFonts w:ascii="Arial" w:cs="Arial" w:eastAsia="Arial" w:hAnsi="Arial"/>
          <w:sz w:val="18"/>
          <w:szCs w:val="18"/>
          <w:u w:val="single" w:color="auto"/>
          <w:color w:val="auto"/>
        </w:rPr>
        <w:t>by /s/ John B. Cozzolino</w:t>
      </w:r>
    </w:p>
    <w:p>
      <w:pPr>
        <w:ind w:left="7540"/>
        <w:spacing w:after="0" w:line="234" w:lineRule="auto"/>
        <w:rPr>
          <w:sz w:val="20"/>
          <w:szCs w:val="20"/>
          <w:color w:val="auto"/>
        </w:rPr>
      </w:pPr>
      <w:r>
        <w:rPr>
          <w:rFonts w:ascii="Arial" w:cs="Arial" w:eastAsia="Arial" w:hAnsi="Arial"/>
          <w:sz w:val="18"/>
          <w:szCs w:val="18"/>
          <w:color w:val="auto"/>
        </w:rPr>
        <w:t>John B. Cozzolino</w:t>
      </w:r>
    </w:p>
    <w:p>
      <w:pPr>
        <w:ind w:left="754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p>
      <w:pPr>
        <w:spacing w:after="0" w:line="374"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500" w:type="dxa"/>
            <w:vAlign w:val="bottom"/>
            <w:gridSpan w:val="3"/>
          </w:tcPr>
          <w:p>
            <w:pPr>
              <w:ind w:left="1020"/>
              <w:spacing w:after="0"/>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Joseph G. Morone</w:t>
            </w: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B. Cozzolino</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3100" w:type="dxa"/>
            <w:vAlign w:val="bottom"/>
            <w:gridSpan w:val="3"/>
          </w:tcPr>
          <w:p>
            <w:pPr>
              <w:spacing w:after="0"/>
              <w:rPr>
                <w:sz w:val="20"/>
                <w:szCs w:val="20"/>
                <w:color w:val="auto"/>
              </w:rPr>
            </w:pPr>
            <w:r>
              <w:rPr>
                <w:rFonts w:ascii="Arial" w:cs="Arial" w:eastAsia="Arial" w:hAnsi="Arial"/>
                <w:sz w:val="18"/>
                <w:szCs w:val="18"/>
                <w:color w:val="auto"/>
              </w:rPr>
              <w:t>John B. Cozzolino</w:t>
            </w: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Vice President–Controller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M. Pawlick</w:t>
            </w: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Erland E. Kailbourne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Vice Chairman of the Board and 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C. Standish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F. Cassidy, Jr.</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Katharine Plourde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Edgar G. Hotard</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R. Scannell</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ind w:left="1020"/>
              <w:spacing w:after="0"/>
              <w:rPr>
                <w:sz w:val="20"/>
                <w:szCs w:val="20"/>
                <w:color w:val="auto"/>
              </w:rPr>
            </w:pPr>
            <w:r>
              <w:rPr>
                <w:rFonts w:ascii="Arial" w:cs="Arial" w:eastAsia="Arial" w:hAnsi="Arial"/>
                <w:sz w:val="18"/>
                <w:szCs w:val="18"/>
                <w:color w:val="auto"/>
                <w:w w:val="99"/>
              </w:rPr>
              <w:t>February 27, 2015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Christine L. Standish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*By /s/ John B. Cozzolino</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5"/>
        </w:trPr>
        <w:tc>
          <w:tcPr>
            <w:tcW w:w="3100" w:type="dxa"/>
            <w:vAlign w:val="bottom"/>
            <w:gridSpan w:val="3"/>
          </w:tcPr>
          <w:p>
            <w:pPr>
              <w:spacing w:after="0" w:line="195" w:lineRule="exact"/>
              <w:rPr>
                <w:sz w:val="20"/>
                <w:szCs w:val="20"/>
                <w:color w:val="auto"/>
              </w:rPr>
            </w:pPr>
            <w:r>
              <w:rPr>
                <w:rFonts w:ascii="Arial" w:cs="Arial" w:eastAsia="Arial" w:hAnsi="Arial"/>
                <w:sz w:val="18"/>
                <w:szCs w:val="18"/>
                <w:color w:val="auto"/>
              </w:rPr>
              <w:t>John B. Cozzolino</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31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9"/>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9"/>
              </w:rPr>
              <w:t>SCHEDULE II</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9"/>
              </w:rPr>
              <w:t>ALBANY INTERNATIONAL CORP. AND SUBSIDIARIES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60" w:type="dxa"/>
            <w:vAlign w:val="bottom"/>
            <w:gridSpan w:val="10"/>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VALUATION AND QUALIFYING ACCOUNTS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760" w:type="dxa"/>
            <w:vAlign w:val="bottom"/>
            <w:gridSpan w:val="9"/>
          </w:tcPr>
          <w:p>
            <w:pPr>
              <w:jc w:val="center"/>
              <w:ind w:right="1300"/>
              <w:spacing w:after="0"/>
              <w:rPr>
                <w:sz w:val="20"/>
                <w:szCs w:val="20"/>
                <w:color w:val="auto"/>
              </w:rPr>
            </w:pPr>
            <w:r>
              <w:rPr>
                <w:rFonts w:ascii="Arial" w:cs="Arial" w:eastAsia="Arial" w:hAnsi="Arial"/>
                <w:sz w:val="18"/>
                <w:szCs w:val="18"/>
                <w:b w:val="1"/>
                <w:bCs w:val="1"/>
                <w:color w:val="auto"/>
                <w:w w:val="99"/>
              </w:rPr>
              <w:t>(Dollars in thousands)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40" w:type="dxa"/>
            <w:vAlign w:val="bottom"/>
          </w:tcPr>
          <w:p>
            <w:pPr>
              <w:spacing w:after="0"/>
              <w:rPr>
                <w:sz w:val="24"/>
                <w:szCs w:val="24"/>
                <w:color w:val="auto"/>
              </w:rPr>
            </w:pPr>
          </w:p>
        </w:tc>
        <w:tc>
          <w:tcPr>
            <w:tcW w:w="15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8"/>
              </w:rPr>
              <w:t>Column A</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4"/>
              </w:rPr>
              <w:t>Column B</w:t>
            </w:r>
          </w:p>
        </w:tc>
        <w:tc>
          <w:tcPr>
            <w:tcW w:w="40" w:type="dxa"/>
            <w:vAlign w:val="bottom"/>
          </w:tcPr>
          <w:p>
            <w:pPr>
              <w:spacing w:after="0"/>
              <w:rPr>
                <w:sz w:val="24"/>
                <w:szCs w:val="2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Column C</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Column 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Column E</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40" w:type="dxa"/>
            <w:vAlign w:val="bottom"/>
          </w:tcPr>
          <w:p>
            <w:pPr>
              <w:spacing w:after="0"/>
              <w:rPr>
                <w:sz w:val="24"/>
                <w:szCs w:val="24"/>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Description</w:t>
            </w:r>
          </w:p>
        </w:tc>
        <w:tc>
          <w:tcPr>
            <w:tcW w:w="540" w:type="dxa"/>
            <w:vAlign w:val="bottom"/>
            <w:vMerge w:val="restart"/>
          </w:tcPr>
          <w:p>
            <w:pPr>
              <w:spacing w:after="0"/>
              <w:rPr>
                <w:sz w:val="24"/>
                <w:szCs w:val="24"/>
                <w:color w:val="auto"/>
              </w:rPr>
            </w:pPr>
          </w:p>
        </w:tc>
        <w:tc>
          <w:tcPr>
            <w:tcW w:w="3040" w:type="dxa"/>
            <w:vAlign w:val="bottom"/>
            <w:gridSpan w:val="5"/>
          </w:tcPr>
          <w:p>
            <w:pPr>
              <w:jc w:val="center"/>
              <w:ind w:left="1070"/>
              <w:spacing w:after="0"/>
              <w:rPr>
                <w:sz w:val="20"/>
                <w:szCs w:val="20"/>
                <w:color w:val="auto"/>
              </w:rPr>
            </w:pPr>
            <w:r>
              <w:rPr>
                <w:rFonts w:ascii="Arial" w:cs="Arial" w:eastAsia="Arial" w:hAnsi="Arial"/>
                <w:sz w:val="18"/>
                <w:szCs w:val="18"/>
                <w:b w:val="1"/>
                <w:bCs w:val="1"/>
                <w:color w:val="auto"/>
                <w:w w:val="99"/>
              </w:rPr>
              <w:t>Balance at beginning</w:t>
            </w:r>
          </w:p>
        </w:tc>
        <w:tc>
          <w:tcPr>
            <w:tcW w:w="1920" w:type="dxa"/>
            <w:vAlign w:val="bottom"/>
            <w:gridSpan w:val="5"/>
            <w:vMerge w:val="restart"/>
          </w:tcPr>
          <w:p>
            <w:pPr>
              <w:jc w:val="right"/>
              <w:ind w:right="280"/>
              <w:spacing w:after="0"/>
              <w:rPr>
                <w:sz w:val="20"/>
                <w:szCs w:val="20"/>
                <w:color w:val="auto"/>
              </w:rPr>
            </w:pPr>
            <w:r>
              <w:rPr>
                <w:rFonts w:ascii="Arial" w:cs="Arial" w:eastAsia="Arial" w:hAnsi="Arial"/>
                <w:sz w:val="18"/>
                <w:szCs w:val="18"/>
                <w:b w:val="1"/>
                <w:bCs w:val="1"/>
                <w:color w:val="auto"/>
              </w:rPr>
              <w:t>Charge to expense</w:t>
            </w:r>
          </w:p>
        </w:tc>
        <w:tc>
          <w:tcPr>
            <w:tcW w:w="240" w:type="dxa"/>
            <w:vAlign w:val="bottom"/>
          </w:tcPr>
          <w:p>
            <w:pPr>
              <w:spacing w:after="0"/>
              <w:rPr>
                <w:sz w:val="24"/>
                <w:szCs w:val="24"/>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w w:val="97"/>
              </w:rPr>
              <w:t>Other (A)</w:t>
            </w:r>
          </w:p>
        </w:tc>
        <w:tc>
          <w:tcPr>
            <w:tcW w:w="16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rPr>
              <w:t>Balance at end of</w:t>
            </w: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right="520"/>
              <w:spacing w:after="0" w:line="182" w:lineRule="exact"/>
              <w:rPr>
                <w:sz w:val="20"/>
                <w:szCs w:val="20"/>
                <w:color w:val="auto"/>
              </w:rPr>
            </w:pPr>
            <w:r>
              <w:rPr>
                <w:rFonts w:ascii="Arial" w:cs="Arial" w:eastAsia="Arial" w:hAnsi="Arial"/>
                <w:sz w:val="18"/>
                <w:szCs w:val="18"/>
                <w:b w:val="1"/>
                <w:bCs w:val="1"/>
                <w:color w:val="auto"/>
                <w:w w:val="98"/>
              </w:rPr>
              <w:t>of period</w:t>
            </w:r>
          </w:p>
        </w:tc>
        <w:tc>
          <w:tcPr>
            <w:tcW w:w="4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Borders>
              <w:top w:val="single" w:sz="8" w:color="auto"/>
            </w:tcBorders>
            <w:gridSpan w:val="3"/>
          </w:tcPr>
          <w:p>
            <w:pPr>
              <w:jc w:val="center"/>
              <w:spacing w:after="0" w:line="182" w:lineRule="exact"/>
              <w:rPr>
                <w:sz w:val="20"/>
                <w:szCs w:val="20"/>
                <w:color w:val="auto"/>
              </w:rPr>
            </w:pPr>
            <w:r>
              <w:rPr>
                <w:rFonts w:ascii="Arial" w:cs="Arial" w:eastAsia="Arial" w:hAnsi="Arial"/>
                <w:sz w:val="18"/>
                <w:szCs w:val="18"/>
                <w:b w:val="1"/>
                <w:bCs w:val="1"/>
                <w:color w:val="auto"/>
                <w:w w:val="98"/>
              </w:rPr>
              <w:t>the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5"/>
          </w:tcPr>
          <w:p>
            <w:pPr>
              <w:spacing w:after="0"/>
              <w:rPr>
                <w:sz w:val="20"/>
                <w:szCs w:val="20"/>
                <w:color w:val="auto"/>
              </w:rPr>
            </w:pPr>
            <w:r>
              <w:rPr>
                <w:rFonts w:ascii="Arial" w:cs="Arial" w:eastAsia="Arial" w:hAnsi="Arial"/>
                <w:sz w:val="18"/>
                <w:szCs w:val="18"/>
                <w:color w:val="auto"/>
              </w:rPr>
              <w:t>Allowance for doubtful accounts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$11,274</w:t>
            </w:r>
          </w:p>
        </w:tc>
        <w:tc>
          <w:tcPr>
            <w:tcW w:w="1920" w:type="dxa"/>
            <w:vAlign w:val="bottom"/>
            <w:gridSpan w:val="5"/>
          </w:tcPr>
          <w:p>
            <w:pPr>
              <w:jc w:val="right"/>
              <w:ind w:right="220"/>
              <w:spacing w:after="0" w:line="202" w:lineRule="exact"/>
              <w:rPr>
                <w:sz w:val="20"/>
                <w:szCs w:val="20"/>
                <w:color w:val="auto"/>
              </w:rPr>
            </w:pPr>
            <w:r>
              <w:rPr>
                <w:rFonts w:ascii="Arial" w:cs="Arial" w:eastAsia="Arial" w:hAnsi="Arial"/>
                <w:sz w:val="18"/>
                <w:szCs w:val="18"/>
                <w:color w:val="auto"/>
              </w:rPr>
              <w:t>($341)</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($2,220)</w:t>
            </w:r>
          </w:p>
        </w:tc>
        <w:tc>
          <w:tcPr>
            <w:tcW w:w="16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03"/>
        </w:trPr>
        <w:tc>
          <w:tcPr>
            <w:tcW w:w="174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2013</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11,862</w:t>
            </w:r>
          </w:p>
        </w:tc>
        <w:tc>
          <w:tcPr>
            <w:tcW w:w="1920" w:type="dxa"/>
            <w:vAlign w:val="bottom"/>
            <w:gridSpan w:val="5"/>
          </w:tcPr>
          <w:p>
            <w:pPr>
              <w:jc w:val="right"/>
              <w:ind w:right="280"/>
              <w:spacing w:after="0" w:line="202" w:lineRule="exact"/>
              <w:rPr>
                <w:sz w:val="20"/>
                <w:szCs w:val="20"/>
                <w:color w:val="auto"/>
              </w:rPr>
            </w:pPr>
            <w:r>
              <w:rPr>
                <w:rFonts w:ascii="Arial" w:cs="Arial" w:eastAsia="Arial" w:hAnsi="Arial"/>
                <w:sz w:val="18"/>
                <w:szCs w:val="18"/>
                <w:color w:val="auto"/>
              </w:rPr>
              <w:t>235</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(823)</w:t>
            </w:r>
          </w:p>
        </w:tc>
        <w:tc>
          <w:tcPr>
            <w:tcW w:w="16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11,274</w:t>
            </w:r>
          </w:p>
        </w:tc>
        <w:tc>
          <w:tcPr>
            <w:tcW w:w="0" w:type="dxa"/>
            <w:vAlign w:val="bottom"/>
          </w:tcPr>
          <w:p>
            <w:pPr>
              <w:spacing w:after="0"/>
              <w:rPr>
                <w:sz w:val="1"/>
                <w:szCs w:val="1"/>
                <w:color w:val="auto"/>
              </w:rPr>
            </w:pPr>
          </w:p>
        </w:tc>
      </w:tr>
      <w:tr>
        <w:trPr>
          <w:trHeight w:val="217"/>
        </w:trPr>
        <w:tc>
          <w:tcPr>
            <w:tcW w:w="1740" w:type="dxa"/>
            <w:vAlign w:val="bottom"/>
          </w:tcPr>
          <w:p>
            <w:pPr>
              <w:jc w:val="right"/>
              <w:ind w:right="109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40" w:type="dxa"/>
            <w:vAlign w:val="bottom"/>
            <w:gridSpan w:val="5"/>
          </w:tcPr>
          <w:p>
            <w:pPr>
              <w:jc w:val="right"/>
              <w:ind w:right="20"/>
              <w:spacing w:after="0"/>
              <w:rPr>
                <w:sz w:val="20"/>
                <w:szCs w:val="20"/>
                <w:color w:val="auto"/>
              </w:rPr>
            </w:pPr>
            <w:r>
              <w:rPr>
                <w:rFonts w:ascii="Arial" w:cs="Arial" w:eastAsia="Arial" w:hAnsi="Arial"/>
                <w:sz w:val="18"/>
                <w:szCs w:val="18"/>
                <w:color w:val="auto"/>
              </w:rPr>
              <w:t>10,729</w:t>
            </w:r>
          </w:p>
        </w:tc>
        <w:tc>
          <w:tcPr>
            <w:tcW w:w="1920" w:type="dxa"/>
            <w:vAlign w:val="bottom"/>
            <w:gridSpan w:val="5"/>
          </w:tcPr>
          <w:p>
            <w:pPr>
              <w:jc w:val="right"/>
              <w:ind w:right="280"/>
              <w:spacing w:after="0"/>
              <w:rPr>
                <w:sz w:val="20"/>
                <w:szCs w:val="20"/>
                <w:color w:val="auto"/>
              </w:rPr>
            </w:pPr>
            <w:r>
              <w:rPr>
                <w:rFonts w:ascii="Arial" w:cs="Arial" w:eastAsia="Arial" w:hAnsi="Arial"/>
                <w:sz w:val="18"/>
                <w:szCs w:val="18"/>
                <w:color w:val="auto"/>
              </w:rPr>
              <w:t>1,411</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(278)</w:t>
            </w: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391"/>
        </w:trPr>
        <w:tc>
          <w:tcPr>
            <w:tcW w:w="3280" w:type="dxa"/>
            <w:vAlign w:val="bottom"/>
            <w:gridSpan w:val="5"/>
          </w:tcPr>
          <w:p>
            <w:pPr>
              <w:spacing w:after="0"/>
              <w:rPr>
                <w:sz w:val="20"/>
                <w:szCs w:val="20"/>
                <w:color w:val="auto"/>
              </w:rPr>
            </w:pPr>
            <w:r>
              <w:rPr>
                <w:rFonts w:ascii="Arial" w:cs="Arial" w:eastAsia="Arial" w:hAnsi="Arial"/>
                <w:sz w:val="18"/>
                <w:szCs w:val="18"/>
                <w:color w:val="auto"/>
              </w:rPr>
              <w:t>Allowance for sales returns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$22,428</w:t>
            </w:r>
          </w:p>
        </w:tc>
        <w:tc>
          <w:tcPr>
            <w:tcW w:w="1920" w:type="dxa"/>
            <w:vAlign w:val="bottom"/>
            <w:gridSpan w:val="5"/>
          </w:tcPr>
          <w:p>
            <w:pPr>
              <w:jc w:val="right"/>
              <w:ind w:right="280"/>
              <w:spacing w:after="0" w:line="202" w:lineRule="exact"/>
              <w:rPr>
                <w:sz w:val="20"/>
                <w:szCs w:val="20"/>
                <w:color w:val="auto"/>
              </w:rPr>
            </w:pPr>
            <w:r>
              <w:rPr>
                <w:rFonts w:ascii="Arial" w:cs="Arial" w:eastAsia="Arial" w:hAnsi="Arial"/>
                <w:sz w:val="18"/>
                <w:szCs w:val="18"/>
                <w:color w:val="auto"/>
              </w:rPr>
              <w:t>$13,879</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($19,042)</w:t>
            </w:r>
          </w:p>
        </w:tc>
        <w:tc>
          <w:tcPr>
            <w:tcW w:w="16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$17,265</w:t>
            </w:r>
          </w:p>
        </w:tc>
        <w:tc>
          <w:tcPr>
            <w:tcW w:w="0" w:type="dxa"/>
            <w:vAlign w:val="bottom"/>
          </w:tcPr>
          <w:p>
            <w:pPr>
              <w:spacing w:after="0"/>
              <w:rPr>
                <w:sz w:val="1"/>
                <w:szCs w:val="1"/>
                <w:color w:val="auto"/>
              </w:rPr>
            </w:pPr>
          </w:p>
        </w:tc>
      </w:tr>
      <w:tr>
        <w:trPr>
          <w:trHeight w:val="203"/>
        </w:trPr>
        <w:tc>
          <w:tcPr>
            <w:tcW w:w="174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2013</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19,536</w:t>
            </w:r>
          </w:p>
        </w:tc>
        <w:tc>
          <w:tcPr>
            <w:tcW w:w="1920" w:type="dxa"/>
            <w:vAlign w:val="bottom"/>
            <w:gridSpan w:val="5"/>
          </w:tcPr>
          <w:p>
            <w:pPr>
              <w:jc w:val="right"/>
              <w:ind w:right="280"/>
              <w:spacing w:after="0" w:line="202" w:lineRule="exact"/>
              <w:rPr>
                <w:sz w:val="20"/>
                <w:szCs w:val="20"/>
                <w:color w:val="auto"/>
              </w:rPr>
            </w:pPr>
            <w:r>
              <w:rPr>
                <w:rFonts w:ascii="Arial" w:cs="Arial" w:eastAsia="Arial" w:hAnsi="Arial"/>
                <w:sz w:val="18"/>
                <w:szCs w:val="18"/>
                <w:color w:val="auto"/>
              </w:rPr>
              <w:t>25,013</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(22,121)</w:t>
            </w:r>
          </w:p>
        </w:tc>
        <w:tc>
          <w:tcPr>
            <w:tcW w:w="16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22,428</w:t>
            </w:r>
          </w:p>
        </w:tc>
        <w:tc>
          <w:tcPr>
            <w:tcW w:w="0" w:type="dxa"/>
            <w:vAlign w:val="bottom"/>
          </w:tcPr>
          <w:p>
            <w:pPr>
              <w:spacing w:after="0"/>
              <w:rPr>
                <w:sz w:val="1"/>
                <w:szCs w:val="1"/>
                <w:color w:val="auto"/>
              </w:rPr>
            </w:pPr>
          </w:p>
        </w:tc>
      </w:tr>
      <w:tr>
        <w:trPr>
          <w:trHeight w:val="217"/>
        </w:trPr>
        <w:tc>
          <w:tcPr>
            <w:tcW w:w="1740" w:type="dxa"/>
            <w:vAlign w:val="bottom"/>
          </w:tcPr>
          <w:p>
            <w:pPr>
              <w:jc w:val="right"/>
              <w:ind w:right="109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40" w:type="dxa"/>
            <w:vAlign w:val="bottom"/>
            <w:gridSpan w:val="5"/>
          </w:tcPr>
          <w:p>
            <w:pPr>
              <w:jc w:val="right"/>
              <w:ind w:right="20"/>
              <w:spacing w:after="0"/>
              <w:rPr>
                <w:sz w:val="20"/>
                <w:szCs w:val="20"/>
                <w:color w:val="auto"/>
              </w:rPr>
            </w:pPr>
            <w:r>
              <w:rPr>
                <w:rFonts w:ascii="Arial" w:cs="Arial" w:eastAsia="Arial" w:hAnsi="Arial"/>
                <w:sz w:val="18"/>
                <w:szCs w:val="18"/>
                <w:color w:val="auto"/>
              </w:rPr>
              <w:t>15,609</w:t>
            </w:r>
          </w:p>
        </w:tc>
        <w:tc>
          <w:tcPr>
            <w:tcW w:w="1920" w:type="dxa"/>
            <w:vAlign w:val="bottom"/>
            <w:gridSpan w:val="5"/>
          </w:tcPr>
          <w:p>
            <w:pPr>
              <w:jc w:val="right"/>
              <w:ind w:right="280"/>
              <w:spacing w:after="0"/>
              <w:rPr>
                <w:sz w:val="20"/>
                <w:szCs w:val="20"/>
                <w:color w:val="auto"/>
              </w:rPr>
            </w:pPr>
            <w:r>
              <w:rPr>
                <w:rFonts w:ascii="Arial" w:cs="Arial" w:eastAsia="Arial" w:hAnsi="Arial"/>
                <w:sz w:val="18"/>
                <w:szCs w:val="18"/>
                <w:color w:val="auto"/>
              </w:rPr>
              <w:t>19,911</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(15,984)</w:t>
            </w: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19,536</w:t>
            </w:r>
          </w:p>
        </w:tc>
        <w:tc>
          <w:tcPr>
            <w:tcW w:w="0" w:type="dxa"/>
            <w:vAlign w:val="bottom"/>
          </w:tcPr>
          <w:p>
            <w:pPr>
              <w:spacing w:after="0"/>
              <w:rPr>
                <w:sz w:val="1"/>
                <w:szCs w:val="1"/>
                <w:color w:val="auto"/>
              </w:rPr>
            </w:pPr>
          </w:p>
        </w:tc>
      </w:tr>
      <w:tr>
        <w:trPr>
          <w:trHeight w:val="391"/>
        </w:trPr>
        <w:tc>
          <w:tcPr>
            <w:tcW w:w="3280" w:type="dxa"/>
            <w:vAlign w:val="bottom"/>
            <w:gridSpan w:val="5"/>
          </w:tcPr>
          <w:p>
            <w:pPr>
              <w:spacing w:after="0"/>
              <w:rPr>
                <w:sz w:val="20"/>
                <w:szCs w:val="20"/>
                <w:color w:val="auto"/>
              </w:rPr>
            </w:pPr>
            <w:r>
              <w:rPr>
                <w:rFonts w:ascii="Arial" w:cs="Arial" w:eastAsia="Arial" w:hAnsi="Arial"/>
                <w:sz w:val="18"/>
                <w:szCs w:val="18"/>
                <w:color w:val="auto"/>
              </w:rPr>
              <w:t>Valuation allowance deferred tax assets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$49,987</w:t>
            </w:r>
          </w:p>
        </w:tc>
        <w:tc>
          <w:tcPr>
            <w:tcW w:w="1920" w:type="dxa"/>
            <w:vAlign w:val="bottom"/>
            <w:gridSpan w:val="5"/>
          </w:tcPr>
          <w:p>
            <w:pPr>
              <w:jc w:val="right"/>
              <w:ind w:right="220"/>
              <w:spacing w:after="0" w:line="202" w:lineRule="exact"/>
              <w:rPr>
                <w:sz w:val="20"/>
                <w:szCs w:val="20"/>
                <w:color w:val="auto"/>
              </w:rPr>
            </w:pPr>
            <w:r>
              <w:rPr>
                <w:rFonts w:ascii="Arial" w:cs="Arial" w:eastAsia="Arial" w:hAnsi="Arial"/>
                <w:sz w:val="18"/>
                <w:szCs w:val="18"/>
                <w:color w:val="auto"/>
              </w:rPr>
              <w:t>($3,347)</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($24,780)</w:t>
            </w:r>
          </w:p>
        </w:tc>
        <w:tc>
          <w:tcPr>
            <w:tcW w:w="16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$21,860</w:t>
            </w:r>
          </w:p>
        </w:tc>
        <w:tc>
          <w:tcPr>
            <w:tcW w:w="0" w:type="dxa"/>
            <w:vAlign w:val="bottom"/>
          </w:tcPr>
          <w:p>
            <w:pPr>
              <w:spacing w:after="0"/>
              <w:rPr>
                <w:sz w:val="1"/>
                <w:szCs w:val="1"/>
                <w:color w:val="auto"/>
              </w:rPr>
            </w:pPr>
          </w:p>
        </w:tc>
      </w:tr>
      <w:tr>
        <w:trPr>
          <w:trHeight w:val="203"/>
        </w:trPr>
        <w:tc>
          <w:tcPr>
            <w:tcW w:w="174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2013</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60,348</w:t>
            </w:r>
          </w:p>
        </w:tc>
        <w:tc>
          <w:tcPr>
            <w:tcW w:w="1920" w:type="dxa"/>
            <w:vAlign w:val="bottom"/>
            <w:gridSpan w:val="5"/>
          </w:tcPr>
          <w:p>
            <w:pPr>
              <w:jc w:val="right"/>
              <w:ind w:right="220"/>
              <w:spacing w:after="0" w:line="202" w:lineRule="exact"/>
              <w:rPr>
                <w:sz w:val="20"/>
                <w:szCs w:val="20"/>
                <w:color w:val="auto"/>
              </w:rPr>
            </w:pPr>
            <w:r>
              <w:rPr>
                <w:rFonts w:ascii="Arial" w:cs="Arial" w:eastAsia="Arial" w:hAnsi="Arial"/>
                <w:sz w:val="18"/>
                <w:szCs w:val="18"/>
                <w:color w:val="auto"/>
              </w:rPr>
              <w:t>(8,795)</w:t>
            </w:r>
          </w:p>
        </w:tc>
        <w:tc>
          <w:tcPr>
            <w:tcW w:w="1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(1,566)</w:t>
            </w:r>
          </w:p>
        </w:tc>
        <w:tc>
          <w:tcPr>
            <w:tcW w:w="16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49,987</w:t>
            </w:r>
          </w:p>
        </w:tc>
        <w:tc>
          <w:tcPr>
            <w:tcW w:w="0" w:type="dxa"/>
            <w:vAlign w:val="bottom"/>
          </w:tcPr>
          <w:p>
            <w:pPr>
              <w:spacing w:after="0"/>
              <w:rPr>
                <w:sz w:val="1"/>
                <w:szCs w:val="1"/>
                <w:color w:val="auto"/>
              </w:rPr>
            </w:pPr>
          </w:p>
        </w:tc>
      </w:tr>
      <w:tr>
        <w:trPr>
          <w:trHeight w:val="217"/>
        </w:trPr>
        <w:tc>
          <w:tcPr>
            <w:tcW w:w="1740" w:type="dxa"/>
            <w:vAlign w:val="bottom"/>
          </w:tcPr>
          <w:p>
            <w:pPr>
              <w:jc w:val="right"/>
              <w:ind w:right="109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40" w:type="dxa"/>
            <w:vAlign w:val="bottom"/>
            <w:gridSpan w:val="5"/>
          </w:tcPr>
          <w:p>
            <w:pPr>
              <w:jc w:val="right"/>
              <w:ind w:right="20"/>
              <w:spacing w:after="0"/>
              <w:rPr>
                <w:sz w:val="20"/>
                <w:szCs w:val="20"/>
                <w:color w:val="auto"/>
              </w:rPr>
            </w:pPr>
            <w:r>
              <w:rPr>
                <w:rFonts w:ascii="Arial" w:cs="Arial" w:eastAsia="Arial" w:hAnsi="Arial"/>
                <w:sz w:val="18"/>
                <w:szCs w:val="18"/>
                <w:color w:val="auto"/>
              </w:rPr>
              <w:t>63,413</w:t>
            </w:r>
          </w:p>
        </w:tc>
        <w:tc>
          <w:tcPr>
            <w:tcW w:w="1920" w:type="dxa"/>
            <w:vAlign w:val="bottom"/>
            <w:gridSpan w:val="5"/>
          </w:tcPr>
          <w:p>
            <w:pPr>
              <w:jc w:val="right"/>
              <w:ind w:right="220"/>
              <w:spacing w:after="0"/>
              <w:rPr>
                <w:sz w:val="20"/>
                <w:szCs w:val="20"/>
                <w:color w:val="auto"/>
              </w:rPr>
            </w:pPr>
            <w:r>
              <w:rPr>
                <w:rFonts w:ascii="Arial" w:cs="Arial" w:eastAsia="Arial" w:hAnsi="Arial"/>
                <w:sz w:val="18"/>
                <w:szCs w:val="18"/>
                <w:color w:val="auto"/>
              </w:rPr>
              <w:t>(4,131)</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1,066</w:t>
            </w: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w:t>
      </w:r>
    </w:p>
    <w:p>
      <w:pPr>
        <w:spacing w:after="0" w:line="293"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CORPORATE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Investor Relations Department</w:t>
      </w:r>
    </w:p>
    <w:p>
      <w:pPr>
        <w:ind w:left="660"/>
        <w:spacing w:after="0" w:line="234" w:lineRule="auto"/>
        <w:rPr>
          <w:sz w:val="20"/>
          <w:szCs w:val="20"/>
          <w:color w:val="auto"/>
        </w:rPr>
      </w:pPr>
      <w:r>
        <w:rPr>
          <w:rFonts w:ascii="Arial" w:cs="Arial" w:eastAsia="Arial" w:hAnsi="Arial"/>
          <w:sz w:val="18"/>
          <w:szCs w:val="18"/>
          <w:color w:val="auto"/>
        </w:rPr>
        <w:t>Albany International Corp.</w:t>
      </w:r>
    </w:p>
    <w:p>
      <w:pPr>
        <w:ind w:left="660"/>
        <w:spacing w:after="0" w:line="235" w:lineRule="auto"/>
        <w:rPr>
          <w:sz w:val="20"/>
          <w:szCs w:val="20"/>
          <w:color w:val="auto"/>
        </w:rPr>
      </w:pPr>
      <w:r>
        <w:rPr>
          <w:rFonts w:ascii="Arial" w:cs="Arial" w:eastAsia="Arial" w:hAnsi="Arial"/>
          <w:sz w:val="18"/>
          <w:szCs w:val="18"/>
          <w:color w:val="auto"/>
        </w:rPr>
        <w:t>216 Airport Drive</w:t>
      </w:r>
    </w:p>
    <w:p>
      <w:pPr>
        <w:ind w:left="660"/>
        <w:spacing w:after="0" w:line="235" w:lineRule="auto"/>
        <w:rPr>
          <w:sz w:val="20"/>
          <w:szCs w:val="20"/>
          <w:color w:val="auto"/>
        </w:rPr>
      </w:pPr>
      <w:r>
        <w:rPr>
          <w:rFonts w:ascii="Arial" w:cs="Arial" w:eastAsia="Arial" w:hAnsi="Arial"/>
          <w:sz w:val="18"/>
          <w:szCs w:val="18"/>
          <w:color w:val="auto"/>
        </w:rPr>
        <w:t>Rochester, NH 03867</w:t>
      </w:r>
    </w:p>
    <w:p>
      <w:pPr>
        <w:ind w:left="660"/>
        <w:spacing w:after="0" w:line="235" w:lineRule="auto"/>
        <w:rPr>
          <w:sz w:val="20"/>
          <w:szCs w:val="20"/>
          <w:color w:val="auto"/>
        </w:rPr>
      </w:pPr>
      <w:r>
        <w:rPr>
          <w:rFonts w:ascii="Arial" w:cs="Arial" w:eastAsia="Arial" w:hAnsi="Arial"/>
          <w:sz w:val="18"/>
          <w:szCs w:val="18"/>
          <w:color w:val="auto"/>
        </w:rPr>
        <w:t>Telephone: (603) 330-5850</w:t>
      </w:r>
    </w:p>
    <w:p>
      <w:pPr>
        <w:ind w:left="660"/>
        <w:spacing w:after="0" w:line="235" w:lineRule="auto"/>
        <w:rPr>
          <w:sz w:val="20"/>
          <w:szCs w:val="20"/>
          <w:color w:val="auto"/>
        </w:rPr>
      </w:pPr>
      <w:r>
        <w:rPr>
          <w:rFonts w:ascii="Arial" w:cs="Arial" w:eastAsia="Arial" w:hAnsi="Arial"/>
          <w:sz w:val="18"/>
          <w:szCs w:val="18"/>
          <w:color w:val="auto"/>
        </w:rPr>
        <w:t>Fax: (603) 994-3974</w:t>
      </w:r>
    </w:p>
    <w:p>
      <w:pPr>
        <w:ind w:left="660"/>
        <w:spacing w:after="0"/>
        <w:rPr>
          <w:sz w:val="20"/>
          <w:szCs w:val="20"/>
          <w:color w:val="auto"/>
        </w:rPr>
      </w:pPr>
      <w:r>
        <w:rPr>
          <w:rFonts w:ascii="Arial" w:cs="Arial" w:eastAsia="Arial" w:hAnsi="Arial"/>
          <w:sz w:val="18"/>
          <w:szCs w:val="18"/>
          <w:color w:val="auto"/>
        </w:rPr>
        <w:t>E-mail: investor.relations@albint.com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w:t>
      </w:r>
    </w:p>
    <w:p>
      <w:pPr>
        <w:ind w:left="660"/>
        <w:spacing w:after="0" w:line="234" w:lineRule="auto"/>
        <w:rPr>
          <w:sz w:val="20"/>
          <w:szCs w:val="20"/>
          <w:color w:val="auto"/>
        </w:rPr>
      </w:pPr>
      <w:r>
        <w:rPr>
          <w:rFonts w:ascii="Arial" w:cs="Arial" w:eastAsia="Arial" w:hAnsi="Arial"/>
          <w:sz w:val="18"/>
          <w:szCs w:val="18"/>
          <w:color w:val="auto"/>
        </w:rPr>
        <w:t>P.O. Box 30170</w:t>
      </w:r>
    </w:p>
    <w:p>
      <w:pPr>
        <w:ind w:left="660"/>
        <w:spacing w:after="0" w:line="235" w:lineRule="auto"/>
        <w:rPr>
          <w:sz w:val="20"/>
          <w:szCs w:val="20"/>
          <w:color w:val="auto"/>
        </w:rPr>
      </w:pPr>
      <w:r>
        <w:rPr>
          <w:rFonts w:ascii="Arial" w:cs="Arial" w:eastAsia="Arial" w:hAnsi="Arial"/>
          <w:sz w:val="18"/>
          <w:szCs w:val="18"/>
          <w:color w:val="auto"/>
        </w:rPr>
        <w:t>College Station, TX 77842-3170</w:t>
      </w:r>
    </w:p>
    <w:p>
      <w:pPr>
        <w:ind w:left="660"/>
        <w:spacing w:after="0" w:line="235" w:lineRule="auto"/>
        <w:rPr>
          <w:sz w:val="20"/>
          <w:szCs w:val="20"/>
          <w:color w:val="auto"/>
        </w:rPr>
      </w:pPr>
      <w:r>
        <w:rPr>
          <w:rFonts w:ascii="Arial" w:cs="Arial" w:eastAsia="Arial" w:hAnsi="Arial"/>
          <w:sz w:val="18"/>
          <w:szCs w:val="18"/>
          <w:color w:val="auto"/>
        </w:rPr>
        <w:t>Telephone (toll-free): 1-877-277-9931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www.computershare.com/investor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171"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170"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of name and/or address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Consolidation of accounts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Duplicate mailings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Dividend reinvestment enrollment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Lost stock certificates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of stock to another person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Additional administrative services</w:t>
      </w:r>
    </w:p>
    <w:p>
      <w:pPr>
        <w:spacing w:after="0" w:line="167" w:lineRule="exact"/>
        <w:rPr>
          <w:sz w:val="20"/>
          <w:szCs w:val="20"/>
          <w:color w:val="auto"/>
        </w:rPr>
      </w:pPr>
    </w:p>
    <w:p>
      <w:pPr>
        <w:ind w:right="1720" w:firstLine="648"/>
        <w:spacing w:after="0" w:line="267" w:lineRule="auto"/>
        <w:rPr>
          <w:sz w:val="20"/>
          <w:szCs w:val="20"/>
          <w:color w:val="auto"/>
        </w:rPr>
      </w:pPr>
      <w:r>
        <w:rPr>
          <w:rFonts w:ascii="Arial" w:cs="Arial" w:eastAsia="Arial" w:hAnsi="Arial"/>
          <w:sz w:val="18"/>
          <w:szCs w:val="18"/>
          <w:i w:val="1"/>
          <w:iCs w:val="1"/>
          <w:color w:val="auto"/>
        </w:rPr>
        <w:t xml:space="preserve">Access your investor statements online 24 hours a day, 7 days a week with MLinkSM. For more information, go to </w:t>
      </w:r>
      <w:r>
        <w:rPr>
          <w:rFonts w:ascii="Arial" w:cs="Arial" w:eastAsia="Arial" w:hAnsi="Arial"/>
          <w:sz w:val="18"/>
          <w:szCs w:val="18"/>
          <w:i w:val="1"/>
          <w:iCs w:val="1"/>
          <w:u w:val="single" w:color="auto"/>
          <w:color w:val="auto"/>
        </w:rPr>
        <w:t>www.computershare.com/investor</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207"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Annual Meeting of the Company’s shareholders will be held on Friday, May 15, 2015, at 9:00 a.m. at The One Hundred Club, 100 Market Street, Suite 500, Portsmouth, New Hampshire 03801.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9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Albany International is listed on the New York Stock Exchange (Symbol AIN). Stock tables in newspapers and financial publications list Albany International as “AlbanyInt.”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Equal Employment Opportunity</w:t>
      </w:r>
    </w:p>
    <w:p>
      <w:pPr>
        <w:spacing w:after="0" w:line="207"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Albany International, as a matter of policy, does not discriminate against any employee or applicant for employment because of race, color, religion, sex,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9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INLINE, KRAFTLINE, PRINTLINE, HYDROCROSS, SEAM HYDROCROSS, SEAMPLANE, Seam KMX, SPRING, VENTABELT EVM, VENTABELT XTS, TRANSBELT GX, SPIRALTOP, AEROPULSE, AEROPOINT, DURASPIRAL, TOPSTAT, SUPRASTAT and NOVALACE are all are trade names of Albany International Corp.</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Directors and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420"/>
          </w:cols>
          <w:pgMar w:left="240" w:top="1035"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Erland E. Kailbourne, Chairman</w:t>
      </w:r>
      <w:r>
        <w:rPr>
          <w:rFonts w:ascii="Arial" w:cs="Arial" w:eastAsia="Arial" w:hAnsi="Arial"/>
          <w:sz w:val="15"/>
          <w:szCs w:val="15"/>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Retired – Chairman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Fleet National Bank (New York Region)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Edgar G. Hotard</w:t>
      </w:r>
      <w:r>
        <w:rPr>
          <w:rFonts w:ascii="Arial" w:cs="Arial" w:eastAsia="Arial" w:hAnsi="Arial"/>
          <w:sz w:val="15"/>
          <w:szCs w:val="15"/>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Operating Partner - HAO Capital</w:t>
      </w:r>
    </w:p>
    <w:p>
      <w:pPr>
        <w:spacing w:after="0" w:line="412"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John C. Standish,</w:t>
      </w:r>
      <w:r>
        <w:rPr>
          <w:rFonts w:ascii="Arial" w:cs="Arial" w:eastAsia="Arial" w:hAnsi="Arial"/>
          <w:sz w:val="15"/>
          <w:szCs w:val="15"/>
          <w:color w:val="auto"/>
        </w:rPr>
        <w:t>2</w:t>
      </w:r>
      <w:r>
        <w:rPr>
          <w:rFonts w:ascii="Arial" w:cs="Arial" w:eastAsia="Arial" w:hAnsi="Arial"/>
          <w:sz w:val="18"/>
          <w:szCs w:val="18"/>
          <w:color w:val="auto"/>
        </w:rPr>
        <w:t xml:space="preserve"> Vice Chairman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President, J.S. Standish Company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G. Morone</w:t>
      </w:r>
    </w:p>
    <w:p>
      <w:pPr>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John F. Cassidy, Jr.</w:t>
      </w:r>
      <w:r>
        <w:rPr>
          <w:rFonts w:ascii="Arial" w:cs="Arial" w:eastAsia="Arial" w:hAnsi="Arial"/>
          <w:sz w:val="15"/>
          <w:szCs w:val="15"/>
          <w:color w:val="auto"/>
        </w:rPr>
        <w:t>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Retired – Senior Vice President,</w:t>
      </w:r>
    </w:p>
    <w:p>
      <w:pPr>
        <w:spacing w:after="0"/>
        <w:rPr>
          <w:sz w:val="20"/>
          <w:szCs w:val="20"/>
          <w:color w:val="auto"/>
        </w:rPr>
      </w:pPr>
      <w:r>
        <w:rPr>
          <w:rFonts w:ascii="Arial" w:cs="Arial" w:eastAsia="Arial" w:hAnsi="Arial"/>
          <w:sz w:val="17"/>
          <w:szCs w:val="17"/>
          <w:color w:val="auto"/>
        </w:rPr>
        <w:t>Science and Technology, United Technologies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Christine L. Standish</w:t>
      </w:r>
      <w:r>
        <w:rPr>
          <w:rFonts w:ascii="Arial" w:cs="Arial" w:eastAsia="Arial" w:hAnsi="Arial"/>
          <w:sz w:val="15"/>
          <w:szCs w:val="15"/>
          <w:color w:val="auto"/>
        </w:rPr>
        <w:t>3</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Chairperson, J.S. Standish Company</w:t>
      </w:r>
    </w:p>
    <w:p>
      <w:pPr>
        <w:spacing w:after="0" w:line="402"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Katharine L. Plourde</w:t>
      </w:r>
      <w:r>
        <w:rPr>
          <w:rFonts w:ascii="Arial" w:cs="Arial" w:eastAsia="Arial" w:hAnsi="Arial"/>
          <w:sz w:val="15"/>
          <w:szCs w:val="15"/>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Retired- Principal and Analyst,</w:t>
      </w:r>
    </w:p>
    <w:p>
      <w:pPr>
        <w:spacing w:after="0"/>
        <w:rPr>
          <w:sz w:val="20"/>
          <w:szCs w:val="20"/>
          <w:color w:val="auto"/>
        </w:rPr>
      </w:pPr>
      <w:r>
        <w:rPr>
          <w:rFonts w:ascii="Arial" w:cs="Arial" w:eastAsia="Arial" w:hAnsi="Arial"/>
          <w:sz w:val="17"/>
          <w:szCs w:val="17"/>
          <w:color w:val="auto"/>
        </w:rPr>
        <w:t>Donaldson, Lufkin &amp; Jenrette,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John R. Scannell</w:t>
      </w:r>
      <w:r>
        <w:rPr>
          <w:rFonts w:ascii="Arial" w:cs="Arial" w:eastAsia="Arial" w:hAnsi="Arial"/>
          <w:sz w:val="15"/>
          <w:szCs w:val="15"/>
          <w:color w:val="auto"/>
        </w:rPr>
        <w:t>2</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 Moog Inc.</w:t>
      </w:r>
    </w:p>
    <w:p>
      <w:pPr>
        <w:spacing w:after="0" w:line="402"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line="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¹ Member, Audit Committee</w:t>
      </w:r>
    </w:p>
    <w:p>
      <w:pPr>
        <w:ind w:left="5620"/>
        <w:spacing w:after="0"/>
        <w:rPr>
          <w:sz w:val="20"/>
          <w:szCs w:val="20"/>
          <w:color w:val="auto"/>
        </w:rPr>
      </w:pPr>
      <w:r>
        <w:rPr>
          <w:rFonts w:ascii="Arial" w:cs="Arial" w:eastAsia="Arial" w:hAnsi="Arial"/>
          <w:sz w:val="17"/>
          <w:szCs w:val="17"/>
          <w:color w:val="auto"/>
        </w:rPr>
        <w:t>² Member, Compensation Committee</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³ Member, Governance Committee</w:t>
      </w:r>
    </w:p>
    <w:p>
      <w:pPr>
        <w:sectPr>
          <w:pgSz w:w="11900" w:h="16838" w:orient="portrait"/>
          <w:cols w:equalWidth="0" w:num="1">
            <w:col w:w="11420"/>
          </w:cols>
          <w:pgMar w:left="240" w:top="1035" w:right="2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Joseph G. Morone</w:t>
      </w: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John B. Cozzolino</w:t>
      </w:r>
    </w:p>
    <w:p>
      <w:pPr>
        <w:spacing w:after="0"/>
        <w:rPr>
          <w:sz w:val="20"/>
          <w:szCs w:val="20"/>
          <w:color w:val="auto"/>
        </w:rPr>
      </w:pPr>
      <w:r>
        <w:rPr>
          <w:rFonts w:ascii="Arial" w:cs="Arial" w:eastAsia="Arial" w:hAnsi="Arial"/>
          <w:sz w:val="17"/>
          <w:szCs w:val="17"/>
          <w:color w:val="auto"/>
        </w:rPr>
        <w:t>Chief Financial Officer and Treasurer</w:t>
      </w:r>
    </w:p>
    <w:p>
      <w:pPr>
        <w:spacing w:after="0" w:line="205"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Ralph M. Polumbo</w:t>
      </w:r>
    </w:p>
    <w:p>
      <w:pPr>
        <w:spacing w:after="0"/>
        <w:rPr>
          <w:sz w:val="20"/>
          <w:szCs w:val="20"/>
          <w:color w:val="auto"/>
        </w:rPr>
      </w:pPr>
      <w:r>
        <w:rPr>
          <w:rFonts w:ascii="Arial" w:cs="Arial" w:eastAsia="Arial" w:hAnsi="Arial"/>
          <w:sz w:val="18"/>
          <w:szCs w:val="18"/>
          <w:color w:val="auto"/>
        </w:rPr>
        <w:t>President – Albany Engineered Composites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M. Pawlick</w:t>
      </w:r>
    </w:p>
    <w:p>
      <w:pPr>
        <w:spacing w:after="0"/>
        <w:rPr>
          <w:sz w:val="20"/>
          <w:szCs w:val="20"/>
          <w:color w:val="auto"/>
        </w:rPr>
      </w:pPr>
      <w:r>
        <w:rPr>
          <w:rFonts w:ascii="Arial" w:cs="Arial" w:eastAsia="Arial" w:hAnsi="Arial"/>
          <w:sz w:val="17"/>
          <w:szCs w:val="17"/>
          <w:color w:val="auto"/>
        </w:rPr>
        <w:t>Vice President – Controller</w:t>
      </w:r>
    </w:p>
    <w:p>
      <w:pPr>
        <w:spacing w:after="0" w:line="205"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Daniel A. Halftermeyer</w:t>
      </w:r>
    </w:p>
    <w:p>
      <w:pPr>
        <w:spacing w:after="0"/>
        <w:rPr>
          <w:sz w:val="20"/>
          <w:szCs w:val="20"/>
          <w:color w:val="auto"/>
        </w:rPr>
      </w:pPr>
      <w:r>
        <w:rPr>
          <w:rFonts w:ascii="Arial" w:cs="Arial" w:eastAsia="Arial" w:hAnsi="Arial"/>
          <w:sz w:val="18"/>
          <w:szCs w:val="18"/>
          <w:color w:val="auto"/>
        </w:rPr>
        <w:t>President – Machine Clothing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Charles J. Silva, Jr.</w:t>
      </w:r>
    </w:p>
    <w:p>
      <w:pPr>
        <w:spacing w:after="0"/>
        <w:rPr>
          <w:sz w:val="20"/>
          <w:szCs w:val="20"/>
          <w:color w:val="auto"/>
        </w:rPr>
      </w:pPr>
      <w:r>
        <w:rPr>
          <w:rFonts w:ascii="Arial" w:cs="Arial" w:eastAsia="Arial" w:hAnsi="Arial"/>
          <w:sz w:val="17"/>
          <w:szCs w:val="17"/>
          <w:color w:val="auto"/>
        </w:rPr>
        <w:t>Vice President – General Counsel and Secretary</w:t>
      </w:r>
    </w:p>
    <w:p>
      <w:pPr>
        <w:spacing w:after="0" w:line="205"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Robert A. Hansen</w:t>
      </w: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Dawne H. Wimbrow</w:t>
      </w:r>
    </w:p>
    <w:p>
      <w:pPr>
        <w:spacing w:after="0"/>
        <w:rPr>
          <w:sz w:val="20"/>
          <w:szCs w:val="20"/>
          <w:color w:val="auto"/>
        </w:rPr>
      </w:pPr>
      <w:r>
        <w:rPr>
          <w:rFonts w:ascii="Arial" w:cs="Arial" w:eastAsia="Arial" w:hAnsi="Arial"/>
          <w:sz w:val="17"/>
          <w:szCs w:val="17"/>
          <w:color w:val="auto"/>
        </w:rPr>
        <w:t>Vice President – Global Information Services and Chief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Information Officer</w:t>
      </w:r>
    </w:p>
    <w:p>
      <w:pPr>
        <w:spacing w:after="0" w:line="194" w:lineRule="exact"/>
        <w:rPr>
          <w:sz w:val="20"/>
          <w:szCs w:val="20"/>
          <w:color w:val="auto"/>
        </w:rPr>
      </w:pPr>
    </w:p>
    <w:p>
      <w:pPr>
        <w:sectPr>
          <w:pgSz w:w="11900" w:h="16838" w:orient="portrait"/>
          <w:cols w:equalWidth="0" w:num="2">
            <w:col w:w="4900" w:space="720"/>
            <w:col w:w="5800"/>
          </w:cols>
          <w:pgMar w:left="240" w:top="10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Joseph M. Gaug</w:t>
      </w:r>
    </w:p>
    <w:p>
      <w:pPr>
        <w:spacing w:after="0"/>
        <w:rPr>
          <w:sz w:val="20"/>
          <w:szCs w:val="20"/>
          <w:color w:val="auto"/>
        </w:rPr>
      </w:pPr>
      <w:r>
        <w:rPr>
          <w:rFonts w:ascii="Arial" w:cs="Arial" w:eastAsia="Arial" w:hAnsi="Arial"/>
          <w:sz w:val="18"/>
          <w:szCs w:val="18"/>
          <w:color w:val="auto"/>
        </w:rPr>
        <w:t>Associate General Counsel and Assistant Secretary</w:t>
      </w:r>
    </w:p>
    <w:p>
      <w:pPr>
        <w:sectPr>
          <w:pgSz w:w="11900" w:h="16838" w:orient="portrait"/>
          <w:cols w:equalWidth="0" w:num="1">
            <w:col w:w="11420"/>
          </w:cols>
          <w:pgMar w:left="240" w:top="103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20"/>
                <w:szCs w:val="20"/>
                <w:color w:val="auto"/>
              </w:rPr>
            </w:pPr>
            <w:r>
              <w:rPr>
                <w:rFonts w:ascii="Arial" w:cs="Arial" w:eastAsia="Arial" w:hAnsi="Arial"/>
                <w:sz w:val="14"/>
                <w:szCs w:val="14"/>
                <w:b w:val="1"/>
                <w:bCs w:val="1"/>
                <w:color w:val="auto"/>
              </w:rPr>
              <w:t>SUBSIDIARIES OF REGISTRANT</w:t>
            </w:r>
          </w:p>
        </w:tc>
        <w:tc>
          <w:tcPr>
            <w:tcW w:w="2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Exhibit 21</w:t>
            </w:r>
          </w:p>
        </w:tc>
      </w:tr>
      <w:tr>
        <w:trPr>
          <w:trHeight w:val="471"/>
        </w:trPr>
        <w:tc>
          <w:tcPr>
            <w:tcW w:w="47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Affiliate</w:t>
            </w:r>
          </w:p>
        </w:tc>
        <w:tc>
          <w:tcPr>
            <w:tcW w:w="224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b w:val="1"/>
                <w:bCs w:val="1"/>
                <w:color w:val="auto"/>
              </w:rPr>
              <w:t>Percent Ownership</w:t>
            </w:r>
          </w:p>
        </w:tc>
        <w:tc>
          <w:tcPr>
            <w:tcW w:w="14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Percent Ownership</w:t>
            </w:r>
          </w:p>
        </w:tc>
        <w:tc>
          <w:tcPr>
            <w:tcW w:w="29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Country of Incorporation</w:t>
            </w:r>
          </w:p>
        </w:tc>
      </w:tr>
      <w:tr>
        <w:trPr>
          <w:trHeight w:val="184"/>
        </w:trPr>
        <w:tc>
          <w:tcPr>
            <w:tcW w:w="4760" w:type="dxa"/>
            <w:vAlign w:val="bottom"/>
          </w:tcPr>
          <w:p>
            <w:pPr>
              <w:spacing w:after="0"/>
              <w:rPr>
                <w:sz w:val="15"/>
                <w:szCs w:val="15"/>
                <w:color w:val="auto"/>
              </w:rPr>
            </w:pPr>
          </w:p>
        </w:tc>
        <w:tc>
          <w:tcPr>
            <w:tcW w:w="2240" w:type="dxa"/>
            <w:vAlign w:val="bottom"/>
          </w:tcPr>
          <w:p>
            <w:pPr>
              <w:jc w:val="center"/>
              <w:ind w:left="628"/>
              <w:spacing w:after="0"/>
              <w:rPr>
                <w:sz w:val="20"/>
                <w:szCs w:val="20"/>
                <w:color w:val="auto"/>
              </w:rPr>
            </w:pPr>
            <w:r>
              <w:rPr>
                <w:rFonts w:ascii="Arial" w:cs="Arial" w:eastAsia="Arial" w:hAnsi="Arial"/>
                <w:sz w:val="14"/>
                <w:szCs w:val="14"/>
                <w:b w:val="1"/>
                <w:bCs w:val="1"/>
                <w:color w:val="auto"/>
              </w:rPr>
              <w:t>Direct</w:t>
            </w:r>
          </w:p>
        </w:tc>
        <w:tc>
          <w:tcPr>
            <w:tcW w:w="1440" w:type="dxa"/>
            <w:vAlign w:val="bottom"/>
          </w:tcPr>
          <w:p>
            <w:pPr>
              <w:jc w:val="center"/>
              <w:ind w:left="8"/>
              <w:spacing w:after="0"/>
              <w:rPr>
                <w:sz w:val="20"/>
                <w:szCs w:val="20"/>
                <w:color w:val="auto"/>
              </w:rPr>
            </w:pPr>
            <w:r>
              <w:rPr>
                <w:rFonts w:ascii="Arial" w:cs="Arial" w:eastAsia="Arial" w:hAnsi="Arial"/>
                <w:sz w:val="14"/>
                <w:szCs w:val="14"/>
                <w:b w:val="1"/>
                <w:bCs w:val="1"/>
                <w:color w:val="auto"/>
              </w:rPr>
              <w:t>Indirect</w:t>
            </w:r>
          </w:p>
        </w:tc>
        <w:tc>
          <w:tcPr>
            <w:tcW w:w="2980" w:type="dxa"/>
            <w:vAlign w:val="bottom"/>
          </w:tcPr>
          <w:p>
            <w:pPr>
              <w:spacing w:after="0"/>
              <w:rPr>
                <w:sz w:val="15"/>
                <w:szCs w:val="15"/>
                <w:color w:val="auto"/>
              </w:rPr>
            </w:pPr>
          </w:p>
        </w:tc>
      </w:tr>
      <w:tr>
        <w:trPr>
          <w:trHeight w:val="301"/>
        </w:trPr>
        <w:tc>
          <w:tcPr>
            <w:tcW w:w="4760" w:type="dxa"/>
            <w:vAlign w:val="bottom"/>
          </w:tcPr>
          <w:p>
            <w:pPr>
              <w:spacing w:after="0"/>
              <w:rPr>
                <w:sz w:val="20"/>
                <w:szCs w:val="20"/>
                <w:color w:val="auto"/>
              </w:rPr>
            </w:pPr>
            <w:r>
              <w:rPr>
                <w:rFonts w:ascii="Arial" w:cs="Arial" w:eastAsia="Arial" w:hAnsi="Arial"/>
                <w:sz w:val="14"/>
                <w:szCs w:val="14"/>
                <w:color w:val="auto"/>
              </w:rPr>
              <w:t>Albany International Corp.</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Holdings Two, Inc.</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100%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Research Co.</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100%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Engineered Composites, Inc.</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100%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Safran Composites, LLC</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w w:val="99"/>
              </w:rPr>
              <w:t>90%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Geschmay Corp.</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100%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Transglobal Enterprises, Inc.</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100%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Brandon Drying Fabrics, Inc.</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Geschmay Forming Fabrics Corp.</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Geschmay Wet Felts, Inc.</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United States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Pty., Ltd.</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Tecidos Tecnicos Ltda.</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Brazil</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Canada Corp.</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Canada</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(China) Co., Ltd.</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China</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Engineered Textiles (Hangzhou) Co., Ltd.</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China</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OY</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Finland</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France, S.A.S.</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Safran Composites, S.A.S</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Germany Holding GmbH</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GmbH</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Wurttembergische Filztuchfabrik D. Geschmay GmbH</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Italia S.r.l.</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Italy</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Nordiskafilt Kabushiki Kaisha</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Japan</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Korea, Inc.</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Korea</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de Mexico S.A. de C.V.</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100%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B.V.</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Nevo-Cloth Ltd.</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50%</w:t>
            </w:r>
          </w:p>
        </w:tc>
        <w:tc>
          <w:tcPr>
            <w:tcW w:w="2980" w:type="dxa"/>
            <w:vAlign w:val="bottom"/>
          </w:tcPr>
          <w:p>
            <w:pPr>
              <w:ind w:left="20"/>
              <w:spacing w:after="0"/>
              <w:rPr>
                <w:sz w:val="20"/>
                <w:szCs w:val="20"/>
                <w:color w:val="auto"/>
              </w:rPr>
            </w:pPr>
            <w:r>
              <w:rPr>
                <w:rFonts w:ascii="Arial" w:cs="Arial" w:eastAsia="Arial" w:hAnsi="Arial"/>
                <w:sz w:val="14"/>
                <w:szCs w:val="14"/>
                <w:color w:val="auto"/>
              </w:rPr>
              <w:t>Russia</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S.A. Pty. Ltd.</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South Africa</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AB</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Sweden</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Holding AB</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Sweden</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Dewa Consulting AB</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Sweden</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Nordiska Maskinfilt Aktiebolag</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Sweden</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(Switzerland) GmbH</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Switzerland</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Holding (Switzerland) AG</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Switzerland</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Europe GmbH</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Switzerland</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Albany International Ltd.</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James Kenyon &amp; Sons, Ltd.</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100%</w:t>
            </w:r>
          </w:p>
        </w:tc>
        <w:tc>
          <w:tcPr>
            <w:tcW w:w="144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72"/>
        </w:trPr>
        <w:tc>
          <w:tcPr>
            <w:tcW w:w="4760" w:type="dxa"/>
            <w:vAlign w:val="bottom"/>
          </w:tcPr>
          <w:p>
            <w:pPr>
              <w:spacing w:after="0"/>
              <w:rPr>
                <w:sz w:val="20"/>
                <w:szCs w:val="20"/>
                <w:color w:val="auto"/>
              </w:rPr>
            </w:pPr>
            <w:r>
              <w:rPr>
                <w:rFonts w:ascii="Arial" w:cs="Arial" w:eastAsia="Arial" w:hAnsi="Arial"/>
                <w:sz w:val="14"/>
                <w:szCs w:val="14"/>
                <w:color w:val="auto"/>
              </w:rPr>
              <w:t>Albany Engineered Composites, Ltd.</w:t>
            </w:r>
          </w:p>
        </w:tc>
        <w:tc>
          <w:tcPr>
            <w:tcW w:w="2240" w:type="dxa"/>
            <w:vAlign w:val="bottom"/>
          </w:tcPr>
          <w:p>
            <w:pPr>
              <w:spacing w:after="0"/>
              <w:rPr>
                <w:sz w:val="14"/>
                <w:szCs w:val="14"/>
                <w:color w:val="auto"/>
              </w:rPr>
            </w:pPr>
          </w:p>
        </w:tc>
        <w:tc>
          <w:tcPr>
            <w:tcW w:w="144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980" w:type="dxa"/>
            <w:vAlign w:val="bottom"/>
          </w:tcPr>
          <w:p>
            <w:pPr>
              <w:ind w:left="20"/>
              <w:spacing w:after="0"/>
              <w:rPr>
                <w:sz w:val="20"/>
                <w:szCs w:val="20"/>
                <w:color w:val="auto"/>
              </w:rPr>
            </w:pPr>
            <w:r>
              <w:rPr>
                <w:rFonts w:ascii="Arial" w:cs="Arial" w:eastAsia="Arial" w:hAnsi="Arial"/>
                <w:sz w:val="14"/>
                <w:szCs w:val="14"/>
                <w:color w:val="auto"/>
              </w:rPr>
              <w:t>United Kingdom</w:t>
            </w:r>
          </w:p>
        </w:tc>
      </w:tr>
    </w:tbl>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statements (Nos. 333-195269, 333-140995, 333-76078, 333-90069, 033-60767, 333-190774) on Form S-8 of Albany International Corp. of our report dated February 25, 2015, with respect to the consolidated balance sheet of Albany International Corp. as of December 31, 2014, and the related consolidated statements of income, comprehensive income/(loss), and cash flows for the year then ended, and the related financial statement schedule, and the effectiveness of internal control over financial reporting as of December 31, 2014, which report appears in the December 31, 2014 annual report on Form 10-K of Albany International Corp.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34" w:lineRule="auto"/>
        <w:rPr>
          <w:sz w:val="20"/>
          <w:szCs w:val="20"/>
          <w:color w:val="auto"/>
        </w:rPr>
      </w:pPr>
      <w:r>
        <w:rPr>
          <w:rFonts w:ascii="Arial" w:cs="Arial" w:eastAsia="Arial" w:hAnsi="Arial"/>
          <w:sz w:val="18"/>
          <w:szCs w:val="18"/>
          <w:color w:val="auto"/>
        </w:rPr>
        <w:t>Albany,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hereby consent to the incorporation by reference in the Registration Statement on Form S-8 (No. File Nos. 333-195269, 333-</w:t>
      </w:r>
    </w:p>
    <w:p>
      <w:pPr>
        <w:spacing w:after="0" w:line="3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140995, 333-76078, 333-90069, 033-60767, 333-190774 ) of Albany International Corp. of our report dated February 26, 2014 except for the effects of the revisions discussed in Notes 5, 8 and 11, as to which the date is February 27, 2015 relating to the consolidated financial statements and financial statement schedule,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0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2014 (such report, together with any amendments, supplements, and exhibits thereto, is collectively hereinafter referred to as “Form 10-K”), hereby constitutes and appoints Joseph G. Morone, David M. Pawlick, Charles J. Silva Jr., John B. Cozzolino,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6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duly executed this Power of Attorney this 27th day of February,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9"/>
              </w:rPr>
              <w:t>/s/ Erland E. Kailbourne</w:t>
            </w:r>
          </w:p>
        </w:tc>
        <w:tc>
          <w:tcPr>
            <w:tcW w:w="4620" w:type="dxa"/>
            <w:vAlign w:val="bottom"/>
          </w:tcPr>
          <w:p>
            <w:pPr>
              <w:spacing w:after="0"/>
              <w:rPr>
                <w:sz w:val="17"/>
                <w:szCs w:val="17"/>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/s/ Joseph G. Morone</w:t>
            </w:r>
          </w:p>
        </w:tc>
        <w:tc>
          <w:tcPr>
            <w:tcW w:w="680" w:type="dxa"/>
            <w:vAlign w:val="bottom"/>
            <w:gridSpan w:val="3"/>
          </w:tcPr>
          <w:p>
            <w:pPr>
              <w:spacing w:after="0"/>
              <w:rPr>
                <w:sz w:val="17"/>
                <w:szCs w:val="17"/>
                <w:color w:val="auto"/>
              </w:rPr>
            </w:pPr>
          </w:p>
        </w:tc>
      </w:tr>
      <w:tr>
        <w:trPr>
          <w:trHeight w:val="209"/>
        </w:trPr>
        <w:tc>
          <w:tcPr>
            <w:tcW w:w="6520" w:type="dxa"/>
            <w:vAlign w:val="bottom"/>
            <w:gridSpan w:val="6"/>
          </w:tcPr>
          <w:p>
            <w:pPr>
              <w:spacing w:after="0"/>
              <w:rPr>
                <w:sz w:val="20"/>
                <w:szCs w:val="20"/>
                <w:color w:val="auto"/>
              </w:rPr>
            </w:pPr>
            <w:r>
              <w:rPr>
                <w:rFonts w:ascii="Arial" w:cs="Arial" w:eastAsia="Arial" w:hAnsi="Arial"/>
                <w:sz w:val="18"/>
                <w:szCs w:val="18"/>
                <w:color w:val="auto"/>
              </w:rPr>
              <w:t>Erland E. Kailbourne</w:t>
            </w:r>
          </w:p>
        </w:tc>
        <w:tc>
          <w:tcPr>
            <w:tcW w:w="2400" w:type="dxa"/>
            <w:vAlign w:val="bottom"/>
            <w:gridSpan w:val="6"/>
          </w:tcPr>
          <w:p>
            <w:pPr>
              <w:spacing w:after="0"/>
              <w:rPr>
                <w:sz w:val="20"/>
                <w:szCs w:val="20"/>
                <w:color w:val="auto"/>
              </w:rPr>
            </w:pPr>
            <w:r>
              <w:rPr>
                <w:rFonts w:ascii="Arial" w:cs="Arial" w:eastAsia="Arial" w:hAnsi="Arial"/>
                <w:sz w:val="18"/>
                <w:szCs w:val="18"/>
                <w:color w:val="auto"/>
              </w:rPr>
              <w:t>Joseph G. Morone</w:t>
            </w:r>
          </w:p>
        </w:tc>
      </w:tr>
      <w:tr>
        <w:trPr>
          <w:trHeight w:val="203"/>
        </w:trPr>
        <w:tc>
          <w:tcPr>
            <w:tcW w:w="6520" w:type="dxa"/>
            <w:vAlign w:val="bottom"/>
            <w:gridSpan w:val="6"/>
          </w:tcPr>
          <w:p>
            <w:pPr>
              <w:spacing w:after="0" w:line="202" w:lineRule="exact"/>
              <w:rPr>
                <w:sz w:val="20"/>
                <w:szCs w:val="20"/>
                <w:color w:val="auto"/>
              </w:rPr>
            </w:pPr>
            <w:r>
              <w:rPr>
                <w:rFonts w:ascii="Arial" w:cs="Arial" w:eastAsia="Arial" w:hAnsi="Arial"/>
                <w:sz w:val="18"/>
                <w:szCs w:val="18"/>
                <w:color w:val="auto"/>
              </w:rPr>
              <w:t>Chairman of the Board and Director</w:t>
            </w:r>
          </w:p>
        </w:tc>
        <w:tc>
          <w:tcPr>
            <w:tcW w:w="2400" w:type="dxa"/>
            <w:vAlign w:val="bottom"/>
            <w:gridSpan w:val="6"/>
          </w:tcPr>
          <w:p>
            <w:pPr>
              <w:spacing w:after="0" w:line="202" w:lineRule="exact"/>
              <w:rPr>
                <w:sz w:val="20"/>
                <w:szCs w:val="20"/>
                <w:color w:val="auto"/>
              </w:rPr>
            </w:pPr>
            <w:r>
              <w:rPr>
                <w:rFonts w:ascii="Arial" w:cs="Arial" w:eastAsia="Arial" w:hAnsi="Arial"/>
                <w:sz w:val="18"/>
                <w:szCs w:val="18"/>
                <w:color w:val="auto"/>
                <w:w w:val="98"/>
              </w:rPr>
              <w:t>President and Chief Executive</w:t>
            </w:r>
          </w:p>
        </w:tc>
      </w:tr>
      <w:tr>
        <w:trPr>
          <w:trHeight w:val="203"/>
        </w:trPr>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0" w:type="dxa"/>
            <w:vAlign w:val="bottom"/>
            <w:gridSpan w:val="6"/>
          </w:tcPr>
          <w:p>
            <w:pPr>
              <w:spacing w:after="0" w:line="202" w:lineRule="exact"/>
              <w:rPr>
                <w:sz w:val="20"/>
                <w:szCs w:val="20"/>
                <w:color w:val="auto"/>
              </w:rPr>
            </w:pPr>
            <w:r>
              <w:rPr>
                <w:rFonts w:ascii="Arial" w:cs="Arial" w:eastAsia="Arial" w:hAnsi="Arial"/>
                <w:sz w:val="18"/>
                <w:szCs w:val="18"/>
                <w:color w:val="auto"/>
              </w:rPr>
              <w:t>Officer and Director</w:t>
            </w:r>
          </w:p>
        </w:tc>
      </w:tr>
      <w:tr>
        <w:trPr>
          <w:trHeight w:val="217"/>
        </w:trPr>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0" w:type="dxa"/>
            <w:vAlign w:val="bottom"/>
            <w:gridSpan w:val="6"/>
          </w:tcPr>
          <w:p>
            <w:pPr>
              <w:spacing w:after="0"/>
              <w:rPr>
                <w:sz w:val="20"/>
                <w:szCs w:val="20"/>
                <w:color w:val="auto"/>
              </w:rPr>
            </w:pPr>
            <w:r>
              <w:rPr>
                <w:rFonts w:ascii="Arial" w:cs="Arial" w:eastAsia="Arial" w:hAnsi="Arial"/>
                <w:sz w:val="18"/>
                <w:szCs w:val="18"/>
                <w:color w:val="auto"/>
              </w:rPr>
              <w:t>(Principal Executive Officer)</w:t>
            </w:r>
          </w:p>
        </w:tc>
      </w:tr>
      <w:tr>
        <w:trPr>
          <w:trHeight w:val="365"/>
        </w:trPr>
        <w:tc>
          <w:tcPr>
            <w:tcW w:w="1700" w:type="dxa"/>
            <w:vAlign w:val="bottom"/>
            <w:gridSpan w:val="3"/>
          </w:tcPr>
          <w:p>
            <w:pPr>
              <w:spacing w:after="0"/>
              <w:rPr>
                <w:sz w:val="20"/>
                <w:szCs w:val="20"/>
                <w:color w:val="auto"/>
              </w:rPr>
            </w:pPr>
            <w:r>
              <w:rPr>
                <w:rFonts w:ascii="Arial" w:cs="Arial" w:eastAsia="Arial" w:hAnsi="Arial"/>
                <w:sz w:val="18"/>
                <w:szCs w:val="18"/>
                <w:color w:val="auto"/>
                <w:w w:val="99"/>
              </w:rPr>
              <w:t>/s/ John B. Cozzolino</w:t>
            </w:r>
          </w:p>
        </w:tc>
        <w:tc>
          <w:tcPr>
            <w:tcW w:w="4820" w:type="dxa"/>
            <w:vAlign w:val="bottom"/>
            <w:gridSpan w:val="3"/>
          </w:tcPr>
          <w:p>
            <w:pPr>
              <w:spacing w:after="0"/>
              <w:rPr>
                <w:sz w:val="24"/>
                <w:szCs w:val="24"/>
                <w:color w:val="auto"/>
              </w:rPr>
            </w:pPr>
          </w:p>
        </w:tc>
        <w:tc>
          <w:tcPr>
            <w:tcW w:w="2400" w:type="dxa"/>
            <w:vAlign w:val="bottom"/>
            <w:gridSpan w:val="6"/>
          </w:tcPr>
          <w:p>
            <w:pPr>
              <w:spacing w:after="0"/>
              <w:rPr>
                <w:sz w:val="20"/>
                <w:szCs w:val="20"/>
                <w:color w:val="auto"/>
              </w:rPr>
            </w:pPr>
            <w:r>
              <w:rPr>
                <w:rFonts w:ascii="Arial" w:cs="Arial" w:eastAsia="Arial" w:hAnsi="Arial"/>
                <w:sz w:val="18"/>
                <w:szCs w:val="18"/>
                <w:color w:val="auto"/>
              </w:rPr>
              <w:t>/s/ David M. Pawlick</w:t>
            </w:r>
          </w:p>
        </w:tc>
      </w:tr>
      <w:tr>
        <w:trPr>
          <w:trHeight w:val="209"/>
        </w:trPr>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John B. Cozzolino</w:t>
            </w:r>
          </w:p>
        </w:tc>
        <w:tc>
          <w:tcPr>
            <w:tcW w:w="4820" w:type="dxa"/>
            <w:vAlign w:val="bottom"/>
            <w:gridSpan w:val="3"/>
          </w:tcPr>
          <w:p>
            <w:pPr>
              <w:spacing w:after="0"/>
              <w:rPr>
                <w:sz w:val="18"/>
                <w:szCs w:val="18"/>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M. Pawlick</w:t>
            </w:r>
          </w:p>
        </w:tc>
        <w:tc>
          <w:tcPr>
            <w:tcW w:w="800" w:type="dxa"/>
            <w:vAlign w:val="bottom"/>
            <w:gridSpan w:val="4"/>
          </w:tcPr>
          <w:p>
            <w:pPr>
              <w:spacing w:after="0"/>
              <w:rPr>
                <w:sz w:val="18"/>
                <w:szCs w:val="18"/>
                <w:color w:val="auto"/>
              </w:rPr>
            </w:pPr>
          </w:p>
        </w:tc>
      </w:tr>
      <w:tr>
        <w:trPr>
          <w:trHeight w:val="203"/>
        </w:trPr>
        <w:tc>
          <w:tcPr>
            <w:tcW w:w="6520" w:type="dxa"/>
            <w:vAlign w:val="bottom"/>
            <w:gridSpan w:val="6"/>
          </w:tcPr>
          <w:p>
            <w:pPr>
              <w:spacing w:after="0" w:line="202" w:lineRule="exact"/>
              <w:rPr>
                <w:sz w:val="20"/>
                <w:szCs w:val="20"/>
                <w:color w:val="auto"/>
              </w:rPr>
            </w:pPr>
            <w:r>
              <w:rPr>
                <w:rFonts w:ascii="Arial" w:cs="Arial" w:eastAsia="Arial" w:hAnsi="Arial"/>
                <w:sz w:val="18"/>
                <w:szCs w:val="18"/>
                <w:color w:val="auto"/>
              </w:rPr>
              <w:t>Chief Financial Officer and Treasurer</w:t>
            </w:r>
          </w:p>
        </w:tc>
        <w:tc>
          <w:tcPr>
            <w:tcW w:w="2400" w:type="dxa"/>
            <w:vAlign w:val="bottom"/>
            <w:gridSpan w:val="6"/>
          </w:tcPr>
          <w:p>
            <w:pPr>
              <w:spacing w:after="0" w:line="202" w:lineRule="exact"/>
              <w:rPr>
                <w:sz w:val="20"/>
                <w:szCs w:val="20"/>
                <w:color w:val="auto"/>
              </w:rPr>
            </w:pPr>
            <w:r>
              <w:rPr>
                <w:rFonts w:ascii="Arial" w:cs="Arial" w:eastAsia="Arial" w:hAnsi="Arial"/>
                <w:sz w:val="18"/>
                <w:szCs w:val="18"/>
                <w:color w:val="auto"/>
              </w:rPr>
              <w:t>Vice President - Controller</w:t>
            </w:r>
          </w:p>
        </w:tc>
      </w:tr>
      <w:tr>
        <w:trPr>
          <w:trHeight w:val="217"/>
        </w:trPr>
        <w:tc>
          <w:tcPr>
            <w:tcW w:w="6520" w:type="dxa"/>
            <w:vAlign w:val="bottom"/>
            <w:gridSpan w:val="6"/>
          </w:tcPr>
          <w:p>
            <w:pPr>
              <w:spacing w:after="0"/>
              <w:rPr>
                <w:sz w:val="20"/>
                <w:szCs w:val="20"/>
                <w:color w:val="auto"/>
              </w:rPr>
            </w:pPr>
            <w:r>
              <w:rPr>
                <w:rFonts w:ascii="Arial" w:cs="Arial" w:eastAsia="Arial" w:hAnsi="Arial"/>
                <w:sz w:val="18"/>
                <w:szCs w:val="18"/>
                <w:color w:val="auto"/>
              </w:rPr>
              <w:t>(Principal Financial Officer)</w:t>
            </w:r>
          </w:p>
        </w:tc>
        <w:tc>
          <w:tcPr>
            <w:tcW w:w="2400" w:type="dxa"/>
            <w:vAlign w:val="bottom"/>
            <w:gridSpan w:val="6"/>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John C. Standish</w:t>
            </w:r>
          </w:p>
        </w:tc>
        <w:tc>
          <w:tcPr>
            <w:tcW w:w="4900" w:type="dxa"/>
            <w:vAlign w:val="bottom"/>
            <w:gridSpan w:val="4"/>
          </w:tcPr>
          <w:p>
            <w:pPr>
              <w:spacing w:after="0"/>
              <w:rPr>
                <w:sz w:val="24"/>
                <w:szCs w:val="24"/>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/s/ Christine L. Standish</w:t>
            </w:r>
          </w:p>
        </w:tc>
        <w:tc>
          <w:tcPr>
            <w:tcW w:w="500" w:type="dxa"/>
            <w:vAlign w:val="bottom"/>
          </w:tcPr>
          <w:p>
            <w:pPr>
              <w:spacing w:after="0"/>
              <w:rPr>
                <w:sz w:val="24"/>
                <w:szCs w:val="24"/>
                <w:color w:val="auto"/>
              </w:rPr>
            </w:pPr>
          </w:p>
        </w:tc>
      </w:tr>
      <w:tr>
        <w:trPr>
          <w:trHeight w:val="209"/>
        </w:trPr>
        <w:tc>
          <w:tcPr>
            <w:tcW w:w="6520" w:type="dxa"/>
            <w:vAlign w:val="bottom"/>
            <w:gridSpan w:val="6"/>
          </w:tcPr>
          <w:p>
            <w:pPr>
              <w:spacing w:after="0"/>
              <w:rPr>
                <w:sz w:val="20"/>
                <w:szCs w:val="20"/>
                <w:color w:val="auto"/>
              </w:rPr>
            </w:pPr>
            <w:r>
              <w:rPr>
                <w:rFonts w:ascii="Arial" w:cs="Arial" w:eastAsia="Arial" w:hAnsi="Arial"/>
                <w:sz w:val="18"/>
                <w:szCs w:val="18"/>
                <w:color w:val="auto"/>
              </w:rPr>
              <w:t>John C. Standish</w:t>
            </w:r>
          </w:p>
        </w:tc>
        <w:tc>
          <w:tcPr>
            <w:tcW w:w="2400" w:type="dxa"/>
            <w:vAlign w:val="bottom"/>
            <w:gridSpan w:val="6"/>
          </w:tcPr>
          <w:p>
            <w:pPr>
              <w:spacing w:after="0"/>
              <w:rPr>
                <w:sz w:val="20"/>
                <w:szCs w:val="20"/>
                <w:color w:val="auto"/>
              </w:rPr>
            </w:pPr>
            <w:r>
              <w:rPr>
                <w:rFonts w:ascii="Arial" w:cs="Arial" w:eastAsia="Arial" w:hAnsi="Arial"/>
                <w:sz w:val="18"/>
                <w:szCs w:val="18"/>
                <w:color w:val="auto"/>
              </w:rPr>
              <w:t>Christine L. Standish</w:t>
            </w:r>
          </w:p>
        </w:tc>
      </w:tr>
      <w:tr>
        <w:trPr>
          <w:trHeight w:val="217"/>
        </w:trPr>
        <w:tc>
          <w:tcPr>
            <w:tcW w:w="6520" w:type="dxa"/>
            <w:vAlign w:val="bottom"/>
            <w:gridSpan w:val="6"/>
          </w:tcPr>
          <w:p>
            <w:pPr>
              <w:spacing w:after="0"/>
              <w:rPr>
                <w:sz w:val="20"/>
                <w:szCs w:val="20"/>
                <w:color w:val="auto"/>
              </w:rPr>
            </w:pPr>
            <w:r>
              <w:rPr>
                <w:rFonts w:ascii="Arial" w:cs="Arial" w:eastAsia="Arial" w:hAnsi="Arial"/>
                <w:sz w:val="18"/>
                <w:szCs w:val="18"/>
                <w:color w:val="auto"/>
              </w:rPr>
              <w:t>Vice Chairman of the Board and Director</w:t>
            </w:r>
          </w:p>
        </w:tc>
        <w:tc>
          <w:tcPr>
            <w:tcW w:w="2400" w:type="dxa"/>
            <w:vAlign w:val="bottom"/>
            <w:gridSpan w:val="6"/>
          </w:tcPr>
          <w:p>
            <w:pPr>
              <w:spacing w:after="0"/>
              <w:rPr>
                <w:sz w:val="20"/>
                <w:szCs w:val="20"/>
                <w:color w:val="auto"/>
              </w:rPr>
            </w:pPr>
            <w:r>
              <w:rPr>
                <w:rFonts w:ascii="Arial" w:cs="Arial" w:eastAsia="Arial" w:hAnsi="Arial"/>
                <w:sz w:val="18"/>
                <w:szCs w:val="18"/>
                <w:color w:val="auto"/>
              </w:rPr>
              <w:t>Director</w:t>
            </w:r>
          </w:p>
        </w:tc>
      </w:tr>
      <w:tr>
        <w:trPr>
          <w:trHeight w:val="365"/>
        </w:trPr>
        <w:tc>
          <w:tcPr>
            <w:tcW w:w="6520" w:type="dxa"/>
            <w:vAlign w:val="bottom"/>
            <w:gridSpan w:val="6"/>
          </w:tcPr>
          <w:p>
            <w:pPr>
              <w:spacing w:after="0"/>
              <w:rPr>
                <w:sz w:val="20"/>
                <w:szCs w:val="20"/>
                <w:color w:val="auto"/>
              </w:rPr>
            </w:pPr>
            <w:r>
              <w:rPr>
                <w:rFonts w:ascii="Arial" w:cs="Arial" w:eastAsia="Arial" w:hAnsi="Arial"/>
                <w:sz w:val="18"/>
                <w:szCs w:val="18"/>
                <w:color w:val="auto"/>
              </w:rPr>
              <w:t>/s/ John R. Scannell</w:t>
            </w:r>
          </w:p>
        </w:tc>
        <w:tc>
          <w:tcPr>
            <w:tcW w:w="2400" w:type="dxa"/>
            <w:vAlign w:val="bottom"/>
            <w:gridSpan w:val="6"/>
          </w:tcPr>
          <w:p>
            <w:pPr>
              <w:spacing w:after="0"/>
              <w:rPr>
                <w:sz w:val="20"/>
                <w:szCs w:val="20"/>
                <w:color w:val="auto"/>
              </w:rPr>
            </w:pPr>
            <w:r>
              <w:rPr>
                <w:rFonts w:ascii="Arial" w:cs="Arial" w:eastAsia="Arial" w:hAnsi="Arial"/>
                <w:sz w:val="18"/>
                <w:szCs w:val="18"/>
                <w:color w:val="auto"/>
              </w:rPr>
              <w:t>/s/ Katharine L. Plourde</w:t>
            </w:r>
          </w:p>
        </w:tc>
      </w:tr>
      <w:tr>
        <w:trPr>
          <w:trHeight w:val="209"/>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R. Scannell</w:t>
            </w:r>
          </w:p>
        </w:tc>
        <w:tc>
          <w:tcPr>
            <w:tcW w:w="4920" w:type="dxa"/>
            <w:vAlign w:val="bottom"/>
            <w:gridSpan w:val="5"/>
          </w:tcPr>
          <w:p>
            <w:pPr>
              <w:spacing w:after="0"/>
              <w:rPr>
                <w:sz w:val="18"/>
                <w:szCs w:val="18"/>
                <w:color w:val="auto"/>
              </w:rPr>
            </w:pPr>
          </w:p>
        </w:tc>
        <w:tc>
          <w:tcPr>
            <w:tcW w:w="18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Katharine L. Plourde</w:t>
            </w:r>
          </w:p>
        </w:tc>
        <w:tc>
          <w:tcPr>
            <w:tcW w:w="520" w:type="dxa"/>
            <w:vAlign w:val="bottom"/>
            <w:gridSpan w:val="2"/>
          </w:tcPr>
          <w:p>
            <w:pPr>
              <w:spacing w:after="0"/>
              <w:rPr>
                <w:sz w:val="18"/>
                <w:szCs w:val="18"/>
                <w:color w:val="auto"/>
              </w:rPr>
            </w:pPr>
          </w:p>
        </w:tc>
      </w:tr>
      <w:tr>
        <w:trPr>
          <w:trHeight w:val="217"/>
        </w:trPr>
        <w:tc>
          <w:tcPr>
            <w:tcW w:w="6520" w:type="dxa"/>
            <w:vAlign w:val="bottom"/>
            <w:gridSpan w:val="6"/>
          </w:tcPr>
          <w:p>
            <w:pPr>
              <w:spacing w:after="0"/>
              <w:rPr>
                <w:sz w:val="20"/>
                <w:szCs w:val="20"/>
                <w:color w:val="auto"/>
              </w:rPr>
            </w:pPr>
            <w:r>
              <w:rPr>
                <w:rFonts w:ascii="Arial" w:cs="Arial" w:eastAsia="Arial" w:hAnsi="Arial"/>
                <w:sz w:val="18"/>
                <w:szCs w:val="18"/>
                <w:color w:val="auto"/>
              </w:rPr>
              <w:t>Director</w:t>
            </w:r>
          </w:p>
        </w:tc>
        <w:tc>
          <w:tcPr>
            <w:tcW w:w="2400" w:type="dxa"/>
            <w:vAlign w:val="bottom"/>
            <w:gridSpan w:val="6"/>
          </w:tcPr>
          <w:p>
            <w:pPr>
              <w:spacing w:after="0"/>
              <w:rPr>
                <w:sz w:val="20"/>
                <w:szCs w:val="20"/>
                <w:color w:val="auto"/>
              </w:rPr>
            </w:pPr>
            <w:r>
              <w:rPr>
                <w:rFonts w:ascii="Arial" w:cs="Arial" w:eastAsia="Arial" w:hAnsi="Arial"/>
                <w:sz w:val="18"/>
                <w:szCs w:val="18"/>
                <w:color w:val="auto"/>
              </w:rPr>
              <w:t>Director</w:t>
            </w:r>
          </w:p>
        </w:tc>
      </w:tr>
      <w:tr>
        <w:trPr>
          <w:trHeight w:val="365"/>
        </w:trPr>
        <w:tc>
          <w:tcPr>
            <w:tcW w:w="1800" w:type="dxa"/>
            <w:vAlign w:val="bottom"/>
            <w:gridSpan w:val="4"/>
          </w:tcPr>
          <w:p>
            <w:pPr>
              <w:spacing w:after="0"/>
              <w:rPr>
                <w:sz w:val="20"/>
                <w:szCs w:val="20"/>
                <w:color w:val="auto"/>
              </w:rPr>
            </w:pPr>
            <w:r>
              <w:rPr>
                <w:rFonts w:ascii="Arial" w:cs="Arial" w:eastAsia="Arial" w:hAnsi="Arial"/>
                <w:sz w:val="18"/>
                <w:szCs w:val="18"/>
                <w:color w:val="auto"/>
                <w:w w:val="97"/>
              </w:rPr>
              <w:t>/s/ John F. Cassidy, Jr.</w:t>
            </w:r>
          </w:p>
        </w:tc>
        <w:tc>
          <w:tcPr>
            <w:tcW w:w="4720" w:type="dxa"/>
            <w:vAlign w:val="bottom"/>
            <w:gridSpan w:val="2"/>
          </w:tcPr>
          <w:p>
            <w:pPr>
              <w:spacing w:after="0"/>
              <w:rPr>
                <w:sz w:val="24"/>
                <w:szCs w:val="24"/>
                <w:color w:val="auto"/>
              </w:rPr>
            </w:pPr>
          </w:p>
        </w:tc>
        <w:tc>
          <w:tcPr>
            <w:tcW w:w="2400" w:type="dxa"/>
            <w:vAlign w:val="bottom"/>
            <w:gridSpan w:val="6"/>
          </w:tcPr>
          <w:p>
            <w:pPr>
              <w:spacing w:after="0"/>
              <w:rPr>
                <w:sz w:val="20"/>
                <w:szCs w:val="20"/>
                <w:color w:val="auto"/>
              </w:rPr>
            </w:pPr>
            <w:r>
              <w:rPr>
                <w:rFonts w:ascii="Arial" w:cs="Arial" w:eastAsia="Arial" w:hAnsi="Arial"/>
                <w:sz w:val="18"/>
                <w:szCs w:val="18"/>
                <w:color w:val="auto"/>
              </w:rPr>
              <w:t>/s/ Edgar G. Hotard</w:t>
            </w:r>
          </w:p>
        </w:tc>
      </w:tr>
      <w:tr>
        <w:trPr>
          <w:trHeight w:val="209"/>
        </w:trPr>
        <w:tc>
          <w:tcPr>
            <w:tcW w:w="18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John F. Cassidy, Jr.</w:t>
            </w:r>
          </w:p>
        </w:tc>
        <w:tc>
          <w:tcPr>
            <w:tcW w:w="4720" w:type="dxa"/>
            <w:vAlign w:val="bottom"/>
            <w:gridSpan w:val="2"/>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Edgar G. Hotard</w:t>
            </w:r>
          </w:p>
        </w:tc>
        <w:tc>
          <w:tcPr>
            <w:tcW w:w="860" w:type="dxa"/>
            <w:vAlign w:val="bottom"/>
            <w:gridSpan w:val="5"/>
          </w:tcPr>
          <w:p>
            <w:pPr>
              <w:spacing w:after="0"/>
              <w:rPr>
                <w:sz w:val="18"/>
                <w:szCs w:val="18"/>
                <w:color w:val="auto"/>
              </w:rPr>
            </w:pPr>
          </w:p>
        </w:tc>
      </w:tr>
      <w:tr>
        <w:trPr>
          <w:trHeight w:val="217"/>
        </w:trPr>
        <w:tc>
          <w:tcPr>
            <w:tcW w:w="6520" w:type="dxa"/>
            <w:vAlign w:val="bottom"/>
            <w:gridSpan w:val="6"/>
          </w:tcPr>
          <w:p>
            <w:pPr>
              <w:spacing w:after="0"/>
              <w:rPr>
                <w:sz w:val="20"/>
                <w:szCs w:val="20"/>
                <w:color w:val="auto"/>
              </w:rPr>
            </w:pPr>
            <w:r>
              <w:rPr>
                <w:rFonts w:ascii="Arial" w:cs="Arial" w:eastAsia="Arial" w:hAnsi="Arial"/>
                <w:sz w:val="18"/>
                <w:szCs w:val="18"/>
                <w:color w:val="auto"/>
              </w:rPr>
              <w:t>Director</w:t>
            </w:r>
          </w:p>
        </w:tc>
        <w:tc>
          <w:tcPr>
            <w:tcW w:w="2400" w:type="dxa"/>
            <w:vAlign w:val="bottom"/>
            <w:gridSpan w:val="6"/>
          </w:tcPr>
          <w:p>
            <w:pPr>
              <w:spacing w:after="0"/>
              <w:rPr>
                <w:sz w:val="20"/>
                <w:szCs w:val="20"/>
                <w:color w:val="auto"/>
              </w:rPr>
            </w:pPr>
            <w:r>
              <w:rPr>
                <w:rFonts w:ascii="Arial" w:cs="Arial" w:eastAsia="Arial" w:hAnsi="Arial"/>
                <w:sz w:val="18"/>
                <w:szCs w:val="18"/>
                <w:color w:val="auto"/>
              </w:rPr>
              <w:t>Director</w:t>
            </w:r>
          </w:p>
        </w:tc>
      </w:tr>
    </w:tbl>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71" w:lineRule="exact"/>
        <w:rPr>
          <w:rFonts w:ascii="Arial" w:cs="Arial" w:eastAsia="Arial" w:hAnsi="Arial"/>
          <w:sz w:val="18"/>
          <w:szCs w:val="18"/>
          <w:color w:val="auto"/>
        </w:rPr>
      </w:pPr>
    </w:p>
    <w:p>
      <w:pPr>
        <w:ind w:left="1300" w:right="34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left="1300" w:right="34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1300" w:right="5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620" w:right="140" w:hanging="315"/>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ind w:left="1620" w:right="380" w:hanging="315"/>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620" w:right="220" w:hanging="315"/>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left="1300" w:right="36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00" w:lineRule="exact"/>
        <w:rPr>
          <w:sz w:val="20"/>
          <w:szCs w:val="20"/>
          <w:color w:val="auto"/>
        </w:rPr>
      </w:pPr>
    </w:p>
    <w:p>
      <w:pPr>
        <w:spacing w:after="0" w:line="319" w:lineRule="exact"/>
        <w:rPr>
          <w:sz w:val="20"/>
          <w:szCs w:val="20"/>
          <w:color w:val="auto"/>
        </w:rPr>
      </w:pPr>
    </w:p>
    <w:tbl>
      <w:tblPr>
        <w:tblLayout w:type="fixed"/>
        <w:tblInd w:w="390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gridSpan w:val="2"/>
          </w:tcPr>
          <w:p>
            <w:pPr>
              <w:spacing w:after="0"/>
              <w:rPr>
                <w:sz w:val="20"/>
                <w:szCs w:val="20"/>
                <w:color w:val="auto"/>
              </w:rPr>
            </w:pPr>
            <w:r>
              <w:rPr>
                <w:rFonts w:ascii="Arial" w:cs="Arial" w:eastAsia="Arial" w:hAnsi="Arial"/>
                <w:sz w:val="18"/>
                <w:szCs w:val="18"/>
                <w:color w:val="auto"/>
              </w:rPr>
              <w:t>/s/ Joseph G. Morone</w:t>
            </w:r>
          </w:p>
        </w:tc>
      </w:tr>
      <w:tr>
        <w:trPr>
          <w:trHeight w:val="209"/>
        </w:trPr>
        <w:tc>
          <w:tcPr>
            <w:tcW w:w="3760" w:type="dxa"/>
            <w:vAlign w:val="bottom"/>
          </w:tcPr>
          <w:p>
            <w:pPr>
              <w:spacing w:after="0"/>
              <w:rPr>
                <w:sz w:val="18"/>
                <w:szCs w:val="18"/>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G. Morone</w:t>
            </w:r>
          </w:p>
        </w:tc>
        <w:tc>
          <w:tcPr>
            <w:tcW w:w="1280" w:type="dxa"/>
            <w:vAlign w:val="bottom"/>
          </w:tcPr>
          <w:p>
            <w:pPr>
              <w:spacing w:after="0"/>
              <w:rPr>
                <w:sz w:val="18"/>
                <w:szCs w:val="18"/>
                <w:color w:val="auto"/>
              </w:rPr>
            </w:pPr>
          </w:p>
        </w:tc>
      </w:tr>
      <w:tr>
        <w:trPr>
          <w:trHeight w:val="203"/>
        </w:trPr>
        <w:tc>
          <w:tcPr>
            <w:tcW w:w="3760" w:type="dxa"/>
            <w:vAlign w:val="bottom"/>
          </w:tcPr>
          <w:p>
            <w:pPr>
              <w:spacing w:after="0"/>
              <w:rPr>
                <w:sz w:val="17"/>
                <w:szCs w:val="17"/>
                <w:color w:val="auto"/>
              </w:rPr>
            </w:pPr>
          </w:p>
        </w:tc>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w w:val="99"/>
              </w:rPr>
              <w:t>President and Chief Executive Officer</w:t>
            </w:r>
          </w:p>
        </w:tc>
      </w:tr>
      <w:tr>
        <w:trPr>
          <w:trHeight w:val="217"/>
        </w:trPr>
        <w:tc>
          <w:tcPr>
            <w:tcW w:w="37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283"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31(b)</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84" w:lineRule="exact"/>
        <w:rPr>
          <w:rFonts w:ascii="Arial" w:cs="Arial" w:eastAsia="Arial" w:hAnsi="Arial"/>
          <w:sz w:val="18"/>
          <w:szCs w:val="18"/>
          <w:color w:val="auto"/>
        </w:rPr>
      </w:pPr>
    </w:p>
    <w:p>
      <w:pPr>
        <w:ind w:left="1300" w:right="34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1300" w:right="34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1300" w:right="5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620" w:right="140" w:hanging="315"/>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620" w:right="380" w:hanging="315"/>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620" w:right="220" w:hanging="315"/>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300" w:right="36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tbl>
      <w:tblPr>
        <w:tblLayout w:type="fixed"/>
        <w:tblInd w:w="3900" w:type="dxa"/>
        <w:tblCellMar>
          <w:top w:w="0" w:type="dxa"/>
          <w:left w:w="0" w:type="dxa"/>
          <w:bottom w:w="0" w:type="dxa"/>
          <w:right w:w="0" w:type="dxa"/>
        </w:tblCellMar>
      </w:tblP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/s/ John B. Cozzolino</w:t>
            </w:r>
          </w:p>
        </w:tc>
        <w:tc>
          <w:tcPr>
            <w:tcW w:w="1240" w:type="dxa"/>
            <w:vAlign w:val="bottom"/>
          </w:tcPr>
          <w:p>
            <w:pPr>
              <w:spacing w:after="0"/>
              <w:rPr>
                <w:sz w:val="15"/>
                <w:szCs w:val="15"/>
                <w:color w:val="auto"/>
              </w:rPr>
            </w:pPr>
          </w:p>
        </w:tc>
      </w:tr>
      <w:tr>
        <w:trPr>
          <w:trHeight w:val="209"/>
        </w:trPr>
        <w:tc>
          <w:tcPr>
            <w:tcW w:w="376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John B. Cozzolino</w:t>
            </w:r>
          </w:p>
        </w:tc>
      </w:tr>
      <w:tr>
        <w:trPr>
          <w:trHeight w:val="203"/>
        </w:trPr>
        <w:tc>
          <w:tcPr>
            <w:tcW w:w="3760" w:type="dxa"/>
            <w:vAlign w:val="bottom"/>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w w:val="98"/>
              </w:rPr>
              <w:t>Chief Financial Officer and Treasurer</w:t>
            </w:r>
          </w:p>
        </w:tc>
      </w:tr>
      <w:tr>
        <w:trPr>
          <w:trHeight w:val="217"/>
        </w:trPr>
        <w:tc>
          <w:tcPr>
            <w:tcW w:w="376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Certification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9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Joseph G. Morone, the Chief Executive Officer, and John B. Cozzolino, the Chief Financial Officer and Treasurer, of Albany International Corp., a Delaware corporation (“the Company”), do each hereby certify, to such officer’s knowledge, that the annual report on Form 10-K for the fiscal year ended December 31, 2014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2015</w:t>
      </w:r>
    </w:p>
    <w:p>
      <w:pPr>
        <w:ind w:left="5720"/>
        <w:spacing w:after="0" w:line="234" w:lineRule="auto"/>
        <w:rPr>
          <w:sz w:val="20"/>
          <w:szCs w:val="20"/>
          <w:color w:val="auto"/>
        </w:rPr>
      </w:pPr>
      <w:r>
        <w:rPr>
          <w:rFonts w:ascii="Arial" w:cs="Arial" w:eastAsia="Arial" w:hAnsi="Arial"/>
          <w:sz w:val="18"/>
          <w:szCs w:val="18"/>
          <w:u w:val="single" w:color="auto"/>
          <w:color w:val="auto"/>
        </w:rPr>
        <w:t>/s/ Joseph G. Morone</w:t>
      </w:r>
    </w:p>
    <w:p>
      <w:pPr>
        <w:ind w:left="5720"/>
        <w:spacing w:after="0" w:line="235" w:lineRule="auto"/>
        <w:rPr>
          <w:sz w:val="20"/>
          <w:szCs w:val="20"/>
          <w:color w:val="auto"/>
        </w:rPr>
      </w:pPr>
      <w:r>
        <w:rPr>
          <w:rFonts w:ascii="Arial" w:cs="Arial" w:eastAsia="Arial" w:hAnsi="Arial"/>
          <w:sz w:val="18"/>
          <w:szCs w:val="18"/>
          <w:color w:val="auto"/>
        </w:rPr>
        <w:t>Joseph G. Morone</w:t>
      </w:r>
    </w:p>
    <w:p>
      <w:pPr>
        <w:ind w:left="57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John B. Cozzolino</w:t>
      </w:r>
    </w:p>
    <w:p>
      <w:pPr>
        <w:ind w:left="5720"/>
        <w:spacing w:after="0" w:line="234" w:lineRule="auto"/>
        <w:rPr>
          <w:sz w:val="20"/>
          <w:szCs w:val="20"/>
          <w:color w:val="auto"/>
        </w:rPr>
      </w:pPr>
      <w:r>
        <w:rPr>
          <w:rFonts w:ascii="Arial" w:cs="Arial" w:eastAsia="Arial" w:hAnsi="Arial"/>
          <w:sz w:val="18"/>
          <w:szCs w:val="18"/>
          <w:color w:val="auto"/>
        </w:rPr>
        <w:t>John B. Cozzolino</w:t>
      </w:r>
    </w:p>
    <w:p>
      <w:pPr>
        <w:ind w:left="57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lvl w:ilvl="1">
      <w:lvlJc w:val="left"/>
      <w:lvlText w:val="§"/>
      <w:numFmt w:val="bullet"/>
      <w:start w:val="1"/>
    </w:lvl>
  </w:abstractNum>
  <w:abstractNum w:abstractNumId="5">
    <w:nsid w:val="8EDBDAB"/>
    <w:multiLevelType w:val="hybridMultilevel"/>
    <w:lvl w:ilvl="0">
      <w:lvlJc w:val="left"/>
      <w:lvlText w:val="·"/>
      <w:numFmt w:val="bullet"/>
      <w:start w:val="1"/>
    </w:lvl>
    <w:lvl w:ilvl="1">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4"/>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5"/>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lvl w:ilvl="1">
      <w:lvlJc w:val="left"/>
      <w:lvlText w:val="(%2)"/>
      <w:numFmt w:val="lowerLetter"/>
      <w:start w:val="1"/>
    </w:lvl>
  </w:abstractNum>
  <w:abstractNum w:abstractNumId="34">
    <w:nsid w:val="5E884ADC"/>
    <w:multiLevelType w:val="hybridMultilevel"/>
    <w:lvl w:ilvl="0">
      <w:lvlJc w:val="left"/>
      <w:lvlText w:val="%1."/>
      <w:numFmt w:val="decimal"/>
      <w:start w:val="11"/>
    </w:lvl>
    <w:lvl w:ilvl="1">
      <w:lvlJc w:val="left"/>
      <w:lvlText w:val="%2"/>
      <w:numFmt w:val="lowerLetter"/>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lvl w:ilvl="1">
      <w:lvlJc w:val="left"/>
      <w:lvlText w:val="%2."/>
      <w:numFmt w:val="decimal"/>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upperLetter"/>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2019-12-06T01:47:02Z</dcterms:created>
  <dcterms:modified xsi:type="dcterms:W3CDTF">2019-12-06T01:47:02Z</dcterms:modified>
</cp:coreProperties>
</file>